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CEB4" w14:textId="42F31B31" w:rsidR="00B303F8" w:rsidRDefault="00B303F8" w:rsidP="00B303F8">
      <w:pPr>
        <w:pBdr>
          <w:top w:val="single" w:sz="4" w:space="1" w:color="auto"/>
          <w:left w:val="single" w:sz="4" w:space="4" w:color="auto"/>
          <w:bottom w:val="single" w:sz="4" w:space="1" w:color="auto"/>
          <w:right w:val="single" w:sz="4" w:space="4" w:color="auto"/>
        </w:pBdr>
        <w:spacing w:line="240" w:lineRule="auto"/>
        <w:jc w:val="center"/>
        <w:rPr>
          <w:rFonts w:asciiTheme="minorBidi" w:hAnsiTheme="minorBidi"/>
          <w:color w:val="201F1E"/>
          <w:sz w:val="24"/>
          <w:szCs w:val="24"/>
        </w:rPr>
      </w:pPr>
      <w:r w:rsidRPr="001C5752">
        <w:rPr>
          <w:rFonts w:asciiTheme="minorBidi" w:hAnsiTheme="minorBidi"/>
          <w:color w:val="201F1E"/>
          <w:sz w:val="24"/>
          <w:szCs w:val="24"/>
        </w:rPr>
        <w:t>Pre-entry Selection Assessment Results and Final Degr</w:t>
      </w:r>
      <w:r w:rsidR="00F87397">
        <w:rPr>
          <w:rFonts w:asciiTheme="minorBidi" w:hAnsiTheme="minorBidi"/>
          <w:color w:val="201F1E"/>
          <w:sz w:val="24"/>
          <w:szCs w:val="24"/>
        </w:rPr>
        <w:t xml:space="preserve">ee Outcomes of </w:t>
      </w:r>
      <w:r w:rsidRPr="001C5752">
        <w:rPr>
          <w:rFonts w:asciiTheme="minorBidi" w:hAnsiTheme="minorBidi"/>
          <w:color w:val="201F1E"/>
          <w:sz w:val="24"/>
          <w:szCs w:val="24"/>
        </w:rPr>
        <w:t>Occupational Therapy Students: Are There Relationships</w:t>
      </w:r>
      <w:r>
        <w:rPr>
          <w:rFonts w:asciiTheme="minorBidi" w:hAnsiTheme="minorBidi"/>
          <w:color w:val="201F1E"/>
          <w:sz w:val="24"/>
          <w:szCs w:val="24"/>
        </w:rPr>
        <w:t>?</w:t>
      </w:r>
    </w:p>
    <w:p w14:paraId="7923B29B" w14:textId="77777777" w:rsidR="00B303F8" w:rsidRDefault="00B303F8" w:rsidP="00D173CF">
      <w:pPr>
        <w:spacing w:line="240" w:lineRule="auto"/>
        <w:rPr>
          <w:rFonts w:ascii="Arial" w:hAnsi="Arial" w:cs="Arial"/>
          <w:b/>
          <w:bCs/>
          <w:sz w:val="24"/>
          <w:szCs w:val="24"/>
        </w:rPr>
      </w:pPr>
    </w:p>
    <w:p w14:paraId="7DDA18C5" w14:textId="77777777" w:rsidR="00D173CF" w:rsidRPr="00170370" w:rsidRDefault="00D173CF" w:rsidP="00D173CF">
      <w:pPr>
        <w:spacing w:line="240" w:lineRule="auto"/>
        <w:rPr>
          <w:rFonts w:ascii="Arial" w:eastAsia="Times New Roman" w:hAnsi="Arial" w:cs="Arial"/>
          <w:sz w:val="24"/>
          <w:szCs w:val="24"/>
        </w:rPr>
      </w:pPr>
      <w:r>
        <w:rPr>
          <w:rFonts w:ascii="Arial" w:hAnsi="Arial" w:cs="Arial"/>
          <w:b/>
          <w:bCs/>
          <w:sz w:val="24"/>
          <w:szCs w:val="24"/>
        </w:rPr>
        <w:t xml:space="preserve">INTRODUCTION </w:t>
      </w:r>
    </w:p>
    <w:p w14:paraId="32F53634" w14:textId="6FC699A9" w:rsidR="00D173CF" w:rsidRDefault="00D173CF" w:rsidP="00F87397">
      <w:pPr>
        <w:spacing w:line="240" w:lineRule="auto"/>
        <w:rPr>
          <w:rFonts w:ascii="Arial" w:eastAsia="Times New Roman" w:hAnsi="Arial" w:cs="Arial"/>
          <w:sz w:val="24"/>
          <w:szCs w:val="24"/>
        </w:rPr>
      </w:pPr>
      <w:r w:rsidRPr="00297C83">
        <w:rPr>
          <w:rFonts w:ascii="Arial" w:eastAsia="Times New Roman" w:hAnsi="Arial" w:cs="Arial"/>
          <w:sz w:val="24"/>
          <w:szCs w:val="24"/>
        </w:rPr>
        <w:t>Thirty-five U</w:t>
      </w:r>
      <w:r>
        <w:rPr>
          <w:rFonts w:ascii="Arial" w:eastAsia="Times New Roman" w:hAnsi="Arial" w:cs="Arial"/>
          <w:sz w:val="24"/>
          <w:szCs w:val="24"/>
        </w:rPr>
        <w:t xml:space="preserve">nited </w:t>
      </w:r>
      <w:r w:rsidRPr="00297C83">
        <w:rPr>
          <w:rFonts w:ascii="Arial" w:eastAsia="Times New Roman" w:hAnsi="Arial" w:cs="Arial"/>
          <w:sz w:val="24"/>
          <w:szCs w:val="24"/>
        </w:rPr>
        <w:t>K</w:t>
      </w:r>
      <w:r>
        <w:rPr>
          <w:rFonts w:ascii="Arial" w:eastAsia="Times New Roman" w:hAnsi="Arial" w:cs="Arial"/>
          <w:sz w:val="24"/>
          <w:szCs w:val="24"/>
        </w:rPr>
        <w:t>ingdom (UK)</w:t>
      </w:r>
      <w:r w:rsidRPr="00297C83">
        <w:rPr>
          <w:rFonts w:ascii="Arial" w:eastAsia="Times New Roman" w:hAnsi="Arial" w:cs="Arial"/>
          <w:sz w:val="24"/>
          <w:szCs w:val="24"/>
        </w:rPr>
        <w:t xml:space="preserve"> universities are </w:t>
      </w:r>
      <w:r w:rsidR="000265FA">
        <w:rPr>
          <w:rFonts w:ascii="Arial" w:eastAsia="Times New Roman" w:hAnsi="Arial" w:cs="Arial"/>
          <w:sz w:val="24"/>
          <w:szCs w:val="24"/>
        </w:rPr>
        <w:t>authorised</w:t>
      </w:r>
      <w:r w:rsidRPr="00297C83">
        <w:rPr>
          <w:rFonts w:ascii="Arial" w:eastAsia="Times New Roman" w:hAnsi="Arial" w:cs="Arial"/>
          <w:sz w:val="24"/>
          <w:szCs w:val="24"/>
        </w:rPr>
        <w:t xml:space="preserve"> to deliver </w:t>
      </w:r>
      <w:r w:rsidR="00F87397">
        <w:rPr>
          <w:rFonts w:ascii="Arial" w:eastAsia="Times New Roman" w:hAnsi="Arial" w:cs="Arial"/>
          <w:sz w:val="24"/>
          <w:szCs w:val="24"/>
        </w:rPr>
        <w:t>educational OT programs</w:t>
      </w:r>
      <w:r w:rsidRPr="00297C83">
        <w:rPr>
          <w:rFonts w:ascii="Arial" w:eastAsia="Times New Roman" w:hAnsi="Arial" w:cs="Arial"/>
          <w:sz w:val="24"/>
          <w:szCs w:val="24"/>
        </w:rPr>
        <w:t xml:space="preserve"> </w:t>
      </w:r>
      <w:r w:rsidRPr="00297C83">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{"citationItems":[{"id":"ITEM-1","itemData":{"DOI":"10.2105/ajph.12.5.367-a","ISSN":"0271-4353","author":[{"dropping-particle":"","family":"Royal College of Occupational Therapists","given":"","non-dropping-particle":"","parse-names":false,"suffix":""}],"id":"ITEM-1","issued":{"date-parts":[["2019"]]},"publisher":"Royal College of Occupational Therapists","publisher-place":"London","title":"Occupational Therapy Career Handbook","type":"book"},"uris":["http://www.mendeley.com/documents/?uuid=b83d0935-e339-4b01-a002-1a590f68a24e"]}],"mendeley":{"formattedCitation":"(Royal College of Occupational Therapists, 2019b)","plainTextFormattedCitation":"(Royal College of Occupational Therapists, 2019b)","previouslyFormattedCitation":"(Royal College of Occupational Therapists, 2019b)"},"properties":{"noteIndex":0},"schema":"https://github.com/citation-style-language/schema/raw/master/csl-citation.json"}</w:instrText>
      </w:r>
      <w:r w:rsidRPr="00297C83">
        <w:rPr>
          <w:rFonts w:ascii="Arial" w:eastAsia="Times New Roman" w:hAnsi="Arial" w:cs="Arial"/>
          <w:sz w:val="24"/>
          <w:szCs w:val="24"/>
        </w:rPr>
        <w:fldChar w:fldCharType="separate"/>
      </w:r>
      <w:r w:rsidRPr="003211AA">
        <w:rPr>
          <w:rFonts w:ascii="Arial" w:eastAsia="Times New Roman" w:hAnsi="Arial" w:cs="Arial"/>
          <w:noProof/>
          <w:sz w:val="24"/>
          <w:szCs w:val="24"/>
        </w:rPr>
        <w:t>(Royal College of Occupational Therapists, 2019b)</w:t>
      </w:r>
      <w:r w:rsidRPr="00297C83">
        <w:rPr>
          <w:rFonts w:ascii="Arial" w:eastAsia="Times New Roman" w:hAnsi="Arial" w:cs="Arial"/>
          <w:sz w:val="24"/>
          <w:szCs w:val="24"/>
        </w:rPr>
        <w:fldChar w:fldCharType="end"/>
      </w:r>
      <w:r w:rsidRPr="00297C83">
        <w:rPr>
          <w:rFonts w:ascii="Arial" w:eastAsia="Times New Roman" w:hAnsi="Arial" w:cs="Arial"/>
          <w:sz w:val="24"/>
          <w:szCs w:val="24"/>
        </w:rPr>
        <w:t xml:space="preserve">. </w:t>
      </w:r>
      <w:r w:rsidRPr="00E21894">
        <w:rPr>
          <w:rFonts w:ascii="Arial" w:eastAsia="Times New Roman" w:hAnsi="Arial" w:cs="Arial"/>
          <w:sz w:val="24"/>
          <w:szCs w:val="24"/>
        </w:rPr>
        <w:t>Neither the R</w:t>
      </w:r>
      <w:r>
        <w:rPr>
          <w:rFonts w:ascii="Arial" w:eastAsia="Times New Roman" w:hAnsi="Arial" w:cs="Arial"/>
          <w:sz w:val="24"/>
          <w:szCs w:val="24"/>
        </w:rPr>
        <w:t xml:space="preserve">oyal </w:t>
      </w:r>
      <w:r w:rsidRPr="00E21894">
        <w:rPr>
          <w:rFonts w:ascii="Arial" w:eastAsia="Times New Roman" w:hAnsi="Arial" w:cs="Arial"/>
          <w:sz w:val="24"/>
          <w:szCs w:val="24"/>
        </w:rPr>
        <w:t>C</w:t>
      </w:r>
      <w:r>
        <w:rPr>
          <w:rFonts w:ascii="Arial" w:eastAsia="Times New Roman" w:hAnsi="Arial" w:cs="Arial"/>
          <w:sz w:val="24"/>
          <w:szCs w:val="24"/>
        </w:rPr>
        <w:t xml:space="preserve">ollege of </w:t>
      </w:r>
      <w:r w:rsidRPr="00E21894">
        <w:rPr>
          <w:rFonts w:ascii="Arial" w:eastAsia="Times New Roman" w:hAnsi="Arial" w:cs="Arial"/>
          <w:sz w:val="24"/>
          <w:szCs w:val="24"/>
        </w:rPr>
        <w:t>O</w:t>
      </w:r>
      <w:r>
        <w:rPr>
          <w:rFonts w:ascii="Arial" w:eastAsia="Times New Roman" w:hAnsi="Arial" w:cs="Arial"/>
          <w:sz w:val="24"/>
          <w:szCs w:val="24"/>
        </w:rPr>
        <w:t xml:space="preserve">ccupational </w:t>
      </w:r>
      <w:r w:rsidRPr="00E21894">
        <w:rPr>
          <w:rFonts w:ascii="Arial" w:eastAsia="Times New Roman" w:hAnsi="Arial" w:cs="Arial"/>
          <w:sz w:val="24"/>
          <w:szCs w:val="24"/>
        </w:rPr>
        <w:t>T</w:t>
      </w:r>
      <w:r>
        <w:rPr>
          <w:rFonts w:ascii="Arial" w:eastAsia="Times New Roman" w:hAnsi="Arial" w:cs="Arial"/>
          <w:sz w:val="24"/>
          <w:szCs w:val="24"/>
        </w:rPr>
        <w:t>herapists (RCOT)</w:t>
      </w:r>
      <w:r w:rsidRPr="00E21894">
        <w:rPr>
          <w:rFonts w:ascii="Arial" w:eastAsia="Times New Roman" w:hAnsi="Arial" w:cs="Arial"/>
          <w:sz w:val="24"/>
          <w:szCs w:val="24"/>
        </w:rPr>
        <w:t xml:space="preserve"> </w:t>
      </w:r>
      <w:r>
        <w:rPr>
          <w:rFonts w:ascii="Arial" w:eastAsia="Times New Roman" w:hAnsi="Arial" w:cs="Arial"/>
          <w:sz w:val="24"/>
          <w:szCs w:val="24"/>
        </w:rPr>
        <w:t>n</w:t>
      </w:r>
      <w:r w:rsidRPr="00E21894">
        <w:rPr>
          <w:rFonts w:ascii="Arial" w:eastAsia="Times New Roman" w:hAnsi="Arial" w:cs="Arial"/>
          <w:sz w:val="24"/>
          <w:szCs w:val="24"/>
        </w:rPr>
        <w:t>or</w:t>
      </w:r>
      <w:r>
        <w:rPr>
          <w:rFonts w:ascii="Arial" w:eastAsia="Times New Roman" w:hAnsi="Arial" w:cs="Arial"/>
          <w:sz w:val="24"/>
          <w:szCs w:val="24"/>
        </w:rPr>
        <w:t xml:space="preserve"> the</w:t>
      </w:r>
      <w:r w:rsidRPr="00E21894">
        <w:rPr>
          <w:rFonts w:ascii="Arial" w:eastAsia="Times New Roman" w:hAnsi="Arial" w:cs="Arial"/>
          <w:sz w:val="24"/>
          <w:szCs w:val="24"/>
        </w:rPr>
        <w:t xml:space="preserve"> H</w:t>
      </w:r>
      <w:r>
        <w:rPr>
          <w:rFonts w:ascii="Arial" w:eastAsia="Times New Roman" w:hAnsi="Arial" w:cs="Arial"/>
          <w:sz w:val="24"/>
          <w:szCs w:val="24"/>
        </w:rPr>
        <w:t xml:space="preserve">ealth and </w:t>
      </w:r>
      <w:r w:rsidRPr="00E21894">
        <w:rPr>
          <w:rFonts w:ascii="Arial" w:eastAsia="Times New Roman" w:hAnsi="Arial" w:cs="Arial"/>
          <w:sz w:val="24"/>
          <w:szCs w:val="24"/>
        </w:rPr>
        <w:t>C</w:t>
      </w:r>
      <w:r>
        <w:rPr>
          <w:rFonts w:ascii="Arial" w:eastAsia="Times New Roman" w:hAnsi="Arial" w:cs="Arial"/>
          <w:sz w:val="24"/>
          <w:szCs w:val="24"/>
        </w:rPr>
        <w:t xml:space="preserve">are </w:t>
      </w:r>
      <w:r w:rsidRPr="00E21894">
        <w:rPr>
          <w:rFonts w:ascii="Arial" w:eastAsia="Times New Roman" w:hAnsi="Arial" w:cs="Arial"/>
          <w:sz w:val="24"/>
          <w:szCs w:val="24"/>
        </w:rPr>
        <w:t>P</w:t>
      </w:r>
      <w:r>
        <w:rPr>
          <w:rFonts w:ascii="Arial" w:eastAsia="Times New Roman" w:hAnsi="Arial" w:cs="Arial"/>
          <w:sz w:val="24"/>
          <w:szCs w:val="24"/>
        </w:rPr>
        <w:t xml:space="preserve">rofessions </w:t>
      </w:r>
      <w:r w:rsidRPr="00E21894">
        <w:rPr>
          <w:rFonts w:ascii="Arial" w:eastAsia="Times New Roman" w:hAnsi="Arial" w:cs="Arial"/>
          <w:sz w:val="24"/>
          <w:szCs w:val="24"/>
        </w:rPr>
        <w:t>C</w:t>
      </w:r>
      <w:r>
        <w:rPr>
          <w:rFonts w:ascii="Arial" w:eastAsia="Times New Roman" w:hAnsi="Arial" w:cs="Arial"/>
          <w:sz w:val="24"/>
          <w:szCs w:val="24"/>
        </w:rPr>
        <w:t>ouncil (HCPC)</w:t>
      </w:r>
      <w:r w:rsidRPr="00E21894">
        <w:rPr>
          <w:rFonts w:ascii="Arial" w:eastAsia="Times New Roman" w:hAnsi="Arial" w:cs="Arial"/>
          <w:sz w:val="24"/>
          <w:szCs w:val="24"/>
        </w:rPr>
        <w:t xml:space="preserve"> as </w:t>
      </w:r>
      <w:r>
        <w:rPr>
          <w:rFonts w:ascii="Arial" w:eastAsia="Times New Roman" w:hAnsi="Arial" w:cs="Arial"/>
          <w:sz w:val="24"/>
          <w:szCs w:val="24"/>
        </w:rPr>
        <w:t xml:space="preserve">the </w:t>
      </w:r>
      <w:r w:rsidRPr="00E21894">
        <w:rPr>
          <w:rFonts w:ascii="Arial" w:eastAsia="Times New Roman" w:hAnsi="Arial" w:cs="Arial"/>
          <w:sz w:val="24"/>
          <w:szCs w:val="24"/>
        </w:rPr>
        <w:t>professional and governing bodies</w:t>
      </w:r>
      <w:r>
        <w:rPr>
          <w:rFonts w:ascii="Arial" w:eastAsia="Times New Roman" w:hAnsi="Arial" w:cs="Arial"/>
          <w:sz w:val="24"/>
          <w:szCs w:val="24"/>
        </w:rPr>
        <w:t xml:space="preserve"> of OT in the UK</w:t>
      </w:r>
      <w:r w:rsidRPr="00E21894">
        <w:rPr>
          <w:rFonts w:ascii="Arial" w:eastAsia="Times New Roman" w:hAnsi="Arial" w:cs="Arial"/>
          <w:sz w:val="24"/>
          <w:szCs w:val="24"/>
        </w:rPr>
        <w:t xml:space="preserve"> stipulate standardised admissions criteria</w:t>
      </w:r>
      <w:r w:rsidRPr="00297C83">
        <w:rPr>
          <w:rFonts w:ascii="Arial" w:eastAsia="Times New Roman" w:hAnsi="Arial" w:cs="Arial"/>
          <w:sz w:val="24"/>
          <w:szCs w:val="24"/>
        </w:rPr>
        <w:t xml:space="preserve">. Furthermore, the </w:t>
      </w:r>
      <w:r>
        <w:rPr>
          <w:rFonts w:ascii="Arial" w:eastAsia="Times New Roman" w:hAnsi="Arial" w:cs="Arial"/>
          <w:sz w:val="24"/>
          <w:szCs w:val="24"/>
        </w:rPr>
        <w:t xml:space="preserve">HCPC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{"citationItems":[{"id":"ITEM-1","itemData":{"abstract":"This document sets out the standards of education and training (SETs). These are the standards against which we assess education and training programmes. A programme which meets the SETs allows a learner who successfully completes that programme to meet the standards of pro ciency for their profession. They are then eligible to apply to the Health and Care Professions Council (HCPC) for registration. We conduct approval visits to education providers to assess their programmes against the SETs. If a programme meets the SETs we will normally grant open-ended approval, subject to ongoing monitoring. Annual monitoring is a documentary process used to determine whether a programme continues to meet the SETs. If any changes are made which signi cantly affect a programme, we consider these through our major change process to make sure that the SETs continue to be met. We have produced detailed guidance on the SETs, which is intended to give more information about the meaning and intention of the standards and what our expectations will be when we assess and monitor education and training programmes against them. This guidance can be found on our website. We have also produced supplementary information documents for education providers when preparing for an approval visit, completing annual monitoring submissions, or making signi cant changes to programmes. These documents, which can also be found on our website, give more information about the processes we use to assess and monitor programmes against the SETs.","author":[{"dropping-particle":"","family":"Health and Care Professions Council","given":"","non-dropping-particle":"","parse-names":false,"suffix":""}],"id":"ITEM-1","issued":{"date-parts":[["2017"]]},"title":"Standards of education and training","type":"report"},"uris":["http://www.mendeley.com/documents/?uuid=81a146e4-1332-4317-8e15-387125338cbc"]}],"mendeley":{"formattedCitation":"(Health and Care Professions Council, 2017)","manualFormatting":"(2017)","plainTextFormattedCitation":"(Health and Care Professions Council, 2017)","previouslyFormattedCitation":"(Health and Care Professions Council, 2017)"},"properties":{"noteIndex":0},"schema":"https://github.com/citation-style-language/schema/raw/master/csl-citation.json"}</w:instrText>
      </w:r>
      <w:r>
        <w:rPr>
          <w:rFonts w:ascii="Arial" w:eastAsia="Times New Roman" w:hAnsi="Arial" w:cs="Arial"/>
          <w:sz w:val="24"/>
          <w:szCs w:val="24"/>
        </w:rPr>
        <w:fldChar w:fldCharType="separate"/>
      </w:r>
      <w:r w:rsidRPr="00DE76E9">
        <w:rPr>
          <w:rFonts w:ascii="Arial" w:eastAsia="Times New Roman" w:hAnsi="Arial" w:cs="Arial"/>
          <w:noProof/>
          <w:sz w:val="24"/>
          <w:szCs w:val="24"/>
        </w:rPr>
        <w:t>(2017)</w:t>
      </w:r>
      <w:r>
        <w:rPr>
          <w:rFonts w:ascii="Arial" w:eastAsia="Times New Roman" w:hAnsi="Arial" w:cs="Arial"/>
          <w:sz w:val="24"/>
          <w:szCs w:val="24"/>
        </w:rPr>
        <w:fldChar w:fldCharType="end"/>
      </w:r>
      <w:r>
        <w:rPr>
          <w:rFonts w:ascii="Arial" w:eastAsia="Times New Roman" w:hAnsi="Arial" w:cs="Arial"/>
          <w:sz w:val="24"/>
          <w:szCs w:val="24"/>
        </w:rPr>
        <w:t xml:space="preserve"> merely state</w:t>
      </w:r>
      <w:r w:rsidRPr="00297C83">
        <w:rPr>
          <w:rFonts w:ascii="Arial" w:eastAsia="Times New Roman" w:hAnsi="Arial" w:cs="Arial"/>
          <w:sz w:val="24"/>
          <w:szCs w:val="24"/>
        </w:rPr>
        <w:t xml:space="preserve"> “selection and entry criteria must include appropriate academic and professional entry standards” </w:t>
      </w:r>
      <w:r w:rsidRPr="00297C83">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{"citationItems":[{"id":"ITEM-1","itemData":{"author":[{"dropping-particle":"","family":"Health and Care Professions Council (HCPC)","given":"","non-dropping-particle":"","parse-names":false,"suffix":""}],"id":"ITEM-1","issued":{"date-parts":[["2012"]]},"publisher-place":"London","title":"Standards of education and training guidance","type":"report"},"uris":["http://www.mendeley.com/documents/?uuid=957652b9-f685-4d7a-bae8-7f747592af58"]}],"mendeley":{"formattedCitation":"(Health and Care Professions Council (HCPC), 2012)","manualFormatting":"(p. 4)","plainTextFormattedCitation":"(Health and Care Professions Council (HCPC), 2012)","previouslyFormattedCitation":"(Health and Care Professions Council (HCPC), 2012)"},"properties":{"noteIndex":0},"schema":"https://github.com/citation-style-language/schema/raw/master/csl-citation.json"}</w:instrText>
      </w:r>
      <w:r w:rsidRPr="00297C83">
        <w:rPr>
          <w:rFonts w:ascii="Arial" w:eastAsia="Times New Roman" w:hAnsi="Arial" w:cs="Arial"/>
          <w:sz w:val="24"/>
          <w:szCs w:val="24"/>
        </w:rPr>
        <w:fldChar w:fldCharType="separate"/>
      </w:r>
      <w:r w:rsidRPr="00297C83">
        <w:rPr>
          <w:rFonts w:ascii="Arial" w:eastAsia="Times New Roman" w:hAnsi="Arial" w:cs="Arial"/>
          <w:noProof/>
          <w:sz w:val="24"/>
          <w:szCs w:val="24"/>
        </w:rPr>
        <w:t xml:space="preserve">(p. </w:t>
      </w:r>
      <w:r>
        <w:rPr>
          <w:rFonts w:ascii="Arial" w:eastAsia="Times New Roman" w:hAnsi="Arial" w:cs="Arial"/>
          <w:noProof/>
          <w:sz w:val="24"/>
          <w:szCs w:val="24"/>
        </w:rPr>
        <w:t>4</w:t>
      </w:r>
      <w:r w:rsidRPr="00297C83">
        <w:rPr>
          <w:rFonts w:ascii="Arial" w:eastAsia="Times New Roman" w:hAnsi="Arial" w:cs="Arial"/>
          <w:noProof/>
          <w:sz w:val="24"/>
          <w:szCs w:val="24"/>
        </w:rPr>
        <w:t>)</w:t>
      </w:r>
      <w:r w:rsidRPr="00297C83">
        <w:rPr>
          <w:rFonts w:ascii="Arial" w:eastAsia="Times New Roman" w:hAnsi="Arial" w:cs="Arial"/>
          <w:sz w:val="24"/>
          <w:szCs w:val="24"/>
        </w:rPr>
        <w:fldChar w:fldCharType="end"/>
      </w:r>
      <w:r w:rsidRPr="00297C83">
        <w:rPr>
          <w:rFonts w:ascii="Arial" w:eastAsia="Times New Roman" w:hAnsi="Arial" w:cs="Arial"/>
          <w:sz w:val="24"/>
          <w:szCs w:val="24"/>
        </w:rPr>
        <w:t>, offering no guidance on what these are or how they should be assessed</w:t>
      </w:r>
      <w:r>
        <w:rPr>
          <w:rFonts w:ascii="Arial" w:eastAsia="Times New Roman" w:hAnsi="Arial" w:cs="Arial"/>
          <w:sz w:val="24"/>
          <w:szCs w:val="24"/>
        </w:rPr>
        <w:t>, measured</w:t>
      </w:r>
      <w:r w:rsidRPr="00297C83">
        <w:rPr>
          <w:rFonts w:ascii="Arial" w:eastAsia="Times New Roman" w:hAnsi="Arial" w:cs="Arial"/>
          <w:sz w:val="24"/>
          <w:szCs w:val="24"/>
        </w:rPr>
        <w:t xml:space="preserve"> </w:t>
      </w:r>
      <w:r>
        <w:rPr>
          <w:rFonts w:ascii="Arial" w:eastAsia="Times New Roman" w:hAnsi="Arial" w:cs="Arial"/>
          <w:sz w:val="24"/>
          <w:szCs w:val="24"/>
        </w:rPr>
        <w:t>or</w:t>
      </w:r>
      <w:r w:rsidRPr="00297C83">
        <w:rPr>
          <w:rFonts w:ascii="Arial" w:eastAsia="Times New Roman" w:hAnsi="Arial" w:cs="Arial"/>
          <w:sz w:val="24"/>
          <w:szCs w:val="24"/>
        </w:rPr>
        <w:t xml:space="preserve"> recorded</w:t>
      </w:r>
      <w:r>
        <w:rPr>
          <w:rFonts w:ascii="Arial" w:eastAsia="Times New Roman" w:hAnsi="Arial" w:cs="Arial"/>
          <w:sz w:val="24"/>
          <w:szCs w:val="24"/>
        </w:rPr>
        <w:t xml:space="preserve"> at selection</w:t>
      </w:r>
      <w:r w:rsidRPr="00297C83">
        <w:rPr>
          <w:rFonts w:ascii="Arial" w:eastAsia="Times New Roman" w:hAnsi="Arial" w:cs="Arial"/>
          <w:sz w:val="24"/>
          <w:szCs w:val="24"/>
        </w:rPr>
        <w:t>.</w:t>
      </w:r>
      <w:r>
        <w:rPr>
          <w:rFonts w:ascii="Arial" w:eastAsia="Times New Roman" w:hAnsi="Arial" w:cs="Arial"/>
          <w:sz w:val="24"/>
          <w:szCs w:val="24"/>
        </w:rPr>
        <w:t xml:space="preserve"> </w:t>
      </w:r>
      <w:r w:rsidRPr="0031712D">
        <w:rPr>
          <w:rFonts w:ascii="Arial" w:eastAsia="Times New Roman" w:hAnsi="Arial" w:cs="Arial"/>
          <w:sz w:val="24"/>
          <w:szCs w:val="24"/>
        </w:rPr>
        <w:t>A lack of standardised ent</w:t>
      </w:r>
      <w:r w:rsidR="00F87397">
        <w:rPr>
          <w:rFonts w:ascii="Arial" w:eastAsia="Times New Roman" w:hAnsi="Arial" w:cs="Arial"/>
          <w:sz w:val="24"/>
          <w:szCs w:val="24"/>
        </w:rPr>
        <w:t>ry criteria for</w:t>
      </w:r>
      <w:r w:rsidRPr="0031712D">
        <w:rPr>
          <w:rFonts w:ascii="Arial" w:eastAsia="Times New Roman" w:hAnsi="Arial" w:cs="Arial"/>
          <w:sz w:val="24"/>
          <w:szCs w:val="24"/>
        </w:rPr>
        <w:t xml:space="preserve"> </w:t>
      </w:r>
      <w:r>
        <w:rPr>
          <w:rFonts w:ascii="Arial" w:eastAsia="Times New Roman" w:hAnsi="Arial" w:cs="Arial"/>
          <w:sz w:val="24"/>
          <w:szCs w:val="24"/>
        </w:rPr>
        <w:t>OT</w:t>
      </w:r>
      <w:r w:rsidRPr="0031712D">
        <w:rPr>
          <w:rFonts w:ascii="Arial" w:eastAsia="Times New Roman" w:hAnsi="Arial" w:cs="Arial"/>
          <w:sz w:val="24"/>
          <w:szCs w:val="24"/>
        </w:rPr>
        <w:t xml:space="preserve"> </w:t>
      </w:r>
      <w:r>
        <w:rPr>
          <w:rFonts w:ascii="Arial" w:eastAsia="Times New Roman" w:hAnsi="Arial" w:cs="Arial"/>
          <w:sz w:val="24"/>
          <w:szCs w:val="24"/>
        </w:rPr>
        <w:t>program</w:t>
      </w:r>
      <w:r w:rsidRPr="0031712D">
        <w:rPr>
          <w:rFonts w:ascii="Arial" w:eastAsia="Times New Roman" w:hAnsi="Arial" w:cs="Arial"/>
          <w:sz w:val="24"/>
          <w:szCs w:val="24"/>
        </w:rPr>
        <w:t>s results in bespoke but inconsistent selection processes between</w:t>
      </w:r>
      <w:r>
        <w:rPr>
          <w:rFonts w:ascii="Arial" w:eastAsia="Times New Roman" w:hAnsi="Arial" w:cs="Arial"/>
          <w:sz w:val="24"/>
          <w:szCs w:val="24"/>
        </w:rPr>
        <w:t xml:space="preserve"> universities</w:t>
      </w:r>
      <w:r w:rsidRPr="0031712D">
        <w:rPr>
          <w:rFonts w:ascii="Arial" w:eastAsia="Times New Roman" w:hAnsi="Arial" w:cs="Arial"/>
          <w:sz w:val="24"/>
          <w:szCs w:val="24"/>
        </w:rPr>
        <w:t>, making it difficult to ide</w:t>
      </w:r>
      <w:r w:rsidR="00F87397">
        <w:rPr>
          <w:rFonts w:ascii="Arial" w:eastAsia="Times New Roman" w:hAnsi="Arial" w:cs="Arial"/>
          <w:sz w:val="24"/>
          <w:szCs w:val="24"/>
        </w:rPr>
        <w:t>ntify universal</w:t>
      </w:r>
      <w:r w:rsidRPr="0031712D">
        <w:rPr>
          <w:rFonts w:ascii="Arial" w:eastAsia="Times New Roman" w:hAnsi="Arial" w:cs="Arial"/>
          <w:sz w:val="24"/>
          <w:szCs w:val="24"/>
        </w:rPr>
        <w:t xml:space="preserve"> characteristics that may contribute to the success of students across academic and professional contexts.</w:t>
      </w:r>
    </w:p>
    <w:p w14:paraId="042D2D74" w14:textId="77777777" w:rsidR="00D173CF" w:rsidRDefault="00D173CF" w:rsidP="00D173CF">
      <w:pPr>
        <w:spacing w:line="240" w:lineRule="auto"/>
        <w:rPr>
          <w:rFonts w:ascii="Arial" w:eastAsia="Times New Roman" w:hAnsi="Arial" w:cs="Arial"/>
          <w:sz w:val="24"/>
          <w:szCs w:val="24"/>
        </w:rPr>
      </w:pPr>
    </w:p>
    <w:p w14:paraId="54357655" w14:textId="62883F3D" w:rsidR="00D173CF" w:rsidRPr="00716068" w:rsidRDefault="00D173CF" w:rsidP="00D173CF">
      <w:pPr>
        <w:spacing w:line="240" w:lineRule="auto"/>
        <w:rPr>
          <w:rFonts w:ascii="Arial" w:eastAsia="Times New Roman" w:hAnsi="Arial" w:cs="Arial"/>
          <w:sz w:val="24"/>
          <w:szCs w:val="24"/>
        </w:rPr>
      </w:pPr>
      <w:r w:rsidRPr="009269E2">
        <w:rPr>
          <w:rFonts w:ascii="Arial" w:eastAsia="Times New Roman" w:hAnsi="Arial" w:cs="Arial"/>
          <w:sz w:val="24"/>
          <w:szCs w:val="24"/>
        </w:rPr>
        <w:t xml:space="preserve">Health care professions literature accepts </w:t>
      </w:r>
      <w:r w:rsidR="00F87397">
        <w:rPr>
          <w:rFonts w:ascii="Arial" w:eastAsia="Times New Roman" w:hAnsi="Arial" w:cs="Arial"/>
          <w:sz w:val="24"/>
          <w:szCs w:val="24"/>
        </w:rPr>
        <w:t>that in order for</w:t>
      </w:r>
      <w:r w:rsidRPr="009269E2">
        <w:rPr>
          <w:rFonts w:ascii="Arial" w:eastAsia="Times New Roman" w:hAnsi="Arial" w:cs="Arial"/>
          <w:sz w:val="24"/>
          <w:szCs w:val="24"/>
        </w:rPr>
        <w:t xml:space="preserve"> candidates to succeed academically and professionally, cognitive</w:t>
      </w:r>
      <w:r>
        <w:rPr>
          <w:rFonts w:ascii="Arial" w:eastAsia="Times New Roman" w:hAnsi="Arial" w:cs="Arial"/>
          <w:sz w:val="24"/>
          <w:szCs w:val="24"/>
        </w:rPr>
        <w:t xml:space="preserve"> (academic)</w:t>
      </w:r>
      <w:r w:rsidRPr="009269E2">
        <w:rPr>
          <w:rFonts w:ascii="Arial" w:eastAsia="Times New Roman" w:hAnsi="Arial" w:cs="Arial"/>
          <w:sz w:val="24"/>
          <w:szCs w:val="24"/>
        </w:rPr>
        <w:t xml:space="preserve"> and non-cognitive </w:t>
      </w:r>
      <w:r>
        <w:rPr>
          <w:rFonts w:ascii="Arial" w:eastAsia="Times New Roman" w:hAnsi="Arial" w:cs="Arial"/>
          <w:sz w:val="24"/>
          <w:szCs w:val="24"/>
        </w:rPr>
        <w:t xml:space="preserve">(professional) </w:t>
      </w:r>
      <w:r w:rsidRPr="009269E2">
        <w:rPr>
          <w:rFonts w:ascii="Arial" w:eastAsia="Times New Roman" w:hAnsi="Arial" w:cs="Arial"/>
          <w:sz w:val="24"/>
          <w:szCs w:val="24"/>
        </w:rPr>
        <w:t xml:space="preserve">characteristics should be assessed </w:t>
      </w:r>
      <w:r w:rsidRPr="009269E2">
        <w:rPr>
          <w:rFonts w:ascii="Arial" w:eastAsia="Times New Roman" w:hAnsi="Arial" w:cs="Arial"/>
          <w:sz w:val="24"/>
          <w:szCs w:val="24"/>
        </w:rPr>
        <w:fldChar w:fldCharType="begin" w:fldLock="1"/>
      </w:r>
      <w:r w:rsidRPr="009269E2">
        <w:rPr>
          <w:rFonts w:ascii="Arial" w:eastAsia="Times New Roman" w:hAnsi="Arial" w:cs="Arial"/>
          <w:sz w:val="24"/>
          <w:szCs w:val="24"/>
        </w:rPr>
        <w:instrText>ADDIN CSL_CITATION {"citationItems":[{"id":"ITEM-1","itemData":{"DOI":"10.1023/A:1011489618208","ISBN":"1382-4996","ISSN":"13824996","PMID":"11435766","abstract":"160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Education","id":"ITEM-1","issued":{"date-parts":[["2001"]]},"page":"159–175","title":"Pre-admission academic grades","type":"article-journal","volume":"6"},"uris":["http://www.mendeley.com/documents/?uuid=d9db22ae-6f60-4204-9833-acc40b090bd6"]}],"mendeley":{"formattedCitation":"(Salvatori, 2001)","plainTextFormattedCitation":"(Salvatori, 2001)","previouslyFormattedCitation":"(Salvatori, 2001)"},"properties":{"noteIndex":0},"schema":"https://github.com/citation-style-language/schema/raw/master/csl-citation.json"}</w:instrText>
      </w:r>
      <w:r w:rsidRPr="009269E2">
        <w:rPr>
          <w:rFonts w:ascii="Arial" w:eastAsia="Times New Roman" w:hAnsi="Arial" w:cs="Arial"/>
          <w:sz w:val="24"/>
          <w:szCs w:val="24"/>
        </w:rPr>
        <w:fldChar w:fldCharType="separate"/>
      </w:r>
      <w:r w:rsidRPr="009269E2">
        <w:rPr>
          <w:rFonts w:ascii="Arial" w:eastAsia="Times New Roman" w:hAnsi="Arial" w:cs="Arial"/>
          <w:noProof/>
          <w:sz w:val="24"/>
          <w:szCs w:val="24"/>
        </w:rPr>
        <w:t>(Salvatori, 2001)</w:t>
      </w:r>
      <w:r w:rsidRPr="009269E2">
        <w:rPr>
          <w:rFonts w:ascii="Arial" w:eastAsia="Times New Roman" w:hAnsi="Arial" w:cs="Arial"/>
          <w:sz w:val="24"/>
          <w:szCs w:val="24"/>
        </w:rPr>
        <w:fldChar w:fldCharType="end"/>
      </w:r>
      <w:r w:rsidRPr="009269E2">
        <w:rPr>
          <w:rFonts w:ascii="Arial" w:eastAsia="Times New Roman" w:hAnsi="Arial" w:cs="Arial"/>
          <w:sz w:val="24"/>
          <w:szCs w:val="24"/>
        </w:rPr>
        <w:t xml:space="preserve">. Cognitive assessment is dominated by entry-level academic qualifications </w:t>
      </w:r>
      <w:r w:rsidRPr="009269E2">
        <w:rPr>
          <w:rFonts w:ascii="Arial" w:eastAsia="Times New Roman" w:hAnsi="Arial" w:cs="Arial"/>
          <w:sz w:val="24"/>
          <w:szCs w:val="24"/>
        </w:rPr>
        <w:fldChar w:fldCharType="begin" w:fldLock="1"/>
      </w:r>
      <w:r w:rsidRPr="009269E2">
        <w:rPr>
          <w:rFonts w:ascii="Arial" w:eastAsia="Times New Roman" w:hAnsi="Arial" w:cs="Arial"/>
          <w:sz w:val="24"/>
          <w:szCs w:val="24"/>
        </w:rPr>
        <w:instrText>ADDIN CSL_CITATION {"citationItems":[{"id":"ITEM-1","itemData":{"DOI":"10.2304/plat.2005.5.2.133","ISSN":"1475-7257","abstract":"The relationship between previous academic achievement and subsequent success at university was explored in a retrospective study of 56 UK psychology students. It was found that the subjects studied at A-level, and the grades obtained, did not predict performance at university. In contrast, GCSE grades, in particular those achieved in Science and English, were significant predictors of final year marks. Once at university, first and second year results had an incremental ability to predict final year performance, with an additional effect of undertaking a work placement. The implications of the results are discussed within the context of recent literature relating to cognitive and non-cognitive predictors of academic performance. (PsycINFO Database Record (c) 2012 APA, all rights reserved) (journal abstract)","author":[{"dropping-particle":"","family":"Huws","given":"Nia","non-dropping-particle":"","parse-names":false,"suffix":""},{"dropping-particle":"","family":"Reddy","given":"Peter","non-dropping-particle":"","parse-names":false,"suffix":""},{"dropping-particle":"","family":"Talcott","given":"Joel","non-dropping-particle":"","parse-names":false,"suffix":""}],"container-title":"Psychology Learning &amp; Teaching","id":"ITEM-1","issue":"2","issued":{"date-parts":[["2010"]]},"page":"133-140","title":"Predicting University Success in Psychology: Are Subject-Specific Skills Important?","type":"article-journal","volume":"5"},"uris":["http://www.mendeley.com/documents/?uuid=081a6aa3-f5c7-4c0f-a602-1b5511a7c8c8"]},{"id":"ITEM-2","itemData":{"DOI":"10.1016/j.nedt.2010.10.015","ISSN":"02606917","abstract":"The judicious selection of nursing school applicants is important, and universities are increasingly incorporating non-academic criteria into their admission processes. We undertook a retrospective, correlational study of the predictive utility of an admissions process for nursing students' \"in-program\" success. The sample consisted of all 249 students admitted to a Canadian accelerated baccalaureate nursing program over a four-year study period. The students' arithmetic mean grade for six nursing courses (both theoretical and clinical) and their final grade point average (GPA) at graduation were the outcome measures of student success. The predictor variables included the applicants' demographic characteristics (e.g., age, gender, ethnic minority status, and previous educational attainment), their supplemental application materials and interview scores (assessing non-academic criteria), and their admission GPA. Linear regression was conducted on the outcome measures to determine whether the selection tools added information over that obtained through the use of admission GPA in predicting success. Although their admission GPAs were consistently predictive of the students' success, neither the supplemental application nor the interview scores had predictive utility. The variables consistently predictive of student success were age, ethnic minority status, and admission GPA, accounting for 26% of the variance in the selected nursing grades and 36% of the variance in GPA at graduation. The results provided little evidence to justify using the selective admissions tools. © 2010 Elsevier Ltd.","author":[{"dropping-particle":"","family":"Timer","given":"Jennifer E.","non-dropping-particle":"","parse-names":false,"suffix":""},{"dropping-particle":"","family":"Clauson","given":"Marion I.","non-dropping-particle":"","parse-names":false,"suffix":""}],"container-title":"Nurse Education Today","id":"ITEM-2","issue":"6","issued":{"date-parts":[["2011"]]},"page":"601-606","publisher":"Elsevier Ltd","title":"The use of selective admissions tools to predict students' success in an advanced standing baccalaureate nursing program","type":"article-journal","volume":"31"},"uris":["http://www.mendeley.com/documents/?uuid=1a663238-fe37-4cdc-9450-8d87cb7b9151"]}],"mendeley":{"formattedCitation":"(Huws, Reddy, &amp; Talcott, 2010; Timer &amp; Clauson, 2011)","plainTextFormattedCitation":"(Huws, Reddy, &amp; Talcott, 2010; Timer &amp; Clauson, 2011)","previouslyFormattedCitation":"(Huws, Reddy, &amp; Talcott, 2010; Timer &amp; Clauson, 2011)"},"properties":{"noteIndex":0},"schema":"https://github.com/citation-style-language/schema/raw/master/csl-citation.json"}</w:instrText>
      </w:r>
      <w:r w:rsidRPr="009269E2">
        <w:rPr>
          <w:rFonts w:ascii="Arial" w:eastAsia="Times New Roman" w:hAnsi="Arial" w:cs="Arial"/>
          <w:sz w:val="24"/>
          <w:szCs w:val="24"/>
        </w:rPr>
        <w:fldChar w:fldCharType="separate"/>
      </w:r>
      <w:r w:rsidRPr="009269E2">
        <w:rPr>
          <w:rFonts w:ascii="Arial" w:eastAsia="Times New Roman" w:hAnsi="Arial" w:cs="Arial"/>
          <w:noProof/>
          <w:sz w:val="24"/>
          <w:szCs w:val="24"/>
        </w:rPr>
        <w:t>(Huws, Reddy, &amp; Talcott, 2010; Timer &amp; Clauson, 2011)</w:t>
      </w:r>
      <w:r w:rsidRPr="009269E2">
        <w:rPr>
          <w:rFonts w:ascii="Arial" w:eastAsia="Times New Roman" w:hAnsi="Arial" w:cs="Arial"/>
          <w:sz w:val="24"/>
          <w:szCs w:val="24"/>
        </w:rPr>
        <w:fldChar w:fldCharType="end"/>
      </w:r>
      <w:r w:rsidRPr="009269E2">
        <w:rPr>
          <w:rFonts w:ascii="Arial" w:eastAsia="Times New Roman" w:hAnsi="Arial" w:cs="Arial"/>
          <w:sz w:val="24"/>
          <w:szCs w:val="24"/>
        </w:rPr>
        <w:t xml:space="preserve">, with evidence supporting positive, albeit variable, correlations between pre-admission qualifications and final degree classifications </w:t>
      </w:r>
      <w:r w:rsidRPr="009269E2">
        <w:rPr>
          <w:rFonts w:ascii="Arial" w:eastAsia="Times New Roman" w:hAnsi="Arial" w:cs="Arial"/>
          <w:sz w:val="24"/>
          <w:szCs w:val="24"/>
        </w:rPr>
        <w:fldChar w:fldCharType="begin" w:fldLock="1"/>
      </w:r>
      <w:r w:rsidRPr="009269E2">
        <w:rPr>
          <w:rFonts w:ascii="Arial" w:eastAsia="Times New Roman" w:hAnsi="Arial" w:cs="Arial"/>
          <w:sz w:val="24"/>
          <w:szCs w:val="24"/>
        </w:rPr>
        <w:instrText>ADDIN CSL_CITATION {"citationItems":[{"id":"ITEM-1","itemData":{"DOI":"10.1023/A:1011489618208","ISBN":"1382-4996","ISSN":"13824996","PMID":"11435766","abstract":"160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Education","id":"ITEM-1","issued":{"date-parts":[["2001"]]},"page":"159–175","title":"Pre-admission academic grades","type":"article-journal","volume":"6"},"uris":["http://www.mendeley.com/documents/?uuid=d9db22ae-6f60-4204-9833-acc40b090bd6"]},{"id":"ITEM-2","itemData":{"DOI":"10.1016/j.nedt.2010.10.015","ISSN":"02606917","abstract":"The judicious selection of nursing school applicants is important, and universities are increasingly incorporating non-academic criteria into their admission processes. We undertook a retrospective, correlational study of the predictive utility of an admissions process for nursing students' \"in-program\" success. The sample consisted of all 249 students admitted to a Canadian accelerated baccalaureate nursing program over a four-year study period. The students' arithmetic mean grade for six nursing courses (both theoretical and clinical) and their final grade point average (GPA) at graduation were the outcome measures of student success. The predictor variables included the applicants' demographic characteristics (e.g., age, gender, ethnic minority status, and previous educational attainment), their supplemental application materials and interview scores (assessing non-academic criteria), and their admission GPA. Linear regression was conducted on the outcome measures to determine whether the selection tools added information over that obtained through the use of admission GPA in predicting success. Although their admission GPAs were consistently predictive of the students' success, neither the supplemental application nor the interview scores had predictive utility. The variables consistently predictive of student success were age, ethnic minority status, and admission GPA, accounting for 26% of the variance in the selected nursing grades and 36% of the variance in GPA at graduation. The results provided little evidence to justify using the selective admissions tools. © 2010 Elsevier Ltd.","author":[{"dropping-particle":"","family":"Timer","given":"Jennifer E.","non-dropping-particle":"","parse-names":false,"suffix":""},{"dropping-particle":"","family":"Clauson","given":"Marion I.","non-dropping-particle":"","parse-names":false,"suffix":""}],"container-title":"Nurse Education Today","id":"ITEM-2","issue":"6","issued":{"date-parts":[["2011"]]},"page":"601-606","publisher":"Elsevier Ltd","title":"The use of selective admissions tools to predict students' success in an advanced standing baccalaureate nursing program","type":"article-journal","volume":"31"},"uris":["http://www.mendeley.com/documents/?uuid=1a663238-fe37-4cdc-9450-8d87cb7b9151"]},{"id":"ITEM-3","itemData":{"author":[{"dropping-particle":"","family":"Chapman","given":"Keith","non-dropping-particle":"","parse-names":false,"suffix":""}],"container-title":"Oxford Review of Education","id":"ITEM-3","issue":"3","issued":{"date-parts":[["1996"]]},"page":"251-264","title":"Entry qualifications, degree results and value-added in UK universities.","type":"article-journal","volume":"22"},"uris":["http://www.mendeley.com/documents/?uuid=4bdecb34-5533-4bf3-856f-1afcbf76b03b"]},{"id":"ITEM-4","itemData":{"DOI":"10.11120/beej.2012.19000002","ISSN":"14797860","abstract":"Following the publication of the higher education white paper increasing entry tariff and widening participation have become even more important issues for universities. This report examines the relationship between entry tariff and undergraduate achievement in Biosciences at the University of Exeter. We show that, whilst there is a significant correlation between A-level tariff and both level 1 and final degree marks, the magnitude of the correlation decreases with increasing A-level tariff. It was also found that, contrary to anecdotal evidence, there is no link between A-level maths or chemistry and degree success in biosciences. However gender was found to have a marked effect on degree success independent of A-level tariff. Female students consistently obtained marks more than one third of a degree classification higher than male students with equivalent entry qualifications. These results are compared to investigations in other disciplines, notably medicine, and in the context of the drive to increase entry tariff to allow unrestricted recruitment of the top students. (Contains 2 figures, 1 footnote, and 6 tables.)","author":[{"dropping-particle":"","family":"King","given":"Nicola C.","non-dropping-particle":"","parse-names":false,"suffix":""},{"dropping-particle":"","family":"Aves","given":"Stephen J.","non-dropping-particle":"","parse-names":false,"suffix":""}],"container-title":"Bioscience Education","id":"ITEM-4","issued":{"date-parts":[["2012"]]},"title":"Effect of A-level subject choice and entry tariff on final degree and level 1 performance in biosciences","type":"article-journal","volume":"19"},"uris":["http://www.mendeley.com/documents/?uuid=875ef32e-d96a-4966-a48d-49d982937d4d"]}],"mendeley":{"formattedCitation":"(Chapman, 1996; King &amp; Aves, 2012; Salvatori, 2001; Timer &amp; Clauson, 2011)","manualFormatting":"(Chapman, 1996; King &amp; Aves, 2012; Salvatori, 2001)","plainTextFormattedCitation":"(Chapman, 1996; King &amp; Aves, 2012; Salvatori, 2001; Timer &amp; Clauson, 2011)","previouslyFormattedCitation":"(Chapman, 1996; King &amp; Aves, 2012; Salvatori, 2001; Timer &amp; Clauson, 2011)"},"properties":{"noteIndex":0},"schema":"https://github.com/citation-style-language/schema/raw/master/csl-citation.json"}</w:instrText>
      </w:r>
      <w:r w:rsidRPr="009269E2">
        <w:rPr>
          <w:rFonts w:ascii="Arial" w:eastAsia="Times New Roman" w:hAnsi="Arial" w:cs="Arial"/>
          <w:sz w:val="24"/>
          <w:szCs w:val="24"/>
        </w:rPr>
        <w:fldChar w:fldCharType="separate"/>
      </w:r>
      <w:r w:rsidRPr="009269E2">
        <w:rPr>
          <w:rFonts w:ascii="Arial" w:eastAsia="Times New Roman" w:hAnsi="Arial" w:cs="Arial"/>
          <w:noProof/>
          <w:sz w:val="24"/>
          <w:szCs w:val="24"/>
        </w:rPr>
        <w:t>(Chapman, 1996; King &amp; Aves, 2012; Salvatori, 2001)</w:t>
      </w:r>
      <w:r w:rsidRPr="009269E2">
        <w:rPr>
          <w:rFonts w:ascii="Arial" w:eastAsia="Times New Roman" w:hAnsi="Arial" w:cs="Arial"/>
          <w:sz w:val="24"/>
          <w:szCs w:val="24"/>
        </w:rPr>
        <w:fldChar w:fldCharType="end"/>
      </w:r>
      <w:r w:rsidRPr="009269E2">
        <w:rPr>
          <w:rFonts w:ascii="Arial" w:eastAsia="Times New Roman" w:hAnsi="Arial" w:cs="Arial"/>
          <w:sz w:val="24"/>
          <w:szCs w:val="24"/>
        </w:rPr>
        <w:t xml:space="preserve">. Assessment of non-cognitive attributes and how they relate to academic and professional performance, remains contested with a lack of accepted, valid and reliable selection tools to identify qualities such as work experience, communication skills, emotional intelligence, motivation, empathy and ethical awareness </w:t>
      </w:r>
      <w:r w:rsidRPr="009269E2">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Education","id":"ITEM-1","issued":{"date-parts":[["2001"]]},"page":"159–175","title":"Pre-admission academic grades","type":"article-journal","volume":"6"},"uris":["http://www.mendeley.com/documents/?uuid=d9db22ae-6f60-4204-9833-acc40b090bd6"]},{"id":"ITEM-2","itemData":{"DOI":"10.1016/j.nedt.2010.10.015","ISSN":"02606917","abstract":"The judicious selection of nursing school applicants is important, and universities are increasingly incorporating non-academic criteria into their admission processes. We undertook a retrospective, correlational study of the predictive utility of an admissions process for nursing students' \"in-program\" success. The sample consisted of all 249 students admitted to a Canadian accelerated baccalaureate nursing program over a four-year study period. The students' arithmetic mean grade for six nursing courses (both theoretical and clinical) and their final grade point average (GPA) at graduation were the outcome measures of student success. The predictor variables included the applicants' demographic characteristics (e.g., age, gender, ethnic minority status, and previous educational attainment), their supplemental application materials and interview scores (assessing non-academic criteria), and their admission GPA. Linear regression was conducted on the outcome measures to determine whether the selection tools added information over that obtained through the use of admission GPA in predicting success. Although their admission GPAs were consistently predictive of the students' success, neither the supplemental application nor the interview scores had predictive utility. The variables consistently predictive of student success were age, ethnic minority status, and admission GPA, accounting for 26% of the variance in the selected nursing grades and 36% of the variance in GPA at graduation. The results provided little evidence to justify using the selective admissions tools. © 2010 Elsevier Ltd.","author":[{"dropping-particle":"","family":"Timer","given":"Jennifer E.","non-dropping-particle":"","parse-names":false,"suffix":""},{"dropping-particle":"","family":"Clauson","given":"Marion I.","non-dropping-particle":"","parse-names":false,"suffix":""}],"container-title":"Nurse Education Today","id":"ITEM-2","issue":"6","issued":{"date-parts":[["2011"]]},"page":"601-606","publisher":"Elsevier Ltd","title":"The use of selective admissions tools to predict students' success in an advanced standing baccalaureate nursing program","type":"article-journal","volume":"31"},"uris":["http://www.mendeley.com/documents/?uuid=1a663238-fe37-4cdc-9450-8d87cb7b9151"]},{"id":"ITEM-3","itemData":{"author":[{"dropping-particle":"","family":"Posthuma","given":"Barbara W","non-dropping-particle":"","parse-names":false,"suffix":""},{"dropping-particle":"","family":"Sommerfreund","given":"Joy","non-dropping-particle":"","parse-names":false,"suffix":""}],"container-title":"The American Journal of Occupational Therapy","id":"ITEM-3","issue":"7","issued":{"date-parts":[["1985"]]},"page":"441-445","title":"Examination of selection criteria for a program in occupational therapy","type":"article-journal","volume":"39"},"uris":["http://www.mendeley.com/documents/?uuid=796f45b8-896c-4a5c-8f95-2c927f08e047"]}],"mendeley":{"formattedCitation":"(B. W. Posthuma &amp; Sommerfreund, 1985; Salvatori, 2001; Timer &amp; Clauson, 2011)","manualFormatting":"(Posthuma &amp; Sommerfreund, 1985; Salvatori, 2001; Timer &amp; Clauson, 2011)","plainTextFormattedCitation":"(B. W. Posthuma &amp; Sommerfreund, 1985; Salvatori, 2001; Timer &amp; Clauson, 2011)","previouslyFormattedCitation":"(B. W. Posthuma &amp; Sommerfreund, 1985; Salvatori, 2001; Timer &amp; Clauson, 2011)"},"properties":{"noteIndex":0},"schema":"https://github.com/citation-style-language/schema/raw/master/csl-citation.json"}</w:instrText>
      </w:r>
      <w:r w:rsidRPr="009269E2">
        <w:rPr>
          <w:rFonts w:ascii="Arial" w:eastAsia="Times New Roman" w:hAnsi="Arial" w:cs="Arial"/>
          <w:sz w:val="24"/>
          <w:szCs w:val="24"/>
        </w:rPr>
        <w:fldChar w:fldCharType="separate"/>
      </w:r>
      <w:r>
        <w:rPr>
          <w:rFonts w:ascii="Arial" w:eastAsia="Times New Roman" w:hAnsi="Arial" w:cs="Arial"/>
          <w:noProof/>
          <w:sz w:val="24"/>
          <w:szCs w:val="24"/>
        </w:rPr>
        <w:t>(</w:t>
      </w:r>
      <w:r w:rsidRPr="00E81520">
        <w:rPr>
          <w:rFonts w:ascii="Arial" w:eastAsia="Times New Roman" w:hAnsi="Arial" w:cs="Arial"/>
          <w:noProof/>
          <w:sz w:val="24"/>
          <w:szCs w:val="24"/>
        </w:rPr>
        <w:t>Posthuma &amp; Sommerfreund, 1985; Salvatori, 2001; Timer &amp; Clauson, 2011)</w:t>
      </w:r>
      <w:r w:rsidRPr="009269E2">
        <w:rPr>
          <w:rFonts w:ascii="Arial" w:eastAsia="Times New Roman" w:hAnsi="Arial" w:cs="Arial"/>
          <w:sz w:val="24"/>
          <w:szCs w:val="24"/>
        </w:rPr>
        <w:fldChar w:fldCharType="end"/>
      </w:r>
      <w:r>
        <w:rPr>
          <w:rFonts w:ascii="Arial" w:eastAsia="Times New Roman" w:hAnsi="Arial" w:cs="Arial"/>
          <w:sz w:val="24"/>
          <w:szCs w:val="24"/>
        </w:rPr>
        <w:t xml:space="preserve">. </w:t>
      </w:r>
    </w:p>
    <w:p w14:paraId="220987C0" w14:textId="77777777" w:rsidR="00D173CF" w:rsidRDefault="00D173CF" w:rsidP="00D173CF">
      <w:pPr>
        <w:spacing w:line="240" w:lineRule="auto"/>
        <w:rPr>
          <w:rFonts w:ascii="Arial" w:eastAsia="Times New Roman" w:hAnsi="Arial" w:cs="Arial"/>
          <w:sz w:val="24"/>
          <w:szCs w:val="24"/>
        </w:rPr>
      </w:pPr>
    </w:p>
    <w:p w14:paraId="62A9A7AA" w14:textId="6B8D711C" w:rsidR="00D173CF" w:rsidRDefault="00D320DD" w:rsidP="00D320DD">
      <w:pPr>
        <w:spacing w:line="240" w:lineRule="auto"/>
        <w:rPr>
          <w:rFonts w:ascii="Arial" w:eastAsia="Times New Roman" w:hAnsi="Arial" w:cs="Arial"/>
          <w:sz w:val="24"/>
          <w:szCs w:val="24"/>
        </w:rPr>
      </w:pPr>
      <w:r>
        <w:rPr>
          <w:rFonts w:ascii="Arial" w:eastAsia="Times New Roman" w:hAnsi="Arial" w:cs="Arial"/>
          <w:sz w:val="24"/>
          <w:szCs w:val="24"/>
        </w:rPr>
        <w:t xml:space="preserve">OT admissions tutors are tasked with screening and selecting </w:t>
      </w:r>
      <w:r w:rsidR="00D173CF">
        <w:rPr>
          <w:rFonts w:ascii="Arial" w:eastAsia="Times New Roman" w:hAnsi="Arial" w:cs="Arial"/>
          <w:sz w:val="24"/>
          <w:szCs w:val="24"/>
        </w:rPr>
        <w:t>high-</w:t>
      </w:r>
      <w:r w:rsidR="00D173CF" w:rsidRPr="0031712D">
        <w:rPr>
          <w:rFonts w:ascii="Arial" w:eastAsia="Times New Roman" w:hAnsi="Arial" w:cs="Arial"/>
          <w:sz w:val="24"/>
          <w:szCs w:val="24"/>
        </w:rPr>
        <w:t>quality</w:t>
      </w:r>
      <w:r w:rsidR="00D173CF">
        <w:rPr>
          <w:rFonts w:ascii="Arial" w:eastAsia="Times New Roman" w:hAnsi="Arial" w:cs="Arial"/>
          <w:sz w:val="24"/>
          <w:szCs w:val="24"/>
        </w:rPr>
        <w:t xml:space="preserve"> OT</w:t>
      </w:r>
      <w:r w:rsidR="00D173CF" w:rsidRPr="0031712D">
        <w:rPr>
          <w:rFonts w:ascii="Arial" w:eastAsia="Times New Roman" w:hAnsi="Arial" w:cs="Arial"/>
          <w:sz w:val="24"/>
          <w:szCs w:val="24"/>
        </w:rPr>
        <w:t xml:space="preserve"> students who can perform both academically and professionally</w:t>
      </w:r>
      <w:r>
        <w:rPr>
          <w:rFonts w:ascii="Arial" w:eastAsia="Times New Roman" w:hAnsi="Arial" w:cs="Arial"/>
          <w:sz w:val="24"/>
          <w:szCs w:val="24"/>
        </w:rPr>
        <w:t xml:space="preserve"> throughout their education and into subsequent practice. In pursuit of</w:t>
      </w:r>
      <w:r w:rsidR="00D173CF">
        <w:rPr>
          <w:rFonts w:ascii="Arial" w:eastAsia="Times New Roman" w:hAnsi="Arial" w:cs="Arial"/>
          <w:sz w:val="24"/>
          <w:szCs w:val="24"/>
        </w:rPr>
        <w:t xml:space="preserve"> </w:t>
      </w:r>
      <w:r>
        <w:rPr>
          <w:rFonts w:ascii="Arial" w:eastAsia="Times New Roman" w:hAnsi="Arial" w:cs="Arial"/>
          <w:sz w:val="24"/>
          <w:szCs w:val="24"/>
        </w:rPr>
        <w:t>these candidates, this</w:t>
      </w:r>
      <w:r w:rsidR="00D173CF">
        <w:rPr>
          <w:rFonts w:ascii="Arial" w:eastAsia="Times New Roman" w:hAnsi="Arial" w:cs="Arial"/>
          <w:sz w:val="24"/>
          <w:szCs w:val="24"/>
        </w:rPr>
        <w:t xml:space="preserve"> paper will:</w:t>
      </w:r>
    </w:p>
    <w:p w14:paraId="21921993" w14:textId="27222703" w:rsidR="00D173CF" w:rsidRDefault="000265FA" w:rsidP="00D173CF">
      <w:pPr>
        <w:pStyle w:val="ListParagraph"/>
        <w:numPr>
          <w:ilvl w:val="0"/>
          <w:numId w:val="9"/>
        </w:numPr>
        <w:spacing w:line="240" w:lineRule="auto"/>
        <w:rPr>
          <w:rFonts w:ascii="Arial" w:eastAsia="Times New Roman" w:hAnsi="Arial" w:cs="Arial"/>
          <w:sz w:val="24"/>
          <w:szCs w:val="24"/>
        </w:rPr>
      </w:pPr>
      <w:r>
        <w:rPr>
          <w:rFonts w:ascii="Arial" w:eastAsia="Times New Roman" w:hAnsi="Arial" w:cs="Arial"/>
          <w:sz w:val="24"/>
          <w:szCs w:val="24"/>
        </w:rPr>
        <w:t>Explore t</w:t>
      </w:r>
      <w:r w:rsidR="00D173CF" w:rsidRPr="00FF4C32">
        <w:rPr>
          <w:rFonts w:ascii="Arial" w:eastAsia="Times New Roman" w:hAnsi="Arial" w:cs="Arial"/>
          <w:sz w:val="24"/>
          <w:szCs w:val="24"/>
        </w:rPr>
        <w:t>he literature</w:t>
      </w:r>
      <w:r w:rsidR="00D173CF">
        <w:rPr>
          <w:rFonts w:ascii="Arial" w:eastAsia="Times New Roman" w:hAnsi="Arial" w:cs="Arial"/>
          <w:sz w:val="24"/>
          <w:szCs w:val="24"/>
        </w:rPr>
        <w:t xml:space="preserve"> </w:t>
      </w:r>
      <w:r w:rsidR="00D173CF" w:rsidRPr="00FF4C32">
        <w:rPr>
          <w:rFonts w:ascii="Arial" w:eastAsia="Times New Roman" w:hAnsi="Arial" w:cs="Arial"/>
          <w:sz w:val="24"/>
          <w:szCs w:val="24"/>
        </w:rPr>
        <w:t xml:space="preserve">related to academic (cognitive) and professional (non-cognitive) pre-admission selection procedures to </w:t>
      </w:r>
      <w:r w:rsidR="00D173CF">
        <w:rPr>
          <w:rFonts w:ascii="Arial" w:eastAsia="Times New Roman" w:hAnsi="Arial" w:cs="Arial"/>
          <w:sz w:val="24"/>
          <w:szCs w:val="24"/>
        </w:rPr>
        <w:t>establish</w:t>
      </w:r>
      <w:r w:rsidR="00D173CF" w:rsidRPr="00FF4C32">
        <w:rPr>
          <w:rFonts w:ascii="Arial" w:eastAsia="Times New Roman" w:hAnsi="Arial" w:cs="Arial"/>
          <w:sz w:val="24"/>
          <w:szCs w:val="24"/>
        </w:rPr>
        <w:t xml:space="preserve"> what assessment, measurement and recording tools are considered effective </w:t>
      </w:r>
      <w:r w:rsidR="00D173CF">
        <w:rPr>
          <w:rFonts w:ascii="Arial" w:eastAsia="Times New Roman" w:hAnsi="Arial" w:cs="Arial"/>
          <w:sz w:val="24"/>
          <w:szCs w:val="24"/>
        </w:rPr>
        <w:t xml:space="preserve">predictors of graduation success </w:t>
      </w:r>
      <w:r w:rsidR="00D173CF" w:rsidRPr="00FF4C32">
        <w:rPr>
          <w:rFonts w:ascii="Arial" w:eastAsia="Times New Roman" w:hAnsi="Arial" w:cs="Arial"/>
          <w:sz w:val="24"/>
          <w:szCs w:val="24"/>
        </w:rPr>
        <w:t>in OT</w:t>
      </w:r>
      <w:r w:rsidR="00D173CF">
        <w:rPr>
          <w:rFonts w:ascii="Arial" w:eastAsia="Times New Roman" w:hAnsi="Arial" w:cs="Arial"/>
          <w:sz w:val="24"/>
          <w:szCs w:val="24"/>
        </w:rPr>
        <w:t>.</w:t>
      </w:r>
    </w:p>
    <w:p w14:paraId="7CEBD6B1" w14:textId="40C3CAB0" w:rsidR="00D173CF" w:rsidRDefault="000265FA" w:rsidP="00D173CF">
      <w:pPr>
        <w:pStyle w:val="ListParagraph"/>
        <w:numPr>
          <w:ilvl w:val="0"/>
          <w:numId w:val="9"/>
        </w:numPr>
        <w:spacing w:line="240" w:lineRule="auto"/>
        <w:jc w:val="both"/>
        <w:rPr>
          <w:rFonts w:ascii="Arial" w:eastAsia="Times New Roman" w:hAnsi="Arial" w:cs="Arial"/>
          <w:sz w:val="24"/>
          <w:szCs w:val="24"/>
        </w:rPr>
      </w:pPr>
      <w:r>
        <w:rPr>
          <w:rFonts w:ascii="Arial" w:eastAsia="Times New Roman" w:hAnsi="Arial" w:cs="Arial"/>
          <w:sz w:val="24"/>
          <w:szCs w:val="24"/>
        </w:rPr>
        <w:t>Compare c</w:t>
      </w:r>
      <w:r w:rsidR="00D173CF">
        <w:rPr>
          <w:rFonts w:ascii="Arial" w:eastAsia="Times New Roman" w:hAnsi="Arial" w:cs="Arial"/>
          <w:sz w:val="24"/>
          <w:szCs w:val="24"/>
        </w:rPr>
        <w:t>umulative academic and professional selection assessment scores</w:t>
      </w:r>
      <w:r w:rsidR="00F87397">
        <w:rPr>
          <w:rFonts w:ascii="Arial" w:eastAsia="Times New Roman" w:hAnsi="Arial" w:cs="Arial"/>
          <w:sz w:val="24"/>
          <w:szCs w:val="24"/>
        </w:rPr>
        <w:t xml:space="preserve"> for a single cohort of</w:t>
      </w:r>
      <w:r w:rsidR="00D173CF" w:rsidRPr="00B92BA8">
        <w:rPr>
          <w:rFonts w:ascii="Arial" w:eastAsia="Times New Roman" w:hAnsi="Arial" w:cs="Arial"/>
          <w:sz w:val="24"/>
          <w:szCs w:val="24"/>
        </w:rPr>
        <w:t xml:space="preserve"> </w:t>
      </w:r>
      <w:r w:rsidR="00D173CF">
        <w:rPr>
          <w:rFonts w:ascii="Arial" w:eastAsia="Times New Roman" w:hAnsi="Arial" w:cs="Arial"/>
          <w:sz w:val="24"/>
          <w:szCs w:val="24"/>
        </w:rPr>
        <w:t xml:space="preserve">OT </w:t>
      </w:r>
      <w:r w:rsidR="00D173CF" w:rsidRPr="00B92BA8">
        <w:rPr>
          <w:rFonts w:ascii="Arial" w:eastAsia="Times New Roman" w:hAnsi="Arial" w:cs="Arial"/>
          <w:sz w:val="24"/>
          <w:szCs w:val="24"/>
        </w:rPr>
        <w:t xml:space="preserve">students that formed the basis of entry </w:t>
      </w:r>
      <w:r w:rsidR="00D173CF">
        <w:rPr>
          <w:rFonts w:ascii="Arial" w:eastAsia="Times New Roman" w:hAnsi="Arial" w:cs="Arial"/>
          <w:sz w:val="24"/>
          <w:szCs w:val="24"/>
        </w:rPr>
        <w:t>to</w:t>
      </w:r>
      <w:r w:rsidR="00D173CF" w:rsidRPr="00B92BA8">
        <w:rPr>
          <w:rFonts w:ascii="Arial" w:eastAsia="Times New Roman" w:hAnsi="Arial" w:cs="Arial"/>
          <w:sz w:val="24"/>
          <w:szCs w:val="24"/>
        </w:rPr>
        <w:t xml:space="preserve"> one UK University in 2016, with final degree </w:t>
      </w:r>
      <w:r w:rsidR="00D173CF">
        <w:rPr>
          <w:rFonts w:ascii="Arial" w:eastAsia="Times New Roman" w:hAnsi="Arial" w:cs="Arial"/>
          <w:sz w:val="24"/>
          <w:szCs w:val="24"/>
        </w:rPr>
        <w:t xml:space="preserve">percentages and </w:t>
      </w:r>
      <w:r w:rsidR="00D173CF" w:rsidRPr="00B92BA8">
        <w:rPr>
          <w:rFonts w:ascii="Arial" w:eastAsia="Times New Roman" w:hAnsi="Arial" w:cs="Arial"/>
          <w:sz w:val="24"/>
          <w:szCs w:val="24"/>
        </w:rPr>
        <w:t>classifications awarded in 2019.</w:t>
      </w:r>
    </w:p>
    <w:p w14:paraId="5B48C887" w14:textId="304A2D83" w:rsidR="00B303F8" w:rsidRDefault="009F2335" w:rsidP="009F2335">
      <w:pPr>
        <w:pStyle w:val="ListParagraph"/>
        <w:numPr>
          <w:ilvl w:val="0"/>
          <w:numId w:val="9"/>
        </w:numPr>
        <w:spacing w:line="240" w:lineRule="auto"/>
        <w:jc w:val="both"/>
        <w:rPr>
          <w:rFonts w:ascii="Arial" w:eastAsia="Times New Roman" w:hAnsi="Arial" w:cs="Arial"/>
          <w:sz w:val="24"/>
          <w:szCs w:val="24"/>
        </w:rPr>
      </w:pPr>
      <w:r>
        <w:rPr>
          <w:rFonts w:ascii="Arial" w:eastAsia="Times New Roman" w:hAnsi="Arial" w:cs="Arial"/>
          <w:sz w:val="24"/>
          <w:szCs w:val="24"/>
        </w:rPr>
        <w:t>Consider the findings of 1. and 2. and explore</w:t>
      </w:r>
      <w:r w:rsidR="000265FA">
        <w:rPr>
          <w:rFonts w:ascii="Arial" w:eastAsia="Times New Roman" w:hAnsi="Arial" w:cs="Arial"/>
          <w:sz w:val="24"/>
          <w:szCs w:val="24"/>
        </w:rPr>
        <w:t xml:space="preserve"> whether</w:t>
      </w:r>
      <w:r w:rsidR="00D173CF" w:rsidRPr="00B92BA8">
        <w:rPr>
          <w:rFonts w:ascii="Arial" w:eastAsia="Times New Roman" w:hAnsi="Arial" w:cs="Arial"/>
          <w:sz w:val="24"/>
          <w:szCs w:val="24"/>
        </w:rPr>
        <w:t xml:space="preserve"> there </w:t>
      </w:r>
      <w:r w:rsidR="000265FA">
        <w:rPr>
          <w:rFonts w:ascii="Arial" w:eastAsia="Times New Roman" w:hAnsi="Arial" w:cs="Arial"/>
          <w:sz w:val="24"/>
          <w:szCs w:val="24"/>
        </w:rPr>
        <w:t xml:space="preserve">are </w:t>
      </w:r>
      <w:r>
        <w:rPr>
          <w:rFonts w:ascii="Arial" w:eastAsia="Times New Roman" w:hAnsi="Arial" w:cs="Arial"/>
          <w:sz w:val="24"/>
          <w:szCs w:val="24"/>
        </w:rPr>
        <w:t xml:space="preserve">considered </w:t>
      </w:r>
      <w:r w:rsidR="00D173CF" w:rsidRPr="00B92BA8">
        <w:rPr>
          <w:rFonts w:ascii="Arial" w:eastAsia="Times New Roman" w:hAnsi="Arial" w:cs="Arial"/>
          <w:sz w:val="24"/>
          <w:szCs w:val="24"/>
        </w:rPr>
        <w:t xml:space="preserve">relationship(s) between pre-entry selection assessment </w:t>
      </w:r>
      <w:r w:rsidR="00D173CF">
        <w:rPr>
          <w:rFonts w:ascii="Arial" w:eastAsia="Times New Roman" w:hAnsi="Arial" w:cs="Arial"/>
          <w:sz w:val="24"/>
          <w:szCs w:val="24"/>
        </w:rPr>
        <w:t xml:space="preserve">results </w:t>
      </w:r>
      <w:r w:rsidR="00D173CF" w:rsidRPr="00B92BA8">
        <w:rPr>
          <w:rFonts w:ascii="Arial" w:eastAsia="Times New Roman" w:hAnsi="Arial" w:cs="Arial"/>
          <w:sz w:val="24"/>
          <w:szCs w:val="24"/>
        </w:rPr>
        <w:t xml:space="preserve">and final degree </w:t>
      </w:r>
      <w:r w:rsidR="00D173CF">
        <w:rPr>
          <w:rFonts w:ascii="Arial" w:eastAsia="Times New Roman" w:hAnsi="Arial" w:cs="Arial"/>
          <w:sz w:val="24"/>
          <w:szCs w:val="24"/>
        </w:rPr>
        <w:t>outcomes of OT stud</w:t>
      </w:r>
      <w:r>
        <w:rPr>
          <w:rFonts w:ascii="Arial" w:eastAsia="Times New Roman" w:hAnsi="Arial" w:cs="Arial"/>
          <w:sz w:val="24"/>
          <w:szCs w:val="24"/>
        </w:rPr>
        <w:t>ents.</w:t>
      </w:r>
    </w:p>
    <w:p w14:paraId="2A72E9C5" w14:textId="77777777" w:rsidR="00976854" w:rsidRDefault="00976854" w:rsidP="00976854">
      <w:pPr>
        <w:pStyle w:val="ListParagraph"/>
        <w:spacing w:line="240" w:lineRule="auto"/>
        <w:jc w:val="both"/>
        <w:rPr>
          <w:rFonts w:ascii="Arial" w:eastAsia="Times New Roman" w:hAnsi="Arial" w:cs="Arial"/>
          <w:sz w:val="24"/>
          <w:szCs w:val="24"/>
        </w:rPr>
      </w:pPr>
    </w:p>
    <w:p w14:paraId="0DF39AD9" w14:textId="1241CBA5" w:rsidR="00D173CF" w:rsidRPr="00B303F8" w:rsidRDefault="00D173CF" w:rsidP="00B303F8">
      <w:pPr>
        <w:spacing w:line="240" w:lineRule="auto"/>
        <w:jc w:val="both"/>
        <w:rPr>
          <w:rFonts w:ascii="Arial" w:eastAsia="Times New Roman" w:hAnsi="Arial" w:cs="Arial"/>
          <w:sz w:val="24"/>
          <w:szCs w:val="24"/>
        </w:rPr>
      </w:pPr>
      <w:r w:rsidRPr="00B303F8">
        <w:rPr>
          <w:rFonts w:ascii="Arial" w:hAnsi="Arial" w:cs="Arial"/>
          <w:b/>
          <w:bCs/>
          <w:sz w:val="24"/>
          <w:szCs w:val="24"/>
        </w:rPr>
        <w:lastRenderedPageBreak/>
        <w:t>LITERATURE REVIEW</w:t>
      </w:r>
    </w:p>
    <w:p w14:paraId="55883C24" w14:textId="77777777" w:rsidR="00D173CF" w:rsidRPr="00115DDF" w:rsidRDefault="00D173CF" w:rsidP="00D173CF">
      <w:pPr>
        <w:spacing w:line="240" w:lineRule="auto"/>
        <w:rPr>
          <w:rFonts w:ascii="Arial" w:eastAsia="Times New Roman" w:hAnsi="Arial" w:cs="Arial"/>
          <w:b/>
          <w:sz w:val="24"/>
          <w:szCs w:val="24"/>
        </w:rPr>
      </w:pPr>
      <w:r>
        <w:rPr>
          <w:rFonts w:ascii="Arial" w:eastAsia="Times New Roman" w:hAnsi="Arial" w:cs="Arial"/>
          <w:b/>
          <w:sz w:val="24"/>
          <w:szCs w:val="24"/>
        </w:rPr>
        <w:t>Academic (cognitive) entry standards</w:t>
      </w:r>
    </w:p>
    <w:p w14:paraId="66780B97" w14:textId="55FF7122" w:rsidR="00D173CF" w:rsidRDefault="00D173CF" w:rsidP="000265FA">
      <w:pPr>
        <w:spacing w:line="240" w:lineRule="auto"/>
        <w:rPr>
          <w:rFonts w:ascii="Arial" w:eastAsia="Times New Roman" w:hAnsi="Arial" w:cs="Arial"/>
          <w:sz w:val="24"/>
          <w:szCs w:val="24"/>
        </w:rPr>
      </w:pPr>
      <w:r w:rsidRPr="00E21894">
        <w:rPr>
          <w:rFonts w:ascii="Arial" w:eastAsia="Times New Roman" w:hAnsi="Arial" w:cs="Arial"/>
          <w:sz w:val="24"/>
          <w:szCs w:val="24"/>
        </w:rPr>
        <w:t>Many UK universities</w:t>
      </w:r>
      <w:r>
        <w:rPr>
          <w:rFonts w:ascii="Arial" w:eastAsia="Times New Roman" w:hAnsi="Arial" w:cs="Arial"/>
          <w:sz w:val="24"/>
          <w:szCs w:val="24"/>
        </w:rPr>
        <w:t>, including the one used in this study,</w:t>
      </w:r>
      <w:r w:rsidRPr="00E21894">
        <w:rPr>
          <w:rFonts w:ascii="Arial" w:eastAsia="Times New Roman" w:hAnsi="Arial" w:cs="Arial"/>
          <w:sz w:val="24"/>
          <w:szCs w:val="24"/>
        </w:rPr>
        <w:t xml:space="preserve"> base undergraduate degree admissions decisions on pre-entry qualifications such as </w:t>
      </w:r>
      <w:r w:rsidR="000265FA">
        <w:rPr>
          <w:rFonts w:ascii="Arial" w:eastAsia="Times New Roman" w:hAnsi="Arial" w:cs="Arial"/>
          <w:sz w:val="24"/>
          <w:szCs w:val="24"/>
        </w:rPr>
        <w:t xml:space="preserve">the 2 year </w:t>
      </w:r>
      <w:r w:rsidRPr="00E21894">
        <w:rPr>
          <w:rFonts w:ascii="Arial" w:eastAsia="Times New Roman" w:hAnsi="Arial" w:cs="Arial"/>
          <w:sz w:val="24"/>
          <w:szCs w:val="24"/>
        </w:rPr>
        <w:t>advanced-level (A-Level)</w:t>
      </w:r>
      <w:r w:rsidR="000265FA">
        <w:rPr>
          <w:rFonts w:ascii="Arial" w:eastAsia="Times New Roman" w:hAnsi="Arial" w:cs="Arial"/>
          <w:sz w:val="24"/>
          <w:szCs w:val="24"/>
        </w:rPr>
        <w:t>, taken at the age of 18 years</w:t>
      </w:r>
      <w:r w:rsidRPr="00E21894">
        <w:rPr>
          <w:rFonts w:ascii="Arial" w:eastAsia="Times New Roman" w:hAnsi="Arial" w:cs="Arial"/>
          <w:sz w:val="24"/>
          <w:szCs w:val="24"/>
        </w:rPr>
        <w:t xml:space="preserve">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{"citationItems":[{"id":"ITEM-1","itemData":{"DOI":"10.1080/14703297.2013.796722","ISSN":"1470-3297","author":[{"dropping-particle":"","family":"Birch","given":"David M","non-dropping-particle":"","parse-names":false,"suffix":""},{"dropping-particle":"","family":"Rienties","given":"Bart","non-dropping-particle":"","parse-names":false,"suffix":""}],"container-title":"Innovations in Education and Teaching International","id":"ITEM-1","issue":"6","issued":{"date-parts":[["2014"]]},"page":"642-652","publisher":"Routledge","title":"Effectiveness of UK and international A-level assessment in predicting performance in engineering","type":"article-journal","volume":"51"},"uris":["http://www.mendeley.com/documents/?uuid=09b1e16a-73b2-4b5b-b634-46145d92c506"]}],"mendeley":{"formattedCitation":"(Birch &amp; Rienties, 2014)","plainTextFormattedCitation":"(Birch &amp; Rienties, 2014)","previouslyFormattedCitation":"(Birch &amp; Rienties, 2014)"},"properties":{"noteIndex":0},"schema":"https://github.com/citation-style-language/schema/raw/master/csl-citation.json"}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(Birch &amp; Rienties, 2014)</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This seems appropriate when significant (yet variable) positive correlations between pre-entry qualifications and final degree classifications across a broad range of subjects are considered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{"citationItems":[{"id":"ITEM-1","itemData":{"DOI":"10.11120/beej.2012.19000002","ISSN":"14797860","abstract":"Following the publication of the higher education white paper increasing entry tariff and widening participation have become even more important issues for universities. This report examines the relationship between entry tariff and undergraduate achievement in Biosciences at the University of Exeter. We show that, whilst there is a significant correlation between A-level tariff and both level 1 and final degree marks, the magnitude of the correlation decreases with increasing A-level tariff. It was also found that, contrary to anecdotal evidence, there is no link between A-level maths or chemistry and degree success in biosciences. However gender was found to have a marked effect on degree success independent of A-level tariff. Female students consistently obtained marks more than one third of a degree classification higher than male students with equivalent entry qualifications. These results are compared to investigations in other disciplines, notably medicine, and in the context of the drive to increase entry tariff to allow unrestricted recruitment of the top students. (Contains 2 figures, 1 footnote, and 6 tables.)","author":[{"dropping-particle":"","family":"King","given":"Nicola C.","non-dropping-particle":"","parse-names":false,"suffix":""},{"dropping-particle":"","family":"Aves","given":"Stephen J.","non-dropping-particle":"","parse-names":false,"suffix":""}],"container-title":"Bioscience Education","id":"ITEM-1","issued":{"date-parts":[["2012"]]},"title":"Effect of A-level subject choice and entry tariff on final degree and level 1 performance in biosciences","type":"article-journal","volume":"19"},"uris":["http://www.mendeley.com/documents/?uuid=875ef32e-d96a-4966-a48d-49d982937d4d"]},{"id":"ITEM-2","itemData":{"author":[{"dropping-particle":"","family":"Chapman","given":"Keith","non-dropping-particle":"","parse-names":false,"suffix":""}],"container-title":"Oxford Review of Education","id":"ITEM-2","issue":"3","issued":{"date-parts":[["1996"]]},"page":"251-264","title":"Entry qualifications, degree results and value-added in UK universities.","type":"article-journal","volume":"22"},"uris":["http://www.mendeley.com/documents/?uuid=4bdecb34-5533-4bf3-856f-1afcbf76b03b"]}],"mendeley":{"formattedCitation":"(Chapman, 1996; King &amp; Aves, 2012)","plainTextFormattedCitation":"(Chapman, 1996; King &amp; Aves, 2012)","previouslyFormattedCitation":"(Chapman, 1996; King &amp; Aves, 2012)"},"properties":{"noteIndex":0},"schema":"https://github.com/citation-style-language/schema/raw/master/csl-citation.json"}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(Chapman, 1996; King &amp; Aves, 2012)</w:t>
      </w:r>
      <w:r w:rsidRPr="00E21894">
        <w:rPr>
          <w:rFonts w:ascii="Arial" w:eastAsia="Times New Roman" w:hAnsi="Arial" w:cs="Arial"/>
          <w:sz w:val="24"/>
          <w:szCs w:val="24"/>
        </w:rPr>
        <w:fldChar w:fldCharType="end"/>
      </w:r>
      <w:r w:rsidR="00093909">
        <w:rPr>
          <w:rFonts w:ascii="Arial" w:eastAsia="Times New Roman" w:hAnsi="Arial" w:cs="Arial"/>
          <w:sz w:val="24"/>
          <w:szCs w:val="24"/>
        </w:rPr>
        <w:t xml:space="preserve">. </w:t>
      </w:r>
      <w:r w:rsidRPr="00E21894">
        <w:rPr>
          <w:rFonts w:ascii="Arial" w:eastAsia="Times New Roman" w:hAnsi="Arial" w:cs="Arial"/>
          <w:sz w:val="24"/>
          <w:szCs w:val="24"/>
        </w:rPr>
        <w:t>Universities and College Admiss</w:t>
      </w:r>
      <w:r w:rsidR="00093909">
        <w:rPr>
          <w:rFonts w:ascii="Arial" w:eastAsia="Times New Roman" w:hAnsi="Arial" w:cs="Arial"/>
          <w:sz w:val="24"/>
          <w:szCs w:val="24"/>
        </w:rPr>
        <w:t>ions Service (UCAS) tariff points (the translation of qualifications and grades into a numerical value for the purposes of course entry requirements)</w:t>
      </w:r>
      <w:r w:rsidRPr="00E21894">
        <w:rPr>
          <w:rFonts w:ascii="Arial" w:eastAsia="Times New Roman" w:hAnsi="Arial" w:cs="Arial"/>
          <w:sz w:val="24"/>
          <w:szCs w:val="24"/>
        </w:rPr>
        <w:t xml:space="preserve"> </w:t>
      </w:r>
      <w:r>
        <w:rPr>
          <w:rFonts w:ascii="Arial" w:eastAsia="Times New Roman" w:hAnsi="Arial" w:cs="Arial"/>
          <w:sz w:val="24"/>
          <w:szCs w:val="24"/>
        </w:rPr>
        <w:t>continue to be a</w:t>
      </w:r>
      <w:r w:rsidRPr="00E21894">
        <w:rPr>
          <w:rFonts w:ascii="Arial" w:eastAsia="Times New Roman" w:hAnsi="Arial" w:cs="Arial"/>
          <w:sz w:val="24"/>
          <w:szCs w:val="24"/>
        </w:rPr>
        <w:t xml:space="preserve"> significant driver of degree success </w:t>
      </w:r>
      <w:r>
        <w:rPr>
          <w:rFonts w:ascii="Arial" w:eastAsia="Times New Roman" w:hAnsi="Arial" w:cs="Arial"/>
          <w:sz w:val="24"/>
          <w:szCs w:val="24"/>
        </w:rPr>
        <w:t xml:space="preserve">in undergraduate </w:t>
      </w:r>
      <w:r w:rsidR="00093909">
        <w:rPr>
          <w:rFonts w:ascii="Arial" w:eastAsia="Times New Roman" w:hAnsi="Arial" w:cs="Arial"/>
          <w:sz w:val="24"/>
          <w:szCs w:val="24"/>
        </w:rPr>
        <w:t xml:space="preserve">UK </w:t>
      </w:r>
      <w:r>
        <w:rPr>
          <w:rFonts w:ascii="Arial" w:eastAsia="Times New Roman" w:hAnsi="Arial" w:cs="Arial"/>
          <w:sz w:val="24"/>
          <w:szCs w:val="24"/>
        </w:rPr>
        <w:t>students with the caveat that “significance and impact on degree success vary across universities</w:t>
      </w:r>
      <w:r w:rsidR="000265FA">
        <w:rPr>
          <w:rFonts w:ascii="Arial" w:eastAsia="Times New Roman" w:hAnsi="Arial" w:cs="Arial"/>
          <w:sz w:val="24"/>
          <w:szCs w:val="24"/>
        </w:rPr>
        <w:t>”</w:t>
      </w:r>
      <w:r w:rsidRPr="00E21894">
        <w:rPr>
          <w:rFonts w:ascii="Arial" w:eastAsia="Times New Roman" w:hAnsi="Arial" w:cs="Arial"/>
          <w:sz w:val="24"/>
          <w:szCs w:val="24"/>
        </w:rPr>
        <w:t xml:space="preserve"> </w:t>
      </w:r>
      <w:r w:rsidRPr="00E21894">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{"citationItems":[{"id":"ITEM-1","itemData":{"author":[{"dropping-particle":"","family":"UK Standing Committee for Quality Assessment","given":"","non-dropping-particle":"","parse-names":false,"suffix":""}],"id":"ITEM-1","issued":{"date-parts":[["2018"]]},"publisher-place":"Brighton","title":"The drivers of degree classifications","type":"report"},"uris":["http://www.mendeley.com/documents/?uuid=7e83dd6a-66ad-4193-a5a3-c5b6f445475e"]}],"mendeley":{"formattedCitation":"(UK Standing Committee for Quality Assessment, 2018)","manualFormatting":"(UK Standing Committee for Quality Assessment, 2018, p. 33)","plainTextFormattedCitation":"(UK Standing Committee for Quality Assessment, 2018)","previouslyFormattedCitation":"(UK Standing Committee for Quality Assessment, 2018)"},"properties":{"noteIndex":0},"schema":"https://github.com/citation-style-language/schema/raw/master/csl-citation.json"}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(UK Standing Committee for Quality Assessment, 2018</w:t>
      </w:r>
      <w:r>
        <w:rPr>
          <w:rFonts w:ascii="Arial" w:eastAsia="Times New Roman" w:hAnsi="Arial" w:cs="Arial"/>
          <w:noProof/>
          <w:sz w:val="24"/>
          <w:szCs w:val="24"/>
        </w:rPr>
        <w:t>, p. 33</w:t>
      </w:r>
      <w:r w:rsidRPr="00E21894">
        <w:rPr>
          <w:rFonts w:ascii="Arial" w:eastAsia="Times New Roman" w:hAnsi="Arial" w:cs="Arial"/>
          <w:noProof/>
          <w:sz w:val="24"/>
          <w:szCs w:val="24"/>
        </w:rPr>
        <w:t>)</w:t>
      </w:r>
      <w:r w:rsidRPr="00E21894">
        <w:rPr>
          <w:rFonts w:ascii="Arial" w:eastAsia="Times New Roman" w:hAnsi="Arial" w:cs="Arial"/>
          <w:sz w:val="24"/>
          <w:szCs w:val="24"/>
        </w:rPr>
        <w:fldChar w:fldCharType="end"/>
      </w:r>
      <w:r>
        <w:rPr>
          <w:rFonts w:ascii="Arial" w:eastAsia="Times New Roman" w:hAnsi="Arial" w:cs="Arial"/>
          <w:sz w:val="24"/>
          <w:szCs w:val="24"/>
        </w:rPr>
        <w:t>. This variance is further</w:t>
      </w:r>
      <w:r w:rsidRPr="00E21894">
        <w:rPr>
          <w:rFonts w:ascii="Arial" w:eastAsia="Times New Roman" w:hAnsi="Arial" w:cs="Arial"/>
          <w:sz w:val="24"/>
          <w:szCs w:val="24"/>
        </w:rPr>
        <w:t xml:space="preserve"> e</w:t>
      </w:r>
      <w:r>
        <w:rPr>
          <w:rFonts w:ascii="Arial" w:eastAsia="Times New Roman" w:hAnsi="Arial" w:cs="Arial"/>
          <w:sz w:val="24"/>
          <w:szCs w:val="24"/>
        </w:rPr>
        <w:t>videnced by two single-site u</w:t>
      </w:r>
      <w:r w:rsidRPr="00E21894">
        <w:rPr>
          <w:rFonts w:ascii="Arial" w:eastAsia="Times New Roman" w:hAnsi="Arial" w:cs="Arial"/>
          <w:sz w:val="24"/>
          <w:szCs w:val="24"/>
        </w:rPr>
        <w:t>niversities, which id</w:t>
      </w:r>
      <w:r>
        <w:rPr>
          <w:rFonts w:ascii="Arial" w:eastAsia="Times New Roman" w:hAnsi="Arial" w:cs="Arial"/>
          <w:sz w:val="24"/>
          <w:szCs w:val="24"/>
        </w:rPr>
        <w:t>entified no correlation</w:t>
      </w:r>
      <w:r w:rsidRPr="00E21894">
        <w:rPr>
          <w:rFonts w:ascii="Arial" w:eastAsia="Times New Roman" w:hAnsi="Arial" w:cs="Arial"/>
          <w:sz w:val="24"/>
          <w:szCs w:val="24"/>
        </w:rPr>
        <w:t xml:space="preserve"> between academic pre-entry grades </w:t>
      </w:r>
      <w:r>
        <w:rPr>
          <w:rFonts w:ascii="Arial" w:eastAsia="Times New Roman" w:hAnsi="Arial" w:cs="Arial"/>
          <w:sz w:val="24"/>
          <w:szCs w:val="24"/>
        </w:rPr>
        <w:t>and degree classifications for engineering and p</w:t>
      </w:r>
      <w:r w:rsidRPr="00E21894">
        <w:rPr>
          <w:rFonts w:ascii="Arial" w:eastAsia="Times New Roman" w:hAnsi="Arial" w:cs="Arial"/>
          <w:sz w:val="24"/>
          <w:szCs w:val="24"/>
        </w:rPr>
        <w:t xml:space="preserve">sychology students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{"citationItems":[{"id":"ITEM-1","itemData":{"DOI":"10.2304/plat.2005.5.2.133","ISSN":"1475-7257","abstract":"The relationship between previous academic achievement and subsequent success at university was explored in a retrospective study of 56 UK psychology students. It was found that the subjects studied at A-level, and the grades obtained, did not predict performance at university. In contrast, GCSE grades, in particular those achieved in Science and English, were significant predictors of final year marks. Once at university, first and second year results had an incremental ability to predict final year performance, with an additional effect of undertaking a work placement. The implications of the results are discussed within the context of recent literature relating to cognitive and non-cognitive predictors of academic performance. (PsycINFO Database Record (c) 2012 APA, all rights reserved) (journal abstract)","author":[{"dropping-particle":"","family":"Huws","given":"Nia","non-dropping-particle":"","parse-names":false,"suffix":""},{"dropping-particle":"","family":"Reddy","given":"Peter","non-dropping-particle":"","parse-names":false,"suffix":""},{"dropping-particle":"","family":"Talcott","given":"Joel","non-dropping-particle":"","parse-names":false,"suffix":""}],"container-title":"Psychology Learning &amp; Teaching","id":"ITEM-1","issue":"2","issued":{"date-parts":[["2010"]]},"page":"133-140","title":"Predicting University Success in Psychology: Are Subject-Specific Skills Important?","type":"article-journal","volume":"5"},"uris":["http://www.mendeley.com/documents/?uuid=081a6aa3-f5c7-4c0f-a602-1b5511a7c8c8"]},{"id":"ITEM-2","itemData":{"DOI":"10.1080/14703297.2013.796722","ISSN":"1470-3297","author":[{"dropping-particle":"","family":"Birch","given":"David M","non-dropping-particle":"","parse-names":false,"suffix":""},{"dropping-particle":"","family":"Rienties","given":"Bart","non-dropping-particle":"","parse-names":false,"suffix":""}],"container-title":"Innovations in Education and Teaching International","id":"ITEM-2","issue":"6","issued":{"date-parts":[["2014"]]},"page":"642-652","publisher":"Routledge","title":"Effectiveness of UK and international A-level assessment in predicting performance in engineering","type":"article-journal","volume":"51"},"uris":["http://www.mendeley.com/documents/?uuid=09b1e16a-73b2-4b5b-b634-46145d92c506"]}],"mendeley":{"formattedCitation":"(Birch &amp; Rienties, 2014; Huws et al., 2010)","plainTextFormattedCitation":"(Birch &amp; Rienties, 2014; Huws et al., 2010)","previouslyFormattedCitation":"(Birch &amp; Rienties, 2014; Huws et al., 2010)"},"properties":{"noteIndex":0},"schema":"https://github.com/citation-style-language/schema/raw/master/csl-citation.json"}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(Birch &amp; Rienties, 2014; Huws et al., 2010)</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w:t>
      </w:r>
      <w:r>
        <w:rPr>
          <w:rFonts w:ascii="Arial" w:eastAsia="Times New Roman" w:hAnsi="Arial" w:cs="Arial"/>
          <w:sz w:val="24"/>
          <w:szCs w:val="24"/>
        </w:rPr>
        <w:t xml:space="preserve">Outside of the UK, the literature supports previous academic performance (pre-admission Grade Point Average (P-GPA) and Graduate Record Examination (GRE)) as variable predictors of academic success between admission and the point of graduation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{"citationItems":[{"id":"ITEM-1","itemData":{"DOI":"10.1007/s10459-009-9160-8","ISSN":"13824996","abstract":"Admissions committees and researchers around the globe have used diligence and imagination to develop and implement various screening measures with the ultimate goal of predicting future clinical and professional performance. What works for predicting future job performance in the human resources world and in most of the academic world may not, however, work for the highly competitive world of medical school applicants. For the job of differentiating within the highly range-restricted pool of medical school aspirants, only the most reliable assessment tools need apply. The tools that have generally shown predictive validity in future performance include academic scores like grade point average, aptitude tests like the Medical College Admissions Test, and non-cognitive testing like the multiple mini-interview. The list of assessment tools that have not robustly met that mark is longer, including personal interview, personal statement, letters of reference, personality testing, emotional intelligence and (so far) situational judgment tests. When seen purely from the standpoint of predictive validity, the trends over time towards success or failure of these measures provide insight into future tool development. © Springer Science+Business Media B.V. 2009.","author":[{"dropping-particle":"","family":"Siu","given":"Eric","non-dropping-particle":"","parse-names":false,"suffix":""},{"dropping-particle":"","family":"Reiter","given":"Harold I.","non-dropping-particle":"","parse-names":false,"suffix":""}],"container-title":"Advances in Health Sciences Education","id":"ITEM-1","issue":"5","issued":{"date-parts":[["2009"]]},"page":"759-775","title":"Overview: What's worked and what hasn't as a guide towards predictive Admissions tool development","type":"article-journal","volume":"14"},"uris":["http://www.mendeley.com/documents/?uuid=dab9eced-0da7-4e27-9af1-af4023ea72b7"]},{"id":"ITEM-2","itemData":{"DOI":"10.1080/10401330701332094","ISSN":"10401334","abstract":"Background: Research on the validity of using the Medical College Admissions Test (MCAT) and undergraduate grade point average (GPA) for selection to medical school has produced conflicting interpretations. There is debate regarding the degree to which coefficients diminish over the course of educational and professional outcomes and disagreement over whether these two measures can predict clinical performance. Purpose: To summarize and interpret the validity literature using validity generalization techniques that account for measurement error. Methods: Validity generalization techniques were used to summarize MCAT and undergraduate GPA validity research. A meta-analysis was performed to evaluate validity coefficients for two outcome domains across educational and professional attainment levels. Results: The ability to predict academic performance decreases slightly for written tests. For clinical performance assessments, existing research does not allow an assessment of change across training levels. However, relevant studies suggest that MCAT and undergraduate GPA have a positive predictive relationship with clinical skills. Conclusion: A validity generalization perspective of the literature supports the use of MCAT and undergraduate GPA for selection to medical school. Copyright © 2007 by Lawrence Erlbaum Associates, Inc.","author":[{"dropping-particle":"","family":"Kreiter","given":"Clarence D.","non-dropping-particle":"","parse-names":false,"suffix":""},{"dropping-particle":"","family":"Kreiter","given":"Yuka","non-dropping-particle":"","parse-names":false,"suffix":""}],"container-title":"Teaching and Learning in Medicine","id":"ITEM-2","issue":"2","issued":{"date-parts":[["2007"]]},"page":"95-100","title":"A validity generalization perspective on the ability of undergraduate GPA and the medical college admission test to predict important outcomes","type":"article-journal","volume":"19"},"uris":["http://www.mendeley.com/documents/?uuid=2801b3a0-150a-43e4-b68c-50edc22164f1"]},{"id":"ITEM-3","itemData":{"DOI":"10.1023/A:1011489618208","ISBN":"1382-4996","ISSN":"13824996","PMID":"11435766","abstract":"160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Education","id":"ITEM-3","issued":{"date-parts":[["2001"]]},"page":"159–175","title":"Pre-admission academic grades","type":"article-journal","volume":"6"},"uris":["http://www.mendeley.com/documents/?uuid=d9db22ae-6f60-4204-9833-acc40b090bd6"]}],"mendeley":{"formattedCitation":"(Kreiter &amp; Kreiter, 2007; Salvatori, 2001; Siu &amp; Reiter, 2009)","plainTextFormattedCitation":"(Kreiter &amp; Kreiter, 2007; Salvatori, 2001; Siu &amp; Reiter, 2009)","previouslyFormattedCitation":"(Kreiter &amp; Kreiter, 2007; Salvatori, 2001; Siu &amp; Reiter, 2009)"},"properties":{"noteIndex":0},"schema":"https://github.com/citation-style-language/schema/raw/master/csl-citation.json"}</w:instrText>
      </w:r>
      <w:r>
        <w:rPr>
          <w:rFonts w:ascii="Arial" w:eastAsia="Times New Roman" w:hAnsi="Arial" w:cs="Arial"/>
          <w:sz w:val="24"/>
          <w:szCs w:val="24"/>
        </w:rPr>
        <w:fldChar w:fldCharType="separate"/>
      </w:r>
      <w:r w:rsidRPr="00955B34">
        <w:rPr>
          <w:rFonts w:ascii="Arial" w:eastAsia="Times New Roman" w:hAnsi="Arial" w:cs="Arial"/>
          <w:noProof/>
          <w:sz w:val="24"/>
          <w:szCs w:val="24"/>
        </w:rPr>
        <w:t>(Kreiter &amp; Kreiter, 2007; Salvatori, 2001; Siu &amp; Reiter, 2009)</w:t>
      </w:r>
      <w:r>
        <w:rPr>
          <w:rFonts w:ascii="Arial" w:eastAsia="Times New Roman" w:hAnsi="Arial" w:cs="Arial"/>
          <w:sz w:val="24"/>
          <w:szCs w:val="24"/>
        </w:rPr>
        <w:fldChar w:fldCharType="end"/>
      </w:r>
      <w:r>
        <w:rPr>
          <w:rFonts w:ascii="Arial" w:eastAsia="Times New Roman" w:hAnsi="Arial" w:cs="Arial"/>
          <w:sz w:val="24"/>
          <w:szCs w:val="24"/>
        </w:rPr>
        <w:t xml:space="preserve">.  While combined evidence from a range of educational literature supports the use of pre-admission qualifications as a likely predictor of student academic ability, contemporary UK and United States of America (USA) research, specific to the OT process of recruitment and admissions is sparse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Lysaght","given":"Rosemary","non-dropping-particle":"","parse-names":false,"suffix":""},{"dropping-particle":"","family":"Donnelly","given":"Catherine","non-dropping-particle":"","parse-names":false,"suffix":""},{"dropping-particle":"","family":"Villeneuve","given":"Michelle","non-dropping-particle":"","parse-names":false,"suffix":""}],"container-title":"Canadian Journal of Occupational Therapy","id":"ITEM-1","issue":"1","issued":{"date-parts":[["2009"]]},"page":"38-47","title":"Factors predicting appicant outcomes in occupational education","type":"article-journal","volume":"76"},"uris":["http://www.mendeley.com/documents/?uuid=d0691da8-ce4e-4dd2-93ce-3fc0d8de72aa"]},{"id":"ITEM-2","itemData":{"DOI":"10.26681/jote.2017.010107","ISSN":"2573-1378","abstract":"We describe results of an experimental investigation into the orientation state of liquid crystalline solutions of poly(benzy1 glutamate) under shear flow and how the microscopic structure relates to the macroscopic mechanical rheological behavior. The technique of flow birefringence was used to study the degree of molecular orientation. A spectrographic flow birefringence apparatus is described that eliminates ambiguities associated with multiple orders of retardation in birefringence measurements. The birefringence observed in textured solutions under shear flow is always less than that measured in quiescent, defect-free monodomains of the solutions. At low shear rates, the birefringence is roughly constant and in the range of 5343% of that observed in a monodomain; there is no evidence of a low-orientation, \" piled polydomain \" structure. At high shear rates, the birefringence is again roughly constant and around 90% of the monodomain value. The transition between low-and high-orientation states as a function of shear rate is closely correlated with changes in sign of the first normal stress difference of these Solutions, leading us to identify it as a manifestation of a transition between regimes of director tumbling at low shear rates and flow alignment at high shear rates. These observations are compared qualitatively and quantatively with predictions of the nonlinear Doi molecular model for textureleas samples [Laraon, R. G. Macromolecules 1990,23,3983] and the linear Larson and Doi tumbling polydomain model for textured samples [Laraon, R. G.; Doi, M. J. Rheol. 1991,35,539]. An accompanying paper considers transient flow phenomena at low shear rates.","author":[{"dropping-particle":"","family":"Li","given":"Kitsum","non-dropping-particle":"","parse-names":false,"suffix":""},{"dropping-particle":"","family":"Wilbarger","given":"Julia","non-dropping-particle":"","parse-names":false,"suffix":""},{"dropping-particle":"","family":"Louis","given":"Shad","non-dropping-particle":"St.","parse-names":false,"suffix":""}],"container-title":"Journal of Occupational Therapy Education","id":"ITEM-2","issue":"1","issued":{"date-parts":[["2017"]]},"title":"An Innovative Behavioral Interview for Pre-admission Selection of Occupational Therapy Students","type":"article-journal","volume":"1"},"uris":["http://www.mendeley.com/documents/?uuid=5b95c02d-97fc-431e-9eaa-e94063d4eed5"]}],"mendeley":{"formattedCitation":"(Li, Wilbarger, &amp; St. Louis, 2017; Lysaght, Donnelly, &amp; Villeneuve, 2009)","plainTextFormattedCitation":"(Li, Wilbarger, &amp; St. Louis, 2017; Lysaght, Donnelly, &amp; Villeneuve, 2009)","previouslyFormattedCitation":"(Li, Wilbarger, &amp; St. Louis, 2017; Lysaght, Donnelly, &amp; Villeneuve, 2009)"},"properties":{"noteIndex":0},"schema":"https://github.com/citation-style-language/schema/raw/master/csl-citation.json"}</w:instrText>
      </w:r>
      <w:r>
        <w:rPr>
          <w:rFonts w:ascii="Arial" w:eastAsia="Times New Roman" w:hAnsi="Arial" w:cs="Arial"/>
          <w:sz w:val="24"/>
          <w:szCs w:val="24"/>
        </w:rPr>
        <w:fldChar w:fldCharType="separate"/>
      </w:r>
      <w:r w:rsidRPr="00653260">
        <w:rPr>
          <w:rFonts w:ascii="Arial" w:eastAsia="Times New Roman" w:hAnsi="Arial" w:cs="Arial"/>
          <w:noProof/>
          <w:sz w:val="24"/>
          <w:szCs w:val="24"/>
        </w:rPr>
        <w:t>(Li, Wilbarger, &amp; St. Louis, 2017; Lysaght, Donnelly, &amp; Villeneuve, 2009)</w:t>
      </w:r>
      <w:r>
        <w:rPr>
          <w:rFonts w:ascii="Arial" w:eastAsia="Times New Roman" w:hAnsi="Arial" w:cs="Arial"/>
          <w:sz w:val="24"/>
          <w:szCs w:val="24"/>
        </w:rPr>
        <w:fldChar w:fldCharType="end"/>
      </w:r>
      <w:r>
        <w:rPr>
          <w:rFonts w:ascii="Arial" w:eastAsia="Times New Roman" w:hAnsi="Arial" w:cs="Arial"/>
          <w:sz w:val="24"/>
          <w:szCs w:val="24"/>
        </w:rPr>
        <w:t xml:space="preserve">. </w:t>
      </w:r>
    </w:p>
    <w:p w14:paraId="4D476313" w14:textId="77777777" w:rsidR="00A30889" w:rsidRDefault="00A30889" w:rsidP="000265FA">
      <w:pPr>
        <w:spacing w:line="240" w:lineRule="auto"/>
        <w:rPr>
          <w:rFonts w:ascii="Arial" w:eastAsia="Times New Roman" w:hAnsi="Arial" w:cs="Arial"/>
          <w:sz w:val="24"/>
          <w:szCs w:val="24"/>
        </w:rPr>
      </w:pPr>
    </w:p>
    <w:p w14:paraId="033306C7" w14:textId="77777777" w:rsidR="00A30889" w:rsidRPr="005A690C" w:rsidRDefault="00A30889" w:rsidP="00A30889">
      <w:pPr>
        <w:spacing w:line="240" w:lineRule="auto"/>
        <w:rPr>
          <w:rFonts w:ascii="Arial" w:eastAsia="Times New Roman" w:hAnsi="Arial" w:cs="Arial"/>
          <w:b/>
          <w:bCs/>
          <w:sz w:val="24"/>
          <w:szCs w:val="24"/>
        </w:rPr>
      </w:pPr>
      <w:r>
        <w:rPr>
          <w:rFonts w:ascii="Arial" w:eastAsia="Times New Roman" w:hAnsi="Arial" w:cs="Arial"/>
          <w:b/>
          <w:bCs/>
          <w:sz w:val="24"/>
          <w:szCs w:val="24"/>
        </w:rPr>
        <w:t>USA &amp; Canada</w:t>
      </w:r>
    </w:p>
    <w:p w14:paraId="5797A382" w14:textId="77777777" w:rsidR="00A30889" w:rsidRDefault="00A30889" w:rsidP="00A30889">
      <w:pPr>
        <w:spacing w:line="240" w:lineRule="auto"/>
        <w:rPr>
          <w:rFonts w:ascii="Arial" w:eastAsia="Times New Roman" w:hAnsi="Arial" w:cs="Arial"/>
          <w:sz w:val="24"/>
          <w:szCs w:val="24"/>
        </w:rPr>
      </w:pPr>
      <w:r>
        <w:rPr>
          <w:rFonts w:ascii="Arial" w:eastAsia="Times New Roman" w:hAnsi="Arial" w:cs="Arial"/>
          <w:sz w:val="24"/>
          <w:szCs w:val="24"/>
        </w:rPr>
        <w:t>Posthuma &amp; Sommerfreund (1985) compared pre-selection interview scores and academic qualifications for 48 students entering an entry-level OT program from high school against 31 students entering the same program from university. They sought to ascertain if the interview scores and qualifications offered better predictions of academic success as a combination or in isolation. Results indicated that for university students, academic qualifications were the best predictor of academic results, whereas for high school students, a combination of qualifications and interview was recommended. Further to this, Posthuma &amp; Noh (1990) examined academic and fieldwork performance in high school (</w:t>
      </w:r>
      <w:r>
        <w:rPr>
          <w:rFonts w:ascii="Arial" w:eastAsia="Times New Roman" w:hAnsi="Arial" w:cs="Arial"/>
          <w:i/>
          <w:iCs/>
          <w:sz w:val="24"/>
          <w:szCs w:val="24"/>
        </w:rPr>
        <w:t>n=</w:t>
      </w:r>
      <w:r>
        <w:rPr>
          <w:rFonts w:ascii="Arial" w:eastAsia="Times New Roman" w:hAnsi="Arial" w:cs="Arial"/>
          <w:sz w:val="24"/>
          <w:szCs w:val="24"/>
        </w:rPr>
        <w:t>17) and university (</w:t>
      </w:r>
      <w:r>
        <w:rPr>
          <w:rFonts w:ascii="Arial" w:eastAsia="Times New Roman" w:hAnsi="Arial" w:cs="Arial"/>
          <w:i/>
          <w:iCs/>
          <w:sz w:val="24"/>
          <w:szCs w:val="24"/>
        </w:rPr>
        <w:t>n=</w:t>
      </w:r>
      <w:r>
        <w:rPr>
          <w:rFonts w:ascii="Arial" w:eastAsia="Times New Roman" w:hAnsi="Arial" w:cs="Arial"/>
          <w:sz w:val="24"/>
          <w:szCs w:val="24"/>
        </w:rPr>
        <w:t xml:space="preserve">15) students admitted to an entry-level OT program based on either a) highest pre-admission academic grades or b) highest interview scores. No significant differences were found between the two groups final academic grades at the end of the program, with no significant correlations found between high interview scores or high grades at admission and final academic performance. </w:t>
      </w:r>
    </w:p>
    <w:p w14:paraId="6F689A4D" w14:textId="77777777" w:rsidR="00A30889" w:rsidRDefault="00A30889" w:rsidP="00A30889">
      <w:pPr>
        <w:spacing w:line="240" w:lineRule="auto"/>
        <w:rPr>
          <w:rFonts w:ascii="Arial" w:eastAsia="Times New Roman" w:hAnsi="Arial" w:cs="Arial"/>
          <w:sz w:val="24"/>
          <w:szCs w:val="24"/>
        </w:rPr>
      </w:pPr>
    </w:p>
    <w:p w14:paraId="1AF47848" w14:textId="527A61C6" w:rsidR="00A30889" w:rsidRPr="00EA588C" w:rsidRDefault="00A30889" w:rsidP="00976854">
      <w:pPr>
        <w:spacing w:line="240" w:lineRule="auto"/>
        <w:rPr>
          <w:rFonts w:ascii="Arial" w:eastAsia="Times New Roman" w:hAnsi="Arial" w:cs="Arial"/>
          <w:sz w:val="24"/>
          <w:szCs w:val="24"/>
        </w:rPr>
      </w:pPr>
      <w:r>
        <w:rPr>
          <w:rFonts w:ascii="Arial" w:eastAsia="Times New Roman" w:hAnsi="Arial" w:cs="Arial"/>
          <w:sz w:val="24"/>
          <w:szCs w:val="24"/>
        </w:rPr>
        <w:t xml:space="preserve">As OT education in the USA made the transition from baccalaureate to master’s entry-level programs, significant positive correlations between P-GPA and/ or GRE scores and GPA in OT courses (OT-GPA) were found across several sites for cohorts ranging from 45-129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{"citationItems":[{"id":"ITEM-1","itemData":{"DOI":"10.1300/j003v13n01_01","ISSN":"07380577","PMID":"23941119","abstract":"The relationships among clinical outcomes, academic success, and predictors used to screen applicants for entrance into a Master in Occupational Therapy Program (MOT) were examined. The dependent variables were grade point average in occupational therapy courses (OT-GPA), client therapy outcomes at the clinic, and ratings of MOT students by Level II Fieldwork supervisors. Predictor variables included undergraduate GPA, scores on the Graduate Record Examination (GRE), and an essay. Both undergraduate GPA and scores on the GRE were found to predict OT-GPA. The analytical section of the GRE was also positively correlated with fieldworlk supervisors ratings of students.","author":[{"dropping-particle":"","family":"Kirchner","given":"Grace L.","non-dropping-particle":"","parse-names":false,"suffix":""},{"dropping-particle":"","family":"Stone","given":"Ronald G.","non-dropping-particle":"","parse-names":false,"suffix":""},{"dropping-particle":"","family":"Holm","given":"Margo B.","non-dropping-particle":"","parse-names":false,"suffix":""}],"container-title":"Occupational Therapy in Health Care","id":"ITEM-1","issue":"1","issued":{"date-parts":[["2001"]]},"page":"1-10","title":"Use of admission criteria to predict performance of students in an entry-level master's program on fieldwork placements and in academic courses","type":"article-journal","volume":"13"},"uris":["http://www.mendeley.com/documents/?uuid=b9e2ddc7-7a27-496a-9e9d-82e2dce412be"]},{"id":"ITEM-2","itemData":{"author":[{"dropping-particle":"","family":"Kirchner","given":"Grace L","non-dropping-particle":"","parse-names":false,"suffix":""},{"dropping-particle":"","family":"Holm","given":"Margo B","non-dropping-particle":"","parse-names":false,"suffix":""}],"container-title":"American Journal of Occupational Therapy","id":"ITEM-2","issue":"9","issued":{"date-parts":[["1997"]]},"page":"775 - 779","title":"Prediction of academic and clinical performance of occupational therapy students in an entry-level Master's program","type":"article-journal","volume":"51"},"uris":["http://www.mendeley.com/documents/?uuid=9c4ce04e-fef0-4ae7-839b-f86aa9f7af88"]},{"id":"ITEM-3","itemData":{"author":[{"dropping-particle":"","family":"Katz","given":"G","non-dropping-particle":"","parse-names":false,"suffix":""},{"dropping-particle":"","family":"Mosey","given":"A","non-dropping-particle":"","parse-names":false,"suffix":""}],"container-title":"The American Journal of Occupational Therapy","id":"ITEM-3","issue":"12","issued":{"date-parts":[["1980"]]},"page":"794-80</w:instrText>
      </w:r>
      <w:r w:rsidRPr="008D6B71">
        <w:rPr>
          <w:rFonts w:ascii="Arial" w:eastAsia="Times New Roman" w:hAnsi="Arial" w:cs="Arial"/>
          <w:sz w:val="24"/>
          <w:szCs w:val="24"/>
          <w:lang w:val="de-DE"/>
        </w:rPr>
        <w:instrText>0","title":"Fieldwork performance, academic grades, a</w:instrText>
      </w:r>
      <w:r w:rsidRPr="00BC51C9">
        <w:rPr>
          <w:rFonts w:ascii="Arial" w:eastAsia="Times New Roman" w:hAnsi="Arial" w:cs="Arial"/>
          <w:sz w:val="24"/>
          <w:szCs w:val="24"/>
          <w:lang w:val="de-DE"/>
        </w:rPr>
        <w:instrText>nd pre</w:instrText>
      </w:r>
      <w:r w:rsidRPr="00CA6544">
        <w:rPr>
          <w:rFonts w:ascii="Arial" w:eastAsia="Times New Roman" w:hAnsi="Arial" w:cs="Arial"/>
          <w:sz w:val="24"/>
          <w:szCs w:val="24"/>
          <w:lang w:val="de-DE"/>
        </w:rPr>
        <w:instrText>-selection criteria of Occupational Therapy students","type":"article-journal","volume":"34"},"uris":["http://www.mendeley.com/documents/?uuid=a16e704d-636f-4567-8439-51cebe4c6b69"]},{"id":"ITEM-4","itemData":{"author":[{"dropping-particle":"","family":"Lysaght","given":"Rosemary","non-dropping-particle":"","parse-names":false,"suffix":""},{"dropping-particle":"","family":"Donnelly","given":"Catherine","non-dropping-particle":"","parse-names":false,"suffix":""},{"dropping-particle":"","family":"Villeneuve","given":"Michelle","non-dropping-particle":"","parse-names":false,"suffix":""}],"container-title":"Canadian Journal of Occupational Therapy","id":"ITEM-4","issue":"1","issued":{"date-parts":[["2009"]]},"page":"38-47","title":"Factors predicting appicant outcomes in occupational education","type":"article-journal","volume":"76"},"uris":["http://www.mendeley.com/documents/?uuid=d0691da8-ce4e-4dd2-93ce-3fc0d8de72aa"]}],"mendeley":{"formattedCitation":"(Katz &amp; Mosey, 1980; Kirchner &amp; Holm, 1997; Kirchner, Stone, &amp; Holm, 2001; Lysaght et al., 2009)","plainTextFormattedCitation":"(Katz &amp; Mosey, 1980; Kirchner &amp; Holm, 1997; Kirchner, Stone, &amp; Holm, 2001; Lysaght et al., 2009)","previouslyFormattedCitation":"(Katz &amp; Mosey, 1980; Kirchner &amp; Holm, 1997; Kirchner, Stone, &amp; Holm, 2001; Lysaght et al., 2009)"},"properties":{"noteIndex":0},"schema":"https://github.com/citation-style-language/schema/raw/master/csl-citation.json"}</w:instrText>
      </w:r>
      <w:r>
        <w:rPr>
          <w:rFonts w:ascii="Arial" w:eastAsia="Times New Roman" w:hAnsi="Arial" w:cs="Arial"/>
          <w:sz w:val="24"/>
          <w:szCs w:val="24"/>
        </w:rPr>
        <w:fldChar w:fldCharType="separate"/>
      </w:r>
      <w:r w:rsidRPr="006E5327">
        <w:rPr>
          <w:rFonts w:ascii="Arial" w:eastAsia="Times New Roman" w:hAnsi="Arial" w:cs="Arial"/>
          <w:noProof/>
          <w:sz w:val="24"/>
          <w:szCs w:val="24"/>
          <w:lang w:val="de-DE"/>
        </w:rPr>
        <w:t>(Katz &amp; Mosey, 1980; Kirchner &amp; Holm, 1997; Kirchner, Stone, &amp; Holm, 2001; Lysaght et al., 2009)</w:t>
      </w:r>
      <w:r>
        <w:rPr>
          <w:rFonts w:ascii="Arial" w:eastAsia="Times New Roman" w:hAnsi="Arial" w:cs="Arial"/>
          <w:sz w:val="24"/>
          <w:szCs w:val="24"/>
        </w:rPr>
        <w:fldChar w:fldCharType="end"/>
      </w:r>
      <w:r w:rsidRPr="006E5327">
        <w:rPr>
          <w:rFonts w:ascii="Arial" w:eastAsia="Times New Roman" w:hAnsi="Arial" w:cs="Arial"/>
          <w:sz w:val="24"/>
          <w:szCs w:val="24"/>
          <w:lang w:val="de-DE"/>
        </w:rPr>
        <w:t xml:space="preserve">. </w:t>
      </w:r>
      <w:r w:rsidR="00976854">
        <w:rPr>
          <w:rFonts w:ascii="Arial" w:eastAsia="Times New Roman" w:hAnsi="Arial" w:cs="Arial"/>
          <w:sz w:val="24"/>
          <w:szCs w:val="24"/>
        </w:rPr>
        <w:t>A further contemporary review</w:t>
      </w:r>
      <w:r w:rsidRPr="00EA588C">
        <w:rPr>
          <w:rFonts w:ascii="Arial" w:eastAsia="Times New Roman" w:hAnsi="Arial" w:cs="Arial"/>
          <w:sz w:val="24"/>
          <w:szCs w:val="24"/>
        </w:rPr>
        <w:t xml:space="preserve"> of academic admissions requirements across A</w:t>
      </w:r>
      <w:r w:rsidR="00976854">
        <w:rPr>
          <w:rFonts w:ascii="Arial" w:eastAsia="Times New Roman" w:hAnsi="Arial" w:cs="Arial"/>
          <w:sz w:val="24"/>
          <w:szCs w:val="24"/>
        </w:rPr>
        <w:t xml:space="preserve">merican </w:t>
      </w:r>
      <w:r w:rsidRPr="00EA588C">
        <w:rPr>
          <w:rFonts w:ascii="Arial" w:eastAsia="Times New Roman" w:hAnsi="Arial" w:cs="Arial"/>
          <w:sz w:val="24"/>
          <w:szCs w:val="24"/>
        </w:rPr>
        <w:t>O</w:t>
      </w:r>
      <w:r w:rsidR="00976854">
        <w:rPr>
          <w:rFonts w:ascii="Arial" w:eastAsia="Times New Roman" w:hAnsi="Arial" w:cs="Arial"/>
          <w:sz w:val="24"/>
          <w:szCs w:val="24"/>
        </w:rPr>
        <w:t xml:space="preserve">ccupational </w:t>
      </w:r>
      <w:r w:rsidRPr="00EA588C">
        <w:rPr>
          <w:rFonts w:ascii="Arial" w:eastAsia="Times New Roman" w:hAnsi="Arial" w:cs="Arial"/>
          <w:sz w:val="24"/>
          <w:szCs w:val="24"/>
        </w:rPr>
        <w:t>T</w:t>
      </w:r>
      <w:r w:rsidR="00976854">
        <w:rPr>
          <w:rFonts w:ascii="Arial" w:eastAsia="Times New Roman" w:hAnsi="Arial" w:cs="Arial"/>
          <w:sz w:val="24"/>
          <w:szCs w:val="24"/>
        </w:rPr>
        <w:t xml:space="preserve">herapy </w:t>
      </w:r>
      <w:r w:rsidRPr="00EA588C">
        <w:rPr>
          <w:rFonts w:ascii="Arial" w:eastAsia="Times New Roman" w:hAnsi="Arial" w:cs="Arial"/>
          <w:sz w:val="24"/>
          <w:szCs w:val="24"/>
        </w:rPr>
        <w:t>A</w:t>
      </w:r>
      <w:r w:rsidR="00976854">
        <w:rPr>
          <w:rFonts w:ascii="Arial" w:eastAsia="Times New Roman" w:hAnsi="Arial" w:cs="Arial"/>
          <w:sz w:val="24"/>
          <w:szCs w:val="24"/>
        </w:rPr>
        <w:t>ssociation (AOTA)</w:t>
      </w:r>
      <w:r w:rsidRPr="00EA588C">
        <w:rPr>
          <w:rFonts w:ascii="Arial" w:eastAsia="Times New Roman" w:hAnsi="Arial" w:cs="Arial"/>
          <w:sz w:val="24"/>
          <w:szCs w:val="24"/>
        </w:rPr>
        <w:t xml:space="preserve"> accredited programs revealed the majority of responding programs require evidence of minimum </w:t>
      </w:r>
      <w:r>
        <w:rPr>
          <w:rFonts w:ascii="Arial" w:eastAsia="Times New Roman" w:hAnsi="Arial" w:cs="Arial"/>
          <w:sz w:val="24"/>
          <w:szCs w:val="24"/>
        </w:rPr>
        <w:t>P-GPA scores (master’s</w:t>
      </w:r>
      <w:r w:rsidRPr="00EA588C">
        <w:rPr>
          <w:rFonts w:ascii="Arial" w:eastAsia="Times New Roman" w:hAnsi="Arial" w:cs="Arial"/>
          <w:sz w:val="24"/>
          <w:szCs w:val="24"/>
        </w:rPr>
        <w:t xml:space="preserve">, 99.4%, </w:t>
      </w:r>
      <w:r w:rsidRPr="00EA588C">
        <w:rPr>
          <w:rFonts w:ascii="Arial" w:eastAsia="Times New Roman" w:hAnsi="Arial" w:cs="Arial"/>
          <w:i/>
          <w:iCs/>
          <w:sz w:val="24"/>
          <w:szCs w:val="24"/>
        </w:rPr>
        <w:t>n=</w:t>
      </w:r>
      <w:r w:rsidRPr="00EA588C">
        <w:rPr>
          <w:rFonts w:ascii="Arial" w:eastAsia="Times New Roman" w:hAnsi="Arial" w:cs="Arial"/>
          <w:sz w:val="24"/>
          <w:szCs w:val="24"/>
        </w:rPr>
        <w:t xml:space="preserve">155; doctoral, 100%, </w:t>
      </w:r>
      <w:r w:rsidRPr="00EA588C">
        <w:rPr>
          <w:rFonts w:ascii="Arial" w:eastAsia="Times New Roman" w:hAnsi="Arial" w:cs="Arial"/>
          <w:i/>
          <w:iCs/>
          <w:sz w:val="24"/>
          <w:szCs w:val="24"/>
        </w:rPr>
        <w:t>n=</w:t>
      </w:r>
      <w:r w:rsidRPr="00EA588C">
        <w:rPr>
          <w:rFonts w:ascii="Arial" w:eastAsia="Times New Roman" w:hAnsi="Arial" w:cs="Arial"/>
          <w:sz w:val="24"/>
          <w:szCs w:val="24"/>
        </w:rPr>
        <w:t xml:space="preserve">16) and submission of </w:t>
      </w:r>
      <w:r>
        <w:rPr>
          <w:rFonts w:ascii="Arial" w:eastAsia="Times New Roman" w:hAnsi="Arial" w:cs="Arial"/>
          <w:sz w:val="24"/>
          <w:szCs w:val="24"/>
        </w:rPr>
        <w:t>at least one GRE score (master’s</w:t>
      </w:r>
      <w:r w:rsidRPr="00EA588C">
        <w:rPr>
          <w:rFonts w:ascii="Arial" w:eastAsia="Times New Roman" w:hAnsi="Arial" w:cs="Arial"/>
          <w:sz w:val="24"/>
          <w:szCs w:val="24"/>
        </w:rPr>
        <w:t xml:space="preserve">, 53.9%, </w:t>
      </w:r>
      <w:r w:rsidRPr="00EA588C">
        <w:rPr>
          <w:rFonts w:ascii="Arial" w:eastAsia="Times New Roman" w:hAnsi="Arial" w:cs="Arial"/>
          <w:i/>
          <w:iCs/>
          <w:sz w:val="24"/>
          <w:szCs w:val="24"/>
        </w:rPr>
        <w:t>n</w:t>
      </w:r>
      <w:r w:rsidRPr="00EA588C">
        <w:rPr>
          <w:rFonts w:ascii="Arial" w:eastAsia="Times New Roman" w:hAnsi="Arial" w:cs="Arial"/>
          <w:sz w:val="24"/>
          <w:szCs w:val="24"/>
        </w:rPr>
        <w:t xml:space="preserve">=84; doctoral, 68.8%, </w:t>
      </w:r>
      <w:r w:rsidRPr="00EA588C">
        <w:rPr>
          <w:rFonts w:ascii="Arial" w:eastAsia="Times New Roman" w:hAnsi="Arial" w:cs="Arial"/>
          <w:i/>
          <w:iCs/>
          <w:sz w:val="24"/>
          <w:szCs w:val="24"/>
        </w:rPr>
        <w:t>n=</w:t>
      </w:r>
      <w:r w:rsidRPr="00EA588C">
        <w:rPr>
          <w:rFonts w:ascii="Arial" w:eastAsia="Times New Roman" w:hAnsi="Arial" w:cs="Arial"/>
          <w:sz w:val="24"/>
          <w:szCs w:val="24"/>
        </w:rPr>
        <w:t>11), thus contribu</w:t>
      </w:r>
      <w:r>
        <w:rPr>
          <w:rFonts w:ascii="Arial" w:eastAsia="Times New Roman" w:hAnsi="Arial" w:cs="Arial"/>
          <w:sz w:val="24"/>
          <w:szCs w:val="24"/>
        </w:rPr>
        <w:t>ting to the weight of argument to support the use of the GPA and</w:t>
      </w:r>
      <w:r w:rsidRPr="00EA588C">
        <w:rPr>
          <w:rFonts w:ascii="Arial" w:eastAsia="Times New Roman" w:hAnsi="Arial" w:cs="Arial"/>
          <w:sz w:val="24"/>
          <w:szCs w:val="24"/>
        </w:rPr>
        <w:t xml:space="preserve"> GRE as predictive tools of academic success </w:t>
      </w:r>
      <w:r>
        <w:rPr>
          <w:rFonts w:ascii="Arial" w:eastAsia="Times New Roman" w:hAnsi="Arial" w:cs="Arial"/>
          <w:sz w:val="24"/>
          <w:szCs w:val="24"/>
        </w:rPr>
        <w:fldChar w:fldCharType="begin" w:fldLock="1"/>
      </w:r>
      <w:r w:rsidRPr="00EA588C">
        <w:rPr>
          <w:rFonts w:ascii="Arial" w:eastAsia="Times New Roman" w:hAnsi="Arial" w:cs="Arial"/>
          <w:sz w:val="24"/>
          <w:szCs w:val="24"/>
        </w:rPr>
        <w:instrText>ADDIN CSL_CITA</w:instrText>
      </w:r>
      <w:r>
        <w:rPr>
          <w:rFonts w:ascii="Arial" w:eastAsia="Times New Roman" w:hAnsi="Arial" w:cs="Arial"/>
          <w:sz w:val="24"/>
          <w:szCs w:val="24"/>
        </w:rPr>
        <w:instrText>TION {"citationItems":[{"id":"ITEM-1","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Education","id":"ITEM-1","issue":"3","issued":{"date-parts":[["2018"]]},"title":"Admission Requirements and Practices in Entry-Level Occupational Therapy Programs","type":"article-journal","volume":"2"},"uris":["http://www.mendeley.com/documents/?uuid=88d18a5f-0f1b-4ea3-a67a-db3fff7e568a"]}],"mendeley":{"formattedCitation":"(Bowyer, Tiongco, Rubio, Liu, &amp; Whisner, 2018)","plainTextFormattedCitation":"(Bowyer, Tiongco, Rubio, Liu, &amp; Whisner, 2018)","previouslyFormattedCitation":"(Bowyer, Tiongco, Rubio, Liu, &amp; Whisner, 2018)"},"properties":{"noteIndex":0},"schema":"https://github.com/citation-style-language/schema/raw/master/csl-citation.json"}</w:instrText>
      </w:r>
      <w:r>
        <w:rPr>
          <w:rFonts w:ascii="Arial" w:eastAsia="Times New Roman" w:hAnsi="Arial" w:cs="Arial"/>
          <w:sz w:val="24"/>
          <w:szCs w:val="24"/>
        </w:rPr>
        <w:fldChar w:fldCharType="separate"/>
      </w:r>
      <w:r w:rsidRPr="00481A46">
        <w:rPr>
          <w:rFonts w:ascii="Arial" w:eastAsia="Times New Roman" w:hAnsi="Arial" w:cs="Arial"/>
          <w:noProof/>
          <w:sz w:val="24"/>
          <w:szCs w:val="24"/>
        </w:rPr>
        <w:t>(Bowyer, Tiongco, Rubio, Liu, &amp; Whisner, 2018)</w:t>
      </w:r>
      <w:r>
        <w:rPr>
          <w:rFonts w:ascii="Arial" w:eastAsia="Times New Roman" w:hAnsi="Arial" w:cs="Arial"/>
          <w:sz w:val="24"/>
          <w:szCs w:val="24"/>
        </w:rPr>
        <w:fldChar w:fldCharType="end"/>
      </w:r>
      <w:r>
        <w:rPr>
          <w:rFonts w:ascii="Arial" w:eastAsia="Times New Roman" w:hAnsi="Arial" w:cs="Arial"/>
          <w:sz w:val="24"/>
          <w:szCs w:val="24"/>
        </w:rPr>
        <w:t xml:space="preserve">. </w:t>
      </w:r>
    </w:p>
    <w:p w14:paraId="4A7DE8BE" w14:textId="77777777" w:rsidR="00B37CC4" w:rsidRDefault="00B37CC4" w:rsidP="00D173CF">
      <w:pPr>
        <w:spacing w:line="240" w:lineRule="auto"/>
        <w:rPr>
          <w:rFonts w:ascii="Arial" w:eastAsia="Times New Roman" w:hAnsi="Arial" w:cs="Arial"/>
          <w:sz w:val="24"/>
          <w:szCs w:val="24"/>
        </w:rPr>
      </w:pPr>
    </w:p>
    <w:p w14:paraId="27658098" w14:textId="77777777" w:rsidR="00B37CC4" w:rsidRPr="006E5327" w:rsidRDefault="00B37CC4" w:rsidP="00B37CC4">
      <w:pPr>
        <w:spacing w:line="240" w:lineRule="auto"/>
        <w:rPr>
          <w:rFonts w:ascii="Arial" w:eastAsia="Times New Roman" w:hAnsi="Arial" w:cs="Arial"/>
          <w:b/>
          <w:bCs/>
          <w:sz w:val="24"/>
          <w:szCs w:val="24"/>
        </w:rPr>
      </w:pPr>
      <w:r w:rsidRPr="006E5327">
        <w:rPr>
          <w:rFonts w:ascii="Arial" w:eastAsia="Times New Roman" w:hAnsi="Arial" w:cs="Arial"/>
          <w:b/>
          <w:bCs/>
          <w:sz w:val="24"/>
          <w:szCs w:val="24"/>
        </w:rPr>
        <w:t>UK</w:t>
      </w:r>
    </w:p>
    <w:p w14:paraId="7C03052E" w14:textId="63657C3F" w:rsidR="00B37CC4" w:rsidRDefault="00B37CC4" w:rsidP="00B37CC4">
      <w:pPr>
        <w:spacing w:line="240" w:lineRule="auto"/>
        <w:rPr>
          <w:rFonts w:ascii="Arial" w:eastAsia="Times New Roman" w:hAnsi="Arial" w:cs="Arial"/>
          <w:sz w:val="24"/>
          <w:szCs w:val="24"/>
        </w:rPr>
      </w:pPr>
      <w:r w:rsidRPr="006E5327">
        <w:rPr>
          <w:rFonts w:ascii="Arial" w:eastAsia="Times New Roman" w:hAnsi="Arial" w:cs="Arial"/>
          <w:sz w:val="24"/>
          <w:szCs w:val="24"/>
        </w:rPr>
        <w:t xml:space="preserve">OT education in the UK </w:t>
      </w:r>
      <w:r>
        <w:rPr>
          <w:rFonts w:ascii="Arial" w:eastAsia="Times New Roman" w:hAnsi="Arial" w:cs="Arial"/>
          <w:sz w:val="24"/>
          <w:szCs w:val="24"/>
        </w:rPr>
        <w:t xml:space="preserve">currently </w:t>
      </w:r>
      <w:r w:rsidRPr="006E5327">
        <w:rPr>
          <w:rFonts w:ascii="Arial" w:eastAsia="Times New Roman" w:hAnsi="Arial" w:cs="Arial"/>
          <w:sz w:val="24"/>
          <w:szCs w:val="24"/>
        </w:rPr>
        <w:t>offer</w:t>
      </w:r>
      <w:r>
        <w:rPr>
          <w:rFonts w:ascii="Arial" w:eastAsia="Times New Roman" w:hAnsi="Arial" w:cs="Arial"/>
          <w:sz w:val="24"/>
          <w:szCs w:val="24"/>
        </w:rPr>
        <w:t>s</w:t>
      </w:r>
      <w:r w:rsidRPr="006E5327">
        <w:rPr>
          <w:rFonts w:ascii="Arial" w:eastAsia="Times New Roman" w:hAnsi="Arial" w:cs="Arial"/>
          <w:sz w:val="24"/>
          <w:szCs w:val="24"/>
        </w:rPr>
        <w:t xml:space="preserve"> </w:t>
      </w:r>
      <w:r>
        <w:rPr>
          <w:rFonts w:ascii="Arial" w:eastAsia="Times New Roman" w:hAnsi="Arial" w:cs="Arial"/>
          <w:sz w:val="24"/>
          <w:szCs w:val="24"/>
        </w:rPr>
        <w:t xml:space="preserve">programs </w:t>
      </w:r>
      <w:r w:rsidRPr="006E5327">
        <w:rPr>
          <w:rFonts w:ascii="Arial" w:eastAsia="Times New Roman" w:hAnsi="Arial" w:cs="Arial"/>
          <w:sz w:val="24"/>
          <w:szCs w:val="24"/>
        </w:rPr>
        <w:t>via Bachelor of Science (BSc)</w:t>
      </w:r>
      <w:r w:rsidR="000265FA">
        <w:rPr>
          <w:rFonts w:ascii="Arial" w:eastAsia="Times New Roman" w:hAnsi="Arial" w:cs="Arial"/>
          <w:sz w:val="24"/>
          <w:szCs w:val="24"/>
        </w:rPr>
        <w:t xml:space="preserve"> (with honours)</w:t>
      </w:r>
      <w:r w:rsidRPr="006E5327">
        <w:rPr>
          <w:rFonts w:ascii="Arial" w:eastAsia="Times New Roman" w:hAnsi="Arial" w:cs="Arial"/>
          <w:sz w:val="24"/>
          <w:szCs w:val="24"/>
        </w:rPr>
        <w:t xml:space="preserve"> and Master of Science (MSc)</w:t>
      </w:r>
      <w:r>
        <w:rPr>
          <w:rFonts w:ascii="Arial" w:eastAsia="Times New Roman" w:hAnsi="Arial" w:cs="Arial"/>
          <w:sz w:val="24"/>
          <w:szCs w:val="24"/>
        </w:rPr>
        <w:t xml:space="preserve"> routes, with no requirement for entry-level students to study to MSc or doctoral level in order to practice. As with the North American literature, UK research is limited and dated. Two groups of students admitted to one Diploma of the College of Occupational Thera</w:t>
      </w:r>
      <w:r w:rsidR="000265FA">
        <w:rPr>
          <w:rFonts w:ascii="Arial" w:eastAsia="Times New Roman" w:hAnsi="Arial" w:cs="Arial"/>
          <w:sz w:val="24"/>
          <w:szCs w:val="24"/>
        </w:rPr>
        <w:t>pists (DipCOT) program over a 7-</w:t>
      </w:r>
      <w:r>
        <w:rPr>
          <w:rFonts w:ascii="Arial" w:eastAsia="Times New Roman" w:hAnsi="Arial" w:cs="Arial"/>
          <w:sz w:val="24"/>
          <w:szCs w:val="24"/>
        </w:rPr>
        <w:t>year period were compared. Students were admitted to the program with either an ordinary-level (O-Level) high school certificate</w:t>
      </w:r>
      <w:r w:rsidR="000265FA">
        <w:rPr>
          <w:rFonts w:ascii="Arial" w:eastAsia="Times New Roman" w:hAnsi="Arial" w:cs="Arial"/>
          <w:sz w:val="24"/>
          <w:szCs w:val="24"/>
        </w:rPr>
        <w:t xml:space="preserve"> (taken at aged 16 years)</w:t>
      </w:r>
      <w:r>
        <w:rPr>
          <w:rFonts w:ascii="Arial" w:eastAsia="Times New Roman" w:hAnsi="Arial" w:cs="Arial"/>
          <w:sz w:val="24"/>
          <w:szCs w:val="24"/>
        </w:rPr>
        <w:t xml:space="preserve"> (</w:t>
      </w:r>
      <w:r>
        <w:rPr>
          <w:rFonts w:ascii="Arial" w:eastAsia="Times New Roman" w:hAnsi="Arial" w:cs="Arial"/>
          <w:i/>
          <w:iCs/>
          <w:sz w:val="24"/>
          <w:szCs w:val="24"/>
        </w:rPr>
        <w:t>n=</w:t>
      </w:r>
      <w:r w:rsidR="000265FA">
        <w:rPr>
          <w:rFonts w:ascii="Arial" w:eastAsia="Times New Roman" w:hAnsi="Arial" w:cs="Arial"/>
          <w:sz w:val="24"/>
          <w:szCs w:val="24"/>
        </w:rPr>
        <w:t>193) or an A-Level</w:t>
      </w:r>
      <w:r>
        <w:rPr>
          <w:rFonts w:ascii="Arial" w:eastAsia="Times New Roman" w:hAnsi="Arial" w:cs="Arial"/>
          <w:sz w:val="24"/>
          <w:szCs w:val="24"/>
        </w:rPr>
        <w:t xml:space="preserve"> college qualification (</w:t>
      </w:r>
      <w:r>
        <w:rPr>
          <w:rFonts w:ascii="Arial" w:eastAsia="Times New Roman" w:hAnsi="Arial" w:cs="Arial"/>
          <w:i/>
          <w:iCs/>
          <w:sz w:val="24"/>
          <w:szCs w:val="24"/>
        </w:rPr>
        <w:t>n=</w:t>
      </w:r>
      <w:r>
        <w:rPr>
          <w:rFonts w:ascii="Arial" w:eastAsia="Times New Roman" w:hAnsi="Arial" w:cs="Arial"/>
          <w:sz w:val="24"/>
          <w:szCs w:val="24"/>
        </w:rPr>
        <w:t>193) in science (biology or human biology) and compared against 1</w:t>
      </w:r>
      <w:r w:rsidRPr="00EF49BF">
        <w:rPr>
          <w:rFonts w:ascii="Arial" w:eastAsia="Times New Roman" w:hAnsi="Arial" w:cs="Arial"/>
          <w:sz w:val="24"/>
          <w:szCs w:val="24"/>
          <w:vertAlign w:val="superscript"/>
        </w:rPr>
        <w:t>st</w:t>
      </w:r>
      <w:r>
        <w:rPr>
          <w:rFonts w:ascii="Arial" w:eastAsia="Times New Roman" w:hAnsi="Arial" w:cs="Arial"/>
          <w:sz w:val="24"/>
          <w:szCs w:val="24"/>
        </w:rPr>
        <w:t xml:space="preserve"> year OT anatomy and physiology (A&amp;P) exam scores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{"citationItems":[{"id":"ITEM-1","itemData":{"DOI":"10.1177/030802268604900904","ISSN":"0308-0226","author":[{"dropping-particle":"","family":"Tyldesley","given":"Barbara","non-dropping-particle":"","parse-names":false,"suffix":""}],"container-title":"British Journal of Occupational Therapy","id":"ITEM-1","issue":"9","issued":{"date-parts":[["1986"]]},"page":"285-287","title":"Biological Sciences in Occupational Therapy Education: A Review Carried Out at One Occupational Therapy School","type":"article-journal","volume":"49"},"uris":["http://www.mendeley.com/documents/?uuid=46809b34-3470-4467-bbbf-c7a643cac95e"]}],"mendeley":{"formattedCitation":"(Tyldesley, 1986)","plainTextFormattedCitation":"(Tyldesley, 1986)","previouslyFormattedCitation":"(Tyldesley, 1986)"},"properties":{"noteIndex":0},"schema":"https://github.com/citation-style-language/schema/raw/master/csl-citation.json"}</w:instrText>
      </w:r>
      <w:r>
        <w:rPr>
          <w:rFonts w:ascii="Arial" w:eastAsia="Times New Roman" w:hAnsi="Arial" w:cs="Arial"/>
          <w:sz w:val="24"/>
          <w:szCs w:val="24"/>
        </w:rPr>
        <w:fldChar w:fldCharType="separate"/>
      </w:r>
      <w:r w:rsidRPr="00EF49BF">
        <w:rPr>
          <w:rFonts w:ascii="Arial" w:eastAsia="Times New Roman" w:hAnsi="Arial" w:cs="Arial"/>
          <w:noProof/>
          <w:sz w:val="24"/>
          <w:szCs w:val="24"/>
        </w:rPr>
        <w:t>(Tyldesley, 1986)</w:t>
      </w:r>
      <w:r>
        <w:rPr>
          <w:rFonts w:ascii="Arial" w:eastAsia="Times New Roman" w:hAnsi="Arial" w:cs="Arial"/>
          <w:sz w:val="24"/>
          <w:szCs w:val="24"/>
        </w:rPr>
        <w:fldChar w:fldCharType="end"/>
      </w:r>
      <w:r>
        <w:rPr>
          <w:rFonts w:ascii="Arial" w:eastAsia="Times New Roman" w:hAnsi="Arial" w:cs="Arial"/>
          <w:sz w:val="24"/>
          <w:szCs w:val="24"/>
        </w:rPr>
        <w:t xml:space="preserve">.  Results found the A-Level group yielded significantly better scores in an initial A&amp;P exam but that this difference did not transcend to the end of year A&amp;P exam results. With the exception of one academic year, the study found no significant difference between the two groups, concluding that while a science qualification may be helpful in the initial stages, it is unlikely to be an essential pre-requisite for OT training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{"citationItems":[{"id":"ITEM-1","itemData":{"DOI":"10.1177/030802268604900904","ISSN":"0308-0226","author":[{"dropping-particle":"","family":"Tyldesley","given":"Barbara","non-dropping-particle":"","parse-names":false,"suffix":""}],"container-title":"British Journal of Occupational Therapy","id":"ITEM-1","issue":"9","issued":{"date-parts":[["1986"]]},"page":"285-287","title":"Biological Sciences in Occupational Therapy Education: A Review Carried Out at One Occupational Therapy School","type":"article-journal","volume":"49"},"uris":["http://www.mendeley.com/documents/?uuid=46809b34-3470-4467-bbbf-c7a643cac95e"]}],"mendeley":{"formattedCitation":"(Tyldesley, 1986)","plainTextFormattedCitation":"(Tyldesley, 1986)","previouslyFormattedCitation":"(Tyldesley, 1986)"},"properties":{"noteIndex":0},"schema":"https://github.com/citation-style-language/schema/raw/master/csl-citation.json"}</w:instrText>
      </w:r>
      <w:r>
        <w:rPr>
          <w:rFonts w:ascii="Arial" w:eastAsia="Times New Roman" w:hAnsi="Arial" w:cs="Arial"/>
          <w:sz w:val="24"/>
          <w:szCs w:val="24"/>
        </w:rPr>
        <w:fldChar w:fldCharType="separate"/>
      </w:r>
      <w:r w:rsidRPr="008027C6">
        <w:rPr>
          <w:rFonts w:ascii="Arial" w:eastAsia="Times New Roman" w:hAnsi="Arial" w:cs="Arial"/>
          <w:noProof/>
          <w:sz w:val="24"/>
          <w:szCs w:val="24"/>
        </w:rPr>
        <w:t>(Tyldesley, 1986)</w:t>
      </w:r>
      <w:r>
        <w:rPr>
          <w:rFonts w:ascii="Arial" w:eastAsia="Times New Roman" w:hAnsi="Arial" w:cs="Arial"/>
          <w:sz w:val="24"/>
          <w:szCs w:val="24"/>
        </w:rPr>
        <w:fldChar w:fldCharType="end"/>
      </w:r>
      <w:r>
        <w:rPr>
          <w:rFonts w:ascii="Arial" w:eastAsia="Times New Roman" w:hAnsi="Arial" w:cs="Arial"/>
          <w:sz w:val="24"/>
          <w:szCs w:val="24"/>
        </w:rPr>
        <w:t xml:space="preserve">. </w:t>
      </w:r>
    </w:p>
    <w:p w14:paraId="1AEABE3C" w14:textId="77777777" w:rsidR="00B37CC4" w:rsidRDefault="00B37CC4" w:rsidP="00B37CC4">
      <w:pPr>
        <w:spacing w:line="240" w:lineRule="auto"/>
        <w:rPr>
          <w:rFonts w:ascii="Arial" w:eastAsia="Times New Roman" w:hAnsi="Arial" w:cs="Arial"/>
          <w:sz w:val="24"/>
          <w:szCs w:val="24"/>
        </w:rPr>
      </w:pPr>
    </w:p>
    <w:p w14:paraId="3A90B57A" w14:textId="558EAFCA" w:rsidR="00B37CC4" w:rsidRPr="00DE2B71" w:rsidRDefault="00B37CC4" w:rsidP="00B37CC4">
      <w:pPr>
        <w:spacing w:line="240" w:lineRule="auto"/>
        <w:rPr>
          <w:rFonts w:ascii="Arial" w:eastAsia="Times New Roman" w:hAnsi="Arial" w:cs="Arial"/>
          <w:sz w:val="24"/>
          <w:szCs w:val="24"/>
        </w:rPr>
      </w:pPr>
      <w:r>
        <w:rPr>
          <w:rFonts w:ascii="Arial" w:eastAsia="Times New Roman" w:hAnsi="Arial" w:cs="Arial"/>
          <w:sz w:val="24"/>
          <w:szCs w:val="24"/>
        </w:rPr>
        <w:t xml:space="preserve">In the mid-1990’s the DipCOT was replaced by the BSc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{"citationItems":[{"id":"ITEM-1","itemData":{"URL":"https://www.rcot.co.uk/about-us/our-history/rcot-diploma","accessed":{"date-parts":[["2020","1","2"]]},"author":[{"dropping-particle":"","family":"Royal College of Occupational Therapists","given":"","non-dropping-particle":"","parse-names":false,"suffix":""}],"id":"ITEM-1","issued":{"date-parts":[["2019"]]},"title":"College of Occupational Therapists Diploma: The degree-equivalent value of the Diploma of the College of Occupational Therapists (DipCOT) is recognised by universities and higher education institutions.","type":"webpage"},"uris":["http://www.mendeley.com/documents/?uuid=3dcc1e0f-1a81-4d7b-8e60-946fba659571"]}],"mendeley":{"formattedCitation":"(Royal College of Occupational Therapists, 2019a)","plainTextFormattedCitation":"(Royal College of Occupational Therapists, 2019a)","previouslyFormattedCitation":"(Royal College of Occupational Therapists, 2019a)"},"properties":{"noteIndex":0},"schema":"https://github.com/citation-style-language/schema/raw/master/csl-citation.json"}</w:instrText>
      </w:r>
      <w:r>
        <w:rPr>
          <w:rFonts w:ascii="Arial" w:eastAsia="Times New Roman" w:hAnsi="Arial" w:cs="Arial"/>
          <w:sz w:val="24"/>
          <w:szCs w:val="24"/>
        </w:rPr>
        <w:fldChar w:fldCharType="separate"/>
      </w:r>
      <w:r w:rsidRPr="00395B09">
        <w:rPr>
          <w:rFonts w:ascii="Arial" w:eastAsia="Times New Roman" w:hAnsi="Arial" w:cs="Arial"/>
          <w:noProof/>
          <w:sz w:val="24"/>
          <w:szCs w:val="24"/>
        </w:rPr>
        <w:t>(Royal College of Occupational Therapists, 2019a)</w:t>
      </w:r>
      <w:r>
        <w:rPr>
          <w:rFonts w:ascii="Arial" w:eastAsia="Times New Roman" w:hAnsi="Arial" w:cs="Arial"/>
          <w:sz w:val="24"/>
          <w:szCs w:val="24"/>
        </w:rPr>
        <w:fldChar w:fldCharType="end"/>
      </w:r>
      <w:r>
        <w:rPr>
          <w:rFonts w:ascii="Arial" w:eastAsia="Times New Roman" w:hAnsi="Arial" w:cs="Arial"/>
          <w:sz w:val="24"/>
          <w:szCs w:val="24"/>
        </w:rPr>
        <w:t>, and investigations into the considered ability of pre-admission qualifications to predict graduation outcomes continued. Two studies at one university found no significant correlations between age at entry, academic qualifications (gained via tradition</w:t>
      </w:r>
      <w:r w:rsidR="00DD463A">
        <w:rPr>
          <w:rFonts w:ascii="Arial" w:eastAsia="Times New Roman" w:hAnsi="Arial" w:cs="Arial"/>
          <w:sz w:val="24"/>
          <w:szCs w:val="24"/>
        </w:rPr>
        <w:t>al A-Levels or non-traditional Access to Higher E</w:t>
      </w:r>
      <w:r>
        <w:rPr>
          <w:rFonts w:ascii="Arial" w:eastAsia="Times New Roman" w:hAnsi="Arial" w:cs="Arial"/>
          <w:sz w:val="24"/>
          <w:szCs w:val="24"/>
        </w:rPr>
        <w:t xml:space="preserve">ducation routes) and final degree classifications for 96 OT students admitted over 5 consecutive cohorts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{"citationItems":[{"id":"ITEM-1","itemData":{"DOI":"10.1177/030802269806100601","ISSN":"14776006","abstract":"There are different entry qualification routes to an honours degree course in occupational therapy. These differences, coupled with the considerable age-range of applicants, mean that students commence their courses from widely different starting points, which may have a bearing on their academic career. This study examined some chosen starting points briefly and, by retrospective analysis of 47 student progress files, looked at how students fared over their university careers. In particular, it examined whether certain pre-entry factors were associated with good degree results. A secondary focus was the relevance of A-level biology as an entrance criterion. The results indicated that students coming into occupational therapy via both traditional and non-traditional routes did equally well and that A-level biology was not associated with degree performance.","author":[{"dropping-particle":"","family":"Howard","given":"Lynne M.","non-dropping-particle":"","parse-names":false,"suffix":""},{"dropping-particle":"","family":"Watson","given":"Martin J.","non-dropping-particle":"","parse-names":false,"suffix":""}],"container-title":"British Journal of Occupational Therapy","id":"ITEM-1","issue":"6","issued":{"date-parts":[["1998"]]},"page":"244-248","title":"A Degree in Occupational Therapy: How do Traditional and Non-Traditional Entry Routes Compare?","type":"article-journal","volume":"61"},"uris":["http://www.mendeley.com/documents/?uuid=b597a021-dbe6-4aed-9ce5-74e99279fd15"]},{"id":"ITEM-2","itemData":{"DOI":"10.1177/030802260006300706","ISSN":"14776006","abstract":"This paper examines the relationships between the entry qualifications and the fieldwork score, academic score and final degree score of a group of 168 occupational therapy and physiotherapy students. The data were gathered from spreadsheets showing the results of students' practical and written assignments and their final degree score computed from these. Details of entry qualifications were obtained from students' personal files. Statistical analyses were carried out on the data obtained to support or refute hypotheses generated by the literature search. It was found that the physiotherapy students with A-levels had higher average scores on entry than the occupational therapy students but that, over the 3 years of their degree, this discrepancy disappeared and there was no significant difference in either fieldwork score or final degree score between the two sets of students. A statistically significant difference was, however, found between the final academic scores of physiotherapy students entering with qualifications other than A-levels, mostly BTEC, and those with A-levels. The results suggest that entry qualifications are poor predictors of both fieldwork and academic outcomes and support the School of Occupational Therapy and Physiotherapy at the University of East Anglia in its policy of a flexible approach to entry requirements; however, careful monitoring should be continued.","author":[{"dropping-particle":"","family":"Howard","given":"L.","non-dropping-particle":"","parse-names":false,"suffix":""},{"dropping-particle":"","family":"Jerosch-Herold","given":"C.","non-dropping-particle":"","parse-names":false,"suffix":""}],"container-title":"British Journal of Occupational Therapy","id":"ITEM-2","issue":"7","issued":{"date-parts":[["2000"]]},"page":"329-334","title":"Can entry qualifications be used to predict fieldwork and academic outcomes in occupational therapy and physiotherapy students?","type":"article-journal","volume":"63"},"uris":["http://www.mendeley.com/documents/?uuid=a6bf75ae-cbc8-4407-96a9-1ef38fad8a27"]}],"mendeley":{"formattedCitation":"(L. Howard &amp; Jerosch-Herold, 2000; L. M. Howard &amp; Watson, 1998)","manualFormatting":"(Howard &amp; Jerosch-Herold, 2000; Howard &amp; Watson, 1998)","plainTextFormattedCitation":"(L. Howard &amp; Jerosch-Herold, 2000; L. M. Howard &amp; Watson, 1998)","previouslyFormattedCitation":"(L. Howard &amp; Jerosch-Herold, 2000; L. M. Howard &amp; Watson, 1998)"},"properties":{"noteIndex":0},"schema":"https://github.com/citation-style-language/schema/raw/master/csl-citation.json"}</w:instrText>
      </w:r>
      <w:r>
        <w:rPr>
          <w:rFonts w:ascii="Arial" w:eastAsia="Times New Roman" w:hAnsi="Arial" w:cs="Arial"/>
          <w:sz w:val="24"/>
          <w:szCs w:val="24"/>
        </w:rPr>
        <w:fldChar w:fldCharType="separate"/>
      </w:r>
      <w:r>
        <w:rPr>
          <w:rFonts w:ascii="Arial" w:eastAsia="Times New Roman" w:hAnsi="Arial" w:cs="Arial"/>
          <w:noProof/>
          <w:sz w:val="24"/>
          <w:szCs w:val="24"/>
        </w:rPr>
        <w:t>(</w:t>
      </w:r>
      <w:r w:rsidRPr="00E43A61">
        <w:rPr>
          <w:rFonts w:ascii="Arial" w:eastAsia="Times New Roman" w:hAnsi="Arial" w:cs="Arial"/>
          <w:noProof/>
          <w:sz w:val="24"/>
          <w:szCs w:val="24"/>
        </w:rPr>
        <w:t>Howar</w:t>
      </w:r>
      <w:r>
        <w:rPr>
          <w:rFonts w:ascii="Arial" w:eastAsia="Times New Roman" w:hAnsi="Arial" w:cs="Arial"/>
          <w:noProof/>
          <w:sz w:val="24"/>
          <w:szCs w:val="24"/>
        </w:rPr>
        <w:t xml:space="preserve">d &amp; Jerosch-Herold, 2000; </w:t>
      </w:r>
      <w:r w:rsidRPr="00E43A61">
        <w:rPr>
          <w:rFonts w:ascii="Arial" w:eastAsia="Times New Roman" w:hAnsi="Arial" w:cs="Arial"/>
          <w:noProof/>
          <w:sz w:val="24"/>
          <w:szCs w:val="24"/>
        </w:rPr>
        <w:t>Howard &amp; Watson, 1998)</w:t>
      </w:r>
      <w:r>
        <w:rPr>
          <w:rFonts w:ascii="Arial" w:eastAsia="Times New Roman" w:hAnsi="Arial" w:cs="Arial"/>
          <w:sz w:val="24"/>
          <w:szCs w:val="24"/>
        </w:rPr>
        <w:fldChar w:fldCharType="end"/>
      </w:r>
      <w:r>
        <w:rPr>
          <w:rFonts w:ascii="Arial" w:eastAsia="Times New Roman" w:hAnsi="Arial" w:cs="Arial"/>
          <w:sz w:val="24"/>
          <w:szCs w:val="24"/>
        </w:rPr>
        <w:t>. Mature age (over 21 years) at entry was also found not to be a predictor of greater degree success for 425 (</w:t>
      </w:r>
      <w:r>
        <w:rPr>
          <w:rFonts w:ascii="Arial" w:eastAsia="Times New Roman" w:hAnsi="Arial" w:cs="Arial"/>
          <w:i/>
          <w:iCs/>
          <w:sz w:val="24"/>
          <w:szCs w:val="24"/>
        </w:rPr>
        <w:t>n=</w:t>
      </w:r>
      <w:r>
        <w:rPr>
          <w:rFonts w:ascii="Arial" w:eastAsia="Times New Roman" w:hAnsi="Arial" w:cs="Arial"/>
          <w:sz w:val="24"/>
          <w:szCs w:val="24"/>
        </w:rPr>
        <w:t xml:space="preserve">171 under 21 years; </w:t>
      </w:r>
      <w:r>
        <w:rPr>
          <w:rFonts w:ascii="Arial" w:eastAsia="Times New Roman" w:hAnsi="Arial" w:cs="Arial"/>
          <w:i/>
          <w:iCs/>
          <w:sz w:val="24"/>
          <w:szCs w:val="24"/>
        </w:rPr>
        <w:t>n=</w:t>
      </w:r>
      <w:r>
        <w:rPr>
          <w:rFonts w:ascii="Arial" w:eastAsia="Times New Roman" w:hAnsi="Arial" w:cs="Arial"/>
          <w:sz w:val="24"/>
          <w:szCs w:val="24"/>
        </w:rPr>
        <w:t>254 over 21 years) graduating OT students from twelve UK universities. Rather, those students (</w:t>
      </w:r>
      <w:r>
        <w:rPr>
          <w:rFonts w:ascii="Arial" w:eastAsia="Times New Roman" w:hAnsi="Arial" w:cs="Arial"/>
          <w:i/>
          <w:iCs/>
          <w:sz w:val="24"/>
          <w:szCs w:val="24"/>
        </w:rPr>
        <w:t>n=</w:t>
      </w:r>
      <w:r>
        <w:rPr>
          <w:rFonts w:ascii="Arial" w:eastAsia="Times New Roman" w:hAnsi="Arial" w:cs="Arial"/>
          <w:sz w:val="24"/>
          <w:szCs w:val="24"/>
        </w:rPr>
        <w:t xml:space="preserve">70) entering OT education with a previous university degree, and therefore mature in age by default, gained significantly better results at graduation over those students entering without university experience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{"citationItems":[{"id":"ITEM-1","itemData":{"DOI":"10.1177/030802260406701004","ISSN":"14776006","abstract":"This article presents a research study that investigated age as a predictor of higher academic outcome in a sample of 425 recent honours; graduates from 8 out of 19 (42%) occupational therapy schools in England and Wales. The initial analysis of the data showed that age was related to academic performance, but this relationship was much weaker when the qualifications used to gain entry to occupational therapy education were added to the statistical analysis. The data were strongly influenced by the superior academic performance of the students who had a previous degree on entry to occupational therapy education. When these degree-level entrants were removed from the age analysis, the academic performance of the remaining mature students did not differ significantly from that of the younger students, thus removing the effect of age that was initially seen in the data. This result indicates that entry qualifications, in particular a previous degree, have a positive predictive effect on the academic performance of students in occupational therapy education. This finding has implications for those planning new occupational therapy programmes and for admissions tutors in existing programmes.","author":[{"dropping-particle":"","family":"Shanahan","given":"Margaret M.","non-dropping-particle":"","parse-names":false,"suffix":""}],"container-title":"British Journal of Occupational Therapy","id":"ITEM-1","issue":"10","issued":{"date-parts":[["2004"]]},"page":"439-446","title":"Does age at entry have an impact on academic performance in occupational therapy education?","type":"article-journal","volume":"67"},"uris":["http://www.mendeley.com/documents/?uuid=17e98a99-9fe5-4861-99ee-ae47445b5ba9"]}],"mendeley":{"formattedCitation":"(Shanahan, 2004)","plainTextFormattedCitation":"(Shanahan, 2004)","previouslyFormattedCitation":"(Shanahan, 2004)"},"properties":{"noteIndex":0},"schema":"https://github.com/citation-style-language/schema/raw/master/csl-citation.json"}</w:instrText>
      </w:r>
      <w:r>
        <w:rPr>
          <w:rFonts w:ascii="Arial" w:eastAsia="Times New Roman" w:hAnsi="Arial" w:cs="Arial"/>
          <w:sz w:val="24"/>
          <w:szCs w:val="24"/>
        </w:rPr>
        <w:fldChar w:fldCharType="separate"/>
      </w:r>
      <w:r w:rsidRPr="00C3641C">
        <w:rPr>
          <w:rFonts w:ascii="Arial" w:eastAsia="Times New Roman" w:hAnsi="Arial" w:cs="Arial"/>
          <w:noProof/>
          <w:sz w:val="24"/>
          <w:szCs w:val="24"/>
        </w:rPr>
        <w:t>(Shanahan, 2004)</w:t>
      </w:r>
      <w:r>
        <w:rPr>
          <w:rFonts w:ascii="Arial" w:eastAsia="Times New Roman" w:hAnsi="Arial" w:cs="Arial"/>
          <w:sz w:val="24"/>
          <w:szCs w:val="24"/>
        </w:rPr>
        <w:fldChar w:fldCharType="end"/>
      </w:r>
      <w:r>
        <w:rPr>
          <w:rFonts w:ascii="Arial" w:eastAsia="Times New Roman" w:hAnsi="Arial" w:cs="Arial"/>
          <w:sz w:val="24"/>
          <w:szCs w:val="24"/>
        </w:rPr>
        <w:t xml:space="preserve">. </w:t>
      </w:r>
    </w:p>
    <w:p w14:paraId="7A3CCA95" w14:textId="77777777" w:rsidR="00D173CF" w:rsidRPr="008C4B56" w:rsidRDefault="00D173CF" w:rsidP="00D173CF">
      <w:pPr>
        <w:spacing w:line="240" w:lineRule="auto"/>
        <w:rPr>
          <w:rFonts w:ascii="Arial" w:eastAsia="Times New Roman" w:hAnsi="Arial" w:cs="Arial"/>
          <w:sz w:val="24"/>
          <w:szCs w:val="24"/>
        </w:rPr>
      </w:pPr>
    </w:p>
    <w:p w14:paraId="1B55F3FB" w14:textId="77777777" w:rsidR="00D173CF" w:rsidRDefault="00D173CF" w:rsidP="00D173CF">
      <w:pPr>
        <w:spacing w:line="240" w:lineRule="auto"/>
        <w:rPr>
          <w:rFonts w:ascii="Arial" w:eastAsia="Times New Roman" w:hAnsi="Arial" w:cs="Arial"/>
          <w:sz w:val="24"/>
          <w:szCs w:val="24"/>
        </w:rPr>
      </w:pPr>
      <w:r>
        <w:rPr>
          <w:rFonts w:ascii="Arial" w:eastAsia="Times New Roman" w:hAnsi="Arial" w:cs="Arial"/>
          <w:sz w:val="24"/>
          <w:szCs w:val="24"/>
        </w:rPr>
        <w:t xml:space="preserve">These studies share common limitations related to their contemporary relevance, small sample sizes from single-site institutions and variability of academic entry standards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Lysaght","given":"Rosemary","non-dropping-particle":"","parse-names":false,"suffix":""},{"dropping-particle":"","family":"Donnelly","given":"Catherine","non-dropping-particle":"","parse-names":false,"suffix":""},{"dropping-particle":"","family":"Villeneuve","given":"Michelle","non-dropping-particle":"","parse-names":false,"suffix":""}],"container-title":"Canadian Journal of Occupational Therapy","id":"ITEM-1","issue":"1","issued":{"date-parts":[["2009"]]},"page":"38-47","title":"Factors predicting appicant outcomes in occupational education","type":"article-journal","volume":"76"},"uris":["http://www.mendeley.com/documents/?uuid=d0691da8-ce4e-4dd2-93ce-3fc0d8de72aa"]},{"id":"ITEM-2","itemData":{"author":[{"dropping-particle":"","family":"Posthuma","given":"Barbara W","non-dropping-particle":"","parse-names":false,"suffix":""},{"dropping-particle":"","family":"Sommerfreund","given":"Joy","non-dropping-particle":"","parse-names":false,"suffix":""}],"container-title":"The American Journal of Occupational Therapy","id":"ITEM-2","issue":"7","issued":{"date-parts":[["1985"]]},"page":"441-445","title":"Examination of selection criteria for a program in occupational therapy","type":"article-journal","volume":"39"},"uris":["http://www.mendeley.com/documents/?uuid=796f45b8-896c-4a5c-8f95-2c927f08e047"]}],"mendeley":{"formattedCitation":"(Lysaght et al., 2009; B. W. Posthuma &amp; Sommerfreund, 1985)","manualFormatting":"(Lysaght et al., 2009; Posthuma &amp; Sommerfreund, 1985)","plainTextFormattedCitation":"(Lysaght et al., 2009; B. W. Posthuma &amp; Sommerfreund, 1985)","previouslyFormattedCitation":"(Lysaght et al., 2009; B. W. Posthuma &amp; Sommerfreund, 1985)"},"properties":{"noteIndex":0},"schema":"https://github.com/citation-style-language/schema/raw/master/csl-citation.json"}</w:instrText>
      </w:r>
      <w:r>
        <w:rPr>
          <w:rFonts w:ascii="Arial" w:eastAsia="Times New Roman" w:hAnsi="Arial" w:cs="Arial"/>
          <w:sz w:val="24"/>
          <w:szCs w:val="24"/>
        </w:rPr>
        <w:fldChar w:fldCharType="separate"/>
      </w:r>
      <w:r>
        <w:rPr>
          <w:rFonts w:ascii="Arial" w:eastAsia="Times New Roman" w:hAnsi="Arial" w:cs="Arial"/>
          <w:noProof/>
          <w:sz w:val="24"/>
          <w:szCs w:val="24"/>
        </w:rPr>
        <w:t xml:space="preserve">(Lysaght et al., 2009; </w:t>
      </w:r>
      <w:r w:rsidRPr="00CA6544">
        <w:rPr>
          <w:rFonts w:ascii="Arial" w:eastAsia="Times New Roman" w:hAnsi="Arial" w:cs="Arial"/>
          <w:noProof/>
          <w:sz w:val="24"/>
          <w:szCs w:val="24"/>
        </w:rPr>
        <w:t>Posthuma &amp; Sommerfreund, 1985)</w:t>
      </w:r>
      <w:r>
        <w:rPr>
          <w:rFonts w:ascii="Arial" w:eastAsia="Times New Roman" w:hAnsi="Arial" w:cs="Arial"/>
          <w:sz w:val="24"/>
          <w:szCs w:val="24"/>
        </w:rPr>
        <w:fldChar w:fldCharType="end"/>
      </w:r>
      <w:r>
        <w:rPr>
          <w:rFonts w:ascii="Arial" w:eastAsia="Times New Roman" w:hAnsi="Arial" w:cs="Arial"/>
          <w:sz w:val="24"/>
          <w:szCs w:val="24"/>
        </w:rPr>
        <w:t xml:space="preserve">. However, when reviewed as a collective, the variable correlations uncovered appear to challenge the wider medical and health literature that affirms </w:t>
      </w:r>
      <w:r w:rsidRPr="005A690C">
        <w:rPr>
          <w:rFonts w:ascii="Arial" w:eastAsia="Times New Roman" w:hAnsi="Arial" w:cs="Arial"/>
          <w:sz w:val="24"/>
          <w:szCs w:val="24"/>
        </w:rPr>
        <w:t xml:space="preserve">“the evidence is </w:t>
      </w:r>
      <w:r w:rsidRPr="004A5291">
        <w:rPr>
          <w:rFonts w:ascii="Arial" w:eastAsia="Times New Roman" w:hAnsi="Arial" w:cs="Arial"/>
          <w:i/>
          <w:iCs/>
          <w:sz w:val="24"/>
          <w:szCs w:val="24"/>
        </w:rPr>
        <w:t>overwhelmingly clear</w:t>
      </w:r>
      <w:r w:rsidRPr="005A690C">
        <w:rPr>
          <w:rFonts w:ascii="Arial" w:eastAsia="Times New Roman" w:hAnsi="Arial" w:cs="Arial"/>
          <w:sz w:val="24"/>
          <w:szCs w:val="24"/>
        </w:rPr>
        <w:t xml:space="preserve"> that pre-admission academic grades predict subsequent in-course academic performance in all professional disciplines” </w:t>
      </w:r>
      <w:r w:rsidRPr="005A690C">
        <w:rPr>
          <w:rFonts w:ascii="Arial" w:eastAsia="Times New Roman" w:hAnsi="Arial" w:cs="Arial"/>
          <w:sz w:val="24"/>
          <w:szCs w:val="24"/>
        </w:rPr>
        <w:fldChar w:fldCharType="begin" w:fldLock="1"/>
      </w:r>
      <w:r w:rsidRPr="005A690C">
        <w:rPr>
          <w:rFonts w:ascii="Arial" w:eastAsia="Times New Roman" w:hAnsi="Arial" w:cs="Arial"/>
          <w:sz w:val="24"/>
          <w:szCs w:val="24"/>
        </w:rPr>
        <w:instrText>ADDIN CSL_CITATION {"citationItems":[{"id":"ITEM-1","itemData":{"DOI":"10.1023/A:1011489618208","ISBN":"1382-4996","ISSN":"13824996","PMID":"11435766","abstract":"160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Education","id":"ITEM-1","issued":{"date-parts":[["2001"]]},"page":"159–175","title":"Pre-admission academic grades","type":"article-journal","volume":"6"},"uris":["http://www.mendeley.com/documents/?uuid=d9db22ae-6f60-4204-9833-acc40b090bd6"]}],"mendeley":{"formattedCitation":"(Salvatori, 2001)","manualFormatting":"(Salvatori, 2001, p. 161)","plainTextFormattedCitation":"(Salvatori, 2001)","previouslyFormattedCitation":"(Salvatori, 2001)"},"properties":{"noteIndex":0},"schema":"https://github.com/citation-style-language/schema/raw/master/csl-citation.json"}</w:instrText>
      </w:r>
      <w:r w:rsidRPr="005A690C">
        <w:rPr>
          <w:rFonts w:ascii="Arial" w:eastAsia="Times New Roman" w:hAnsi="Arial" w:cs="Arial"/>
          <w:sz w:val="24"/>
          <w:szCs w:val="24"/>
        </w:rPr>
        <w:fldChar w:fldCharType="separate"/>
      </w:r>
      <w:r w:rsidRPr="005A690C">
        <w:rPr>
          <w:rFonts w:ascii="Arial" w:eastAsia="Times New Roman" w:hAnsi="Arial" w:cs="Arial"/>
          <w:noProof/>
          <w:sz w:val="24"/>
          <w:szCs w:val="24"/>
        </w:rPr>
        <w:t>(Salvatori, 2001, p. 161)</w:t>
      </w:r>
      <w:r w:rsidRPr="005A690C">
        <w:rPr>
          <w:rFonts w:ascii="Arial" w:eastAsia="Times New Roman" w:hAnsi="Arial" w:cs="Arial"/>
          <w:sz w:val="24"/>
          <w:szCs w:val="24"/>
        </w:rPr>
        <w:fldChar w:fldCharType="end"/>
      </w:r>
      <w:r>
        <w:rPr>
          <w:rFonts w:ascii="Arial" w:eastAsia="Times New Roman" w:hAnsi="Arial" w:cs="Arial"/>
          <w:sz w:val="24"/>
          <w:szCs w:val="24"/>
        </w:rPr>
        <w:t xml:space="preserve">. </w:t>
      </w:r>
    </w:p>
    <w:p w14:paraId="4B7D9423" w14:textId="77777777" w:rsidR="00D173CF" w:rsidRDefault="00D173CF" w:rsidP="00D173CF">
      <w:pPr>
        <w:spacing w:line="240" w:lineRule="auto"/>
        <w:rPr>
          <w:rFonts w:ascii="Arial" w:eastAsia="Times New Roman" w:hAnsi="Arial" w:cs="Arial"/>
          <w:b/>
          <w:sz w:val="24"/>
          <w:szCs w:val="24"/>
        </w:rPr>
      </w:pPr>
      <w:r w:rsidRPr="009269E2">
        <w:rPr>
          <w:rFonts w:ascii="Arial" w:eastAsia="Times New Roman" w:hAnsi="Arial" w:cs="Arial"/>
          <w:b/>
          <w:sz w:val="24"/>
          <w:szCs w:val="24"/>
        </w:rPr>
        <w:t>Professional (non-cognitive</w:t>
      </w:r>
      <w:r>
        <w:rPr>
          <w:rFonts w:ascii="Arial" w:eastAsia="Times New Roman" w:hAnsi="Arial" w:cs="Arial"/>
          <w:b/>
          <w:sz w:val="24"/>
          <w:szCs w:val="24"/>
        </w:rPr>
        <w:t>)</w:t>
      </w:r>
      <w:r w:rsidRPr="009269E2">
        <w:rPr>
          <w:rFonts w:ascii="Arial" w:eastAsia="Times New Roman" w:hAnsi="Arial" w:cs="Arial"/>
          <w:b/>
          <w:sz w:val="24"/>
          <w:szCs w:val="24"/>
        </w:rPr>
        <w:t xml:space="preserve"> entry standards</w:t>
      </w:r>
    </w:p>
    <w:p w14:paraId="2BA8E625" w14:textId="77777777" w:rsidR="00D173CF" w:rsidRDefault="00D173CF" w:rsidP="00D173CF">
      <w:pPr>
        <w:spacing w:line="240" w:lineRule="auto"/>
        <w:rPr>
          <w:rFonts w:ascii="Arial" w:hAnsi="Arial" w:cs="Arial"/>
          <w:sz w:val="24"/>
          <w:szCs w:val="24"/>
        </w:rPr>
      </w:pPr>
      <w:r w:rsidRPr="00C31E85">
        <w:rPr>
          <w:rFonts w:ascii="Arial" w:eastAsia="Times New Roman" w:hAnsi="Arial" w:cs="Arial"/>
          <w:sz w:val="24"/>
          <w:szCs w:val="24"/>
        </w:rPr>
        <w:t>The OT screening process relies on establishing a good ‘fit’ between</w:t>
      </w:r>
      <w:r>
        <w:rPr>
          <w:rFonts w:ascii="Arial" w:hAnsi="Arial" w:cs="Arial"/>
          <w:sz w:val="24"/>
          <w:szCs w:val="24"/>
        </w:rPr>
        <w:t xml:space="preserve"> an individual’s </w:t>
      </w:r>
      <w:r w:rsidRPr="00C31E85">
        <w:rPr>
          <w:rFonts w:ascii="Arial" w:hAnsi="Arial" w:cs="Arial"/>
          <w:sz w:val="24"/>
          <w:szCs w:val="24"/>
        </w:rPr>
        <w:t>values, beliefs and attitudes and those of OT, which include</w:t>
      </w:r>
      <w:r>
        <w:rPr>
          <w:rFonts w:ascii="Arial" w:hAnsi="Arial" w:cs="Arial"/>
          <w:sz w:val="24"/>
          <w:szCs w:val="24"/>
        </w:rPr>
        <w:t>,</w:t>
      </w:r>
      <w:r w:rsidRPr="00C31E85">
        <w:rPr>
          <w:rFonts w:ascii="Arial" w:hAnsi="Arial" w:cs="Arial"/>
          <w:sz w:val="24"/>
          <w:szCs w:val="24"/>
        </w:rPr>
        <w:t xml:space="preserve"> but are not limited to</w:t>
      </w:r>
      <w:r>
        <w:rPr>
          <w:rFonts w:ascii="Arial" w:hAnsi="Arial" w:cs="Arial"/>
          <w:sz w:val="24"/>
          <w:szCs w:val="24"/>
        </w:rPr>
        <w:t>,</w:t>
      </w:r>
      <w:r w:rsidRPr="00C31E85">
        <w:rPr>
          <w:rFonts w:ascii="Arial" w:hAnsi="Arial" w:cs="Arial"/>
          <w:sz w:val="24"/>
          <w:szCs w:val="24"/>
        </w:rPr>
        <w:t xml:space="preserve"> holistic, ethical and client-centred practice, confidentiality, integrity, respect, human rights, empathy and a non-judgemental persona </w:t>
      </w:r>
      <w:r w:rsidRPr="00C31E85">
        <w:rPr>
          <w:rFonts w:ascii="Arial" w:hAnsi="Arial" w:cs="Arial"/>
          <w:sz w:val="24"/>
          <w:szCs w:val="24"/>
        </w:rPr>
        <w:fldChar w:fldCharType="begin" w:fldLock="1"/>
      </w:r>
      <w:r>
        <w:rPr>
          <w:rFonts w:ascii="Arial" w:hAnsi="Arial" w:cs="Arial"/>
          <w:sz w:val="24"/>
          <w:szCs w:val="24"/>
        </w:rPr>
        <w:instrText>ADDIN CSL_CITATION {"citationItems":[{"id":"ITEM-1","itemData":{"DOI":"10.1111/1440-1630.12017","ISBN":"0045-0766","ISSN":"00450766","PMID":"23730786","abstract":"BACKGROUND/AIM: Professionalism involves practitioners applying the values of their profession and demonstrating essential professional behaviours and attitudes. Within the Australian occupational therapy profession, there is little research on the values, behaviours and attitudes that constitute professionalism. As a result, there is limited understanding of professionalism, and the approaches used to enhance the professionalism of future practitioners are not evidence based. This study aimed to contribute to the understanding of professionalism within the Australian occupational therapy profession, by obtaining consensus among Australian occupational therapists on the professional values and behaviours essential for practice.\\n\\nMETHOD: A constructivist paradigm guided this study. The Delphi technique was used to obtain consensus on essential professional values and behaviours among 68 occupational therapists. Consensus was identified by numerical and content analysis.\\n\\nRESULTS: After two Delphi rounds, 61 professional values were identified as essential for practice. These values related to ethical practice, client-centred practice, contemporary practice and to the foundational beliefs of the profession. Seven professional behaviours also achieved consensus, but there was clear disparity in participants' opinions.\\n\\nCONCLUSION: The results provide insight into several professional values and behaviours perceived as essential for practice. Consequently, these professional values need to be taken into consideration when defining the values of the profession. The professional behaviours need to be taken into account when finalising the essential behaviours that constitute professionalism in the profession. This study takes an initial but fundamental step towards defining professionalism within the Australian occupational therapy profession.","author":[{"dropping-particle":"","family":"Aguilar","given":"Alejandra","non-dropping-particle":"","parse-names":false,"suffix":""},{"dropping-particle":"","family":"Stupans","given":"Ieva","non-dropping-particle":"","parse-names":false,"suffix":""},{"dropping-particle":"","family":"Scutter","given":"Sheila","non-dropping-particle":"","parse-names":false,"suffix":""},{"dropping-particle":"","family":"King","given":"Sharron","non-dropping-particle":"","parse-names":false,"suffix":""}],"container-title":"Australian Occupational Therapy Journal","id":"ITEM-1","issue":"3","issued":{"date-parts":[["2013"]]},"page":"206-216","title":"Towards a definition of professionalism in Australian occupational therapy: Using the Delphi technique to obtain consensus on essential values and behaviours","type":"article-journal","volume":"60"},"uris":["http://www.mendeley.com/documents/?uuid=22c7476b-4581-4cde-91bb-a044b3bfc2c6"]}],"mendeley":{"formattedCitation":"(Aguilar, Stupans, Scutter, &amp; King, 2013)","plainTextFormattedCitation":"(Aguilar, Stupans, Scutter, &amp; King, 2013)","previouslyFormattedCitation":"(Aguilar, Stupans, Scutter, &amp; King, 2013)"},"properties":{"noteIndex":0},"schema":"https://github.com/citation-style-language/schema/raw/master/csl-citation.json"}</w:instrText>
      </w:r>
      <w:r w:rsidRPr="00C31E85">
        <w:rPr>
          <w:rFonts w:ascii="Arial" w:hAnsi="Arial" w:cs="Arial"/>
          <w:sz w:val="24"/>
          <w:szCs w:val="24"/>
        </w:rPr>
        <w:fldChar w:fldCharType="separate"/>
      </w:r>
      <w:r w:rsidRPr="00C77416">
        <w:rPr>
          <w:rFonts w:ascii="Arial" w:hAnsi="Arial" w:cs="Arial"/>
          <w:noProof/>
          <w:sz w:val="24"/>
          <w:szCs w:val="24"/>
        </w:rPr>
        <w:t>(Aguilar, Stupans, Scutter, &amp; King, 2013)</w:t>
      </w:r>
      <w:r w:rsidRPr="00C31E85">
        <w:rPr>
          <w:rFonts w:ascii="Arial" w:hAnsi="Arial" w:cs="Arial"/>
          <w:sz w:val="24"/>
          <w:szCs w:val="24"/>
        </w:rPr>
        <w:fldChar w:fldCharType="end"/>
      </w:r>
      <w:r w:rsidRPr="00C31E85">
        <w:rPr>
          <w:rFonts w:ascii="Arial" w:hAnsi="Arial" w:cs="Arial"/>
          <w:sz w:val="24"/>
          <w:szCs w:val="24"/>
        </w:rPr>
        <w:t xml:space="preserve">. </w:t>
      </w:r>
      <w:r w:rsidRPr="00EE69DF">
        <w:rPr>
          <w:rFonts w:ascii="Arial" w:hAnsi="Arial" w:cs="Arial"/>
          <w:sz w:val="24"/>
          <w:szCs w:val="24"/>
        </w:rPr>
        <w:t>This is especially important as it has been suggested that the personal and professional values and ethics that an individual brings with them have a direct link to their personal and professional behaviour in subsequent</w:t>
      </w:r>
      <w:r>
        <w:rPr>
          <w:rFonts w:ascii="Arial" w:hAnsi="Arial" w:cs="Arial"/>
          <w:sz w:val="24"/>
          <w:szCs w:val="24"/>
        </w:rPr>
        <w:t xml:space="preserve"> practice </w:t>
      </w:r>
      <w:r>
        <w:rPr>
          <w:rFonts w:ascii="Arial" w:hAnsi="Arial" w:cs="Arial"/>
          <w:sz w:val="24"/>
          <w:szCs w:val="24"/>
        </w:rPr>
        <w:fldChar w:fldCharType="begin" w:fldLock="1"/>
      </w:r>
      <w:r>
        <w:rPr>
          <w:rFonts w:ascii="Arial" w:hAnsi="Arial" w:cs="Arial"/>
          <w:sz w:val="24"/>
          <w:szCs w:val="24"/>
        </w:rPr>
        <w:instrText>ADDIN CSL_CITATION {"citationItems":[{"id":"ITEM-1","itemData":{"DOI":"10.1111/j.1440-1630.2012.00996.x","ISSN":"0045-0766","author":[{"dropping-particle":"","family":"Aguilar","given":"Alejandra","non-dropping-particle":"","parse-names":false,"suffix":""},{"dropping-particle":"","family":"Stupans","given":"Ieva","non-dropping-particle":"","parse-names":false,"suffix":""}],"container-title":"Australian occupational Therapy Journal","id":"ITEM-1","issued":{"date-parts":[["2012"]]},"page":"209-217","title":"Exploring professionalism: The professional values of Australian occupational therapists","type":"article-journal","volume":"59"},"uris":["http://www.mendeley.com/documents/?uuid=e4e658fc-2429-4f52-8f90-73df61b96dd0"]}],"mendeley":{"formattedCitation":"(Aguilar &amp; Stupans, 2012)","plainTextFormattedCitation":"(Aguilar &amp; Stupans, 2012)","previouslyFormattedCitation":"(Aguilar &amp; Stupans, 2012)"},"properties":{"noteIndex":0},"schema":"https://github.com/citation-style-language/schema/raw/master/csl-citation.json"}</w:instrText>
      </w:r>
      <w:r>
        <w:rPr>
          <w:rFonts w:ascii="Arial" w:hAnsi="Arial" w:cs="Arial"/>
          <w:sz w:val="24"/>
          <w:szCs w:val="24"/>
        </w:rPr>
        <w:fldChar w:fldCharType="separate"/>
      </w:r>
      <w:r w:rsidRPr="00EB313D">
        <w:rPr>
          <w:rFonts w:ascii="Arial" w:hAnsi="Arial" w:cs="Arial"/>
          <w:noProof/>
          <w:sz w:val="24"/>
          <w:szCs w:val="24"/>
        </w:rPr>
        <w:t>(Aguilar &amp; Stupans, 2012)</w:t>
      </w:r>
      <w:r>
        <w:rPr>
          <w:rFonts w:ascii="Arial" w:hAnsi="Arial" w:cs="Arial"/>
          <w:sz w:val="24"/>
          <w:szCs w:val="24"/>
        </w:rPr>
        <w:fldChar w:fldCharType="end"/>
      </w:r>
      <w:r w:rsidRPr="00EE69DF">
        <w:rPr>
          <w:rFonts w:ascii="Arial" w:hAnsi="Arial" w:cs="Arial"/>
          <w:sz w:val="24"/>
          <w:szCs w:val="24"/>
        </w:rPr>
        <w:t xml:space="preserve">. However, this must be approached with caution as </w:t>
      </w:r>
      <w:r>
        <w:rPr>
          <w:rFonts w:ascii="Arial" w:hAnsi="Arial" w:cs="Arial"/>
          <w:sz w:val="24"/>
          <w:szCs w:val="24"/>
        </w:rPr>
        <w:t xml:space="preserve">medical </w:t>
      </w:r>
      <w:r w:rsidRPr="00EE69DF">
        <w:rPr>
          <w:rFonts w:ascii="Arial" w:hAnsi="Arial" w:cs="Arial"/>
          <w:sz w:val="24"/>
          <w:szCs w:val="24"/>
        </w:rPr>
        <w:t xml:space="preserve">research has identified how difficult it is to predict </w:t>
      </w:r>
      <w:r>
        <w:rPr>
          <w:rFonts w:ascii="Arial" w:hAnsi="Arial" w:cs="Arial"/>
          <w:sz w:val="24"/>
          <w:szCs w:val="24"/>
        </w:rPr>
        <w:t xml:space="preserve">professional </w:t>
      </w:r>
      <w:r w:rsidRPr="00EE69DF">
        <w:rPr>
          <w:rFonts w:ascii="Arial" w:hAnsi="Arial" w:cs="Arial"/>
          <w:sz w:val="24"/>
          <w:szCs w:val="24"/>
        </w:rPr>
        <w:t xml:space="preserve">performance based on data collected through selection processes </w:t>
      </w:r>
      <w:r w:rsidRPr="00EE69DF">
        <w:rPr>
          <w:rFonts w:ascii="Arial" w:hAnsi="Arial" w:cs="Arial"/>
          <w:sz w:val="24"/>
          <w:szCs w:val="24"/>
        </w:rPr>
        <w:fldChar w:fldCharType="begin" w:fldLock="1"/>
      </w:r>
      <w:r w:rsidRPr="00EE69DF">
        <w:rPr>
          <w:rFonts w:ascii="Arial" w:hAnsi="Arial" w:cs="Arial"/>
          <w:sz w:val="24"/>
          <w:szCs w:val="24"/>
        </w:rPr>
        <w:instrText>ADDIN CSL_CITATION {"citationItems":[{"id":"ITEM-1","itemData":{"DOI":"10.1097/ACM.0b013e3181dbe51f","ISBN":"1040-2446","ISSN":"10402446","PMID":"20505405","abstract":"Enhancing professionalism is an important goal of all physicians, both as individuals and as members of educational and institutional communities of practice. Despite a great deal of dialogue and discourse, the medical profession struggles to ensure that all physicians are able to embrace and live the values of professionalism, notwithstanding the myriad stressors present in today's evolving health care environment. The authors suggest a move beyond the traditional educational paradigms focused on reinforcing rules, providing role models, rewarding right behavior, and removing those who falter, and that we instead view the problem of professionalism as a complex adaptive challenge requiring new learning. Approaching lapses in professionalism as a form of medical error may provide a fresh outlook and may lead to the development of successful strategies to help physicians realize their commitment to the values of professionalism, despite the inevitable challenges that arise throughout their careers.","author":[{"dropping-particle":"","family":"Lucey","given":"Catherine","non-dropping-particle":"","parse-names":false,"suffix":""},{"dropping-particle":"","family":"Souba","given":"Wiley","non-dropping-particle":"","parse-names":false,"suffix":""}],"container-title":"Academic Medicine","id":"ITEM-1","issue":"6","issued":{"date-parts":[["2010"]]},"page":"1018-1024","title":"Perspective: The problem with the problem of professionalism","type":"article-journal","volume":"85"},"uris":["http://www.mendeley.com/documents/?uuid=576576eb-9655-4db0-a6a1-c1cbeb42e50f"]}],"mendeley":{"formattedCitation":"(Lucey &amp; Souba, 2010)","plainTextFormattedCitation":"(Lucey &amp; Souba, 2010)","previouslyFormattedCitation":"(Lucey &amp; Souba, 2010)"},"properties":{"noteIndex":0},"schema":"https://github.com/citation-style-language/schema/raw/master/csl-citation.json"}</w:instrText>
      </w:r>
      <w:r w:rsidRPr="00EE69DF">
        <w:rPr>
          <w:rFonts w:ascii="Arial" w:hAnsi="Arial" w:cs="Arial"/>
          <w:sz w:val="24"/>
          <w:szCs w:val="24"/>
        </w:rPr>
        <w:fldChar w:fldCharType="separate"/>
      </w:r>
      <w:r w:rsidRPr="00EE69DF">
        <w:rPr>
          <w:rFonts w:ascii="Arial" w:hAnsi="Arial" w:cs="Arial"/>
          <w:noProof/>
          <w:sz w:val="24"/>
          <w:szCs w:val="24"/>
        </w:rPr>
        <w:t>(Lucey &amp; Souba, 2010)</w:t>
      </w:r>
      <w:r w:rsidRPr="00EE69DF">
        <w:rPr>
          <w:rFonts w:ascii="Arial" w:hAnsi="Arial" w:cs="Arial"/>
          <w:sz w:val="24"/>
          <w:szCs w:val="24"/>
        </w:rPr>
        <w:fldChar w:fldCharType="end"/>
      </w:r>
      <w:r w:rsidRPr="00EE69DF">
        <w:rPr>
          <w:rFonts w:ascii="Arial" w:hAnsi="Arial" w:cs="Arial"/>
          <w:sz w:val="24"/>
          <w:szCs w:val="24"/>
        </w:rPr>
        <w:t>.</w:t>
      </w:r>
      <w:r>
        <w:rPr>
          <w:rFonts w:ascii="Arial" w:hAnsi="Arial" w:cs="Arial"/>
          <w:sz w:val="24"/>
          <w:szCs w:val="24"/>
        </w:rPr>
        <w:t xml:space="preserve"> </w:t>
      </w:r>
    </w:p>
    <w:p w14:paraId="33FA9454" w14:textId="77777777" w:rsidR="00D173CF" w:rsidRDefault="00D173CF" w:rsidP="00D173CF">
      <w:pPr>
        <w:spacing w:line="240" w:lineRule="auto"/>
        <w:rPr>
          <w:rFonts w:ascii="Arial" w:hAnsi="Arial" w:cs="Arial"/>
          <w:noProof/>
          <w:sz w:val="24"/>
          <w:szCs w:val="24"/>
        </w:rPr>
      </w:pPr>
    </w:p>
    <w:p w14:paraId="69928A6E" w14:textId="62CA8115" w:rsidR="00CD2786" w:rsidRPr="00CD2786" w:rsidRDefault="00CD2786" w:rsidP="00D173CF">
      <w:pPr>
        <w:spacing w:line="240" w:lineRule="auto"/>
        <w:rPr>
          <w:rFonts w:ascii="Arial" w:hAnsi="Arial" w:cs="Arial"/>
          <w:b/>
          <w:bCs/>
          <w:noProof/>
          <w:sz w:val="24"/>
          <w:szCs w:val="24"/>
        </w:rPr>
      </w:pPr>
      <w:r>
        <w:rPr>
          <w:rFonts w:ascii="Arial" w:hAnsi="Arial" w:cs="Arial"/>
          <w:b/>
          <w:bCs/>
          <w:noProof/>
          <w:sz w:val="24"/>
          <w:szCs w:val="24"/>
        </w:rPr>
        <w:t>USA</w:t>
      </w:r>
      <w:r w:rsidR="00B37CC4">
        <w:rPr>
          <w:rFonts w:ascii="Arial" w:hAnsi="Arial" w:cs="Arial"/>
          <w:b/>
          <w:bCs/>
          <w:noProof/>
          <w:sz w:val="24"/>
          <w:szCs w:val="24"/>
        </w:rPr>
        <w:t xml:space="preserve"> &amp; Canada</w:t>
      </w:r>
    </w:p>
    <w:p w14:paraId="2F192FDC" w14:textId="69D870FB" w:rsidR="00D173CF" w:rsidRPr="000A5831" w:rsidRDefault="009548A0" w:rsidP="009548A0">
      <w:pPr>
        <w:spacing w:line="240" w:lineRule="auto"/>
        <w:rPr>
          <w:rFonts w:ascii="Arial" w:hAnsi="Arial" w:cs="Arial"/>
          <w:noProof/>
          <w:sz w:val="24"/>
          <w:szCs w:val="24"/>
        </w:rPr>
      </w:pPr>
      <w:r>
        <w:rPr>
          <w:rFonts w:ascii="Arial" w:hAnsi="Arial" w:cs="Arial"/>
          <w:noProof/>
          <w:sz w:val="24"/>
          <w:szCs w:val="24"/>
        </w:rPr>
        <w:t>Similar</w:t>
      </w:r>
      <w:r w:rsidR="00D173CF">
        <w:rPr>
          <w:rFonts w:ascii="Arial" w:hAnsi="Arial" w:cs="Arial"/>
          <w:noProof/>
          <w:sz w:val="24"/>
          <w:szCs w:val="24"/>
        </w:rPr>
        <w:t xml:space="preserve"> to the cognitive literature, the interest in potential relationship(s) between non-cognitive OT admission and degree outcomes has spanned several decades and produced variable results. This has included high school students (</w:t>
      </w:r>
      <w:r w:rsidR="00D173CF">
        <w:rPr>
          <w:rFonts w:ascii="Arial" w:hAnsi="Arial" w:cs="Arial"/>
          <w:i/>
          <w:iCs/>
          <w:noProof/>
          <w:sz w:val="24"/>
          <w:szCs w:val="24"/>
        </w:rPr>
        <w:t>n=</w:t>
      </w:r>
      <w:r w:rsidR="00D173CF">
        <w:rPr>
          <w:rFonts w:ascii="Arial" w:hAnsi="Arial" w:cs="Arial"/>
          <w:noProof/>
          <w:sz w:val="24"/>
          <w:szCs w:val="24"/>
        </w:rPr>
        <w:t>31) interview scores correlating</w:t>
      </w:r>
      <w:r>
        <w:rPr>
          <w:rFonts w:ascii="Arial" w:hAnsi="Arial" w:cs="Arial"/>
          <w:noProof/>
          <w:sz w:val="24"/>
          <w:szCs w:val="24"/>
        </w:rPr>
        <w:t xml:space="preserve"> significantly</w:t>
      </w:r>
      <w:r w:rsidR="00D173CF">
        <w:rPr>
          <w:rFonts w:ascii="Arial" w:hAnsi="Arial" w:cs="Arial"/>
          <w:noProof/>
          <w:sz w:val="24"/>
          <w:szCs w:val="24"/>
        </w:rPr>
        <w:t xml:space="preserve"> with academic performance in the first 3 years of a 4 year program; university students (</w:t>
      </w:r>
      <w:r w:rsidR="00D173CF">
        <w:rPr>
          <w:rFonts w:ascii="Arial" w:hAnsi="Arial" w:cs="Arial"/>
          <w:i/>
          <w:iCs/>
          <w:noProof/>
          <w:sz w:val="24"/>
          <w:szCs w:val="24"/>
        </w:rPr>
        <w:t>n=</w:t>
      </w:r>
      <w:r w:rsidR="00D173CF">
        <w:rPr>
          <w:rFonts w:ascii="Arial" w:hAnsi="Arial" w:cs="Arial"/>
          <w:noProof/>
          <w:sz w:val="24"/>
          <w:szCs w:val="24"/>
        </w:rPr>
        <w:t xml:space="preserve">15) high admission interview scores outscoring those admitted on high academic qualifications in final fieldwork experiences and demonstrating the most improvement in fieldwork performance over the duration of OT training </w:t>
      </w:r>
      <w:r w:rsidR="00D173CF">
        <w:rPr>
          <w:rFonts w:ascii="Arial" w:hAnsi="Arial" w:cs="Arial"/>
          <w:noProof/>
          <w:sz w:val="24"/>
          <w:szCs w:val="24"/>
        </w:rPr>
        <w:fldChar w:fldCharType="begin" w:fldLock="1"/>
      </w:r>
      <w:r w:rsidR="00D173CF">
        <w:rPr>
          <w:rFonts w:ascii="Arial" w:hAnsi="Arial" w:cs="Arial"/>
          <w:noProof/>
          <w:sz w:val="24"/>
          <w:szCs w:val="24"/>
        </w:rPr>
        <w:instrText>ADDIN CSL_CITATION {"citationItems":[{"id":"ITEM-1","itemData":{"author":[{"dropping-particle":"","family":"Posthuma","given":"Barbara W","non-dropping-particle":"","parse-names":false,"suffix":""},{"dropping-particle":"","family":"Sommerfreund","given":"Joy","non-dropping-particle":"","parse-names":false,"suffix":""}],"container-title":"The American Journal of Occupational Therapy","id":"ITEM-1","issue":"7","issued":{"date-parts":[["1985"]]},"page":"441-445","title":"Examination of selection criteria for a program in occupational therapy","type":"article-journal","volume":"39"},"uris":["http://www.mendeley.com/documents/?uuid=796f45b8-896c-4a5c-8f95-2c927f08e047"]},{"id":"ITEM-2","itemData":{"DOI":"10.1177/000841749005700509","ISSN":"19119828","abstract":"This paper investigates the relationship of previous academic performance and selection interview results to the academic and fieldwork performance of students during four years of study in Occupational Therapy. Only students who met the basic academic requirements of the occupational therapy department were included. Half of the students who were admitted were selected on the basis of highest academic grades and half were selected on the basis of highest interview scores. At the end of the academic program evaluations indicated no significant difference beween the two groups in terms of academic performance. Over the four years those students who were selected by high interview scores showed more improvement in fieldwork performance than students admitted only on the basis of previous academic grades. Students who had some previous university experience exhibited significantly greater improvement in fieldwork performance than those admitted directly from high school. © 1990, Canadian Association of Occupational Therapists (CAOT). All rights reserved.","author":[{"dropping-particle":"","family":"Posthuma","given":"Barbara","non-dropping-particle":"","parse-names":false,"suffix":""},{"dropping-particle":"","family":"Noh","given":"Samuel","non-dropping-particle":"","parse-names":false,"suffix":""}],"container-title":"Canadian Journal of Occupational Therapy","id":"ITEM-2","issue":"5","issued":{"date-parts":[["1990"]]},"page":"285-291","title":"Interview Scores and Academic Grades as Selection Criteria for Admission to an Occupational Therapy Program","type":"article-journal","volume":"57"},"uris":["http://www.mendeley.com/documents/?uuid=975c3c41-f453-4f89-afb1-a4e1922609aa"]}],"mendeley":{"formattedCitation":"(B. Posthuma &amp; Noh, 1990; B. W. Posthuma &amp; Sommerfreund, 1985)","manualFormatting":"(Posthuma &amp; Noh, 1990; Posthuma &amp; Sommerfreund, 1985)","plainTextFormattedCitation":"(B. Posthuma &amp; Noh, 1990; B. W. Posthuma &amp; Sommerfreund, 1985)","previouslyFormattedCitation":"(B. Posthuma &amp; Noh, 1990; B. W. Posthuma &amp; Sommerfreund, 1985)"},"properties":{"noteIndex":0},"schema":"https://github.com/citation-style-language/schema/raw/master/csl-citation.json"}</w:instrText>
      </w:r>
      <w:r w:rsidR="00D173CF">
        <w:rPr>
          <w:rFonts w:ascii="Arial" w:hAnsi="Arial" w:cs="Arial"/>
          <w:noProof/>
          <w:sz w:val="24"/>
          <w:szCs w:val="24"/>
        </w:rPr>
        <w:fldChar w:fldCharType="separate"/>
      </w:r>
      <w:r w:rsidR="00D173CF">
        <w:rPr>
          <w:rFonts w:ascii="Arial" w:hAnsi="Arial" w:cs="Arial"/>
          <w:noProof/>
          <w:sz w:val="24"/>
          <w:szCs w:val="24"/>
        </w:rPr>
        <w:t xml:space="preserve">(Posthuma &amp; Noh, 1990; </w:t>
      </w:r>
      <w:r w:rsidR="00D173CF" w:rsidRPr="00D112EE">
        <w:rPr>
          <w:rFonts w:ascii="Arial" w:hAnsi="Arial" w:cs="Arial"/>
          <w:noProof/>
          <w:sz w:val="24"/>
          <w:szCs w:val="24"/>
        </w:rPr>
        <w:t>Posthuma &amp; Sommerfreund, 1985)</w:t>
      </w:r>
      <w:r w:rsidR="00D173CF">
        <w:rPr>
          <w:rFonts w:ascii="Arial" w:hAnsi="Arial" w:cs="Arial"/>
          <w:noProof/>
          <w:sz w:val="24"/>
          <w:szCs w:val="24"/>
        </w:rPr>
        <w:fldChar w:fldCharType="end"/>
      </w:r>
      <w:r w:rsidR="00D173CF">
        <w:rPr>
          <w:rFonts w:ascii="Arial" w:hAnsi="Arial" w:cs="Arial"/>
          <w:noProof/>
          <w:sz w:val="24"/>
          <w:szCs w:val="24"/>
        </w:rPr>
        <w:t>. In 1997, a 36-item survey of all 73 AOTA accredited baccalaureate programs explored the content, purpose and effectiveness of interviews in the admissions process. With a response rate of 68% (</w:t>
      </w:r>
      <w:r w:rsidR="00D173CF">
        <w:rPr>
          <w:rFonts w:ascii="Arial" w:hAnsi="Arial" w:cs="Arial"/>
          <w:i/>
          <w:iCs/>
          <w:noProof/>
          <w:sz w:val="24"/>
          <w:szCs w:val="24"/>
        </w:rPr>
        <w:t>n=</w:t>
      </w:r>
      <w:r w:rsidR="00D173CF">
        <w:rPr>
          <w:rFonts w:ascii="Arial" w:hAnsi="Arial" w:cs="Arial"/>
          <w:noProof/>
          <w:sz w:val="24"/>
          <w:szCs w:val="24"/>
        </w:rPr>
        <w:t>50), results showed that 48% (</w:t>
      </w:r>
      <w:r w:rsidR="00D173CF">
        <w:rPr>
          <w:rFonts w:ascii="Arial" w:hAnsi="Arial" w:cs="Arial"/>
          <w:i/>
          <w:iCs/>
          <w:noProof/>
          <w:sz w:val="24"/>
          <w:szCs w:val="24"/>
        </w:rPr>
        <w:t>n=</w:t>
      </w:r>
      <w:r w:rsidR="00D173CF">
        <w:rPr>
          <w:rFonts w:ascii="Arial" w:hAnsi="Arial" w:cs="Arial"/>
          <w:noProof/>
          <w:sz w:val="24"/>
          <w:szCs w:val="24"/>
        </w:rPr>
        <w:t xml:space="preserve">24) used interviews as a selection tool and demonstrated that interviews were loosely to moderately structured, minimal interviewer training was provided and the effectiveness of interviews was not examined </w:t>
      </w:r>
      <w:r w:rsidR="00D173CF">
        <w:rPr>
          <w:rFonts w:ascii="Arial" w:hAnsi="Arial" w:cs="Arial"/>
          <w:noProof/>
          <w:sz w:val="24"/>
          <w:szCs w:val="24"/>
        </w:rPr>
        <w:fldChar w:fldCharType="begin" w:fldLock="1"/>
      </w:r>
      <w:r w:rsidR="00D173CF">
        <w:rPr>
          <w:rFonts w:ascii="Arial" w:hAnsi="Arial" w:cs="Arial"/>
          <w:noProof/>
          <w:sz w:val="24"/>
          <w:szCs w:val="24"/>
        </w:rPr>
        <w:instrText>ADDIN CSL_CITATION {"citationItems":[{"id":"ITEM-1","itemData":{"DOI":"10.5014/ajot.52.7.592","ISSN":"02729490","author":[{"dropping-particle":"","family":"Agho","given":"Augustine O.","non-dropping-particle":"","parse-names":false,"suffix":""},{"dropping-particle":"","family":"Mosley","given":"Barbara W.","non-dropping-particle":"","parse-names":false,"suffix":""},{"dropping-particle":"","family":"Smith-Paul","given":"Bobbie","non-dropping-particle":"","parse-names":false,"suffix":""}],"container-title":"American Journal of Occupational Therapy","id":"ITEM-1","issue":"7","issued":{"date-parts":[["1998"]]},"page":"592-594","title":"Use of the Interview in Selecting Students for Occupational Therapy Programs","type":"article-journal","volume":"52"},"uris":["http://www.mendeley.com/documents/?uuid=1cbe8409-aba2-4cd2-bb43-b51a6819dc7b"]}],"mendeley":{"formattedCitation":"(Agho, Mosley, &amp; Smith-Paul, 1998)","plainTextFormattedCitation":"(Agho, Mosley, &amp; Smith-Paul, 1998)","previouslyFormattedCitation":"(Agho, Mosley, &amp; Smith-Paul, 1998)"},"properties":{"noteIndex":0},"schema":"https://github.com/citation-style-language/schema/raw/master/csl-citation.json"}</w:instrText>
      </w:r>
      <w:r w:rsidR="00D173CF">
        <w:rPr>
          <w:rFonts w:ascii="Arial" w:hAnsi="Arial" w:cs="Arial"/>
          <w:noProof/>
          <w:sz w:val="24"/>
          <w:szCs w:val="24"/>
        </w:rPr>
        <w:fldChar w:fldCharType="separate"/>
      </w:r>
      <w:r w:rsidR="00D173CF" w:rsidRPr="00634859">
        <w:rPr>
          <w:rFonts w:ascii="Arial" w:hAnsi="Arial" w:cs="Arial"/>
          <w:noProof/>
          <w:sz w:val="24"/>
          <w:szCs w:val="24"/>
        </w:rPr>
        <w:t>(Agho, Mosley, &amp; Smith-Paul, 1998)</w:t>
      </w:r>
      <w:r w:rsidR="00D173CF">
        <w:rPr>
          <w:rFonts w:ascii="Arial" w:hAnsi="Arial" w:cs="Arial"/>
          <w:noProof/>
          <w:sz w:val="24"/>
          <w:szCs w:val="24"/>
        </w:rPr>
        <w:fldChar w:fldCharType="end"/>
      </w:r>
      <w:r w:rsidR="00D173CF">
        <w:rPr>
          <w:rFonts w:ascii="Arial" w:hAnsi="Arial" w:cs="Arial"/>
          <w:noProof/>
          <w:sz w:val="24"/>
          <w:szCs w:val="24"/>
        </w:rPr>
        <w:t>. Twenty years later, a survey of 155 AOTA programs offering master’s and doctoral level OT education yielded a 20% (</w:t>
      </w:r>
      <w:r w:rsidR="00D173CF">
        <w:rPr>
          <w:rFonts w:ascii="Arial" w:hAnsi="Arial" w:cs="Arial"/>
          <w:i/>
          <w:iCs/>
          <w:noProof/>
          <w:sz w:val="24"/>
          <w:szCs w:val="24"/>
        </w:rPr>
        <w:t>n=</w:t>
      </w:r>
      <w:r w:rsidR="00D173CF">
        <w:rPr>
          <w:rFonts w:ascii="Arial" w:hAnsi="Arial" w:cs="Arial"/>
          <w:noProof/>
          <w:sz w:val="24"/>
          <w:szCs w:val="24"/>
        </w:rPr>
        <w:t>31) response rate with 66.7% (</w:t>
      </w:r>
      <w:r w:rsidR="00D173CF">
        <w:rPr>
          <w:rFonts w:ascii="Arial" w:hAnsi="Arial" w:cs="Arial"/>
          <w:i/>
          <w:iCs/>
          <w:noProof/>
          <w:sz w:val="24"/>
          <w:szCs w:val="24"/>
        </w:rPr>
        <w:t>n=</w:t>
      </w:r>
      <w:r w:rsidR="00D173CF">
        <w:rPr>
          <w:rFonts w:ascii="Arial" w:hAnsi="Arial" w:cs="Arial"/>
          <w:noProof/>
          <w:sz w:val="24"/>
          <w:szCs w:val="24"/>
        </w:rPr>
        <w:t>20) using interviews, comprising of single applicant and panel (</w:t>
      </w:r>
      <w:r w:rsidR="00D173CF">
        <w:rPr>
          <w:rFonts w:ascii="Arial" w:hAnsi="Arial" w:cs="Arial"/>
          <w:i/>
          <w:iCs/>
          <w:noProof/>
          <w:sz w:val="24"/>
          <w:szCs w:val="24"/>
        </w:rPr>
        <w:t>n=</w:t>
      </w:r>
      <w:r w:rsidR="00D173CF">
        <w:rPr>
          <w:rFonts w:ascii="Arial" w:hAnsi="Arial" w:cs="Arial"/>
          <w:noProof/>
          <w:sz w:val="24"/>
          <w:szCs w:val="24"/>
        </w:rPr>
        <w:t>8); multiple appl</w:t>
      </w:r>
      <w:r>
        <w:rPr>
          <w:rFonts w:ascii="Arial" w:hAnsi="Arial" w:cs="Arial"/>
          <w:noProof/>
          <w:sz w:val="24"/>
          <w:szCs w:val="24"/>
        </w:rPr>
        <w:t>i</w:t>
      </w:r>
      <w:r w:rsidR="00D173CF">
        <w:rPr>
          <w:rFonts w:ascii="Arial" w:hAnsi="Arial" w:cs="Arial"/>
          <w:noProof/>
          <w:sz w:val="24"/>
          <w:szCs w:val="24"/>
        </w:rPr>
        <w:t>cants and panel (</w:t>
      </w:r>
      <w:r w:rsidR="00D173CF">
        <w:rPr>
          <w:rFonts w:ascii="Arial" w:hAnsi="Arial" w:cs="Arial"/>
          <w:i/>
          <w:iCs/>
          <w:noProof/>
          <w:sz w:val="24"/>
          <w:szCs w:val="24"/>
        </w:rPr>
        <w:t>n=</w:t>
      </w:r>
      <w:r w:rsidR="00D173CF">
        <w:rPr>
          <w:rFonts w:ascii="Arial" w:hAnsi="Arial" w:cs="Arial"/>
          <w:noProof/>
          <w:sz w:val="24"/>
          <w:szCs w:val="24"/>
        </w:rPr>
        <w:t>2); single applicant/single interviewer (</w:t>
      </w:r>
      <w:r w:rsidR="00D173CF">
        <w:rPr>
          <w:rFonts w:ascii="Arial" w:hAnsi="Arial" w:cs="Arial"/>
          <w:i/>
          <w:iCs/>
          <w:noProof/>
          <w:sz w:val="24"/>
          <w:szCs w:val="24"/>
        </w:rPr>
        <w:t>n=</w:t>
      </w:r>
      <w:r w:rsidR="00D173CF">
        <w:rPr>
          <w:rFonts w:ascii="Arial" w:hAnsi="Arial" w:cs="Arial"/>
          <w:noProof/>
          <w:sz w:val="24"/>
          <w:szCs w:val="24"/>
        </w:rPr>
        <w:t>6) or multi-mini interviews (MMIs) (</w:t>
      </w:r>
      <w:r w:rsidR="00D173CF">
        <w:rPr>
          <w:rFonts w:ascii="Arial" w:hAnsi="Arial" w:cs="Arial"/>
          <w:i/>
          <w:iCs/>
          <w:noProof/>
          <w:sz w:val="24"/>
          <w:szCs w:val="24"/>
        </w:rPr>
        <w:t>n</w:t>
      </w:r>
      <w:r w:rsidR="00D173CF">
        <w:rPr>
          <w:rFonts w:ascii="Arial" w:hAnsi="Arial" w:cs="Arial"/>
          <w:noProof/>
          <w:sz w:val="24"/>
          <w:szCs w:val="24"/>
        </w:rPr>
        <w:t xml:space="preserve">=4) </w:t>
      </w:r>
      <w:r w:rsidR="00D173CF">
        <w:rPr>
          <w:rFonts w:ascii="Arial" w:hAnsi="Arial" w:cs="Arial"/>
          <w:noProof/>
          <w:sz w:val="24"/>
          <w:szCs w:val="24"/>
        </w:rPr>
        <w:fldChar w:fldCharType="begin" w:fldLock="1"/>
      </w:r>
      <w:r w:rsidR="00D173CF">
        <w:rPr>
          <w:rFonts w:ascii="Arial" w:hAnsi="Arial" w:cs="Arial"/>
          <w:noProof/>
          <w:sz w:val="24"/>
          <w:szCs w:val="24"/>
        </w:rPr>
        <w:instrText>ADDIN CSL_CITATION {"citationItems":[{"id":"ITEM-1","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Education","id":"ITEM-1","issue":"3","issued":{"date-parts":[["2018"]]},"title":"Admission Requirements and Practices in Entry-Level Occupational Therapy Programs","type":"article-journal","volume":"2"},"uris":["http://www.mendeley.com/documents/?uuid=88d18a5f-0f1b-4ea3-a67a-db3fff7e568a"]}],"mendeley":{"formattedCitation":"(Bowyer et al., 2018)","plainTextFormattedCitation":"(Bowyer et al., 2018)","previouslyFormattedCitation":"(Bowyer et al., 2018)"},"properties":{"noteIndex":0},"schema":"https://github.com/citation-style-language/schema/raw/master/csl-citation.json"}</w:instrText>
      </w:r>
      <w:r w:rsidR="00D173CF">
        <w:rPr>
          <w:rFonts w:ascii="Arial" w:hAnsi="Arial" w:cs="Arial"/>
          <w:noProof/>
          <w:sz w:val="24"/>
          <w:szCs w:val="24"/>
        </w:rPr>
        <w:fldChar w:fldCharType="separate"/>
      </w:r>
      <w:r w:rsidR="00D173CF" w:rsidRPr="000A5831">
        <w:rPr>
          <w:rFonts w:ascii="Arial" w:hAnsi="Arial" w:cs="Arial"/>
          <w:noProof/>
          <w:sz w:val="24"/>
          <w:szCs w:val="24"/>
        </w:rPr>
        <w:t>(Bowyer et al., 2018)</w:t>
      </w:r>
      <w:r w:rsidR="00D173CF">
        <w:rPr>
          <w:rFonts w:ascii="Arial" w:hAnsi="Arial" w:cs="Arial"/>
          <w:noProof/>
          <w:sz w:val="24"/>
          <w:szCs w:val="24"/>
        </w:rPr>
        <w:fldChar w:fldCharType="end"/>
      </w:r>
      <w:r w:rsidR="00D173CF">
        <w:rPr>
          <w:rFonts w:ascii="Arial" w:hAnsi="Arial" w:cs="Arial"/>
          <w:noProof/>
          <w:sz w:val="24"/>
          <w:szCs w:val="24"/>
        </w:rPr>
        <w:t xml:space="preserve">, confirming the continued use of interviews despite a continued lack of plausible evidence to supprt them </w:t>
      </w:r>
      <w:r w:rsidR="00D173CF">
        <w:rPr>
          <w:rFonts w:ascii="Arial" w:hAnsi="Arial" w:cs="Arial"/>
          <w:noProof/>
          <w:sz w:val="24"/>
          <w:szCs w:val="24"/>
        </w:rPr>
        <w:fldChar w:fldCharType="begin" w:fldLock="1"/>
      </w:r>
      <w:r w:rsidR="00D173CF">
        <w:rPr>
          <w:rFonts w:ascii="Arial" w:hAnsi="Arial" w:cs="Arial"/>
          <w:noProof/>
          <w:sz w:val="24"/>
          <w:szCs w:val="24"/>
        </w:rPr>
        <w:instrText>ADDIN CSL_CITATION {"citationItems":[{"id":"ITEM-1","itemData":{"ISSN":"1945404X","PMID":"24598901","abstract":"Many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Health","id":"ITEM-1","issue":"1","issued":{"date-parts":[["2014"]]},"page":"57-61","title":"Use of multiple mini-interviews for occupational therapy admissions","type":"article-journal","volume":"43"},"uris":["http://www.mendeley.com/documents/?uuid=e231a303-d122-4bcd-8924-377f45f73afa"]},{"id":"ITEM-2","itemData":{"DOI":"10.1046/j.1365-2923.2004.01776.x","ISSN":"03080110","PMID":"14996341","abstract":"CONTEXT: Although health sciences programmes continue to value non-cognitive variables such as interpersonal skills and professionalism, it is not clear that current admissions tools like the personal interview are capable of assessing ability in these domains. Hypothesising that many of the problems with the personal interview might be explained, at least in part, by it being yet another measurement tool that is plagued by context specificity, we have attempted to develop a multiple sample approach to the personal interview. METHODS: A group of 117 applicants to the undergraduate MD programme at McMaster University participated in a multiple mini-interview (MMI), consisting of 10 short objective structured clinical examination (OSCE)-style stations, in which they were presented with scenarios that required them to discuss a health-related issue (e.g. the use of placebos) with an interviewer, interact with a standardised confederate while an examiner observed the interpersonal skills displayed, or answer traditional interview questions. RESULTS: The reliability of the MMI was observed to be 0.65. Furthermore, the hypothesis that context specificity might reduce the validity of traditional interviews was supported by the finding that the variance component attributable to candidate-station interaction was greater than that attributable to candidate. Both applicants and examiners were positive about the experience and the potential for this protocol. DISCUSSION: The principles used in developing this new admissions instrument, the flexibility inherent in the multiple mini-interview, and its feasibility and cost-effectiveness are discussed.","author":[{"dropping-particle":"","family":"Eva","given":"Kevin W.","non-dropping-particle":"","parse-names":false,"suffix":""},{"dropping-particle":"","family":"Rosenfeld","given":"Jack","non-dropping-particle":"","parse-names":false,"suffix":""},{"dropping-particle":"","family":"Reiter","given":"Harold I.","non-dropping-particle":"","parse-names":false,"suffix":""},{"dropping-particle":"","family":"Norman","given":"Geoffrey R.","non-dropping-particle":"","parse-names":false,"suffix":""}],"container-title":"Medical Education","id":"ITEM-2","issue":"3","issued":{"date-parts":[["2004"]]},"page":"314-326","title":"An admissions OSCE: The multiple mini-interview","type":"article-journal","volume":"38"},"uris":["http://www.mendeley.com/documents/?uuid=857aeed7-13dc-4a7b-a867-a3914445313f"]}],"mendeley":{"formattedCitation":"(Eva et al., 2004; Grice, 2014)","plainTextFormattedCitation":"(Eva et al., 2004; Grice, 2014)","previouslyFormattedCitation":"(Eva et al., 2004; Grice, 2014)"},"properties":{"noteIndex":0},"schema":"https://github.com/citation-style-language/schema/raw/master/csl-citation.json"}</w:instrText>
      </w:r>
      <w:r w:rsidR="00D173CF">
        <w:rPr>
          <w:rFonts w:ascii="Arial" w:hAnsi="Arial" w:cs="Arial"/>
          <w:noProof/>
          <w:sz w:val="24"/>
          <w:szCs w:val="24"/>
        </w:rPr>
        <w:fldChar w:fldCharType="separate"/>
      </w:r>
      <w:r w:rsidR="00D173CF" w:rsidRPr="000A5831">
        <w:rPr>
          <w:rFonts w:ascii="Arial" w:hAnsi="Arial" w:cs="Arial"/>
          <w:noProof/>
          <w:sz w:val="24"/>
          <w:szCs w:val="24"/>
        </w:rPr>
        <w:t>(Eva et al., 2004; Grice, 2014)</w:t>
      </w:r>
      <w:r w:rsidR="00D173CF">
        <w:rPr>
          <w:rFonts w:ascii="Arial" w:hAnsi="Arial" w:cs="Arial"/>
          <w:noProof/>
          <w:sz w:val="24"/>
          <w:szCs w:val="24"/>
        </w:rPr>
        <w:fldChar w:fldCharType="end"/>
      </w:r>
      <w:r w:rsidR="00D173CF">
        <w:rPr>
          <w:rFonts w:ascii="Arial" w:hAnsi="Arial" w:cs="Arial"/>
          <w:noProof/>
          <w:sz w:val="24"/>
          <w:szCs w:val="24"/>
        </w:rPr>
        <w:t xml:space="preserve">. </w:t>
      </w:r>
    </w:p>
    <w:p w14:paraId="744DE07D" w14:textId="77777777" w:rsidR="00D173CF" w:rsidRDefault="00D173CF" w:rsidP="00D173CF">
      <w:pPr>
        <w:spacing w:line="240" w:lineRule="auto"/>
        <w:jc w:val="both"/>
        <w:rPr>
          <w:rFonts w:ascii="Arial" w:hAnsi="Arial" w:cs="Arial"/>
          <w:b/>
          <w:bCs/>
          <w:sz w:val="24"/>
          <w:szCs w:val="24"/>
        </w:rPr>
      </w:pPr>
    </w:p>
    <w:p w14:paraId="6AAA05E2" w14:textId="77777777" w:rsidR="00D173CF" w:rsidRDefault="00D173CF" w:rsidP="00D173CF">
      <w:pPr>
        <w:spacing w:line="240" w:lineRule="auto"/>
        <w:jc w:val="both"/>
        <w:rPr>
          <w:rFonts w:ascii="Arial" w:hAnsi="Arial" w:cs="Arial"/>
          <w:sz w:val="24"/>
          <w:szCs w:val="24"/>
        </w:rPr>
      </w:pPr>
      <w:r>
        <w:rPr>
          <w:rFonts w:ascii="Arial" w:hAnsi="Arial" w:cs="Arial"/>
          <w:sz w:val="24"/>
          <w:szCs w:val="24"/>
        </w:rPr>
        <w:t xml:space="preserve">Presented as a viable alternative to traditional one-to-one interviews, MMIs have attracted increasing positive attention in the healthcare literature as they have “consistently shown statistically significant, practically relevant, positive predictive correlations with future performance” </w:t>
      </w:r>
      <w:r>
        <w:rPr>
          <w:rFonts w:ascii="Arial" w:hAnsi="Arial" w:cs="Arial"/>
          <w:sz w:val="24"/>
          <w:szCs w:val="24"/>
        </w:rPr>
        <w:fldChar w:fldCharType="begin" w:fldLock="1"/>
      </w:r>
      <w:r>
        <w:rPr>
          <w:rFonts w:ascii="Arial" w:hAnsi="Arial" w:cs="Arial"/>
          <w:sz w:val="24"/>
          <w:szCs w:val="24"/>
        </w:rPr>
        <w:instrText>ADDIN CSL_CITATION {"citationItems":[{"id":"ITEM-1","itemData":{"DOI":"10.1007/s10459-009-9160-8","ISSN":"13824996","abstract":"Admissions committees and researchers around the globe have used diligence and imagination to develop and implement various screening measures with the ultimate goal of predicting future clinical and professional performance. What works for predicting future job performance in the human resources world and in most of the academic world may not, however, work for the highly competitive world of medical school applicants. For the job of differentiating within the highly range-restricted pool of medical school aspirants, only the most reliable assessment tools need apply. The tools that have generally shown predictive validity in future performance include academic scores like grade point average, aptitude tests like the Medical College Admissions Test, and non-cognitive testing like the multiple mini-interview. The list of assessment tools that have not robustly met that mark is longer, including personal interview, personal statement, letters of reference, personality testing, emotional intelligence and (so far) situational judgment tests. When seen purely from the standpoint of predictive validity, the trends over time towards success or failure of these measures provide insight into future tool development. © Springer Science+Business Media B.V. 2009.","author":[{"dropping-particle":"","family":"Siu","given":"Eric","non-dropping-particle":"","parse-names":false,"suffix":""},{"dropping-particle":"","family":"Reiter","given":"Harold I.","non-dropping-particle":"","parse-names":false,"suffix":""}],"container-title":"Advances in Health Sciences Education","id":"ITEM-1","issue":"5","issued":{"date-parts":[["2009"]]},"page":"759-775","title":"Overview: What's worked and what hasn't as a guide towards predictive Admissions tool development","type":"article-journal","volume":"14"},"uris":["http://www.mendeley.com/documents/?uuid=dab9eced-0da7-4e27-9af1-af4023ea72b7"]}],"mendeley":{"formattedCitation":"(Siu &amp; Reiter, 2009)","manualFormatting":"(Siu &amp; Reiter, 2009, p. 761)","plainTextFormattedCitation":"(Siu &amp; Reiter, 2009)","previouslyFormattedCitation":"(Siu &amp; Reiter, 2009)"},"properties":{"noteIndex":0},"schema":"https://github.com/citation-style-language/schema/raw/master/csl-citation.json"}</w:instrText>
      </w:r>
      <w:r>
        <w:rPr>
          <w:rFonts w:ascii="Arial" w:hAnsi="Arial" w:cs="Arial"/>
          <w:sz w:val="24"/>
          <w:szCs w:val="24"/>
        </w:rPr>
        <w:fldChar w:fldCharType="separate"/>
      </w:r>
      <w:r w:rsidRPr="00E82CE8">
        <w:rPr>
          <w:rFonts w:ascii="Arial" w:hAnsi="Arial" w:cs="Arial"/>
          <w:noProof/>
          <w:sz w:val="24"/>
          <w:szCs w:val="24"/>
        </w:rPr>
        <w:t>(Siu &amp; Reiter, 2009</w:t>
      </w:r>
      <w:r>
        <w:rPr>
          <w:rFonts w:ascii="Arial" w:hAnsi="Arial" w:cs="Arial"/>
          <w:noProof/>
          <w:sz w:val="24"/>
          <w:szCs w:val="24"/>
        </w:rPr>
        <w:t>, p. 761</w:t>
      </w:r>
      <w:r w:rsidRPr="00E82CE8">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Valued for the ability to allow multiple interviewers to evaluate multiple candidates’ non-cognitive capacity through values-based scenarios and reduce interviewer bias, time, labour and costs </w:t>
      </w:r>
      <w:r>
        <w:rPr>
          <w:rFonts w:ascii="Arial" w:hAnsi="Arial" w:cs="Arial"/>
          <w:sz w:val="24"/>
          <w:szCs w:val="24"/>
        </w:rPr>
        <w:fldChar w:fldCharType="begin" w:fldLock="1"/>
      </w:r>
      <w:r>
        <w:rPr>
          <w:rFonts w:ascii="Arial" w:hAnsi="Arial" w:cs="Arial"/>
          <w:sz w:val="24"/>
          <w:szCs w:val="24"/>
        </w:rPr>
        <w:instrText>ADDIN CSL_CITATION {"citationItems":[{"id":"ITEM-1","itemData":{"DOI":"10.1046/j.1365-2923.2004.01776.x","ISSN":"03080110","PMID":"14996341","abstract":"CONTEXT: Although health sciences programmes continue to value non-cognitive variables such as interpersonal skills and professionalism, it is not clear that current admissions tools like the personal interview are capable of assessing ability in these domains. Hypothesising that many of the problems with the personal interview might be explained, at least in part, by it being yet another measurement tool that is plagued by context specificity, we have attempted to develop a multiple sample approach to the personal interview. METHODS: A group of 117 applicants to the undergraduate MD programme at McMaster University participated in a multiple mini-interview (MMI), consisting of 10 short objective structured clinical examination (OSCE)-style stations, in which they were presented with scenarios that required them to discuss a health-related issue (e.g. the use of placebos) with an interviewer, interact with a standardised confederate while an examiner observed the interpersonal skills displayed, or answer traditional interview questions. RESULTS: The reliability of the MMI was observed to be 0.65. Furthermore, the hypothesis that context specificity might reduce the validity of traditional interviews was supported by the finding that the variance component attributable to candidate-station interaction was greater than that attributable to candidate. Both applicants and examiners were positive about the experience and the potential for this protocol. DISCUSSION: The principles used in developing this new admissions instrument, the flexibility inherent in the multiple mini-interview, and its feasibility and cost-effectiveness are discussed.","author":[{"dropping-particle":"","family":"Eva","given":"Kevin W.","non-dropping-particle":"","parse-names":false,"suffix":""},{"dropping-particle":"","family":"Rosenfeld","given":"Jack","non-dropping-particle":"","parse-names":false,"suffix":""},{"dropping-particle":"","family":"Reiter","given":"Harold I.","non-dropping-particle":"","parse-names":false,"suffix":""},{"dropping-particle":"","family":"Norman","given":"Geoffrey R.","non-dropping-particle":"","parse-names":false,"suffix":""}],"container-title":"Medical Education","id":"ITEM-1","issue":"3","issued":{"date-parts":[["2004"]]},"page":"314-326","title":"An admissions OSCE: The multiple mini-interview","type":"article-journal","volume":"38"},"uris":["http://www.mendeley.com/documents/?uuid=857aeed7-13dc-4a7b-a867-a3914445313f"]},{"id":"ITEM-2","itemData":{"ISSN":"1945404X","PMID":"24598901","abstract":"Many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Health","id":"ITEM-2","issue":"1","issued":{"date-parts":[["2014"]]},"page":"57-61","title":"Use of multiple mini-interviews for occupational therapy admissions","type":"article-journal","volume":"43"},"uris":["http://www.mendeley.com/documents/?uuid=e231a303-d122-4bcd-8924-377f45f73afa"]}],"mendeley":{"formattedCitation":"(Eva et al., 2004; Grice, 2014)","manualFormatting":"(Eva et al., 2004)","plainTextFormattedCitation":"(Eva et al., 2004; Grice, 2014)","previouslyFormattedCitation":"(Eva et al., 2004; Grice, 2014)"},"properties":{"noteIndex":0},"schema":"https://github.com/citation-style-language/schema/raw/master/csl-citation.json"}</w:instrText>
      </w:r>
      <w:r>
        <w:rPr>
          <w:rFonts w:ascii="Arial" w:hAnsi="Arial" w:cs="Arial"/>
          <w:sz w:val="24"/>
          <w:szCs w:val="24"/>
        </w:rPr>
        <w:fldChar w:fldCharType="separate"/>
      </w:r>
      <w:r>
        <w:rPr>
          <w:rFonts w:ascii="Arial" w:hAnsi="Arial" w:cs="Arial"/>
          <w:noProof/>
          <w:sz w:val="24"/>
          <w:szCs w:val="24"/>
        </w:rPr>
        <w:t>(Eva et al., 2004</w:t>
      </w:r>
      <w:r w:rsidRPr="00F5117E">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a trial of the MMI with one OT program over 2 admissions cycles (</w:t>
      </w:r>
      <w:r>
        <w:rPr>
          <w:rFonts w:ascii="Arial" w:hAnsi="Arial" w:cs="Arial"/>
          <w:i/>
          <w:iCs/>
          <w:sz w:val="24"/>
          <w:szCs w:val="24"/>
        </w:rPr>
        <w:t>n=</w:t>
      </w:r>
      <w:r>
        <w:rPr>
          <w:rFonts w:ascii="Arial" w:hAnsi="Arial" w:cs="Arial"/>
          <w:sz w:val="24"/>
          <w:szCs w:val="24"/>
        </w:rPr>
        <w:t xml:space="preserve">106 applicants) found that 98% found it at least “satisfactory” and no candidates reported it to be a worse experience in comparison to other selection styles they had encountered. Additionally, the OT admissions team considered the MMI preferable to traditional interviews due to its ability to increase objectivity, reduce bias, offer a better picture of candidate character and skills and prevent candidates the opportunity to rehearse </w:t>
      </w:r>
      <w:r>
        <w:rPr>
          <w:rFonts w:ascii="Arial" w:hAnsi="Arial" w:cs="Arial"/>
          <w:sz w:val="24"/>
          <w:szCs w:val="24"/>
        </w:rPr>
        <w:fldChar w:fldCharType="begin" w:fldLock="1"/>
      </w:r>
      <w:r>
        <w:rPr>
          <w:rFonts w:ascii="Arial" w:hAnsi="Arial" w:cs="Arial"/>
          <w:sz w:val="24"/>
          <w:szCs w:val="24"/>
        </w:rPr>
        <w:instrText>ADDIN CSL_CITATION {"citationItems":[{"id":"ITEM-1","itemData":{"ISSN":"1945404X","PMID":"24598901","abstract":"Many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Health","id":"ITEM-1","issue":"1","issued":{"date-parts":[["2014"]]},"page":"57-61","title":"Use of multiple mini-interviews for occupational therapy admissions","type":"article-journal","volume":"43"},"uris":["http://www.mendeley.com/documents/?uuid=e231a303-d122-4bcd-8924-377f45f73afa"]}],"mendeley":{"formattedCitation":"(Grice, 2014)","plainTextFormattedCitation":"(Grice, 2014)","previouslyFormattedCitation":"(Grice, 2014)"},"properties":{"noteIndex":0},"schema":"https://github.com/citation-style-language/schema/raw/master/csl-citation.json"}</w:instrText>
      </w:r>
      <w:r>
        <w:rPr>
          <w:rFonts w:ascii="Arial" w:hAnsi="Arial" w:cs="Arial"/>
          <w:sz w:val="24"/>
          <w:szCs w:val="24"/>
        </w:rPr>
        <w:fldChar w:fldCharType="separate"/>
      </w:r>
      <w:r w:rsidRPr="003409A9">
        <w:rPr>
          <w:rFonts w:ascii="Arial" w:hAnsi="Arial" w:cs="Arial"/>
          <w:noProof/>
          <w:sz w:val="24"/>
          <w:szCs w:val="24"/>
        </w:rPr>
        <w:t>(Grice, 2014)</w:t>
      </w:r>
      <w:r>
        <w:rPr>
          <w:rFonts w:ascii="Arial" w:hAnsi="Arial" w:cs="Arial"/>
          <w:sz w:val="24"/>
          <w:szCs w:val="24"/>
        </w:rPr>
        <w:fldChar w:fldCharType="end"/>
      </w:r>
      <w:r>
        <w:rPr>
          <w:rFonts w:ascii="Arial" w:hAnsi="Arial" w:cs="Arial"/>
          <w:sz w:val="24"/>
          <w:szCs w:val="24"/>
        </w:rPr>
        <w:t xml:space="preserve">. </w:t>
      </w:r>
    </w:p>
    <w:p w14:paraId="6B290FB8" w14:textId="77777777" w:rsidR="00D173CF" w:rsidRDefault="00D173CF" w:rsidP="00D173CF">
      <w:pPr>
        <w:spacing w:line="240" w:lineRule="auto"/>
        <w:jc w:val="both"/>
        <w:rPr>
          <w:rFonts w:ascii="Arial" w:hAnsi="Arial" w:cs="Arial"/>
          <w:sz w:val="24"/>
          <w:szCs w:val="24"/>
        </w:rPr>
      </w:pPr>
      <w:r>
        <w:rPr>
          <w:rFonts w:ascii="Arial" w:hAnsi="Arial" w:cs="Arial"/>
          <w:sz w:val="24"/>
          <w:szCs w:val="24"/>
        </w:rPr>
        <w:t xml:space="preserve">Citing the questionable reliability and validity of structured interviews in selecting successful applicants, 64 OT students were interviewed using a behavioural interview (BI) designed to assess interpersonal skills, ability as a team player, reflective and professional skills using client case scenarios. As with the MMI, feedback from faculty and candidates positively favoured the BI process over traditional interviews and while correlations between the BI score and first semester academic scores were not significant, further investigation of the BI as a tool for selecting successful applicants is indicated </w:t>
      </w:r>
      <w:r>
        <w:rPr>
          <w:rFonts w:ascii="Arial" w:hAnsi="Arial" w:cs="Arial"/>
          <w:sz w:val="24"/>
          <w:szCs w:val="24"/>
        </w:rPr>
        <w:fldChar w:fldCharType="begin" w:fldLock="1"/>
      </w:r>
      <w:r>
        <w:rPr>
          <w:rFonts w:ascii="Arial" w:hAnsi="Arial" w:cs="Arial"/>
          <w:sz w:val="24"/>
          <w:szCs w:val="24"/>
        </w:rPr>
        <w:instrText>ADDIN CSL_CITATION {"citationItems":[{"id":"ITEM-1","itemData":{"DOI":"10.26681/jote.2017.010107","ISSN":"2573-1378","abstract":"We describe results of an experimental investigation into the orientation state of liquid crystalline solutions of poly(benzy1 glutamate) under shear flow and how the microscopic structure relates to the macroscopic mechanical rheological behavior. The technique of flow birefringence was used to study the degree of molecular orientation. A spectrographic flow birefringence apparatus is described that eliminates ambiguities associated with multiple orders of retardation in birefringence measurements. The birefringence observed in textured solutions under shear flow is always less than that measured in quiescent, defect-free monodomains of the solutions. At low shear rates, the birefringence is roughly constant and in the range of 5343% of that observed in a monodomain; there is no evidence of a low-orientation, \" piled polydomain \" structure. At high shear rates, the birefringence is again roughly constant and around 90% of the monodomain value. The transition between low-and high-orientation states as a function of shear rate is closely correlated with changes in sign of the first normal stress difference of these Solutions, leading us to identify it as a manifestation of a transition between regimes of director tumbling at low shear rates and flow alignment at high shear rates. These observations are compared qualitatively and quantatively with predictions of the nonlinear Doi molecular model for textureleas samples [Laraon, R. G. Macromolecules 1990,23,3983] and the linear Larson and Doi tumbling polydomain model for textured samples [Laraon, R. G.; Doi, M. J. Rheol. 1991,35,539]. An accompanying paper considers transient flow phenomena at low shear rates.","author":[{"dropping-particle":"","family":"Li","given":"Kitsum","non-dropping-particle":"","parse-names":false,"suffix":""},{"dropping-particle":"","family":"Wilbarger","given":"Julia","non-dropping-particle":"","parse-names":false,"suffix":""},{"dropping-particle":"","family":"Louis","given":"Shad","non-dropping-particle":"St.","parse-names":false,"suffix":""}],"container-title":"Journal of Occupational Therapy Education","id":"ITEM-1","issue":"1","issued":{"date-parts":[["2017"]]},"title":"An Innovative Behavioral Interview for Pre-admission Selection of Occupational Therapy Students","type":"article-journal","volume":"1"},"uris":["http://www.mendeley.com/documents/?uuid=5b95c02d-97fc-431e-9eaa-e94063d4eed5"]}],"mendeley":{"formattedCitation":"(Li et al., 2017)","plainTextFormattedCitation":"(Li et al., 2017)","previouslyFormattedCitation":"(Li et al., 2017)"},"properties":{"noteIndex":0},"schema":"https://github.com/citation-style-language/schema/raw/master/csl-citation.json"}</w:instrText>
      </w:r>
      <w:r>
        <w:rPr>
          <w:rFonts w:ascii="Arial" w:hAnsi="Arial" w:cs="Arial"/>
          <w:sz w:val="24"/>
          <w:szCs w:val="24"/>
        </w:rPr>
        <w:fldChar w:fldCharType="separate"/>
      </w:r>
      <w:r w:rsidRPr="00964624">
        <w:rPr>
          <w:rFonts w:ascii="Arial" w:hAnsi="Arial" w:cs="Arial"/>
          <w:noProof/>
          <w:sz w:val="24"/>
          <w:szCs w:val="24"/>
        </w:rPr>
        <w:t>(Li et al., 2017)</w:t>
      </w:r>
      <w:r>
        <w:rPr>
          <w:rFonts w:ascii="Arial" w:hAnsi="Arial" w:cs="Arial"/>
          <w:sz w:val="24"/>
          <w:szCs w:val="24"/>
        </w:rPr>
        <w:fldChar w:fldCharType="end"/>
      </w:r>
      <w:r>
        <w:rPr>
          <w:rFonts w:ascii="Arial" w:hAnsi="Arial" w:cs="Arial"/>
          <w:sz w:val="24"/>
          <w:szCs w:val="24"/>
        </w:rPr>
        <w:t xml:space="preserve">. </w:t>
      </w:r>
    </w:p>
    <w:p w14:paraId="545ED439" w14:textId="77777777" w:rsidR="00A30889" w:rsidRDefault="00A30889" w:rsidP="00D173CF">
      <w:pPr>
        <w:spacing w:line="240" w:lineRule="auto"/>
        <w:jc w:val="both"/>
        <w:rPr>
          <w:rFonts w:ascii="Arial" w:hAnsi="Arial" w:cs="Arial"/>
          <w:sz w:val="24"/>
          <w:szCs w:val="24"/>
        </w:rPr>
      </w:pPr>
    </w:p>
    <w:p w14:paraId="0EAB9286" w14:textId="77777777" w:rsidR="00A30889" w:rsidRPr="00CD2786" w:rsidRDefault="00A30889" w:rsidP="00A30889">
      <w:pPr>
        <w:spacing w:line="240" w:lineRule="auto"/>
        <w:rPr>
          <w:rFonts w:ascii="Arial" w:hAnsi="Arial" w:cs="Arial"/>
          <w:b/>
          <w:bCs/>
          <w:sz w:val="24"/>
          <w:szCs w:val="24"/>
        </w:rPr>
      </w:pPr>
      <w:r>
        <w:rPr>
          <w:rFonts w:ascii="Arial" w:hAnsi="Arial" w:cs="Arial"/>
          <w:b/>
          <w:bCs/>
          <w:sz w:val="24"/>
          <w:szCs w:val="24"/>
        </w:rPr>
        <w:t>UK</w:t>
      </w:r>
    </w:p>
    <w:p w14:paraId="6720C80A" w14:textId="7917ED47" w:rsidR="00A30889" w:rsidRDefault="00A30889" w:rsidP="00A30889">
      <w:pPr>
        <w:spacing w:line="240" w:lineRule="auto"/>
        <w:rPr>
          <w:rFonts w:ascii="Arial" w:hAnsi="Arial" w:cs="Arial"/>
          <w:noProof/>
          <w:sz w:val="24"/>
          <w:szCs w:val="24"/>
        </w:rPr>
      </w:pPr>
      <w:r>
        <w:rPr>
          <w:rFonts w:ascii="Arial" w:hAnsi="Arial" w:cs="Arial"/>
          <w:sz w:val="24"/>
          <w:szCs w:val="24"/>
        </w:rPr>
        <w:t>Although there is an identified need to assess and record professional values at admission, UK professional,</w:t>
      </w:r>
      <w:r w:rsidRPr="00B64386">
        <w:rPr>
          <w:rFonts w:ascii="Arial" w:hAnsi="Arial" w:cs="Arial"/>
          <w:sz w:val="24"/>
          <w:szCs w:val="24"/>
        </w:rPr>
        <w:t xml:space="preserve"> educationa</w:t>
      </w:r>
      <w:r>
        <w:rPr>
          <w:rFonts w:ascii="Arial" w:hAnsi="Arial" w:cs="Arial"/>
          <w:sz w:val="24"/>
          <w:szCs w:val="24"/>
        </w:rPr>
        <w:t xml:space="preserve">l and ethical OT </w:t>
      </w:r>
      <w:r w:rsidRPr="00B64386">
        <w:rPr>
          <w:rFonts w:ascii="Arial" w:hAnsi="Arial" w:cs="Arial"/>
          <w:sz w:val="24"/>
          <w:szCs w:val="24"/>
        </w:rPr>
        <w:t>standards</w:t>
      </w:r>
      <w:r>
        <w:rPr>
          <w:rFonts w:ascii="Arial" w:hAnsi="Arial" w:cs="Arial"/>
          <w:sz w:val="24"/>
          <w:szCs w:val="24"/>
        </w:rPr>
        <w:t xml:space="preserve"> </w:t>
      </w:r>
      <w:r w:rsidRPr="00B64386">
        <w:rPr>
          <w:rFonts w:ascii="Arial" w:hAnsi="Arial" w:cs="Arial"/>
          <w:sz w:val="24"/>
          <w:szCs w:val="24"/>
        </w:rPr>
        <w:fldChar w:fldCharType="begin" w:fldLock="1"/>
      </w:r>
      <w:r>
        <w:rPr>
          <w:rFonts w:ascii="Arial" w:hAnsi="Arial" w:cs="Arial"/>
          <w:sz w:val="24"/>
          <w:szCs w:val="24"/>
        </w:rPr>
        <w:instrText>ADDIN CSL_CITATION {"citationItems":[{"id":"ITEM-1","itemData":{"ISBN":"9781905944040","author":[{"dropping-particle":"","family":"College of Occupational Therapists","given":"","non-dropping-particle":"","parse-names":false,"suffix":""}],"container-title":"Higher Education","id":"ITEM-1","issued":{"date-parts":[["2007"]]},"number-of-pages":"1-4","title":"Professional Standards for Occupational Therapy Practice","type":"book"},"uris":["http://www.mendeley.com/documents/?uuid=9046141b-b793-45e9-99fa-6b6921fb2caa"]},{"id":"ITEM-2","itemData":{"DOI":"https://doi.org/10.1016/j.ijproman.2015.06.008","ISBN":"9781905944200","ISSN":"00010782","abstract":"The Code of ethics and professional conduct (hereafter referred to as ‘the Code’) is produced by the College of Occupational Therapists, for and on behalf of the British Association of Occupational Therapists (BAOT), the national professional body and trade union for occupational therapists throughout the United Kingdom (UK). The College of Occupational Therapists (COT or College) is the subsidiary organisation, with delegated responsibility for the promotion of good practice. ii. The College is committed to person-centred practice and the involvement of the service user as a partner","author":[{"dropping-particle":"","family":"College of Occupational Therapists","given":"","non-dropping-particle":"","parse-names":false,"suffix":""}],"container-title":"College of Occupational Therapists Document","id":"ITEM-2","issued":{"date-parts":[["2015"]]},"number-of-pages":"1-68","title":"Code of Ethics and Professional Conduct","type":"book"},"uris":["http://www.mendeley.com/documents/?uuid=19f0df11-67a0-427c-9735-37d0d615e157"]},{"id":"ITEM-3","itemData":{"author":[{"dropping-particle":"","family":"College of Occupational Therapists","given":"","non-dropping-particle":"","parse-names":false,"suffix":""}],"id":"ITEM-3","issued":{"date-parts":[["2016"]]},"number-of-pages":"12","title":"Entry level occupational therapy core knowledge and practice skills","type":"report"},"uris":["http://www.mendeley.com/documents/?uuid=7613f489-ab60-4613-8775-f1a64954a3cd"]},{"id":"ITEM-4","itemData":{"author":[{"dropping-particle":"","family":"College of Occupational Therapists","given":"","non-dropping-particle":"","parse-names":false,"suffix":""}],"id":"ITEM-4","issued":{"date-parts":[["2014"]]},"title":"College of Occupational Therapists ’ learning and development standards for pre-registration education","type":"report"},"uris":["http://www.mendeley.com/documents/?uuid=7b3680f7-6de4-4832-a79c-3b78201f66af"]}],"mendeley":{"formattedCitation":"(College of Occupational Therapists, 2007, 2014a, 2015, 2016)","manualFormatting":"(College of Occupational Therapists, 2007, 2014a, 2015)","plainTextFormattedCitation":"(College of Occupational Therapists, 2007, 2014a, 2015, 2016)","previouslyFormattedCitation":"(College of Occupational Therapists, 2007, 2014a, 2015, 2016)"},"properties":{"noteIndex":0},"schema":"https://github.com/citation-style-language/schema/raw/master/csl-citation.json"}</w:instrText>
      </w:r>
      <w:r w:rsidRPr="00B64386">
        <w:rPr>
          <w:rFonts w:ascii="Arial" w:hAnsi="Arial" w:cs="Arial"/>
          <w:sz w:val="24"/>
          <w:szCs w:val="24"/>
        </w:rPr>
        <w:fldChar w:fldCharType="separate"/>
      </w:r>
      <w:r w:rsidRPr="00B64386">
        <w:rPr>
          <w:rFonts w:ascii="Arial" w:hAnsi="Arial" w:cs="Arial"/>
          <w:noProof/>
          <w:sz w:val="24"/>
          <w:szCs w:val="24"/>
        </w:rPr>
        <w:t>(College of Occupational Therapists, 2007, 2014</w:t>
      </w:r>
      <w:r>
        <w:rPr>
          <w:rFonts w:ascii="Arial" w:hAnsi="Arial" w:cs="Arial"/>
          <w:noProof/>
          <w:sz w:val="24"/>
          <w:szCs w:val="24"/>
        </w:rPr>
        <w:t>a</w:t>
      </w:r>
      <w:r w:rsidRPr="00B64386">
        <w:rPr>
          <w:rFonts w:ascii="Arial" w:hAnsi="Arial" w:cs="Arial"/>
          <w:noProof/>
          <w:sz w:val="24"/>
          <w:szCs w:val="24"/>
        </w:rPr>
        <w:t>, 2015)</w:t>
      </w:r>
      <w:r w:rsidRPr="00B64386">
        <w:rPr>
          <w:rFonts w:ascii="Arial" w:hAnsi="Arial" w:cs="Arial"/>
          <w:sz w:val="24"/>
          <w:szCs w:val="24"/>
        </w:rPr>
        <w:fldChar w:fldCharType="end"/>
      </w:r>
      <w:r>
        <w:rPr>
          <w:rFonts w:ascii="Arial" w:hAnsi="Arial" w:cs="Arial"/>
          <w:sz w:val="24"/>
          <w:szCs w:val="24"/>
        </w:rPr>
        <w:t xml:space="preserve"> </w:t>
      </w:r>
      <w:r w:rsidRPr="00B64386">
        <w:rPr>
          <w:rFonts w:ascii="Arial" w:hAnsi="Arial" w:cs="Arial"/>
          <w:sz w:val="24"/>
          <w:szCs w:val="24"/>
        </w:rPr>
        <w:t>do not include a definition of the</w:t>
      </w:r>
      <w:r>
        <w:rPr>
          <w:rFonts w:ascii="Arial" w:hAnsi="Arial" w:cs="Arial"/>
          <w:sz w:val="24"/>
          <w:szCs w:val="24"/>
        </w:rPr>
        <w:t xml:space="preserve"> </w:t>
      </w:r>
      <w:r w:rsidRPr="00B64386">
        <w:rPr>
          <w:rFonts w:ascii="Arial" w:hAnsi="Arial" w:cs="Arial"/>
          <w:sz w:val="24"/>
          <w:szCs w:val="24"/>
        </w:rPr>
        <w:t>term(s) professional, professionalism or professionalization</w:t>
      </w:r>
      <w:r>
        <w:rPr>
          <w:rFonts w:ascii="Arial" w:hAnsi="Arial" w:cs="Arial"/>
          <w:sz w:val="24"/>
          <w:szCs w:val="24"/>
        </w:rPr>
        <w:t xml:space="preserve">, despite including a list of ‘key terms’, thus leaving the reader to analyse and interpret individual meanings of professional behaviours. An absence of definitive, succinct and accepted definitions </w:t>
      </w:r>
      <w:r w:rsidRPr="00B64386">
        <w:rPr>
          <w:rFonts w:ascii="Arial" w:hAnsi="Arial" w:cs="Arial"/>
          <w:sz w:val="24"/>
          <w:szCs w:val="24"/>
        </w:rPr>
        <w:t xml:space="preserve">is </w:t>
      </w:r>
      <w:r>
        <w:rPr>
          <w:rFonts w:ascii="Arial" w:hAnsi="Arial" w:cs="Arial"/>
          <w:sz w:val="24"/>
          <w:szCs w:val="24"/>
        </w:rPr>
        <w:t>not unique to</w:t>
      </w:r>
      <w:r w:rsidRPr="00B64386">
        <w:rPr>
          <w:rFonts w:ascii="Arial" w:hAnsi="Arial" w:cs="Arial"/>
          <w:sz w:val="24"/>
          <w:szCs w:val="24"/>
        </w:rPr>
        <w:t xml:space="preserve"> the UK </w:t>
      </w:r>
      <w:r w:rsidRPr="00B64386">
        <w:rPr>
          <w:rFonts w:ascii="Arial" w:hAnsi="Arial" w:cs="Arial"/>
          <w:sz w:val="24"/>
          <w:szCs w:val="24"/>
        </w:rPr>
        <w:fldChar w:fldCharType="begin" w:fldLock="1"/>
      </w:r>
      <w:r>
        <w:rPr>
          <w:rFonts w:ascii="Arial" w:hAnsi="Arial" w:cs="Arial"/>
          <w:sz w:val="24"/>
          <w:szCs w:val="24"/>
        </w:rPr>
        <w:instrText>ADDIN CSL_CITATION {"citationItems":[{"id":"ITEM-1","itemData":{"DOI":"10.2182/cjot.2012.79.5.3","ISBN":"00084174 (ISSN)","ISSN":"00084174","PMID":"23539772","abstract":"BACKGROUND: Professionalism is a complex, multifaceted concept embedded within the curricula of occupational therapy programs and professional documents; yet there is no clear explanation in the literature. PURPOSE: To explore occupational therapy faculty and students' perspectives of the meaning of professionalism. METHODS: This interpretivist qualitative study used convenience sampling to recruit eight second-year occupational therapy master's students and five occupational therapy faculty members to participate in two separate focus groups. Open-coding and constant comparative methods were used to identify themes. FINDINGS: Data analysis yielded the following student focus group themes: uncertainty about professional expectations; searching for answers through concrete concepts; and the context-specific nature of professionalism. Faculty focus group themes were professional responsibility; professional awareness; and the context-specific nature of professionalism. Understanding and enacting professionalism may be a developmental process. IMPLICATIONS: Further exploration of the meaning of professionalism from a variety of other occupational therapy stakeholders is needed.","author":[{"dropping-particle":"","family":"Robinson","given":"Allison J.","non-dropping-particle":"","parse-names":false,"suffix":""},{"dropping-particle":"","family":"Tanchuk","given":"Chelsea J.","non-dropping-particle":"","parse-names":false,"suffix":""},{"dropping-particle":"","family":"Sullivan","given":"Theresa M.","non-dropping-particle":"","parse-names":false,"suffix":""}],"container-title":"Canadian Journal of Occupational Therapy","id":"ITEM-1","issue":"5","issued":{"date-parts":[["2012"]]},"page":"275-284","title":"Professionalism and occupational therapy: An exploration of faculty and students' perspectives","type":"article-journal","volume":"79"},"uris":["http://www.mendeley.com/documents/?uuid=e2669f2c-9bed-4618-a4bb-d8ec06c680bb"]}],"mendeley":{"formattedCitation":"(Robinson, Tanchuk, &amp; Sullivan, 2012)","plainTextFormattedCitation":"(Robinson, Tanchuk, &amp; Sullivan, 2012)","previouslyFormattedCitation":"(Robinson, Tanchuk, &amp; Sullivan, 2012)"},"properties":{"noteIndex":0},"schema":"https://github.com/citation-style-language/schema/raw/master/csl-citation.json"}</w:instrText>
      </w:r>
      <w:r w:rsidRPr="00B64386">
        <w:rPr>
          <w:rFonts w:ascii="Arial" w:hAnsi="Arial" w:cs="Arial"/>
          <w:sz w:val="24"/>
          <w:szCs w:val="24"/>
        </w:rPr>
        <w:fldChar w:fldCharType="separate"/>
      </w:r>
      <w:r w:rsidRPr="00476518">
        <w:rPr>
          <w:rFonts w:ascii="Arial" w:hAnsi="Arial" w:cs="Arial"/>
          <w:noProof/>
          <w:sz w:val="24"/>
          <w:szCs w:val="24"/>
        </w:rPr>
        <w:t>(Robinson, Tanchuk, &amp; Sullivan, 2012)</w:t>
      </w:r>
      <w:r w:rsidRPr="00B64386">
        <w:rPr>
          <w:rFonts w:ascii="Arial" w:hAnsi="Arial" w:cs="Arial"/>
          <w:sz w:val="24"/>
          <w:szCs w:val="24"/>
        </w:rPr>
        <w:fldChar w:fldCharType="end"/>
      </w:r>
      <w:r>
        <w:rPr>
          <w:rFonts w:ascii="Arial" w:hAnsi="Arial" w:cs="Arial"/>
          <w:sz w:val="24"/>
          <w:szCs w:val="24"/>
        </w:rPr>
        <w:t>, suggesting</w:t>
      </w:r>
      <w:r w:rsidRPr="00B64386">
        <w:rPr>
          <w:rFonts w:ascii="Arial" w:hAnsi="Arial" w:cs="Arial"/>
          <w:sz w:val="24"/>
          <w:szCs w:val="24"/>
        </w:rPr>
        <w:t xml:space="preserve"> that while professionalism is </w:t>
      </w:r>
      <w:r w:rsidR="009548A0">
        <w:rPr>
          <w:rFonts w:ascii="Arial" w:hAnsi="Arial" w:cs="Arial"/>
          <w:sz w:val="24"/>
          <w:szCs w:val="24"/>
        </w:rPr>
        <w:t xml:space="preserve">firmly embedded in </w:t>
      </w:r>
      <w:r>
        <w:rPr>
          <w:rFonts w:ascii="Arial" w:hAnsi="Arial" w:cs="Arial"/>
          <w:sz w:val="24"/>
          <w:szCs w:val="24"/>
        </w:rPr>
        <w:t>OT</w:t>
      </w:r>
      <w:r w:rsidRPr="00B64386">
        <w:rPr>
          <w:rFonts w:ascii="Arial" w:hAnsi="Arial" w:cs="Arial"/>
          <w:sz w:val="24"/>
          <w:szCs w:val="24"/>
        </w:rPr>
        <w:t xml:space="preserve"> curricula and documentation, there is a lack of explicit discussion, understanding and universal agreement of the term</w:t>
      </w:r>
      <w:r>
        <w:rPr>
          <w:rFonts w:ascii="Arial" w:hAnsi="Arial" w:cs="Arial"/>
          <w:sz w:val="24"/>
          <w:szCs w:val="24"/>
        </w:rPr>
        <w:t>s</w:t>
      </w:r>
      <w:r w:rsidRPr="00B64386">
        <w:rPr>
          <w:rFonts w:ascii="Arial" w:hAnsi="Arial" w:cs="Arial"/>
          <w:sz w:val="24"/>
          <w:szCs w:val="24"/>
        </w:rPr>
        <w:t xml:space="preserve"> </w:t>
      </w:r>
      <w:r>
        <w:rPr>
          <w:rFonts w:ascii="Arial" w:hAnsi="Arial" w:cs="Arial"/>
          <w:sz w:val="24"/>
          <w:szCs w:val="24"/>
        </w:rPr>
        <w:t xml:space="preserve">in </w:t>
      </w:r>
      <w:r w:rsidRPr="00B64386">
        <w:rPr>
          <w:rFonts w:ascii="Arial" w:hAnsi="Arial" w:cs="Arial"/>
          <w:sz w:val="24"/>
          <w:szCs w:val="24"/>
        </w:rPr>
        <w:t xml:space="preserve">Western cultures </w:t>
      </w:r>
      <w:r w:rsidRPr="00B64386">
        <w:rPr>
          <w:rFonts w:ascii="Arial" w:hAnsi="Arial" w:cs="Arial"/>
          <w:sz w:val="24"/>
          <w:szCs w:val="24"/>
        </w:rPr>
        <w:fldChar w:fldCharType="begin" w:fldLock="1"/>
      </w:r>
      <w:r>
        <w:rPr>
          <w:rFonts w:ascii="Arial" w:hAnsi="Arial" w:cs="Arial"/>
          <w:sz w:val="24"/>
          <w:szCs w:val="24"/>
        </w:rPr>
        <w:instrText>ADDIN CSL_CITATION {"citationItems":[{"id":"ITEM-1","itemData":{"author":[{"dropping-particle":"","family":"Bossers, A, Kernaghan, J, Hodgins, L, Merla, L, O'Connor, C, Van Kessel","given":"M","non-dropping-particle":"","parse-names":false,"suffix":""}],"container-title":"Canadian Journal of Occupational Therapy","id":"ITEM-1","issue":"3","issued":{"date-parts":[["1999"]]},"page":"116-121","title":"Defining and developing professionalism","type":"article-journal","volume":"9"},"uris":["http://www.mendeley.com/documents/?uuid=76fe63a4-7621-48ae-a060-ff0f77516ce6"]},{"id":"ITEM-2","itemData":{"DOI":"10.1111/1440-1630.12204","ISSN":"14401630","PMID":"26032014","abstract":"INTRODUCTION The term professionalism is embedded within curriculum and occupational therapy documents, yet, explicit discussion of the concept is lacking in the literature. This paper strives for a greater understanding of how professionalism is currently conceptualised within Western occupational therapy literature. METHODS A broad literature search was conducted and included international peer-reviewed and grey literature from Western cultures including Australia, Canada, New Zealand, the United Kingdom and the United States. To enrich understanding, some documents from medicine were also included. FINDINGS Professionalism is widely upheld as a core construct of occupational therapy. However, an evidence-based consensus of the specific elements of professionalism guiding occupational therapy practice is lacking. Currently, understanding of professionalism is largely based on multiple, isolated concepts presented in Western professional association documents. RELEVANCE TO CLINICAL PRACTICE Acknowledging the multifaceted and multicultural nature of professionalism is essential to begin systematically delineating and conceptualising elements of professionalism specific to occupational therapy. LIMITATIONS This review has been conducted from a solely Western cultural lens. RECOMMENDATIONS FOR FURTHER RESEARCH Additional work to highlight differences specific to international contexts, cultures, and societal influences is needed to enrich the understanding of professionalism in occupational therapy practice.","author":[{"dropping-particle":"","family":"Hordichuk","given":"Chelsea J.","non-dropping-particle":"","parse-names":false,"suffix":""},{"dropping-particle":"","family":"Robinson","given":"Allison J.","non-dropping-particle":"","parse-names":false,"suffix":""},{"dropping-particle":"","family":"Sullivan","given":"Theresa M.","non-dropping-particle":"","parse-names":false,"suffix":""}],"container-title":"Australian Occupational Therapy Journal","id":"ITEM-2","issue":"3","issued":{"date-parts":[["2015"]]},"page":"150-159","title":"Conceptualising professionalism in occupational therapy through a Western lens","type":"article-journal","volume":"62"},"uris":["http://www.mendeley.com/documents/?uuid=5345cae2-db2e-4241-8f2c-14f25db64808"]},{"id":"ITEM-3","itemData":{"DOI":"10.1111/1440-1630.12017","ISBN":"0045-0766","ISSN":"00450766","PMID":"23730786","abstract":"BACKGROUND/AIM: Professionalism involves practitioners applying the values of their profession and demonstrating essential professional behaviours and attitudes. Within the Australian occupational therapy profession, there is little research on the values, behaviours and attitudes that constitute professionalism. As a result, there is limited understanding of professionalism, and the approaches used to enhance the professionalism of future practitioners are not evidence based. This study aimed to contribute to the understanding of professionalism within the Australian occupational therapy profession, by obtaining consensus among Australian occupational therapists on the professional values and behaviours essential for practice.\\n\\nMETHOD: A constructivist paradigm guided this study. The Delphi technique was used to obtain consensus on essential professional values and behaviours among 68 occupational therapists. Consensus was identified by numerical and content analysis.\\n\\nRESULTS: After two Delphi rounds, 61 professional values were identified as essential for practice. These values related to ethical practice, client-centred practice, contemporary practice and to the foundational beliefs of the profession. Seven professional behaviours also achieved consensus, but there was clear disparity in participants' opinions.\\n\\nCONCLUSION: The results provide insight into several professional values and behaviours perceived as essential for practice. Consequently, these professional values need to be taken into consideration when defining the values of the profession. The professional behaviours need to be taken into account when finalising the essential behaviours that constitute professionalism in the profession. This study takes an initial but fundamental step towards defining professionalism within the Australian occupational therapy profession.","author":[{"dropping-particle":"","family":"Aguilar","given":"Alejandra","non-dropping-particle":"","parse-names":false,"suffix":""},{"dropping-particle":"","family":"Stupans","given":"Ieva","non-dropping-particle":"","parse-names":false,"suffix":""},{"dropping-particle":"","family":"Scutter","given":"Sheila","non-dropping-particle":"","parse-names":false,"suffix":""},{"dropping-particle":"","family":"King","given":"Sharron","non-dropping-particle":"","parse-names":false,"suffix":""}],"container-title":"Australian Occupational Therapy Journal","id":"ITEM-3","issue":"3","issued":{"date-parts":[["2013"]]},"page":"206-216","title":"Towards a definition of professionalism in Australian occupational therapy: Using the Delphi technique to obtain consensus on essential values and behaviours","type":"article-journal","volume":"60"},"uris":["http://www.mendeley.com/documents/?uuid=22c7476b-4581-4cde-91bb-a044b3bfc2c6"]}],"mendeley":{"formattedCitation":"(Aguilar et al., 2013; Bossers, A, Kernaghan, J, Hodgins, L, Merla, L, O’Connor, C, Van Kessel, 1999; Hordichuk, Robinson, &amp; Sullivan, 2015)","manualFormatting":"(Bossers, et al, 1999; Aguilar, et al, 2013; Hordichuk, Robinson, &amp; Sullivan, 2015)","plainTextFormattedCitation":"(Aguilar et al., 2013; Bossers, A, Kernaghan, J, Hodgins, L, Merla, L, O’Connor, C, Van Kessel, 1999; Hordichuk, Robinson, &amp; Sullivan, 2015)","previouslyFormattedCitation":"(Aguilar et al., 2013; Bossers, A, Kernaghan, J, Hodgins, L, Merla, L, O’Connor, C, Van Kessel, 1999; Hordichuk, Robinson, &amp; Sullivan, 2015)"},"properties":{"noteIndex":0},"schema":"https://github.com/citation-style-language/schema/raw/master/csl-citation.json"}</w:instrText>
      </w:r>
      <w:r w:rsidRPr="00B64386">
        <w:rPr>
          <w:rFonts w:ascii="Arial" w:hAnsi="Arial" w:cs="Arial"/>
          <w:sz w:val="24"/>
          <w:szCs w:val="24"/>
        </w:rPr>
        <w:fldChar w:fldCharType="separate"/>
      </w:r>
      <w:r w:rsidRPr="00B64386">
        <w:rPr>
          <w:rFonts w:ascii="Arial" w:hAnsi="Arial" w:cs="Arial"/>
          <w:noProof/>
          <w:sz w:val="24"/>
          <w:szCs w:val="24"/>
        </w:rPr>
        <w:t>(Bossers, et al, 1999; Aguilar, et al, 2013; Hordichuk, Robinson, &amp; Sullivan, 2015)</w:t>
      </w:r>
      <w:r w:rsidRPr="00B64386">
        <w:rPr>
          <w:rFonts w:ascii="Arial" w:hAnsi="Arial" w:cs="Arial"/>
          <w:sz w:val="24"/>
          <w:szCs w:val="24"/>
        </w:rPr>
        <w:fldChar w:fldCharType="end"/>
      </w:r>
      <w:r w:rsidRPr="00B64386">
        <w:rPr>
          <w:rFonts w:ascii="Arial" w:hAnsi="Arial" w:cs="Arial"/>
          <w:sz w:val="24"/>
          <w:szCs w:val="24"/>
        </w:rPr>
        <w:t>.</w:t>
      </w:r>
      <w:r>
        <w:rPr>
          <w:rFonts w:ascii="Arial" w:hAnsi="Arial" w:cs="Arial"/>
          <w:sz w:val="24"/>
          <w:szCs w:val="24"/>
        </w:rPr>
        <w:t xml:space="preserve"> </w:t>
      </w:r>
      <w:r>
        <w:rPr>
          <w:rFonts w:ascii="Arial" w:hAnsi="Arial" w:cs="Arial"/>
          <w:noProof/>
          <w:sz w:val="24"/>
          <w:szCs w:val="24"/>
        </w:rPr>
        <w:t xml:space="preserve">Without an agreed definiton of professionalism, OT admissions tutors face a dilemma around not only ‘what’ professional (non-cognitive) skills to assess but ‘how’ to record them. There is a lack of emperical research in the UK related to non-cognitive entry standards for OT, with international literature suggesting the ‘what’ includes, interpersonal communication, reflection, critical thinking, problem-solving, valuing autonomy and remaining non-judgemental, commitment and enthusiasm to the profession, organisation, self-confidence, sensitivity and adaptability </w:t>
      </w:r>
      <w:r>
        <w:rPr>
          <w:rFonts w:ascii="Arial" w:hAnsi="Arial" w:cs="Arial"/>
          <w:noProof/>
          <w:sz w:val="24"/>
          <w:szCs w:val="24"/>
        </w:rPr>
        <w:fldChar w:fldCharType="begin" w:fldLock="1"/>
      </w:r>
      <w:r>
        <w:rPr>
          <w:rFonts w:ascii="Arial" w:hAnsi="Arial" w:cs="Arial"/>
          <w:noProof/>
          <w:sz w:val="24"/>
          <w:szCs w:val="24"/>
        </w:rPr>
        <w:instrText>ADDIN CSL_CITATION {"citationItems":[{"id":"ITEM-1","itemData":{"author":[{"dropping-particle":"","family":"Posthuma","given":"Barbara W","non-dropping-particle":"","parse-names":false,"suffix":""},{"dropping-particle":"","family":"Sommerfreund","given":"Joy","non-dropping-particle":"","parse-names":false,"suffix":""}],"container-title":"The American Journal of Occupational Therapy","id":"ITEM-1","issue":"7","issued":{"date-parts":[["1985"]]},"page":"441-445","title":"Examination of selection criteria for a program in occupational therapy","type":"article-journal","volume":"39"},"uris":["http://www.mendeley.com/documents/?uuid=796f45b8-896c-4a5c-8f95-2c927f08e047"]},{"id":"ITEM-2","itemData":{"DOI":"10.1111/j.1440-1630.2006.00591.x","ISSN":"00450766","abstract":"Background/Aim: Demand for places in occupational therapy programs at Australian universities may place undue emphasis on academic attainment when selecting students... but how else might students be selected? This study investigated those attributes judged by occupational therapy practitioners to be most important. Methods: From a focus group of occupational therapy academics, a list of occupational therapy practice attributes was generated and used to develop a questionnaire completed by 175 Australian occupational therapy practitioners. Results: The most highly rated abilities were communication and problem-solving skills; the most highly rated qualities were respecting others, self-responsibility and ethical orientation. Conclusions: This research has identified abilities and personal qualities that could be added to current selection criteria to assist in identifying suitable candidates for entry into occupational therapy education. © 2006 The Authors Journal compilation © 2006 Australian Association of Occupational Therapists.","author":[{"dropping-particle":"","family":"Lyons","given":"Michael","non-dropping-particle":"","parse-names":false,"suffix":""},{"dropping-particle":"","family":"Mackenzie","given":"Lynette","non-dropping-particle":"","parse-names":false,"suffix":""},{"dropping-particle":"","family":"Bore","given":"Miles","non-dropping-particle":"","parse-names":false,"suffix":""},{"dropping-particle":"","family":"Powis","given":"David","non-dropping-particle":"","parse-names":false,"suffix":""}],"container-title":"Australian Occupational Therapy Journal","id":"ITEM-2","issue":"4","issued":{"date-parts":[["2006"]]},"page":"284-292","title":"Framing a set of non-academic selection criteria for occupational therapy students: An Australian study","type":"article-journal","volume":"53"},"uris":["http://www.mendeley.com/documents/?uuid=df897515-3a10-40a7-a818-5b5eb4167089"]},{"id":"ITEM-3","itemData":{"author":[{"dropping-particle":"","family":"Edwards","given":"H","non-dropping-particle":"","parse-names":false,"suffix":""},{"dropping-particle":"","family":"Best","given":"D","non-dropping-particle":"","parse-names":false,"suffix":""},{"dropping-particle":"","family":"Rose","given":"M","non-dropping-particle":"","parse-names":false,"suffix":""}],"container-title":"Transforming Practice Through Clinical Education, Professional Supervision and Mentoring.","editor":[{"dropping-particle":"","family":"Rose","given":"M","non-dropping-particle":"","parse-names":false,"suffix":""},{"dropping-particle":"","family":"Best","given":"D","non-dropping-particle":"","parse-names":false,"suffix":""}],"id":"ITEM-3","issued":{"date-parts":[["2005"]]},"page":"89-100","publisher":"Elsevier Churchill Livingstone","title":"Understanding clinical knowledge and developing clinical expertise","type":"chapter"},"uris":["http://www.mendeley.com/documents/?uuid=6bd2a4d1-293b-4b83-8c58-a577ae033fed"]},{"id":"ITEM-4","itemData":{"DOI":"10.26681/jote.2017.010107","ISSN":"2573-1378","abstract":"We describe results of an experimental investigation into the orientation state of liquid crystalline solutions of poly(benzy1 glutamate) under shear flow and how the microscopic structure relates to the macroscopic mechanical rheological behavior. The technique of flow birefringence was used to study the degree of molecular orientation. A spectrographic flow birefringence apparatus is described that eliminates ambiguities associated with multiple orders of retardation in birefringence measurements. The birefringence observed in textured solutions under shear flow is always less than that measured in quiescent, defect-free monodomains of the solutions. At low shear rates, the birefringence is roughly constant and in the range of 5343% of that observed in a monodomain; there is no evidence of a low-orientation, \" piled polydomain \" structure. At high shear rates, the birefringence is again roughly constant and around 90% of the monodomain value. The transition between low-and high-orientation states as a function of shear rate is closely correlated with changes in sign of the first normal stress difference of these Solutions, leading us to identify it as a manifestation of a transition between regimes of director tumbling at low shear rates and flow alignment at high shear rates. These observations are compared qualitatively and quantatively with predictions of the nonlinear Doi molecular model for textureleas samples [Laraon, R. G. Macromolecules 1990,23,3983] and the linear Larson and Doi tumbling polydomain model for textured samples [Laraon, R. G.; Doi, M. J. Rheol. 1991,35,539]. An accompanying paper considers transient flow phenomena at low shear rates.","author":[{"dropping-particle":"","family":"Li","given":"Kitsum","non-dropping-particle":"","parse-names":false,"suffix":""},{"dropping-particle":"","family":"Wilbarger","given":"Julia","non-dropping-particle":"","parse-names":false,"suffix":""},{"dropping-particle":"","family":"Louis","given":"Shad","non-dropping-particle":"St.","parse-names":false,"suffix":""}],"container-title":"Journal of Occupational Therapy Education","id":"ITEM-4","issue":"1","issued":{"date-parts":[["2017"]]},"title":"An Innovative Behavioral Interview for Pre-admission Selection of Occupational Therapy Students","type":"article-journal","volume":"1"},"uris":["http://www.mendeley.com/documents/?uuid=5b95c02d-97fc-431e-9eaa-e94063d4eed5"]}],"mendeley":{"formattedCitation":"(Edwards, Best, &amp; Rose, 2005; Li et al., 2017; Lyons, Mackenzie, Bore, &amp; Powis, 2006; B. W. Posthuma &amp; Sommerfreund, 1985)","manualFormatting":"(Edwards, Best, &amp; Rose, 2005; Li et al., 2017; Lyons, Mackenzie, Bore, &amp; Powis, 2006; Posthuma &amp; Sommerfreund, 1985)","plainTextFormattedCitation":"(Edwards, Best, &amp; Rose, 2005; Li et al., 2017; Lyons, Mackenzie, Bore, &amp; Powis, 2006; B. W. Posthuma &amp; Sommerfreund, 1985)","previouslyFormattedCitation":"(Edwards, Best, &amp; Rose, 2005; Li et al., 2017; Lyons, Mackenzie, Bore, &amp; Powis, 2006; B. W. Posthuma &amp; Sommerfreund, 1985)"},"properties":{"noteIndex":0},"schema":"https://github.com/citation-style-language/schema/raw/master/csl-citation.json"}</w:instrText>
      </w:r>
      <w:r>
        <w:rPr>
          <w:rFonts w:ascii="Arial" w:hAnsi="Arial" w:cs="Arial"/>
          <w:noProof/>
          <w:sz w:val="24"/>
          <w:szCs w:val="24"/>
        </w:rPr>
        <w:fldChar w:fldCharType="separate"/>
      </w:r>
      <w:r w:rsidRPr="00C77416">
        <w:rPr>
          <w:rFonts w:ascii="Arial" w:hAnsi="Arial" w:cs="Arial"/>
          <w:noProof/>
          <w:sz w:val="24"/>
          <w:szCs w:val="24"/>
        </w:rPr>
        <w:t>(Edwards, Best, &amp; Rose, 2005; Li et al., 2017; Lyons, Macken</w:t>
      </w:r>
      <w:r>
        <w:rPr>
          <w:rFonts w:ascii="Arial" w:hAnsi="Arial" w:cs="Arial"/>
          <w:noProof/>
          <w:sz w:val="24"/>
          <w:szCs w:val="24"/>
        </w:rPr>
        <w:t xml:space="preserve">zie, Bore, &amp; Powis, 2006; </w:t>
      </w:r>
      <w:r w:rsidRPr="00C77416">
        <w:rPr>
          <w:rFonts w:ascii="Arial" w:hAnsi="Arial" w:cs="Arial"/>
          <w:noProof/>
          <w:sz w:val="24"/>
          <w:szCs w:val="24"/>
        </w:rPr>
        <w:t>Posthuma &amp; Sommerfreund, 1985)</w:t>
      </w:r>
      <w:r>
        <w:rPr>
          <w:rFonts w:ascii="Arial" w:hAnsi="Arial" w:cs="Arial"/>
          <w:noProof/>
          <w:sz w:val="24"/>
          <w:szCs w:val="24"/>
        </w:rPr>
        <w:fldChar w:fldCharType="end"/>
      </w:r>
      <w:r>
        <w:rPr>
          <w:rFonts w:ascii="Arial" w:hAnsi="Arial" w:cs="Arial"/>
          <w:noProof/>
          <w:sz w:val="24"/>
          <w:szCs w:val="24"/>
        </w:rPr>
        <w:t xml:space="preserve">. The ‘how’ is dominated by reference to traditional admissions interviews, despite the considered negative issues relating to labour, time and cost-intensity, bias and lack of validity and reliability across the medical and allied health professions literature </w:t>
      </w:r>
      <w:r>
        <w:rPr>
          <w:rFonts w:ascii="Arial" w:hAnsi="Arial" w:cs="Arial"/>
          <w:noProof/>
          <w:sz w:val="24"/>
          <w:szCs w:val="24"/>
        </w:rPr>
        <w:fldChar w:fldCharType="begin" w:fldLock="1"/>
      </w:r>
      <w:r>
        <w:rPr>
          <w:rFonts w:ascii="Arial" w:hAnsi="Arial" w:cs="Arial"/>
          <w:noProof/>
          <w:sz w:val="24"/>
          <w:szCs w:val="24"/>
        </w:rPr>
        <w:instrText>ADDIN CSL_CITATION {"citationItems":[{"id":"ITEM-1","itemData":{"ISSN":"1945404X","PMID":"24598901","abstract":"Many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Health","id":"ITEM-1","issue":"1","issued":{"date-parts":[["2014"]]},"page":"57-61","title":"Use of multiple mini-interviews for occupational therapy admissions","type":"article-journal","volume":"43"},"uris":["http://www.mendeley.com/documents/?uuid=e231a303-d122-4bcd-8924-377f45f73afa"]},{"id":"ITEM-2","itemData":{"DOI":"10.1023/A:1011489618208","ISBN":"1382-4996","ISSN":"13824996","PMID":"11435766","abstract":"160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Education","id":"ITEM-2","issued":{"date-parts":[["2001"]]},"page":"159–175","title":"Pre-admission academic grades","type":"article-journal","volume":"6"},"uris":["http://www.mendeley.com/documents/?uuid=d9db22ae-6f60-4204-9833-acc40b090bd6"]},{"id":"ITEM-3","itemData":{"DOI":"10.1046/j.1365-2923.2004.01776.x","ISSN":"03080110","PMID":"14996341","abstract":"CONTEXT: Although health sciences programmes continue to value non-cognitive variables such as interpersonal skills and professionalism, it is not clear that current admissions tools like the personal interview are capable of assessing ability in these domains. Hypothesising that many of the problems with the personal interview might be explained, at least in part, by it being yet another measurement tool that is plagued by context specificity, we have attempted to develop a multiple sample approach to the personal interview. METHODS: A group of 117 applicants to the undergraduate MD programme at McMaster University participated in a multiple mini-interview (MMI), consisting of 10 short objective structured clinical examination (OSCE)-style stations, in which they were presented with scenarios that required them to discuss a health-related issue (e.g. the use of placebos) with an interviewer, interact with a standardised confederate while an examiner observed the interpersonal skills displayed, or answer traditional interview questions. RESULTS: The reliability of the MMI was observed to be 0.65. Furthermore, the hypothesis that context specificity might reduce the validity of traditional interviews was supported by the finding that the variance component attributable to candidate-station interaction was greater than that attributable to candidate. Both applicants and examiners were positive about the experience and the potential for this protocol. DISCUSSION: The principles used in developing this new admissions instrument, the flexibility inherent in the multiple mini-interview, and its feasibility and cost-effectiveness are discussed.","author":[{"dropping-particle":"","family":"Eva","given":"Kevin W.","non-dropping-particle":"","parse-names":false,"suffix":""},{"dropping-particle":"","family":"Rosenfeld","given":"Jack","non-dropping-particle":"","parse-names":false,"suffix":""},{"dropping-particle":"","family":"Reiter","given":"Harold I.","non-dropping-particle":"","parse-names":false,"suffix":""},{"dropping-particle":"","family":"Norman","given":"Geoffrey R.","non-dropping-particle":"","parse-names":false,"suffix":""}],"container-title":"Medical Education","id":"ITEM-3","issue":"3","issued":{"date-parts":[["2004"]]},"page":"314-326","title":"An admissions OSCE: The multiple mini-interview","type":"article-journal","volume":"38"},"uris":["http://www.mendeley.com/documents/?uuid=857aeed7-13dc-4a7b-a867-a3914445313f"]}],"mendeley":{"formattedCitation":"(Eva, Rosenfeld, Reiter, &amp; Norman, 2004; Grice, 2014; Salvatori, 2001)","plainTextFormattedCitation":"(Eva, Rosenfeld, Reiter, &amp; Norman, 2004; Grice, 2014; Salvatori, 2001)","previouslyFormattedCitation":"(Eva, Rosenfeld, Reiter, &amp; Norman, 2004; Grice, 2014; Salvatori, 2001)"},"properties":{"noteIndex":0},"schema":"https://github.com/citation-style-language/schema/raw/master/csl-citation.json"}</w:instrText>
      </w:r>
      <w:r>
        <w:rPr>
          <w:rFonts w:ascii="Arial" w:hAnsi="Arial" w:cs="Arial"/>
          <w:noProof/>
          <w:sz w:val="24"/>
          <w:szCs w:val="24"/>
        </w:rPr>
        <w:fldChar w:fldCharType="separate"/>
      </w:r>
      <w:r w:rsidRPr="001A6DA2">
        <w:rPr>
          <w:rFonts w:ascii="Arial" w:hAnsi="Arial" w:cs="Arial"/>
          <w:noProof/>
          <w:sz w:val="24"/>
          <w:szCs w:val="24"/>
        </w:rPr>
        <w:t>(Eva, Rosenfeld, Reiter, &amp; Norman, 2004; Grice, 2014; Salvatori, 2001)</w:t>
      </w:r>
      <w:r>
        <w:rPr>
          <w:rFonts w:ascii="Arial" w:hAnsi="Arial" w:cs="Arial"/>
          <w:noProof/>
          <w:sz w:val="24"/>
          <w:szCs w:val="24"/>
        </w:rPr>
        <w:fldChar w:fldCharType="end"/>
      </w:r>
      <w:r>
        <w:rPr>
          <w:rFonts w:ascii="Arial" w:hAnsi="Arial" w:cs="Arial"/>
          <w:noProof/>
          <w:sz w:val="24"/>
          <w:szCs w:val="24"/>
        </w:rPr>
        <w:t>.</w:t>
      </w:r>
    </w:p>
    <w:p w14:paraId="214CFCC2" w14:textId="77777777" w:rsidR="00D173CF" w:rsidRDefault="00D173CF" w:rsidP="00D173CF">
      <w:pPr>
        <w:spacing w:line="240" w:lineRule="auto"/>
        <w:jc w:val="both"/>
        <w:rPr>
          <w:rFonts w:ascii="Arial" w:hAnsi="Arial" w:cs="Arial"/>
          <w:sz w:val="24"/>
          <w:szCs w:val="24"/>
        </w:rPr>
      </w:pPr>
    </w:p>
    <w:p w14:paraId="21895C25" w14:textId="77777777" w:rsidR="00D173CF" w:rsidRDefault="00D173CF" w:rsidP="00D173CF">
      <w:pPr>
        <w:spacing w:line="240" w:lineRule="auto"/>
        <w:jc w:val="both"/>
        <w:rPr>
          <w:rFonts w:ascii="Arial" w:eastAsia="Times New Roman" w:hAnsi="Arial" w:cs="Arial"/>
          <w:sz w:val="24"/>
          <w:szCs w:val="24"/>
        </w:rPr>
      </w:pPr>
      <w:r>
        <w:rPr>
          <w:rFonts w:ascii="Arial" w:hAnsi="Arial" w:cs="Arial"/>
          <w:sz w:val="24"/>
          <w:szCs w:val="24"/>
        </w:rPr>
        <w:t xml:space="preserve">While </w:t>
      </w:r>
      <w:r w:rsidRPr="00EE69DF">
        <w:rPr>
          <w:rFonts w:ascii="Arial" w:eastAsia="Times New Roman" w:hAnsi="Arial" w:cs="Arial"/>
          <w:sz w:val="24"/>
          <w:szCs w:val="24"/>
        </w:rPr>
        <w:t xml:space="preserve">assessment of non-cognitive abilities </w:t>
      </w:r>
      <w:r>
        <w:rPr>
          <w:rFonts w:ascii="Arial" w:eastAsia="Times New Roman" w:hAnsi="Arial" w:cs="Arial"/>
          <w:sz w:val="24"/>
          <w:szCs w:val="24"/>
        </w:rPr>
        <w:t>is clearly supported in the literature, j</w:t>
      </w:r>
      <w:r w:rsidRPr="00EE69DF">
        <w:rPr>
          <w:rFonts w:ascii="Arial" w:eastAsia="Times New Roman" w:hAnsi="Arial" w:cs="Arial"/>
          <w:sz w:val="24"/>
          <w:szCs w:val="24"/>
        </w:rPr>
        <w:t>ust what qualities should be assessed and how, remains contested, particularly as there is a lack of valid and reliable non-cognitive measurement tools</w:t>
      </w:r>
      <w:r>
        <w:rPr>
          <w:rFonts w:ascii="Arial" w:eastAsia="Times New Roman" w:hAnsi="Arial" w:cs="Arial"/>
          <w:sz w:val="24"/>
          <w:szCs w:val="24"/>
        </w:rPr>
        <w:t xml:space="preserve"> available, with </w:t>
      </w:r>
      <w:r w:rsidRPr="00EE69DF">
        <w:rPr>
          <w:rFonts w:ascii="Arial" w:eastAsia="Times New Roman" w:hAnsi="Arial" w:cs="Arial"/>
          <w:sz w:val="24"/>
          <w:szCs w:val="24"/>
        </w:rPr>
        <w:t xml:space="preserve">little evidence to suggest positive relationships between pre-entry non-cognitive assessment outcomes and academic and professional performance at graduation </w:t>
      </w:r>
      <w:r w:rsidRPr="00EE69DF">
        <w:rPr>
          <w:rFonts w:ascii="Arial" w:eastAsia="Times New Roman" w:hAnsi="Arial" w:cs="Arial"/>
          <w:sz w:val="24"/>
          <w:szCs w:val="24"/>
        </w:rPr>
        <w:fldChar w:fldCharType="begin" w:fldLock="1"/>
      </w:r>
      <w:r w:rsidRPr="00EE69DF">
        <w:rPr>
          <w:rFonts w:ascii="Arial" w:eastAsia="Times New Roman" w:hAnsi="Arial" w:cs="Arial"/>
          <w:sz w:val="24"/>
          <w:szCs w:val="24"/>
        </w:rPr>
        <w:instrText>ADDIN CSL_CITATION {"citationItems":[{"id":"ITEM-1","itemData":{"DOI":"10.1023/A:1011489618208","ISBN":"1382-4996","ISSN":"13824996","PMID":"11435766","abstract":"160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Education","id":"ITEM-1","issued":{"date-parts":[["2001"]]},"page":"159–175","title":"Pre-admission academic grades","type":"article-journal","volume":"6"},"uris":["http://www.mendeley.com/documents/?uuid=d9db22ae-6f60-4204-9833-acc40b090bd6"]},{"id":"ITEM-2","itemData":{"DOI":"10.1016/j.nedt.2010.10.015","ISSN":"02606917","abstract":"The judicious selection of nursing school applicants is important, and universities are increasingly incorporating non-academic criteria into their admission processes. We undertook a retrospective, correlational study of the predictive utility of an admissions process for nursing students' \"in-program\" success. The sample consisted of all 249 students admitted to a Canadian accelerated baccalaureate nursing program over a four-year study period. The students' arithmetic mean grade for six nursing courses (both theoretical and clinical) and their final grade point average (GPA) at graduation were the outcome measures of student success. The predictor variables included the applicants' demographic characteristics (e.g., age, gender, ethnic minority status, and previous educational attainment), their supplemental application materials and interview scores (assessing non-academic criteria), and their admission GPA. Linear regression was conducted on the outcome measures to determine whether the selection tools added information over that obtained through the use of admission GPA in predicting success. Although their admission GPAs were consistently predictive of the students' success, neither the supplemental application nor the interview scores had predictive utility. The variables consistently predictive of student success were age, ethnic minority status, and admission GPA, accounting for 26% of the variance in the selected nursing grades and 36% of the variance in GPA at graduation. The results provided little evidence to justify using the selective admissions tools. © 2010 Elsevier Ltd.","author":[{"dropping-particle":"","family":"Timer","given":"Jennifer E.","non-dropping-particle":"","parse-names":false,"suffix":""},{"dropping-particle":"","family":"Clauson","given":"Marion I.","non-dropping-particle":"","parse-names":false,"suffix":""}],"container-title":"Nurse Education Today","id":"ITEM-2","issue":"6","issued":{"date-parts":[["2011"]]},"page":"601-606","publisher":"Elsevier Ltd","title":"The use of selective admissions tools to predict students' success in an advanced standing baccalaureate nursing program","type":"article-journal","volume":"31"},"uris":["http://www.mendeley.com/documents/?uuid=1a663238-fe37-4cdc-9450-8d87cb7b9151"]}],"mendeley":{"formattedCitation":"(Salvatori, 2001; Timer &amp; Clauson, 2011)","plainTextFormattedCitation":"(Salvatori, 2001; Timer &amp; Clauson, 2011)","previouslyFormattedCitation":"(Salvatori, 2001; Timer &amp; Clauson, 2011)"},"properties":{"noteIndex":0},"schema":"https://github.com/citation-style-language/schema/raw/master/csl-citation.json"}</w:instrText>
      </w:r>
      <w:r w:rsidRPr="00EE69DF">
        <w:rPr>
          <w:rFonts w:ascii="Arial" w:eastAsia="Times New Roman" w:hAnsi="Arial" w:cs="Arial"/>
          <w:sz w:val="24"/>
          <w:szCs w:val="24"/>
        </w:rPr>
        <w:fldChar w:fldCharType="separate"/>
      </w:r>
      <w:r w:rsidRPr="00EE69DF">
        <w:rPr>
          <w:rFonts w:ascii="Arial" w:eastAsia="Times New Roman" w:hAnsi="Arial" w:cs="Arial"/>
          <w:noProof/>
          <w:sz w:val="24"/>
          <w:szCs w:val="24"/>
        </w:rPr>
        <w:t>(Salvatori, 2001; Timer &amp; Clauson, 2011)</w:t>
      </w:r>
      <w:r w:rsidRPr="00EE69DF">
        <w:rPr>
          <w:rFonts w:ascii="Arial" w:eastAsia="Times New Roman" w:hAnsi="Arial" w:cs="Arial"/>
          <w:sz w:val="24"/>
          <w:szCs w:val="24"/>
        </w:rPr>
        <w:fldChar w:fldCharType="end"/>
      </w:r>
      <w:r>
        <w:rPr>
          <w:rFonts w:ascii="Arial" w:eastAsia="Times New Roman" w:hAnsi="Arial" w:cs="Arial"/>
          <w:sz w:val="24"/>
          <w:szCs w:val="24"/>
        </w:rPr>
        <w:t xml:space="preserve">. </w:t>
      </w:r>
    </w:p>
    <w:p w14:paraId="618BAEB2" w14:textId="77777777" w:rsidR="00976854" w:rsidRDefault="00976854" w:rsidP="00D173CF">
      <w:pPr>
        <w:spacing w:line="240" w:lineRule="auto"/>
        <w:jc w:val="both"/>
        <w:rPr>
          <w:rFonts w:ascii="Arial" w:eastAsia="Times New Roman" w:hAnsi="Arial" w:cs="Arial"/>
          <w:sz w:val="24"/>
          <w:szCs w:val="24"/>
        </w:rPr>
      </w:pPr>
    </w:p>
    <w:p w14:paraId="0A9B4A96" w14:textId="77777777" w:rsidR="00D173CF" w:rsidRPr="00AB3369" w:rsidRDefault="00D173CF" w:rsidP="00D173CF">
      <w:pPr>
        <w:spacing w:line="240" w:lineRule="auto"/>
        <w:jc w:val="both"/>
        <w:rPr>
          <w:rFonts w:ascii="Arial" w:hAnsi="Arial" w:cs="Arial"/>
          <w:b/>
          <w:bCs/>
          <w:sz w:val="24"/>
          <w:szCs w:val="24"/>
        </w:rPr>
      </w:pPr>
      <w:r>
        <w:rPr>
          <w:rFonts w:ascii="Arial" w:eastAsia="Times New Roman" w:hAnsi="Arial" w:cs="Arial"/>
          <w:b/>
          <w:bCs/>
          <w:iCs/>
          <w:sz w:val="24"/>
          <w:szCs w:val="24"/>
        </w:rPr>
        <w:t>METHODS</w:t>
      </w:r>
    </w:p>
    <w:p w14:paraId="028910F2" w14:textId="7B32406A" w:rsidR="00D173CF" w:rsidRDefault="00D173CF" w:rsidP="00E25A4A">
      <w:pPr>
        <w:spacing w:line="240" w:lineRule="auto"/>
        <w:rPr>
          <w:rFonts w:ascii="Arial" w:eastAsia="Times New Roman" w:hAnsi="Arial" w:cs="Arial"/>
          <w:sz w:val="24"/>
          <w:szCs w:val="24"/>
        </w:rPr>
      </w:pPr>
      <w:r w:rsidRPr="00E21894">
        <w:rPr>
          <w:rFonts w:ascii="Arial" w:eastAsia="Times New Roman" w:hAnsi="Arial" w:cs="Arial"/>
          <w:sz w:val="24"/>
          <w:szCs w:val="24"/>
        </w:rPr>
        <w:t>Th</w:t>
      </w:r>
      <w:r>
        <w:rPr>
          <w:rFonts w:ascii="Arial" w:eastAsia="Times New Roman" w:hAnsi="Arial" w:cs="Arial"/>
          <w:sz w:val="24"/>
          <w:szCs w:val="24"/>
        </w:rPr>
        <w:t>is</w:t>
      </w:r>
      <w:r w:rsidRPr="00E21894">
        <w:rPr>
          <w:rFonts w:ascii="Arial" w:eastAsia="Times New Roman" w:hAnsi="Arial" w:cs="Arial"/>
          <w:sz w:val="24"/>
          <w:szCs w:val="24"/>
        </w:rPr>
        <w:t xml:space="preserve"> </w:t>
      </w:r>
      <w:r>
        <w:rPr>
          <w:rFonts w:ascii="Arial" w:eastAsia="Times New Roman" w:hAnsi="Arial" w:cs="Arial"/>
          <w:sz w:val="24"/>
          <w:szCs w:val="24"/>
        </w:rPr>
        <w:t>study</w:t>
      </w:r>
      <w:r w:rsidRPr="00E21894">
        <w:rPr>
          <w:rFonts w:ascii="Arial" w:eastAsia="Times New Roman" w:hAnsi="Arial" w:cs="Arial"/>
          <w:sz w:val="24"/>
          <w:szCs w:val="24"/>
        </w:rPr>
        <w:t xml:space="preserve"> adopt</w:t>
      </w:r>
      <w:r>
        <w:rPr>
          <w:rFonts w:ascii="Arial" w:eastAsia="Times New Roman" w:hAnsi="Arial" w:cs="Arial"/>
          <w:sz w:val="24"/>
          <w:szCs w:val="24"/>
        </w:rPr>
        <w:t>ed</w:t>
      </w:r>
      <w:r w:rsidRPr="00E21894">
        <w:rPr>
          <w:rFonts w:ascii="Arial" w:eastAsia="Times New Roman" w:hAnsi="Arial" w:cs="Arial"/>
          <w:sz w:val="24"/>
          <w:szCs w:val="24"/>
        </w:rPr>
        <w:t xml:space="preserve"> a cross-sectional research design through quantitative data collection from a single undergraduate occupational therapy cohort at distinct points in time, allowing identified quantitative variables to be examined and potential relationships to be uncovered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{"citationItems":[{"id":"ITEM-1","itemData":{"author":[{"dropping-particle":"","family":"Bryman","given":"Alan","non-dropping-particle":"","parse-names":false,"suffix":""}],"edition":"Fifth Edit","id":"ITEM-1","issued":{"date-parts":[["2016"]]},"publisher":"Oxford University Press","publisher-place":"Oxford","title":"Social Research Methods","type":"book"},"uris":["http://www.mendeley.com/documents/?uuid=a1dd5138-27e6-406a-9836-a7a3bd65507f"]}],"mendeley":{"formattedCitation":"(Bryman, 2016)","manualFormatting":"(Bryman, 2016)","plainTextFormattedCitation":"(Bryman, 2016)","previouslyFormattedCitation":"(Bryman, 2016)"},"properties":{"noteIndex":0},"schema":"https://github.com/citation-style-language/schema/raw/master/csl-citation.json"}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(Bryman, 2016)</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Using </w:t>
      </w:r>
      <w:r>
        <w:rPr>
          <w:rFonts w:ascii="Arial" w:eastAsia="Times New Roman" w:hAnsi="Arial" w:cs="Arial"/>
          <w:sz w:val="24"/>
          <w:szCs w:val="24"/>
        </w:rPr>
        <w:fldChar w:fldCharType="begin" w:fldLock="1"/>
      </w:r>
      <w:r w:rsidR="00AD6724">
        <w:rPr>
          <w:rFonts w:ascii="Arial" w:eastAsia="Times New Roman" w:hAnsi="Arial" w:cs="Arial"/>
          <w:sz w:val="24"/>
          <w:szCs w:val="24"/>
        </w:rPr>
        <w:instrText>ADDIN CSL_CITATION {"citationItems":[{"id":"ITEM-1","itemData":{"author":[{"dropping-particle":"","family":"Webb","given":"Eugene","non-dropping-particle":"","parse-names":false,"suffix":""},{"dropping-particle":"","family":"Campbell","given":"Donald","non-dropping-particle":"","parse-names":false,"suffix":""},{"dropping-particle":"","family":"Schwartz","given":"Richard","non-dropping-particle":"","parse-names":false,"suffix":""},{"dropping-particle":"","family":"Sechrest","given":"Lee","non-dropping-particle":"","parse-names":false,"suffix":""}],"id":"ITEM-1","issued":{"date-parts":[["1966"]]},"publisher":"Rand McNally &amp; Company","publisher-place":"Chicago","title":"Uobtrusive Measures: Nonreactive Research in the Social Sciences","type":"book"},"uris":["http://www.mendeley.com/documents/?uuid=7b0db12e-4ffa-4a66-bf51-0a6b8a9cdb91"]}],"mendeley":{"formattedCitation":"(Webb, Campbell, Schwartz, &amp; Sechrest, 1966)","manualFormatting":"Webb, Campbell, Schwartz, &amp; Sechrest (1966)","plainTextFormattedCitation":"(Webb, Campbell, Schwartz, &amp; Sechrest, 1966)","previouslyFormattedCitation":"(Webb, Campbell, Schwartz, &amp; Sechrest, 1966)"},"properties":{"noteIndex":0},"schema":"https://github.com/citation-style-language/schema/raw/master/csl-citation.json"}</w:instrText>
      </w:r>
      <w:r>
        <w:rPr>
          <w:rFonts w:ascii="Arial" w:eastAsia="Times New Roman" w:hAnsi="Arial" w:cs="Arial"/>
          <w:sz w:val="24"/>
          <w:szCs w:val="24"/>
        </w:rPr>
        <w:fldChar w:fldCharType="separate"/>
      </w:r>
      <w:r w:rsidRPr="00D8487D">
        <w:rPr>
          <w:rFonts w:ascii="Arial" w:eastAsia="Times New Roman" w:hAnsi="Arial" w:cs="Arial"/>
          <w:noProof/>
          <w:sz w:val="24"/>
          <w:szCs w:val="24"/>
        </w:rPr>
        <w:t>Webb, Campbell, Schwartz, &amp; Sechrest</w:t>
      </w:r>
      <w:r>
        <w:rPr>
          <w:rFonts w:ascii="Arial" w:eastAsia="Times New Roman" w:hAnsi="Arial" w:cs="Arial"/>
          <w:noProof/>
          <w:sz w:val="24"/>
          <w:szCs w:val="24"/>
        </w:rPr>
        <w:t xml:space="preserve"> (</w:t>
      </w:r>
      <w:r w:rsidRPr="00D8487D">
        <w:rPr>
          <w:rFonts w:ascii="Arial" w:eastAsia="Times New Roman" w:hAnsi="Arial" w:cs="Arial"/>
          <w:noProof/>
          <w:sz w:val="24"/>
          <w:szCs w:val="24"/>
        </w:rPr>
        <w:t>1966)</w:t>
      </w:r>
      <w:r>
        <w:rPr>
          <w:rFonts w:ascii="Arial" w:eastAsia="Times New Roman" w:hAnsi="Arial" w:cs="Arial"/>
          <w:sz w:val="24"/>
          <w:szCs w:val="24"/>
        </w:rPr>
        <w:fldChar w:fldCharType="end"/>
      </w:r>
      <w:r w:rsidRPr="00E21894">
        <w:rPr>
          <w:rFonts w:ascii="Arial" w:eastAsia="Times New Roman" w:hAnsi="Arial" w:cs="Arial"/>
          <w:sz w:val="24"/>
          <w:szCs w:val="24"/>
        </w:rPr>
        <w:t xml:space="preserve"> and Lee (2000) criteria for unobtrusive methods, retrieved archival organisational records relating to data collected at pre-admission (2016) and graduation (2019) by an admissions team for a BSc (Hons) </w:t>
      </w:r>
      <w:r w:rsidR="00E25A4A">
        <w:rPr>
          <w:rFonts w:ascii="Arial" w:eastAsia="Times New Roman" w:hAnsi="Arial" w:cs="Arial"/>
          <w:sz w:val="24"/>
          <w:szCs w:val="24"/>
        </w:rPr>
        <w:t>OT</w:t>
      </w:r>
      <w:r w:rsidRPr="00E21894">
        <w:rPr>
          <w:rFonts w:ascii="Arial" w:eastAsia="Times New Roman" w:hAnsi="Arial" w:cs="Arial"/>
          <w:sz w:val="24"/>
          <w:szCs w:val="24"/>
        </w:rPr>
        <w:t xml:space="preserve"> </w:t>
      </w:r>
      <w:r>
        <w:rPr>
          <w:rFonts w:ascii="Arial" w:eastAsia="Times New Roman" w:hAnsi="Arial" w:cs="Arial"/>
          <w:sz w:val="24"/>
          <w:szCs w:val="24"/>
        </w:rPr>
        <w:t>program</w:t>
      </w:r>
      <w:r w:rsidRPr="00E21894">
        <w:rPr>
          <w:rFonts w:ascii="Arial" w:eastAsia="Times New Roman" w:hAnsi="Arial" w:cs="Arial"/>
          <w:sz w:val="24"/>
          <w:szCs w:val="24"/>
        </w:rPr>
        <w:t xml:space="preserve"> at one UK University </w:t>
      </w:r>
      <w:r>
        <w:rPr>
          <w:rFonts w:ascii="Arial" w:eastAsia="Times New Roman" w:hAnsi="Arial" w:cs="Arial"/>
          <w:sz w:val="24"/>
          <w:szCs w:val="24"/>
        </w:rPr>
        <w:t>were used. The data was</w:t>
      </w:r>
      <w:r w:rsidRPr="00E21894">
        <w:rPr>
          <w:rFonts w:ascii="Arial" w:eastAsia="Times New Roman" w:hAnsi="Arial" w:cs="Arial"/>
          <w:sz w:val="24"/>
          <w:szCs w:val="24"/>
        </w:rPr>
        <w:t xml:space="preserve"> considered to be authentic (collated for the pur</w:t>
      </w:r>
      <w:r w:rsidR="009548A0">
        <w:rPr>
          <w:rFonts w:ascii="Arial" w:eastAsia="Times New Roman" w:hAnsi="Arial" w:cs="Arial"/>
          <w:sz w:val="24"/>
          <w:szCs w:val="24"/>
        </w:rPr>
        <w:t>poses of decision-making regarding</w:t>
      </w:r>
      <w:r w:rsidRPr="00E21894">
        <w:rPr>
          <w:rFonts w:ascii="Arial" w:eastAsia="Times New Roman" w:hAnsi="Arial" w:cs="Arial"/>
          <w:sz w:val="24"/>
          <w:szCs w:val="24"/>
        </w:rPr>
        <w:t xml:space="preserve"> ent</w:t>
      </w:r>
      <w:r w:rsidR="00C37B9D">
        <w:rPr>
          <w:rFonts w:ascii="Arial" w:eastAsia="Times New Roman" w:hAnsi="Arial" w:cs="Arial"/>
          <w:sz w:val="24"/>
          <w:szCs w:val="24"/>
        </w:rPr>
        <w:t>ry to University); credible (had</w:t>
      </w:r>
      <w:r w:rsidRPr="00E21894">
        <w:rPr>
          <w:rFonts w:ascii="Arial" w:eastAsia="Times New Roman" w:hAnsi="Arial" w:cs="Arial"/>
          <w:sz w:val="24"/>
          <w:szCs w:val="24"/>
        </w:rPr>
        <w:t xml:space="preserve"> not knowingly been distorted) and representative (typical of admissions data) </w:t>
      </w:r>
      <w:r w:rsidRPr="00E21894">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{"citationItems":[{"id":"ITEM-1","itemData":{"author":[{"dropping-particle":"","family":"Scott","given":"J","non-dropping-particle":"","parse-names":false,"suffix":""}],"id":"ITEM-1","issued":{"date-parts":[["1990"]]},"publisher":"Polity Press in association with Basil Blackwell","publisher-place":"Cambridge","title":"A Matter of Record","type":"book"},"uris":["http://www.mendeley.com/documents/?uuid=f5117ff6-48b0-4317-8e03-43df3dbbc03d"]}],"mendeley":{"formattedCitation":"(Scott, 1990)","manualFormatting":"(Scott, 1990)","plainTextFormattedCitation":"(Scott, 1990)","previouslyFormattedCitation":"(Scott, 1990)"},"properties":{"noteIndex":0},"schema":"https://github.com/citation-style-language/schema/raw/master/csl-citation.json"}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(Scott, 1990)</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w:t>
      </w:r>
    </w:p>
    <w:p w14:paraId="34AE72E7" w14:textId="77777777" w:rsidR="00C37B9D" w:rsidRDefault="00C37B9D" w:rsidP="00E25A4A">
      <w:pPr>
        <w:spacing w:line="240" w:lineRule="auto"/>
        <w:rPr>
          <w:rFonts w:ascii="Arial" w:eastAsia="Times New Roman" w:hAnsi="Arial" w:cs="Arial"/>
          <w:sz w:val="24"/>
          <w:szCs w:val="24"/>
        </w:rPr>
      </w:pPr>
    </w:p>
    <w:p w14:paraId="56D5040F" w14:textId="77777777" w:rsidR="00C37B9D" w:rsidRPr="00AB3369" w:rsidRDefault="00C37B9D" w:rsidP="00C37B9D">
      <w:pPr>
        <w:spacing w:line="240" w:lineRule="auto"/>
        <w:rPr>
          <w:rFonts w:ascii="Arial" w:eastAsia="Times New Roman" w:hAnsi="Arial" w:cs="Arial"/>
          <w:b/>
          <w:bCs/>
          <w:iCs/>
          <w:sz w:val="24"/>
          <w:szCs w:val="24"/>
        </w:rPr>
      </w:pPr>
      <w:r w:rsidRPr="00AB3369">
        <w:rPr>
          <w:rFonts w:ascii="Arial" w:eastAsia="Times New Roman" w:hAnsi="Arial" w:cs="Arial"/>
          <w:b/>
          <w:bCs/>
          <w:iCs/>
          <w:sz w:val="24"/>
          <w:szCs w:val="24"/>
        </w:rPr>
        <w:t>Sample</w:t>
      </w:r>
    </w:p>
    <w:p w14:paraId="45099382" w14:textId="77777777" w:rsidR="00C37B9D" w:rsidRDefault="00C37B9D" w:rsidP="00C37B9D">
      <w:pPr>
        <w:spacing w:line="240" w:lineRule="auto"/>
        <w:rPr>
          <w:rFonts w:ascii="Arial" w:eastAsia="Times New Roman" w:hAnsi="Arial" w:cs="Arial"/>
          <w:sz w:val="24"/>
          <w:szCs w:val="24"/>
        </w:rPr>
      </w:pPr>
      <w:r w:rsidRPr="00E21894">
        <w:rPr>
          <w:rFonts w:ascii="Arial" w:eastAsia="Times New Roman" w:hAnsi="Arial" w:cs="Arial"/>
          <w:sz w:val="24"/>
          <w:szCs w:val="24"/>
        </w:rPr>
        <w:t>The sample comprise</w:t>
      </w:r>
      <w:r>
        <w:rPr>
          <w:rFonts w:ascii="Arial" w:eastAsia="Times New Roman" w:hAnsi="Arial" w:cs="Arial"/>
          <w:sz w:val="24"/>
          <w:szCs w:val="24"/>
        </w:rPr>
        <w:t>d</w:t>
      </w:r>
      <w:r w:rsidRPr="00E21894">
        <w:rPr>
          <w:rFonts w:ascii="Arial" w:eastAsia="Times New Roman" w:hAnsi="Arial" w:cs="Arial"/>
          <w:sz w:val="24"/>
          <w:szCs w:val="24"/>
        </w:rPr>
        <w:t xml:space="preserve"> of an entire cohort of </w:t>
      </w:r>
      <w:r>
        <w:rPr>
          <w:rFonts w:ascii="Arial" w:eastAsia="Times New Roman" w:hAnsi="Arial" w:cs="Arial"/>
          <w:sz w:val="24"/>
          <w:szCs w:val="24"/>
        </w:rPr>
        <w:t>OT</w:t>
      </w:r>
      <w:r w:rsidRPr="00E21894">
        <w:rPr>
          <w:rFonts w:ascii="Arial" w:eastAsia="Times New Roman" w:hAnsi="Arial" w:cs="Arial"/>
          <w:sz w:val="24"/>
          <w:szCs w:val="24"/>
        </w:rPr>
        <w:t xml:space="preserve"> students (</w:t>
      </w:r>
      <w:r w:rsidRPr="00E21894">
        <w:rPr>
          <w:rFonts w:ascii="Arial" w:eastAsia="Times New Roman" w:hAnsi="Arial" w:cs="Arial"/>
          <w:i/>
          <w:iCs/>
          <w:sz w:val="24"/>
          <w:szCs w:val="24"/>
        </w:rPr>
        <w:t>n</w:t>
      </w:r>
      <w:r w:rsidRPr="00E21894">
        <w:rPr>
          <w:rFonts w:ascii="Arial" w:eastAsia="Times New Roman" w:hAnsi="Arial" w:cs="Arial"/>
          <w:sz w:val="24"/>
          <w:szCs w:val="24"/>
        </w:rPr>
        <w:t xml:space="preserve">=44) registered at one UK University in 2016, graduating with a BSc (Hons) Occupational Therapy degree in 2019.  </w:t>
      </w:r>
    </w:p>
    <w:p w14:paraId="5F5BCD15" w14:textId="77777777" w:rsidR="00D173CF" w:rsidRPr="00E21894" w:rsidRDefault="00D173CF" w:rsidP="00D173CF">
      <w:pPr>
        <w:spacing w:line="240" w:lineRule="auto"/>
        <w:jc w:val="both"/>
        <w:rPr>
          <w:rFonts w:ascii="Arial" w:eastAsia="Times New Roman" w:hAnsi="Arial" w:cs="Arial"/>
          <w:sz w:val="24"/>
          <w:szCs w:val="24"/>
        </w:rPr>
      </w:pPr>
    </w:p>
    <w:p w14:paraId="1C2C3FE5" w14:textId="65FB00D6" w:rsidR="00D173CF" w:rsidRDefault="00EC6B81" w:rsidP="00A41AF9">
      <w:pPr>
        <w:spacing w:line="240" w:lineRule="auto"/>
        <w:rPr>
          <w:rFonts w:ascii="Arial" w:eastAsia="Times New Roman" w:hAnsi="Arial" w:cs="Arial"/>
          <w:b/>
          <w:bCs/>
          <w:iCs/>
          <w:sz w:val="24"/>
          <w:szCs w:val="24"/>
        </w:rPr>
      </w:pPr>
      <w:r>
        <w:rPr>
          <w:rFonts w:ascii="Arial" w:eastAsia="Times New Roman" w:hAnsi="Arial" w:cs="Arial"/>
          <w:b/>
          <w:bCs/>
          <w:iCs/>
          <w:sz w:val="24"/>
          <w:szCs w:val="24"/>
        </w:rPr>
        <w:t xml:space="preserve">Inclusion Criteria </w:t>
      </w:r>
    </w:p>
    <w:p w14:paraId="21BF8547" w14:textId="7F5C4CF5" w:rsidR="00E25A4A" w:rsidRDefault="00E25A4A" w:rsidP="00EC6B81">
      <w:pPr>
        <w:spacing w:line="240" w:lineRule="auto"/>
        <w:rPr>
          <w:rFonts w:ascii="Arial" w:eastAsia="Times New Roman" w:hAnsi="Arial" w:cs="Arial"/>
          <w:sz w:val="24"/>
          <w:szCs w:val="24"/>
        </w:rPr>
      </w:pPr>
      <w:r>
        <w:rPr>
          <w:rFonts w:ascii="Arial" w:eastAsia="Times New Roman" w:hAnsi="Arial" w:cs="Arial"/>
          <w:bCs/>
          <w:iCs/>
          <w:sz w:val="24"/>
          <w:szCs w:val="24"/>
        </w:rPr>
        <w:t>V</w:t>
      </w:r>
      <w:r w:rsidRPr="00AB3369">
        <w:rPr>
          <w:rFonts w:ascii="Arial" w:eastAsia="Times New Roman" w:hAnsi="Arial" w:cs="Arial"/>
          <w:sz w:val="24"/>
          <w:szCs w:val="24"/>
        </w:rPr>
        <w:t>ariables for inclusion</w:t>
      </w:r>
      <w:r w:rsidR="00A41AF9">
        <w:rPr>
          <w:rFonts w:ascii="Arial" w:eastAsia="Times New Roman" w:hAnsi="Arial" w:cs="Arial"/>
          <w:sz w:val="24"/>
          <w:szCs w:val="24"/>
        </w:rPr>
        <w:t xml:space="preserve"> to the study</w:t>
      </w:r>
      <w:r w:rsidRPr="00AB3369">
        <w:rPr>
          <w:rFonts w:ascii="Arial" w:eastAsia="Times New Roman" w:hAnsi="Arial" w:cs="Arial"/>
          <w:sz w:val="24"/>
          <w:szCs w:val="24"/>
        </w:rPr>
        <w:t xml:space="preserve"> consist</w:t>
      </w:r>
      <w:r>
        <w:rPr>
          <w:rFonts w:ascii="Arial" w:eastAsia="Times New Roman" w:hAnsi="Arial" w:cs="Arial"/>
          <w:sz w:val="24"/>
          <w:szCs w:val="24"/>
        </w:rPr>
        <w:t>ed</w:t>
      </w:r>
      <w:r w:rsidRPr="00AB3369">
        <w:rPr>
          <w:rFonts w:ascii="Arial" w:eastAsia="Times New Roman" w:hAnsi="Arial" w:cs="Arial"/>
          <w:sz w:val="24"/>
          <w:szCs w:val="24"/>
        </w:rPr>
        <w:t xml:space="preserve"> of </w:t>
      </w:r>
      <w:r>
        <w:rPr>
          <w:rFonts w:ascii="Arial" w:eastAsia="Times New Roman" w:hAnsi="Arial" w:cs="Arial"/>
          <w:sz w:val="24"/>
          <w:szCs w:val="24"/>
        </w:rPr>
        <w:t xml:space="preserve">accumulative </w:t>
      </w:r>
      <w:r w:rsidRPr="00AB3369">
        <w:rPr>
          <w:rFonts w:ascii="Arial" w:eastAsia="Times New Roman" w:hAnsi="Arial" w:cs="Arial"/>
          <w:sz w:val="24"/>
          <w:szCs w:val="24"/>
        </w:rPr>
        <w:t>pre-admission and graduation data</w:t>
      </w:r>
      <w:r>
        <w:rPr>
          <w:rFonts w:ascii="Arial" w:eastAsia="Times New Roman" w:hAnsi="Arial" w:cs="Arial"/>
          <w:sz w:val="24"/>
          <w:szCs w:val="24"/>
        </w:rPr>
        <w:t>, separated into academic and professional screening assessment scores</w:t>
      </w:r>
      <w:r w:rsidR="00C37B9D">
        <w:rPr>
          <w:rFonts w:ascii="Arial" w:eastAsia="Times New Roman" w:hAnsi="Arial" w:cs="Arial"/>
          <w:sz w:val="24"/>
          <w:szCs w:val="24"/>
        </w:rPr>
        <w:t xml:space="preserve"> as detailed in table 1</w:t>
      </w:r>
      <w:r>
        <w:rPr>
          <w:rFonts w:ascii="Arial" w:eastAsia="Times New Roman" w:hAnsi="Arial" w:cs="Arial"/>
          <w:sz w:val="24"/>
          <w:szCs w:val="24"/>
        </w:rPr>
        <w:t xml:space="preserve">. </w:t>
      </w:r>
    </w:p>
    <w:p w14:paraId="0943A3F5" w14:textId="77777777" w:rsidR="00A41AF9" w:rsidRDefault="00A41AF9" w:rsidP="00EC6B81">
      <w:pPr>
        <w:spacing w:line="240" w:lineRule="auto"/>
        <w:rPr>
          <w:rFonts w:ascii="Arial" w:eastAsia="Times New Roman" w:hAnsi="Arial" w:cs="Arial"/>
          <w:sz w:val="24"/>
          <w:szCs w:val="24"/>
        </w:rPr>
      </w:pPr>
    </w:p>
    <w:p w14:paraId="395F41BD" w14:textId="695BFE9C" w:rsidR="00C37B9D" w:rsidRDefault="00A41AF9" w:rsidP="00E25A4A">
      <w:pPr>
        <w:spacing w:line="240" w:lineRule="auto"/>
        <w:rPr>
          <w:rFonts w:ascii="Arial" w:eastAsia="Times New Roman" w:hAnsi="Arial" w:cs="Arial"/>
          <w:sz w:val="24"/>
          <w:szCs w:val="24"/>
        </w:rPr>
      </w:pPr>
      <w:r>
        <w:rPr>
          <w:rFonts w:ascii="Arial" w:eastAsia="Times New Roman" w:hAnsi="Arial" w:cs="Arial"/>
          <w:b/>
          <w:bCs/>
          <w:iCs/>
          <w:sz w:val="24"/>
          <w:szCs w:val="24"/>
        </w:rPr>
        <w:t>Minimum Entry Criteria</w:t>
      </w:r>
    </w:p>
    <w:p w14:paraId="73BA414A" w14:textId="733B5561" w:rsidR="00C37B9D" w:rsidRDefault="00C37B9D" w:rsidP="00A41AF9">
      <w:pPr>
        <w:spacing w:line="240" w:lineRule="auto"/>
        <w:rPr>
          <w:rFonts w:ascii="Arial" w:eastAsia="Times New Roman" w:hAnsi="Arial" w:cs="Arial"/>
          <w:sz w:val="24"/>
          <w:szCs w:val="24"/>
        </w:rPr>
      </w:pPr>
      <w:r>
        <w:rPr>
          <w:rFonts w:ascii="Arial" w:eastAsia="Times New Roman" w:hAnsi="Arial" w:cs="Arial"/>
          <w:bCs/>
          <w:sz w:val="24"/>
          <w:szCs w:val="24"/>
        </w:rPr>
        <w:t xml:space="preserve">The participating university set a minimum UCAS entry tariff of 320 points across all undergraduate degree programs, including that of OT. In line with the central university’s policy, </w:t>
      </w:r>
      <w:r>
        <w:rPr>
          <w:rFonts w:ascii="Arial" w:eastAsia="Times New Roman" w:hAnsi="Arial" w:cs="Arial"/>
          <w:sz w:val="24"/>
          <w:szCs w:val="24"/>
        </w:rPr>
        <w:t>the OT team used pre-entry qualification grades as an assessment of academic (cognitive) skill</w:t>
      </w:r>
      <w:r w:rsidR="00A41AF9">
        <w:rPr>
          <w:rFonts w:ascii="Arial" w:eastAsia="Times New Roman" w:hAnsi="Arial" w:cs="Arial"/>
          <w:sz w:val="24"/>
          <w:szCs w:val="24"/>
        </w:rPr>
        <w:t>. T</w:t>
      </w:r>
      <w:r>
        <w:rPr>
          <w:rFonts w:ascii="Arial" w:eastAsia="Times New Roman" w:hAnsi="Arial" w:cs="Arial"/>
          <w:sz w:val="24"/>
          <w:szCs w:val="24"/>
        </w:rPr>
        <w:t>herefore</w:t>
      </w:r>
      <w:r w:rsidR="00A41AF9">
        <w:rPr>
          <w:rFonts w:ascii="Arial" w:eastAsia="Times New Roman" w:hAnsi="Arial" w:cs="Arial"/>
          <w:sz w:val="24"/>
          <w:szCs w:val="24"/>
        </w:rPr>
        <w:t>,</w:t>
      </w:r>
      <w:r w:rsidR="00A41AF9" w:rsidRPr="00A41AF9">
        <w:rPr>
          <w:rFonts w:ascii="Arial" w:eastAsia="Times New Roman" w:hAnsi="Arial" w:cs="Arial"/>
          <w:sz w:val="24"/>
          <w:szCs w:val="24"/>
        </w:rPr>
        <w:t xml:space="preserve"> </w:t>
      </w:r>
      <w:r w:rsidR="00A41AF9">
        <w:rPr>
          <w:rFonts w:ascii="Arial" w:eastAsia="Times New Roman" w:hAnsi="Arial" w:cs="Arial"/>
          <w:sz w:val="24"/>
          <w:szCs w:val="24"/>
        </w:rPr>
        <w:t>for the purposes of this study,</w:t>
      </w:r>
      <w:r>
        <w:rPr>
          <w:rFonts w:ascii="Arial" w:eastAsia="Times New Roman" w:hAnsi="Arial" w:cs="Arial"/>
          <w:sz w:val="24"/>
          <w:szCs w:val="24"/>
        </w:rPr>
        <w:t xml:space="preserve"> UCAS tariff points provided a numerical variable from which to measure final degree classifications and percentages</w:t>
      </w:r>
      <w:r w:rsidR="009F7E1A">
        <w:rPr>
          <w:rFonts w:ascii="Arial" w:eastAsia="Times New Roman" w:hAnsi="Arial" w:cs="Arial"/>
          <w:sz w:val="24"/>
          <w:szCs w:val="24"/>
        </w:rPr>
        <w:t xml:space="preserve"> against</w:t>
      </w:r>
      <w:r>
        <w:rPr>
          <w:rFonts w:ascii="Arial" w:eastAsia="Times New Roman" w:hAnsi="Arial" w:cs="Arial"/>
          <w:sz w:val="24"/>
          <w:szCs w:val="24"/>
        </w:rPr>
        <w:t xml:space="preserve">. UK candidates typically </w:t>
      </w:r>
      <w:r w:rsidR="00A41AF9">
        <w:rPr>
          <w:rFonts w:ascii="Arial" w:eastAsia="Times New Roman" w:hAnsi="Arial" w:cs="Arial"/>
          <w:sz w:val="24"/>
          <w:szCs w:val="24"/>
        </w:rPr>
        <w:t>sit</w:t>
      </w:r>
      <w:r>
        <w:rPr>
          <w:rFonts w:ascii="Arial" w:eastAsia="Times New Roman" w:hAnsi="Arial" w:cs="Arial"/>
          <w:sz w:val="24"/>
          <w:szCs w:val="24"/>
        </w:rPr>
        <w:t xml:space="preserve"> a minimum of three, but a maximum of four, A-Level examinations </w:t>
      </w:r>
      <w:r w:rsidR="00A41AF9">
        <w:rPr>
          <w:rFonts w:ascii="Arial" w:eastAsia="Times New Roman" w:hAnsi="Arial" w:cs="Arial"/>
          <w:sz w:val="24"/>
          <w:szCs w:val="24"/>
        </w:rPr>
        <w:t xml:space="preserve">and </w:t>
      </w:r>
      <w:r>
        <w:rPr>
          <w:rFonts w:ascii="Arial" w:eastAsia="Times New Roman" w:hAnsi="Arial" w:cs="Arial"/>
          <w:sz w:val="24"/>
          <w:szCs w:val="24"/>
        </w:rPr>
        <w:t xml:space="preserve">the numerical conversion to tariff points is explained using A-Level grade results as an example. </w:t>
      </w:r>
      <w:r w:rsidR="00A41AF9">
        <w:rPr>
          <w:rFonts w:ascii="Arial" w:eastAsia="Times New Roman" w:hAnsi="Arial" w:cs="Arial"/>
          <w:sz w:val="24"/>
          <w:szCs w:val="24"/>
        </w:rPr>
        <w:t xml:space="preserve">As </w:t>
      </w:r>
      <w:r>
        <w:rPr>
          <w:rFonts w:ascii="Arial" w:eastAsia="Times New Roman" w:hAnsi="Arial" w:cs="Arial"/>
          <w:sz w:val="24"/>
          <w:szCs w:val="24"/>
        </w:rPr>
        <w:t>minimum entry criteria to the program, OT candidates are required to sit at least one Science A-Level subject (Chemistry, Biology, Physics, Sociology or Psychology) plus two other general A-Level subjects (both science and non-science subjects accepted). The possible UCAS tariff points across the three subjects convert to A-Level subject 1: Grade A (120 points) A-Level subject 2: Grade B (100 points) and A-Level subject 3: Grade B (100 points), totalling the minimum entry criteria of 320 points, with no requirement for the Grade A to be in a</w:t>
      </w:r>
      <w:r w:rsidR="00A41AF9">
        <w:rPr>
          <w:rFonts w:ascii="Arial" w:eastAsia="Times New Roman" w:hAnsi="Arial" w:cs="Arial"/>
          <w:sz w:val="24"/>
          <w:szCs w:val="24"/>
        </w:rPr>
        <w:t>ny</w:t>
      </w:r>
      <w:r>
        <w:rPr>
          <w:rFonts w:ascii="Arial" w:eastAsia="Times New Roman" w:hAnsi="Arial" w:cs="Arial"/>
          <w:sz w:val="24"/>
          <w:szCs w:val="24"/>
        </w:rPr>
        <w:t xml:space="preserve"> particular subject.</w:t>
      </w:r>
    </w:p>
    <w:p w14:paraId="631B9142" w14:textId="77777777" w:rsidR="00C37B9D" w:rsidRDefault="00C37B9D" w:rsidP="00C37B9D">
      <w:pPr>
        <w:spacing w:line="240" w:lineRule="auto"/>
        <w:rPr>
          <w:rFonts w:ascii="Arial" w:eastAsia="Times New Roman" w:hAnsi="Arial" w:cs="Arial"/>
          <w:sz w:val="24"/>
          <w:szCs w:val="24"/>
        </w:rPr>
      </w:pPr>
    </w:p>
    <w:p w14:paraId="16EA0494" w14:textId="116A2BA1" w:rsidR="008D6B71" w:rsidRDefault="001732EA" w:rsidP="004D2C50">
      <w:pPr>
        <w:spacing w:line="240" w:lineRule="auto"/>
        <w:rPr>
          <w:rFonts w:ascii="Arial" w:eastAsia="Times New Roman" w:hAnsi="Arial" w:cs="Arial"/>
          <w:sz w:val="24"/>
          <w:szCs w:val="24"/>
        </w:rPr>
      </w:pPr>
      <w:r>
        <w:rPr>
          <w:rFonts w:ascii="Arial" w:eastAsia="Times New Roman" w:hAnsi="Arial" w:cs="Arial"/>
          <w:sz w:val="24"/>
          <w:szCs w:val="24"/>
        </w:rPr>
        <w:t>Echoing findings of the</w:t>
      </w:r>
      <w:r w:rsidR="000024A7">
        <w:rPr>
          <w:rFonts w:ascii="Arial" w:eastAsia="Times New Roman" w:hAnsi="Arial" w:cs="Arial"/>
          <w:sz w:val="24"/>
          <w:szCs w:val="24"/>
        </w:rPr>
        <w:t xml:space="preserve"> literature review, the OT team were f</w:t>
      </w:r>
      <w:r w:rsidR="00C37B9D">
        <w:rPr>
          <w:rFonts w:ascii="Arial" w:eastAsia="Times New Roman" w:hAnsi="Arial" w:cs="Arial"/>
          <w:sz w:val="24"/>
          <w:szCs w:val="24"/>
        </w:rPr>
        <w:t xml:space="preserve">rustrated by a lack of valid and reliable tools available to assess professional (non-cognitive) skills in OT candidates, </w:t>
      </w:r>
      <w:r w:rsidR="000024A7">
        <w:rPr>
          <w:rFonts w:ascii="Arial" w:eastAsia="Times New Roman" w:hAnsi="Arial" w:cs="Arial"/>
          <w:sz w:val="24"/>
          <w:szCs w:val="24"/>
        </w:rPr>
        <w:t>and</w:t>
      </w:r>
      <w:r w:rsidR="00C37B9D">
        <w:rPr>
          <w:rFonts w:ascii="Arial" w:eastAsia="Times New Roman" w:hAnsi="Arial" w:cs="Arial"/>
          <w:sz w:val="24"/>
          <w:szCs w:val="24"/>
        </w:rPr>
        <w:t xml:space="preserve"> sought to adopt methods to a</w:t>
      </w:r>
      <w:r>
        <w:rPr>
          <w:rFonts w:ascii="Arial" w:eastAsia="Times New Roman" w:hAnsi="Arial" w:cs="Arial"/>
          <w:sz w:val="24"/>
          <w:szCs w:val="24"/>
        </w:rPr>
        <w:t>ssess values such as creative</w:t>
      </w:r>
      <w:r w:rsidR="00C37B9D">
        <w:rPr>
          <w:rFonts w:ascii="Arial" w:eastAsia="Times New Roman" w:hAnsi="Arial" w:cs="Arial"/>
          <w:sz w:val="24"/>
          <w:szCs w:val="24"/>
        </w:rPr>
        <w:t xml:space="preserve"> and fle</w:t>
      </w:r>
      <w:r>
        <w:rPr>
          <w:rFonts w:ascii="Arial" w:eastAsia="Times New Roman" w:hAnsi="Arial" w:cs="Arial"/>
          <w:sz w:val="24"/>
          <w:szCs w:val="24"/>
        </w:rPr>
        <w:t>xible</w:t>
      </w:r>
      <w:r w:rsidR="00C37B9D">
        <w:rPr>
          <w:rFonts w:ascii="Arial" w:eastAsia="Times New Roman" w:hAnsi="Arial" w:cs="Arial"/>
          <w:sz w:val="24"/>
          <w:szCs w:val="24"/>
        </w:rPr>
        <w:t xml:space="preserve"> thinking. This involved the purchase of the </w:t>
      </w:r>
      <w:r w:rsidR="00C37B9D" w:rsidRPr="00E00291">
        <w:rPr>
          <w:rFonts w:ascii="Arial" w:eastAsia="Times New Roman" w:hAnsi="Arial" w:cs="Arial"/>
          <w:bCs/>
          <w:sz w:val="24"/>
          <w:szCs w:val="24"/>
        </w:rPr>
        <w:t xml:space="preserve">Creativity and Problem Solving Aptitude Test (CAPSAT-R), </w:t>
      </w:r>
      <w:r w:rsidR="00C37B9D" w:rsidRPr="00E00291">
        <w:rPr>
          <w:rFonts w:ascii="Arial" w:eastAsia="Times New Roman" w:hAnsi="Arial" w:cs="Arial"/>
          <w:bCs/>
          <w:sz w:val="24"/>
          <w:szCs w:val="24"/>
        </w:rPr>
        <w:fldChar w:fldCharType="begin" w:fldLock="1"/>
      </w:r>
      <w:r w:rsidR="00C37B9D" w:rsidRPr="00E00291">
        <w:rPr>
          <w:rFonts w:ascii="Arial" w:eastAsia="Times New Roman" w:hAnsi="Arial" w:cs="Arial"/>
          <w:bCs/>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2016)","manualFormatting":"Psych Tests AIM, 2016)","plainTextFormattedCitation":"(Psych Tests AIM, 2016)","previouslyFormattedCitation":"(Psych Tests AIM, 2016)"},"properties":{"noteIndex":0},"schema":"https://github.com/citation-style-language/schema/raw/master/csl-citation.json"}</w:instrText>
      </w:r>
      <w:r w:rsidR="00C37B9D" w:rsidRPr="00E00291">
        <w:rPr>
          <w:rFonts w:ascii="Arial" w:eastAsia="Times New Roman" w:hAnsi="Arial" w:cs="Arial"/>
          <w:bCs/>
          <w:sz w:val="24"/>
          <w:szCs w:val="24"/>
        </w:rPr>
        <w:fldChar w:fldCharType="separate"/>
      </w:r>
      <w:r w:rsidR="00C37B9D" w:rsidRPr="00E00291">
        <w:rPr>
          <w:rFonts w:ascii="Arial" w:eastAsia="Times New Roman" w:hAnsi="Arial" w:cs="Arial"/>
          <w:bCs/>
          <w:noProof/>
          <w:sz w:val="24"/>
          <w:szCs w:val="24"/>
        </w:rPr>
        <w:t>Psych Tests AIM, 2016)</w:t>
      </w:r>
      <w:r w:rsidR="00C37B9D" w:rsidRPr="00E00291">
        <w:rPr>
          <w:rFonts w:ascii="Arial" w:eastAsia="Times New Roman" w:hAnsi="Arial" w:cs="Arial"/>
          <w:bCs/>
          <w:sz w:val="24"/>
          <w:szCs w:val="24"/>
        </w:rPr>
        <w:fldChar w:fldCharType="end"/>
      </w:r>
      <w:r w:rsidR="00C37B9D">
        <w:rPr>
          <w:rFonts w:ascii="Arial" w:eastAsia="Times New Roman" w:hAnsi="Arial" w:cs="Arial"/>
          <w:bCs/>
          <w:sz w:val="24"/>
          <w:szCs w:val="24"/>
        </w:rPr>
        <w:t xml:space="preserve"> and </w:t>
      </w:r>
      <w:r w:rsidR="006C6FCF">
        <w:rPr>
          <w:rFonts w:ascii="Arial" w:eastAsia="Times New Roman" w:hAnsi="Arial" w:cs="Arial"/>
          <w:bCs/>
          <w:sz w:val="24"/>
          <w:szCs w:val="24"/>
        </w:rPr>
        <w:t xml:space="preserve">team-based approach to the </w:t>
      </w:r>
      <w:r w:rsidR="00C37B9D">
        <w:rPr>
          <w:rFonts w:ascii="Arial" w:eastAsia="Times New Roman" w:hAnsi="Arial" w:cs="Arial"/>
          <w:bCs/>
          <w:sz w:val="24"/>
          <w:szCs w:val="24"/>
        </w:rPr>
        <w:t xml:space="preserve">development of a non-standardised reflective essay, both of which provided pre-admission numerical variables for comparison with graduation data. </w:t>
      </w:r>
      <w:r w:rsidR="00C37B9D">
        <w:rPr>
          <w:rFonts w:ascii="Arial" w:eastAsia="Times New Roman" w:hAnsi="Arial" w:cs="Arial"/>
          <w:sz w:val="24"/>
          <w:szCs w:val="24"/>
        </w:rPr>
        <w:t>The goal of the CAPSAT-R was to establish whether a candidate’s attitude and the way in which they approach</w:t>
      </w:r>
      <w:r w:rsidR="006C6FCF">
        <w:rPr>
          <w:rFonts w:ascii="Arial" w:eastAsia="Times New Roman" w:hAnsi="Arial" w:cs="Arial"/>
          <w:sz w:val="24"/>
          <w:szCs w:val="24"/>
        </w:rPr>
        <w:t>ed a problem was</w:t>
      </w:r>
      <w:r w:rsidR="00C37B9D">
        <w:rPr>
          <w:rFonts w:ascii="Arial" w:eastAsia="Times New Roman" w:hAnsi="Arial" w:cs="Arial"/>
          <w:sz w:val="24"/>
          <w:szCs w:val="24"/>
        </w:rPr>
        <w:t xml:space="preserve"> conducive to creative thinking. Specifically</w:t>
      </w:r>
      <w:r w:rsidR="000024A7">
        <w:rPr>
          <w:rFonts w:ascii="Arial" w:eastAsia="Times New Roman" w:hAnsi="Arial" w:cs="Arial"/>
          <w:sz w:val="24"/>
          <w:szCs w:val="24"/>
        </w:rPr>
        <w:t>, could</w:t>
      </w:r>
      <w:r w:rsidR="00C37B9D">
        <w:rPr>
          <w:rFonts w:ascii="Arial" w:eastAsia="Times New Roman" w:hAnsi="Arial" w:cs="Arial"/>
          <w:sz w:val="24"/>
          <w:szCs w:val="24"/>
        </w:rPr>
        <w:t xml:space="preserve"> they view things in new ways or from a different perspective, allowing the generation of new po</w:t>
      </w:r>
      <w:r w:rsidR="006C6FCF">
        <w:rPr>
          <w:rFonts w:ascii="Arial" w:eastAsia="Times New Roman" w:hAnsi="Arial" w:cs="Arial"/>
          <w:sz w:val="24"/>
          <w:szCs w:val="24"/>
        </w:rPr>
        <w:t>ssibilities or alternatives? Could</w:t>
      </w:r>
      <w:r w:rsidR="00C37B9D">
        <w:rPr>
          <w:rFonts w:ascii="Arial" w:eastAsia="Times New Roman" w:hAnsi="Arial" w:cs="Arial"/>
          <w:sz w:val="24"/>
          <w:szCs w:val="24"/>
        </w:rPr>
        <w:t xml:space="preserve"> they tolerate ambiguity? (Psych, AIM, 2016).</w:t>
      </w:r>
      <w:r w:rsidR="004D2C50">
        <w:rPr>
          <w:rFonts w:ascii="Arial" w:eastAsia="Times New Roman" w:hAnsi="Arial" w:cs="Arial"/>
          <w:sz w:val="24"/>
          <w:szCs w:val="24"/>
        </w:rPr>
        <w:t xml:space="preserve"> </w:t>
      </w:r>
      <w:r w:rsidR="008D6B71">
        <w:rPr>
          <w:rFonts w:ascii="Arial" w:eastAsia="Times New Roman" w:hAnsi="Arial" w:cs="Arial"/>
          <w:sz w:val="24"/>
          <w:szCs w:val="24"/>
        </w:rPr>
        <w:t>The</w:t>
      </w:r>
      <w:r w:rsidR="006C6FCF">
        <w:rPr>
          <w:rFonts w:ascii="Arial" w:eastAsia="Times New Roman" w:hAnsi="Arial" w:cs="Arial"/>
          <w:sz w:val="24"/>
          <w:szCs w:val="24"/>
        </w:rPr>
        <w:t xml:space="preserve"> </w:t>
      </w:r>
      <w:r w:rsidR="00C37B9D">
        <w:rPr>
          <w:rFonts w:ascii="Arial" w:eastAsia="Times New Roman" w:hAnsi="Arial" w:cs="Arial"/>
          <w:sz w:val="24"/>
          <w:szCs w:val="24"/>
        </w:rPr>
        <w:t xml:space="preserve">reflective essay encouraged candidates to demonstrate their ability to respond creatively to, and interpret the use of, metaphor related to a given poem, case study or piece of artwork. </w:t>
      </w:r>
      <w:r w:rsidR="008D6B71">
        <w:rPr>
          <w:rFonts w:ascii="Arial" w:eastAsia="Times New Roman" w:hAnsi="Arial" w:cs="Arial"/>
          <w:sz w:val="24"/>
          <w:szCs w:val="24"/>
        </w:rPr>
        <w:t>It should be noted however, that these assessments were not chosen a</w:t>
      </w:r>
      <w:r w:rsidR="006C6FCF">
        <w:rPr>
          <w:rFonts w:ascii="Arial" w:eastAsia="Times New Roman" w:hAnsi="Arial" w:cs="Arial"/>
          <w:sz w:val="24"/>
          <w:szCs w:val="24"/>
        </w:rPr>
        <w:t xml:space="preserve">s a result of </w:t>
      </w:r>
      <w:r w:rsidR="008D6B71">
        <w:rPr>
          <w:rFonts w:ascii="Arial" w:eastAsia="Times New Roman" w:hAnsi="Arial" w:cs="Arial"/>
          <w:sz w:val="24"/>
          <w:szCs w:val="24"/>
        </w:rPr>
        <w:t xml:space="preserve">robust evidence but rather anecdotal evidence from the experience of the OT </w:t>
      </w:r>
      <w:r w:rsidR="006C6FCF">
        <w:rPr>
          <w:rFonts w:ascii="Arial" w:eastAsia="Times New Roman" w:hAnsi="Arial" w:cs="Arial"/>
          <w:sz w:val="24"/>
          <w:szCs w:val="24"/>
        </w:rPr>
        <w:t>admissions team and author</w:t>
      </w:r>
      <w:r w:rsidR="008D6B71">
        <w:rPr>
          <w:rFonts w:ascii="Arial" w:eastAsia="Times New Roman" w:hAnsi="Arial" w:cs="Arial"/>
          <w:sz w:val="24"/>
          <w:szCs w:val="24"/>
        </w:rPr>
        <w:t xml:space="preserve"> who agreed </w:t>
      </w:r>
      <w:r w:rsidR="000024A7">
        <w:rPr>
          <w:rFonts w:ascii="Arial" w:eastAsia="Times New Roman" w:hAnsi="Arial" w:cs="Arial"/>
          <w:sz w:val="24"/>
          <w:szCs w:val="24"/>
        </w:rPr>
        <w:t xml:space="preserve">with the wider OT profession that </w:t>
      </w:r>
      <w:r w:rsidR="008D6B71">
        <w:rPr>
          <w:rFonts w:ascii="Arial" w:eastAsia="Times New Roman" w:hAnsi="Arial" w:cs="Arial"/>
          <w:sz w:val="24"/>
          <w:szCs w:val="24"/>
        </w:rPr>
        <w:t>the skills and qualities requi</w:t>
      </w:r>
      <w:r w:rsidR="006C6FCF">
        <w:rPr>
          <w:rFonts w:ascii="Arial" w:eastAsia="Times New Roman" w:hAnsi="Arial" w:cs="Arial"/>
          <w:sz w:val="24"/>
          <w:szCs w:val="24"/>
        </w:rPr>
        <w:t>red of OT candidates</w:t>
      </w:r>
      <w:r w:rsidR="008D6B71">
        <w:rPr>
          <w:rFonts w:ascii="Arial" w:eastAsia="Times New Roman" w:hAnsi="Arial" w:cs="Arial"/>
          <w:sz w:val="24"/>
          <w:szCs w:val="24"/>
        </w:rPr>
        <w:t xml:space="preserve"> were the ability to solve problems, think flexibly, relate to and interact with others and have respect for individuals’ autonomy without being judgemental </w:t>
      </w:r>
      <w:r w:rsidR="008D6B71">
        <w:rPr>
          <w:rFonts w:ascii="Arial" w:eastAsia="Times New Roman" w:hAnsi="Arial" w:cs="Arial"/>
          <w:sz w:val="24"/>
          <w:szCs w:val="24"/>
        </w:rPr>
        <w:fldChar w:fldCharType="begin" w:fldLock="1"/>
      </w:r>
      <w:r w:rsidR="008D6B71">
        <w:rPr>
          <w:rFonts w:ascii="Arial" w:eastAsia="Times New Roman" w:hAnsi="Arial" w:cs="Arial"/>
          <w:sz w:val="24"/>
          <w:szCs w:val="24"/>
        </w:rPr>
        <w:instrText>ADDIN CSL_CITATION {"citationItems":[{"id":"ITEM-1","itemData":{"DOI":"10.1111/j.1440-1630.2006.00591.x","ISSN":"00450766","abstract":"Background/Aim: Demand for places in occupational therapy programs at Australian universities may place undue emphasis on academic attainment when selecting students... but how else might students be selected? This study investigated those attributes judged by occupational therapy practitioners to be most important. Methods: From a focus group of occupational therapy academics, a list of occupational therapy practice attributes was generated and used to develop a questionnaire completed by 175 Australian occupational therapy practitioners. Results: The most highly rated abilities were communication and problem-solving skills; the most highly rated qualities were respecting others, self-responsibility and ethical orientation. Conclusions: This research has identified abilities and personal qualities that could be added to current selection criteria to assist in identifying suitable candidates for entry into occupational therapy education. © 2006 The Authors Journal compilation © 2006 Australian Association of Occupational Therapists.","author":[{"dropping-particle":"","family":"Lyons","given":"Michael","non-dropping-particle":"","parse-names":false,"suffix":""},{"dropping-particle":"","family":"Mackenzie","given":"Lynette","non-dropping-particle":"","parse-names":false,"suffix":""},{"dropping-particle":"","family":"Bore","given":"Miles","non-dropping-particle":"","parse-names":false,"suffix":""},{"dropping-particle":"","family":"Powis","given":"David","non-dropping-particle":"","parse-names":false,"suffix":""}],"container-title":"Australian Occupational Therapy Journal","id":"ITEM-1","issue":"4","issued":{"date-parts":[["2006"]]},"page":"284-292","title":"Framing a set of non-academic selection criteria for occupational therapy students: An Australian study","type":"article-journal","volume":"53"},"uris":["http://www.mendeley.com/documents/?uuid=df897515-3a10-40a7-a818-5b5eb4167089"]}],"mendeley":{"formattedCitation":"(Lyons et al., 2006)","plainTextFormattedCitation":"(Lyons et al., 2006)"},"properties":{"noteIndex":0},"schema":"https://github.com/citation-style-language/schema/raw/master/csl-citation.json"}</w:instrText>
      </w:r>
      <w:r w:rsidR="008D6B71">
        <w:rPr>
          <w:rFonts w:ascii="Arial" w:eastAsia="Times New Roman" w:hAnsi="Arial" w:cs="Arial"/>
          <w:sz w:val="24"/>
          <w:szCs w:val="24"/>
        </w:rPr>
        <w:fldChar w:fldCharType="separate"/>
      </w:r>
      <w:r w:rsidR="008D6B71" w:rsidRPr="00AD6724">
        <w:rPr>
          <w:rFonts w:ascii="Arial" w:eastAsia="Times New Roman" w:hAnsi="Arial" w:cs="Arial"/>
          <w:noProof/>
          <w:sz w:val="24"/>
          <w:szCs w:val="24"/>
        </w:rPr>
        <w:t>(Lyons et al., 2006)</w:t>
      </w:r>
      <w:r w:rsidR="008D6B71">
        <w:rPr>
          <w:rFonts w:ascii="Arial" w:eastAsia="Times New Roman" w:hAnsi="Arial" w:cs="Arial"/>
          <w:sz w:val="24"/>
          <w:szCs w:val="24"/>
        </w:rPr>
        <w:fldChar w:fldCharType="end"/>
      </w:r>
      <w:r w:rsidR="008D6B71">
        <w:rPr>
          <w:rFonts w:ascii="Arial" w:eastAsia="Times New Roman" w:hAnsi="Arial" w:cs="Arial"/>
          <w:sz w:val="24"/>
          <w:szCs w:val="24"/>
        </w:rPr>
        <w:t>.</w:t>
      </w:r>
    </w:p>
    <w:p w14:paraId="02396E70" w14:textId="77777777" w:rsidR="00C37B9D" w:rsidRDefault="00C37B9D" w:rsidP="00E25A4A">
      <w:pPr>
        <w:spacing w:line="240" w:lineRule="auto"/>
        <w:rPr>
          <w:rFonts w:ascii="Arial" w:eastAsia="Times New Roman" w:hAnsi="Arial" w:cs="Arial"/>
          <w:sz w:val="24"/>
          <w:szCs w:val="24"/>
        </w:rPr>
      </w:pPr>
    </w:p>
    <w:p w14:paraId="51DE2901" w14:textId="77777777" w:rsidR="00C37B9D" w:rsidRPr="00A231F2" w:rsidRDefault="00C37B9D" w:rsidP="00C37B9D">
      <w:pPr>
        <w:spacing w:line="240" w:lineRule="auto"/>
        <w:rPr>
          <w:rFonts w:ascii="Arial" w:eastAsia="Times New Roman" w:hAnsi="Arial" w:cs="Arial"/>
          <w:i/>
          <w:iCs/>
          <w:sz w:val="24"/>
          <w:szCs w:val="24"/>
        </w:rPr>
      </w:pPr>
      <w:r>
        <w:rPr>
          <w:rFonts w:ascii="Arial" w:eastAsia="Times New Roman" w:hAnsi="Arial" w:cs="Arial"/>
          <w:i/>
          <w:iCs/>
          <w:sz w:val="24"/>
          <w:szCs w:val="24"/>
        </w:rPr>
        <w:t>Table 1: Pre-admission and graduation data across academic (cognitive) and professional (non-cognitive) inclusion variables</w:t>
      </w:r>
    </w:p>
    <w:tbl>
      <w:tblPr>
        <w:tblStyle w:val="TableGrid"/>
        <w:tblW w:w="0" w:type="auto"/>
        <w:tblLook w:val="04A0" w:firstRow="1" w:lastRow="0" w:firstColumn="1" w:lastColumn="0" w:noHBand="0" w:noVBand="1"/>
      </w:tblPr>
      <w:tblGrid>
        <w:gridCol w:w="3005"/>
        <w:gridCol w:w="6011"/>
      </w:tblGrid>
      <w:tr w:rsidR="00C37B9D" w14:paraId="3FC5CA75" w14:textId="77777777" w:rsidTr="008922A1">
        <w:tc>
          <w:tcPr>
            <w:tcW w:w="9016" w:type="dxa"/>
            <w:gridSpan w:val="2"/>
            <w:shd w:val="clear" w:color="auto" w:fill="A6A6A6" w:themeFill="background1" w:themeFillShade="A6"/>
          </w:tcPr>
          <w:p w14:paraId="52D7E700" w14:textId="77777777" w:rsidR="00C37B9D" w:rsidRPr="0043085C" w:rsidRDefault="00C37B9D" w:rsidP="008922A1">
            <w:pPr>
              <w:rPr>
                <w:rFonts w:ascii="Arial" w:eastAsia="Times New Roman" w:hAnsi="Arial" w:cs="Arial"/>
                <w:b/>
                <w:bCs/>
                <w:sz w:val="24"/>
                <w:szCs w:val="24"/>
              </w:rPr>
            </w:pPr>
            <w:r w:rsidRPr="0043085C">
              <w:rPr>
                <w:rFonts w:ascii="Arial" w:eastAsia="Times New Roman" w:hAnsi="Arial" w:cs="Arial"/>
                <w:b/>
                <w:bCs/>
                <w:sz w:val="24"/>
                <w:szCs w:val="24"/>
              </w:rPr>
              <w:t>Pre-admission Data</w:t>
            </w:r>
          </w:p>
        </w:tc>
      </w:tr>
      <w:tr w:rsidR="00C37B9D" w14:paraId="3CD93CD4" w14:textId="77777777" w:rsidTr="008922A1">
        <w:tc>
          <w:tcPr>
            <w:tcW w:w="3005" w:type="dxa"/>
          </w:tcPr>
          <w:p w14:paraId="21F4D414" w14:textId="77777777" w:rsidR="00C37B9D" w:rsidRPr="0043085C" w:rsidRDefault="00C37B9D" w:rsidP="008922A1">
            <w:pPr>
              <w:rPr>
                <w:rFonts w:ascii="Arial" w:eastAsia="Times New Roman" w:hAnsi="Arial" w:cs="Arial"/>
                <w:b/>
                <w:bCs/>
                <w:sz w:val="24"/>
                <w:szCs w:val="24"/>
              </w:rPr>
            </w:pPr>
            <w:r w:rsidRPr="0043085C">
              <w:rPr>
                <w:rFonts w:ascii="Arial" w:eastAsia="Times New Roman" w:hAnsi="Arial" w:cs="Arial"/>
                <w:b/>
                <w:bCs/>
                <w:sz w:val="24"/>
                <w:szCs w:val="24"/>
              </w:rPr>
              <w:t>Academic (cognitive) assessment</w:t>
            </w:r>
            <w:r>
              <w:rPr>
                <w:rFonts w:ascii="Arial" w:eastAsia="Times New Roman" w:hAnsi="Arial" w:cs="Arial"/>
                <w:b/>
                <w:bCs/>
                <w:sz w:val="24"/>
                <w:szCs w:val="24"/>
              </w:rPr>
              <w:t xml:space="preserve"> scores</w:t>
            </w:r>
          </w:p>
        </w:tc>
        <w:tc>
          <w:tcPr>
            <w:tcW w:w="6011" w:type="dxa"/>
          </w:tcPr>
          <w:p w14:paraId="4878DA7B" w14:textId="77777777" w:rsidR="00C37B9D" w:rsidRPr="00A231F2" w:rsidRDefault="00C37B9D" w:rsidP="008922A1">
            <w:pPr>
              <w:rPr>
                <w:rFonts w:ascii="Arial" w:eastAsia="Times New Roman" w:hAnsi="Arial" w:cs="Arial"/>
                <w:b/>
                <w:bCs/>
                <w:sz w:val="24"/>
                <w:szCs w:val="24"/>
              </w:rPr>
            </w:pPr>
            <w:r>
              <w:rPr>
                <w:rFonts w:ascii="Arial" w:eastAsia="Times New Roman" w:hAnsi="Arial" w:cs="Arial"/>
                <w:b/>
                <w:bCs/>
                <w:sz w:val="24"/>
                <w:szCs w:val="24"/>
              </w:rPr>
              <w:t>P</w:t>
            </w:r>
            <w:r w:rsidRPr="00A231F2">
              <w:rPr>
                <w:rFonts w:ascii="Arial" w:eastAsia="Times New Roman" w:hAnsi="Arial" w:cs="Arial"/>
                <w:b/>
                <w:bCs/>
                <w:sz w:val="24"/>
                <w:szCs w:val="24"/>
              </w:rPr>
              <w:t xml:space="preserve">re-entry achieved </w:t>
            </w:r>
            <w:r>
              <w:rPr>
                <w:rFonts w:ascii="Arial" w:eastAsia="Times New Roman" w:hAnsi="Arial" w:cs="Arial"/>
                <w:b/>
                <w:bCs/>
                <w:sz w:val="24"/>
                <w:szCs w:val="24"/>
              </w:rPr>
              <w:t>qualifications</w:t>
            </w:r>
            <w:r w:rsidRPr="00A231F2">
              <w:rPr>
                <w:rFonts w:ascii="Arial" w:eastAsia="Times New Roman" w:hAnsi="Arial" w:cs="Arial"/>
                <w:b/>
                <w:bCs/>
                <w:sz w:val="24"/>
                <w:szCs w:val="24"/>
              </w:rPr>
              <w:t>:</w:t>
            </w:r>
          </w:p>
          <w:p w14:paraId="5F628B01" w14:textId="77777777" w:rsidR="00C37B9D" w:rsidRDefault="00C37B9D" w:rsidP="008922A1">
            <w:pPr>
              <w:pStyle w:val="ListParagraph"/>
              <w:numPr>
                <w:ilvl w:val="0"/>
                <w:numId w:val="17"/>
              </w:numPr>
              <w:rPr>
                <w:rFonts w:ascii="Arial" w:eastAsia="Times New Roman" w:hAnsi="Arial" w:cs="Arial"/>
                <w:sz w:val="24"/>
                <w:szCs w:val="24"/>
              </w:rPr>
            </w:pPr>
            <w:r w:rsidRPr="00A231F2">
              <w:rPr>
                <w:rFonts w:ascii="Arial" w:eastAsia="Times New Roman" w:hAnsi="Arial" w:cs="Arial"/>
                <w:sz w:val="24"/>
                <w:szCs w:val="24"/>
              </w:rPr>
              <w:t>A-Level</w:t>
            </w:r>
          </w:p>
          <w:p w14:paraId="627B9BE6" w14:textId="77777777" w:rsidR="00C37B9D" w:rsidRDefault="00C37B9D" w:rsidP="008922A1">
            <w:pPr>
              <w:pStyle w:val="ListParagraph"/>
              <w:numPr>
                <w:ilvl w:val="0"/>
                <w:numId w:val="17"/>
              </w:numPr>
              <w:rPr>
                <w:rFonts w:ascii="Arial" w:eastAsia="Times New Roman" w:hAnsi="Arial" w:cs="Arial"/>
                <w:sz w:val="24"/>
                <w:szCs w:val="24"/>
              </w:rPr>
            </w:pPr>
            <w:r w:rsidRPr="00A231F2">
              <w:rPr>
                <w:rFonts w:ascii="Arial" w:eastAsia="Times New Roman" w:hAnsi="Arial" w:cs="Arial"/>
                <w:sz w:val="24"/>
                <w:szCs w:val="24"/>
              </w:rPr>
              <w:t xml:space="preserve">Access to Higher Education (HE) or </w:t>
            </w:r>
          </w:p>
          <w:p w14:paraId="3B18AE08" w14:textId="77777777" w:rsidR="00C37B9D" w:rsidRPr="00E25A4A" w:rsidRDefault="00C37B9D" w:rsidP="008922A1">
            <w:pPr>
              <w:pStyle w:val="ListParagraph"/>
              <w:numPr>
                <w:ilvl w:val="0"/>
                <w:numId w:val="17"/>
              </w:numPr>
              <w:rPr>
                <w:rFonts w:ascii="Arial" w:eastAsia="Times New Roman" w:hAnsi="Arial" w:cs="Arial"/>
                <w:sz w:val="24"/>
                <w:szCs w:val="24"/>
              </w:rPr>
            </w:pPr>
            <w:r w:rsidRPr="00A231F2">
              <w:rPr>
                <w:rFonts w:ascii="Arial" w:eastAsia="Times New Roman" w:hAnsi="Arial" w:cs="Arial"/>
                <w:sz w:val="24"/>
                <w:szCs w:val="24"/>
              </w:rPr>
              <w:t xml:space="preserve">Business and Technology Education Council (B-TEC) </w:t>
            </w:r>
          </w:p>
        </w:tc>
      </w:tr>
      <w:tr w:rsidR="00C37B9D" w14:paraId="13248967" w14:textId="77777777" w:rsidTr="008922A1">
        <w:tc>
          <w:tcPr>
            <w:tcW w:w="3005" w:type="dxa"/>
          </w:tcPr>
          <w:p w14:paraId="5A1D38B3" w14:textId="77777777" w:rsidR="001E0483" w:rsidRDefault="00C37B9D" w:rsidP="008922A1">
            <w:pPr>
              <w:rPr>
                <w:rFonts w:ascii="Arial" w:eastAsia="Times New Roman" w:hAnsi="Arial" w:cs="Arial"/>
                <w:b/>
                <w:bCs/>
                <w:iCs/>
                <w:sz w:val="24"/>
                <w:szCs w:val="24"/>
              </w:rPr>
            </w:pPr>
            <w:r w:rsidRPr="00DD34B2">
              <w:rPr>
                <w:rFonts w:ascii="Arial" w:eastAsia="Times New Roman" w:hAnsi="Arial" w:cs="Arial"/>
                <w:b/>
                <w:bCs/>
                <w:iCs/>
                <w:sz w:val="24"/>
                <w:szCs w:val="24"/>
              </w:rPr>
              <w:t>Professional (non-cognitive) assessment</w:t>
            </w:r>
            <w:r>
              <w:rPr>
                <w:rFonts w:ascii="Arial" w:eastAsia="Times New Roman" w:hAnsi="Arial" w:cs="Arial"/>
                <w:b/>
                <w:bCs/>
                <w:iCs/>
                <w:sz w:val="24"/>
                <w:szCs w:val="24"/>
              </w:rPr>
              <w:t xml:space="preserve"> scores</w:t>
            </w:r>
            <w:r w:rsidR="001E0483">
              <w:rPr>
                <w:rFonts w:ascii="Arial" w:eastAsia="Times New Roman" w:hAnsi="Arial" w:cs="Arial"/>
                <w:b/>
                <w:bCs/>
                <w:iCs/>
                <w:sz w:val="24"/>
                <w:szCs w:val="24"/>
              </w:rPr>
              <w:t>.</w:t>
            </w:r>
          </w:p>
          <w:p w14:paraId="782921A7" w14:textId="77777777" w:rsidR="001E0483" w:rsidRDefault="001E0483" w:rsidP="008922A1">
            <w:pPr>
              <w:rPr>
                <w:rFonts w:ascii="Arial" w:eastAsia="Times New Roman" w:hAnsi="Arial" w:cs="Arial"/>
                <w:b/>
                <w:bCs/>
                <w:iCs/>
                <w:sz w:val="24"/>
                <w:szCs w:val="24"/>
              </w:rPr>
            </w:pPr>
          </w:p>
          <w:p w14:paraId="74FF5546" w14:textId="5CFCFBDA" w:rsidR="00C37B9D" w:rsidRPr="00384187" w:rsidRDefault="001E0483" w:rsidP="008922A1">
            <w:pPr>
              <w:rPr>
                <w:rFonts w:ascii="Arial" w:eastAsia="Times New Roman" w:hAnsi="Arial" w:cs="Arial"/>
                <w:b/>
                <w:bCs/>
                <w:sz w:val="24"/>
                <w:szCs w:val="24"/>
              </w:rPr>
            </w:pPr>
            <w:r w:rsidRPr="00384187">
              <w:rPr>
                <w:rFonts w:ascii="Arial" w:eastAsia="Times New Roman" w:hAnsi="Arial" w:cs="Arial"/>
                <w:b/>
                <w:bCs/>
                <w:iCs/>
                <w:sz w:val="24"/>
                <w:szCs w:val="24"/>
              </w:rPr>
              <w:t>Both assessments were completed by all candidates on the day of selection and under examination conditions (individually but in a room with all candidates and observed by members of the OT admissions team)</w:t>
            </w:r>
          </w:p>
        </w:tc>
        <w:tc>
          <w:tcPr>
            <w:tcW w:w="6011" w:type="dxa"/>
          </w:tcPr>
          <w:p w14:paraId="35710176" w14:textId="17AC6AA9" w:rsidR="00C37B9D" w:rsidRPr="001C1A5C" w:rsidRDefault="00C37B9D" w:rsidP="006C555D">
            <w:pPr>
              <w:rPr>
                <w:rFonts w:ascii="Arial" w:eastAsia="Times New Roman" w:hAnsi="Arial" w:cs="Arial"/>
                <w:b/>
                <w:bCs/>
                <w:sz w:val="24"/>
                <w:szCs w:val="24"/>
              </w:rPr>
            </w:pPr>
            <w:r w:rsidRPr="001E0483">
              <w:rPr>
                <w:rFonts w:ascii="Arial" w:eastAsia="Times New Roman" w:hAnsi="Arial" w:cs="Arial"/>
                <w:b/>
                <w:sz w:val="24"/>
                <w:szCs w:val="24"/>
              </w:rPr>
              <w:t>CAPSAT-R (</w:t>
            </w:r>
            <w:r w:rsidRPr="001E0483">
              <w:rPr>
                <w:rFonts w:ascii="Arial" w:eastAsia="Times New Roman" w:hAnsi="Arial" w:cs="Arial"/>
                <w:b/>
                <w:sz w:val="24"/>
                <w:szCs w:val="24"/>
              </w:rPr>
              <w:fldChar w:fldCharType="begin" w:fldLock="1"/>
            </w:r>
            <w:r w:rsidRPr="001E0483">
              <w:rPr>
                <w:rFonts w:ascii="Arial" w:eastAsia="Times New Roman" w:hAnsi="Arial" w:cs="Arial"/>
                <w:b/>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2016)","manualFormatting":"Psych Tests AIM, 2016)","plainTextFormattedCitation":"(Psych Tests AIM, 2016)","previouslyFormattedCitation":"(Psych Tests AIM, 2016)"},"properties":{"noteIndex":0},"schema":"https://github.com/citation-style-language/schema/raw/master/csl-citation.json"}</w:instrText>
            </w:r>
            <w:r w:rsidRPr="001E0483">
              <w:rPr>
                <w:rFonts w:ascii="Arial" w:eastAsia="Times New Roman" w:hAnsi="Arial" w:cs="Arial"/>
                <w:b/>
                <w:sz w:val="24"/>
                <w:szCs w:val="24"/>
              </w:rPr>
              <w:fldChar w:fldCharType="separate"/>
            </w:r>
            <w:r w:rsidRPr="001E0483">
              <w:rPr>
                <w:rFonts w:ascii="Arial" w:eastAsia="Times New Roman" w:hAnsi="Arial" w:cs="Arial"/>
                <w:b/>
                <w:noProof/>
                <w:sz w:val="24"/>
                <w:szCs w:val="24"/>
              </w:rPr>
              <w:t>Psych Tests AIM, 2016)</w:t>
            </w:r>
            <w:r w:rsidRPr="001E0483">
              <w:rPr>
                <w:rFonts w:ascii="Arial" w:eastAsia="Times New Roman" w:hAnsi="Arial" w:cs="Arial"/>
                <w:b/>
                <w:sz w:val="24"/>
                <w:szCs w:val="24"/>
              </w:rPr>
              <w:fldChar w:fldCharType="end"/>
            </w:r>
            <w:r w:rsidR="001E0483">
              <w:rPr>
                <w:rFonts w:ascii="Arial" w:eastAsia="Times New Roman" w:hAnsi="Arial" w:cs="Arial"/>
                <w:b/>
                <w:bCs/>
                <w:sz w:val="24"/>
                <w:szCs w:val="24"/>
              </w:rPr>
              <w:t>:</w:t>
            </w:r>
            <w:r w:rsidR="001C1A5C">
              <w:rPr>
                <w:rFonts w:ascii="Arial" w:eastAsia="Times New Roman" w:hAnsi="Arial" w:cs="Arial"/>
                <w:b/>
                <w:bCs/>
                <w:sz w:val="24"/>
                <w:szCs w:val="24"/>
              </w:rPr>
              <w:t xml:space="preserve"> </w:t>
            </w:r>
            <w:r w:rsidRPr="001E0483">
              <w:rPr>
                <w:rFonts w:ascii="Arial" w:eastAsia="Times New Roman" w:hAnsi="Arial" w:cs="Arial"/>
                <w:sz w:val="24"/>
                <w:szCs w:val="24"/>
              </w:rPr>
              <w:t>A</w:t>
            </w:r>
            <w:r w:rsidR="001C1A5C">
              <w:rPr>
                <w:rFonts w:ascii="Arial" w:eastAsia="Times New Roman" w:hAnsi="Arial" w:cs="Arial"/>
                <w:sz w:val="24"/>
                <w:szCs w:val="24"/>
              </w:rPr>
              <w:t xml:space="preserve">n </w:t>
            </w:r>
            <w:r w:rsidR="001E0483" w:rsidRPr="001E0483">
              <w:rPr>
                <w:rFonts w:ascii="Arial" w:eastAsia="Times New Roman" w:hAnsi="Arial" w:cs="Arial"/>
                <w:sz w:val="24"/>
                <w:szCs w:val="24"/>
              </w:rPr>
              <w:t xml:space="preserve">on-line </w:t>
            </w:r>
            <w:r w:rsidRPr="001E0483">
              <w:rPr>
                <w:rFonts w:ascii="Arial" w:eastAsia="Times New Roman" w:hAnsi="Arial" w:cs="Arial"/>
                <w:sz w:val="24"/>
                <w:szCs w:val="24"/>
              </w:rPr>
              <w:t>ps</w:t>
            </w:r>
            <w:r w:rsidR="001E0483">
              <w:rPr>
                <w:rFonts w:ascii="Arial" w:eastAsia="Times New Roman" w:hAnsi="Arial" w:cs="Arial"/>
                <w:sz w:val="24"/>
                <w:szCs w:val="24"/>
              </w:rPr>
              <w:t>ycho-metric assessment</w:t>
            </w:r>
            <w:r w:rsidR="006C555D">
              <w:rPr>
                <w:rFonts w:ascii="Arial" w:eastAsia="Times New Roman" w:hAnsi="Arial" w:cs="Arial"/>
                <w:sz w:val="24"/>
                <w:szCs w:val="24"/>
              </w:rPr>
              <w:t xml:space="preserve"> (up to 20 minutes duration)</w:t>
            </w:r>
            <w:r w:rsidR="001C1A5C">
              <w:rPr>
                <w:rFonts w:ascii="Arial" w:eastAsia="Times New Roman" w:hAnsi="Arial" w:cs="Arial"/>
                <w:sz w:val="24"/>
                <w:szCs w:val="24"/>
              </w:rPr>
              <w:t>,</w:t>
            </w:r>
            <w:r w:rsidR="001E0483">
              <w:rPr>
                <w:rFonts w:ascii="Arial" w:eastAsia="Times New Roman" w:hAnsi="Arial" w:cs="Arial"/>
                <w:sz w:val="24"/>
                <w:szCs w:val="24"/>
              </w:rPr>
              <w:t xml:space="preserve"> generating</w:t>
            </w:r>
            <w:r w:rsidRPr="001E0483">
              <w:rPr>
                <w:rFonts w:ascii="Arial" w:eastAsia="Times New Roman" w:hAnsi="Arial" w:cs="Arial"/>
                <w:sz w:val="24"/>
                <w:szCs w:val="24"/>
              </w:rPr>
              <w:t xml:space="preserve"> a</w:t>
            </w:r>
            <w:r w:rsidR="001E0483">
              <w:rPr>
                <w:rFonts w:ascii="Arial" w:eastAsia="Times New Roman" w:hAnsi="Arial" w:cs="Arial"/>
                <w:sz w:val="24"/>
                <w:szCs w:val="24"/>
              </w:rPr>
              <w:t xml:space="preserve"> formal</w:t>
            </w:r>
            <w:r w:rsidRPr="001E0483">
              <w:rPr>
                <w:rFonts w:ascii="Arial" w:eastAsia="Times New Roman" w:hAnsi="Arial" w:cs="Arial"/>
                <w:sz w:val="24"/>
                <w:szCs w:val="24"/>
              </w:rPr>
              <w:t xml:space="preserve"> written report according to an overall average numerical score and individual numerical scores in four subsections (comfort with decision-making, flexibility, openness to creativity and sense of self-efficacy) related to limitations, potential strengths and strengths of the candidate.</w:t>
            </w:r>
          </w:p>
          <w:p w14:paraId="21534902" w14:textId="59CABA9D" w:rsidR="00C37B9D" w:rsidRPr="001E0483" w:rsidRDefault="00C37B9D" w:rsidP="006C555D">
            <w:pPr>
              <w:rPr>
                <w:rFonts w:ascii="Arial" w:eastAsia="Times New Roman" w:hAnsi="Arial" w:cs="Arial"/>
                <w:sz w:val="24"/>
                <w:szCs w:val="24"/>
              </w:rPr>
            </w:pPr>
            <w:r w:rsidRPr="001E0483">
              <w:rPr>
                <w:rFonts w:ascii="Arial" w:eastAsia="Times New Roman" w:hAnsi="Arial" w:cs="Arial"/>
                <w:b/>
                <w:sz w:val="24"/>
                <w:szCs w:val="24"/>
              </w:rPr>
              <w:t>Reflective es</w:t>
            </w:r>
            <w:r w:rsidR="001E0483">
              <w:rPr>
                <w:rFonts w:ascii="Arial" w:eastAsia="Times New Roman" w:hAnsi="Arial" w:cs="Arial"/>
                <w:b/>
                <w:sz w:val="24"/>
                <w:szCs w:val="24"/>
              </w:rPr>
              <w:t>say:</w:t>
            </w:r>
            <w:r w:rsidR="006C555D">
              <w:rPr>
                <w:rFonts w:ascii="Arial" w:eastAsia="Times New Roman" w:hAnsi="Arial" w:cs="Arial"/>
                <w:sz w:val="24"/>
                <w:szCs w:val="24"/>
              </w:rPr>
              <w:t xml:space="preserve"> An </w:t>
            </w:r>
            <w:r w:rsidRPr="001E0483">
              <w:rPr>
                <w:rFonts w:ascii="Arial" w:eastAsia="Times New Roman" w:hAnsi="Arial" w:cs="Arial"/>
                <w:sz w:val="24"/>
                <w:szCs w:val="24"/>
              </w:rPr>
              <w:t xml:space="preserve">individual </w:t>
            </w:r>
            <w:r w:rsidR="001E0483">
              <w:rPr>
                <w:rFonts w:ascii="Arial" w:eastAsia="Times New Roman" w:hAnsi="Arial" w:cs="Arial"/>
                <w:sz w:val="24"/>
                <w:szCs w:val="24"/>
              </w:rPr>
              <w:t>hand-</w:t>
            </w:r>
            <w:r w:rsidRPr="001E0483">
              <w:rPr>
                <w:rFonts w:ascii="Arial" w:eastAsia="Times New Roman" w:hAnsi="Arial" w:cs="Arial"/>
                <w:sz w:val="24"/>
                <w:szCs w:val="24"/>
              </w:rPr>
              <w:t>written reflection based on a given poem</w:t>
            </w:r>
            <w:r w:rsidR="006C555D">
              <w:rPr>
                <w:rFonts w:ascii="Arial" w:eastAsia="Times New Roman" w:hAnsi="Arial" w:cs="Arial"/>
                <w:sz w:val="24"/>
                <w:szCs w:val="24"/>
              </w:rPr>
              <w:t xml:space="preserve">, case study or piece of artwork (up to 60 minutes duration). </w:t>
            </w:r>
            <w:r w:rsidR="001E0483">
              <w:rPr>
                <w:rFonts w:ascii="Arial" w:eastAsia="Times New Roman" w:hAnsi="Arial" w:cs="Arial"/>
                <w:sz w:val="24"/>
                <w:szCs w:val="24"/>
              </w:rPr>
              <w:t>D</w:t>
            </w:r>
            <w:r w:rsidRPr="001E0483">
              <w:rPr>
                <w:rFonts w:ascii="Arial" w:eastAsia="Times New Roman" w:hAnsi="Arial" w:cs="Arial"/>
                <w:sz w:val="24"/>
                <w:szCs w:val="24"/>
              </w:rPr>
              <w:t xml:space="preserve">ouble-blind marked by </w:t>
            </w:r>
            <w:r w:rsidR="001E0483">
              <w:rPr>
                <w:rFonts w:ascii="Arial" w:eastAsia="Times New Roman" w:hAnsi="Arial" w:cs="Arial"/>
                <w:sz w:val="24"/>
                <w:szCs w:val="24"/>
              </w:rPr>
              <w:t xml:space="preserve">two </w:t>
            </w:r>
            <w:r w:rsidRPr="001E0483">
              <w:rPr>
                <w:rFonts w:ascii="Arial" w:eastAsia="Times New Roman" w:hAnsi="Arial" w:cs="Arial"/>
                <w:sz w:val="24"/>
                <w:szCs w:val="24"/>
              </w:rPr>
              <w:t xml:space="preserve">OT lecturers against </w:t>
            </w:r>
            <w:r w:rsidR="001E0483">
              <w:rPr>
                <w:rFonts w:ascii="Arial" w:eastAsia="Times New Roman" w:hAnsi="Arial" w:cs="Arial"/>
                <w:sz w:val="24"/>
                <w:szCs w:val="24"/>
              </w:rPr>
              <w:t xml:space="preserve">marking </w:t>
            </w:r>
            <w:r w:rsidRPr="001E0483">
              <w:rPr>
                <w:rFonts w:ascii="Arial" w:eastAsia="Times New Roman" w:hAnsi="Arial" w:cs="Arial"/>
                <w:sz w:val="24"/>
                <w:szCs w:val="24"/>
              </w:rPr>
              <w:t>criteria to produce an overall average numerical score related to the ability to reflect on key issues; construct and explain in writing creative solutions and insights; and consider alternative views or experiences of others.</w:t>
            </w:r>
            <w:r w:rsidR="001E0483">
              <w:rPr>
                <w:rFonts w:ascii="Arial" w:eastAsia="Times New Roman" w:hAnsi="Arial" w:cs="Arial"/>
                <w:sz w:val="24"/>
                <w:szCs w:val="24"/>
              </w:rPr>
              <w:t xml:space="preserve"> If a discrepa</w:t>
            </w:r>
            <w:r w:rsidR="006C555D">
              <w:rPr>
                <w:rFonts w:ascii="Arial" w:eastAsia="Times New Roman" w:hAnsi="Arial" w:cs="Arial"/>
                <w:sz w:val="24"/>
                <w:szCs w:val="24"/>
              </w:rPr>
              <w:t xml:space="preserve">ncy of </w:t>
            </w:r>
            <w:r w:rsidR="00384187">
              <w:rPr>
                <w:rFonts w:ascii="Arial" w:eastAsia="Times New Roman" w:hAnsi="Arial" w:cs="Arial"/>
                <w:sz w:val="24"/>
                <w:szCs w:val="24"/>
                <w:u w:val="single"/>
              </w:rPr>
              <w:t>&gt;</w:t>
            </w:r>
            <w:r w:rsidR="00384187">
              <w:rPr>
                <w:rFonts w:ascii="Arial" w:eastAsia="Times New Roman" w:hAnsi="Arial" w:cs="Arial"/>
                <w:sz w:val="24"/>
                <w:szCs w:val="24"/>
              </w:rPr>
              <w:t xml:space="preserve"> </w:t>
            </w:r>
            <w:r w:rsidR="006C555D">
              <w:rPr>
                <w:rFonts w:ascii="Arial" w:eastAsia="Times New Roman" w:hAnsi="Arial" w:cs="Arial"/>
                <w:sz w:val="24"/>
                <w:szCs w:val="24"/>
              </w:rPr>
              <w:t>5%</w:t>
            </w:r>
            <w:r w:rsidR="001E0483">
              <w:rPr>
                <w:rFonts w:ascii="Arial" w:eastAsia="Times New Roman" w:hAnsi="Arial" w:cs="Arial"/>
                <w:sz w:val="24"/>
                <w:szCs w:val="24"/>
              </w:rPr>
              <w:t>, a 3</w:t>
            </w:r>
            <w:r w:rsidR="001E0483" w:rsidRPr="001E0483">
              <w:rPr>
                <w:rFonts w:ascii="Arial" w:eastAsia="Times New Roman" w:hAnsi="Arial" w:cs="Arial"/>
                <w:sz w:val="24"/>
                <w:szCs w:val="24"/>
                <w:vertAlign w:val="superscript"/>
              </w:rPr>
              <w:t>rd</w:t>
            </w:r>
            <w:r w:rsidR="001E0483">
              <w:rPr>
                <w:rFonts w:ascii="Arial" w:eastAsia="Times New Roman" w:hAnsi="Arial" w:cs="Arial"/>
                <w:sz w:val="24"/>
                <w:szCs w:val="24"/>
              </w:rPr>
              <w:t xml:space="preserve"> OT lecturer</w:t>
            </w:r>
            <w:r w:rsidR="00384187">
              <w:rPr>
                <w:rFonts w:ascii="Arial" w:eastAsia="Times New Roman" w:hAnsi="Arial" w:cs="Arial"/>
                <w:sz w:val="24"/>
                <w:szCs w:val="24"/>
              </w:rPr>
              <w:t xml:space="preserve"> </w:t>
            </w:r>
            <w:r w:rsidR="001C1A5C">
              <w:rPr>
                <w:rFonts w:ascii="Arial" w:eastAsia="Times New Roman" w:hAnsi="Arial" w:cs="Arial"/>
                <w:sz w:val="24"/>
                <w:szCs w:val="24"/>
              </w:rPr>
              <w:t xml:space="preserve">would </w:t>
            </w:r>
            <w:r w:rsidR="00384187">
              <w:rPr>
                <w:rFonts w:ascii="Arial" w:eastAsia="Times New Roman" w:hAnsi="Arial" w:cs="Arial"/>
                <w:sz w:val="24"/>
                <w:szCs w:val="24"/>
              </w:rPr>
              <w:t>mark blindly</w:t>
            </w:r>
            <w:r w:rsidR="001C1A5C">
              <w:rPr>
                <w:rFonts w:ascii="Arial" w:eastAsia="Times New Roman" w:hAnsi="Arial" w:cs="Arial"/>
                <w:sz w:val="24"/>
                <w:szCs w:val="24"/>
              </w:rPr>
              <w:t xml:space="preserve"> from the initial two mark</w:t>
            </w:r>
            <w:r w:rsidR="006C555D">
              <w:rPr>
                <w:rFonts w:ascii="Arial" w:eastAsia="Times New Roman" w:hAnsi="Arial" w:cs="Arial"/>
                <w:sz w:val="24"/>
                <w:szCs w:val="24"/>
              </w:rPr>
              <w:t>ers with</w:t>
            </w:r>
            <w:r w:rsidR="001C1A5C">
              <w:rPr>
                <w:rFonts w:ascii="Arial" w:eastAsia="Times New Roman" w:hAnsi="Arial" w:cs="Arial"/>
                <w:sz w:val="24"/>
                <w:szCs w:val="24"/>
              </w:rPr>
              <w:t xml:space="preserve"> an average score</w:t>
            </w:r>
            <w:r w:rsidR="00384187">
              <w:rPr>
                <w:rFonts w:ascii="Arial" w:eastAsia="Times New Roman" w:hAnsi="Arial" w:cs="Arial"/>
                <w:sz w:val="24"/>
                <w:szCs w:val="24"/>
              </w:rPr>
              <w:t xml:space="preserve"> of all three scores</w:t>
            </w:r>
            <w:r w:rsidR="006C555D">
              <w:rPr>
                <w:rFonts w:ascii="Arial" w:eastAsia="Times New Roman" w:hAnsi="Arial" w:cs="Arial"/>
                <w:sz w:val="24"/>
                <w:szCs w:val="24"/>
              </w:rPr>
              <w:t xml:space="preserve"> used for the final result.</w:t>
            </w:r>
          </w:p>
        </w:tc>
      </w:tr>
      <w:tr w:rsidR="00C37B9D" w14:paraId="590BB094" w14:textId="77777777" w:rsidTr="008922A1">
        <w:tc>
          <w:tcPr>
            <w:tcW w:w="9016" w:type="dxa"/>
            <w:gridSpan w:val="2"/>
            <w:shd w:val="clear" w:color="auto" w:fill="A6A6A6" w:themeFill="background1" w:themeFillShade="A6"/>
          </w:tcPr>
          <w:p w14:paraId="7BB7E651" w14:textId="77777777" w:rsidR="00C37B9D" w:rsidRDefault="00C37B9D" w:rsidP="008922A1">
            <w:pPr>
              <w:rPr>
                <w:rFonts w:ascii="Arial" w:eastAsia="Times New Roman" w:hAnsi="Arial" w:cs="Arial"/>
                <w:sz w:val="24"/>
                <w:szCs w:val="24"/>
              </w:rPr>
            </w:pPr>
            <w:r w:rsidRPr="00A231F2">
              <w:rPr>
                <w:rFonts w:ascii="Arial" w:eastAsia="Times New Roman" w:hAnsi="Arial" w:cs="Arial"/>
                <w:b/>
                <w:bCs/>
                <w:sz w:val="24"/>
                <w:szCs w:val="24"/>
              </w:rPr>
              <w:t>Graduation Data</w:t>
            </w:r>
          </w:p>
        </w:tc>
      </w:tr>
      <w:tr w:rsidR="00C37B9D" w14:paraId="3D6FB9D8" w14:textId="77777777" w:rsidTr="008922A1">
        <w:tc>
          <w:tcPr>
            <w:tcW w:w="3005" w:type="dxa"/>
            <w:shd w:val="clear" w:color="auto" w:fill="FFFFFF" w:themeFill="background1"/>
          </w:tcPr>
          <w:p w14:paraId="3082010C" w14:textId="77777777" w:rsidR="00C37B9D" w:rsidRPr="00A231F2" w:rsidRDefault="00C37B9D" w:rsidP="008922A1">
            <w:pPr>
              <w:rPr>
                <w:rFonts w:ascii="Arial" w:eastAsia="Times New Roman" w:hAnsi="Arial" w:cs="Arial"/>
                <w:b/>
                <w:bCs/>
                <w:sz w:val="24"/>
                <w:szCs w:val="24"/>
              </w:rPr>
            </w:pPr>
            <w:r>
              <w:rPr>
                <w:rFonts w:ascii="Arial" w:eastAsia="Times New Roman" w:hAnsi="Arial" w:cs="Arial"/>
                <w:b/>
                <w:bCs/>
                <w:sz w:val="24"/>
                <w:szCs w:val="24"/>
              </w:rPr>
              <w:t>Academic (cognitive) assessment scores</w:t>
            </w:r>
          </w:p>
        </w:tc>
        <w:tc>
          <w:tcPr>
            <w:tcW w:w="6011" w:type="dxa"/>
            <w:shd w:val="clear" w:color="auto" w:fill="FFFFFF" w:themeFill="background1"/>
          </w:tcPr>
          <w:p w14:paraId="066EF6B0" w14:textId="77777777" w:rsidR="00C37B9D" w:rsidRDefault="00C37B9D" w:rsidP="008922A1">
            <w:pPr>
              <w:rPr>
                <w:rFonts w:ascii="Arial" w:eastAsia="Times New Roman" w:hAnsi="Arial" w:cs="Arial"/>
                <w:b/>
                <w:bCs/>
                <w:sz w:val="24"/>
                <w:szCs w:val="24"/>
              </w:rPr>
            </w:pPr>
            <w:r w:rsidRPr="00A231F2">
              <w:rPr>
                <w:rFonts w:ascii="Arial" w:eastAsia="Times New Roman" w:hAnsi="Arial" w:cs="Arial"/>
                <w:b/>
                <w:bCs/>
                <w:sz w:val="24"/>
                <w:szCs w:val="24"/>
              </w:rPr>
              <w:t xml:space="preserve">Final </w:t>
            </w:r>
            <w:r>
              <w:rPr>
                <w:rFonts w:ascii="Arial" w:eastAsia="Times New Roman" w:hAnsi="Arial" w:cs="Arial"/>
                <w:b/>
                <w:bCs/>
                <w:sz w:val="24"/>
                <w:szCs w:val="24"/>
              </w:rPr>
              <w:t xml:space="preserve">UK </w:t>
            </w:r>
            <w:r w:rsidRPr="00A231F2">
              <w:rPr>
                <w:rFonts w:ascii="Arial" w:eastAsia="Times New Roman" w:hAnsi="Arial" w:cs="Arial"/>
                <w:b/>
                <w:bCs/>
                <w:sz w:val="24"/>
                <w:szCs w:val="24"/>
              </w:rPr>
              <w:t>degree classifications / percentages awarded in 2019</w:t>
            </w:r>
            <w:r>
              <w:rPr>
                <w:rFonts w:ascii="Arial" w:eastAsia="Times New Roman" w:hAnsi="Arial" w:cs="Arial"/>
                <w:b/>
                <w:bCs/>
                <w:sz w:val="24"/>
                <w:szCs w:val="24"/>
              </w:rPr>
              <w:t>:</w:t>
            </w:r>
          </w:p>
          <w:p w14:paraId="69FA82CB" w14:textId="77777777" w:rsidR="00C37B9D" w:rsidRPr="00A231F2" w:rsidRDefault="00C37B9D" w:rsidP="008922A1">
            <w:pPr>
              <w:pStyle w:val="ListParagraph"/>
              <w:numPr>
                <w:ilvl w:val="0"/>
                <w:numId w:val="19"/>
              </w:numPr>
              <w:rPr>
                <w:rFonts w:ascii="Arial" w:eastAsia="Times New Roman" w:hAnsi="Arial" w:cs="Arial"/>
                <w:b/>
                <w:bCs/>
                <w:sz w:val="24"/>
                <w:szCs w:val="24"/>
              </w:rPr>
            </w:pPr>
            <w:r>
              <w:rPr>
                <w:rFonts w:ascii="Arial" w:eastAsia="Times New Roman" w:hAnsi="Arial" w:cs="Arial"/>
                <w:sz w:val="24"/>
                <w:szCs w:val="24"/>
              </w:rPr>
              <w:t>1st Class (equating to 70% + or Grade A)</w:t>
            </w:r>
          </w:p>
          <w:p w14:paraId="4A78A32D" w14:textId="77777777" w:rsidR="00C37B9D" w:rsidRPr="00A231F2" w:rsidRDefault="00C37B9D" w:rsidP="008922A1">
            <w:pPr>
              <w:pStyle w:val="ListParagraph"/>
              <w:numPr>
                <w:ilvl w:val="0"/>
                <w:numId w:val="19"/>
              </w:numPr>
              <w:rPr>
                <w:rFonts w:ascii="Arial" w:eastAsia="Times New Roman" w:hAnsi="Arial" w:cs="Arial"/>
                <w:b/>
                <w:bCs/>
                <w:sz w:val="24"/>
                <w:szCs w:val="24"/>
              </w:rPr>
            </w:pPr>
            <w:r>
              <w:rPr>
                <w:rFonts w:ascii="Arial" w:eastAsia="Times New Roman" w:hAnsi="Arial" w:cs="Arial"/>
                <w:sz w:val="24"/>
                <w:szCs w:val="24"/>
              </w:rPr>
              <w:t>2</w:t>
            </w:r>
            <w:r w:rsidRPr="00A231F2">
              <w:rPr>
                <w:rFonts w:ascii="Arial" w:eastAsia="Times New Roman" w:hAnsi="Arial" w:cs="Arial"/>
                <w:sz w:val="24"/>
                <w:szCs w:val="24"/>
                <w:vertAlign w:val="superscript"/>
              </w:rPr>
              <w:t>nd</w:t>
            </w:r>
            <w:r>
              <w:rPr>
                <w:rFonts w:ascii="Arial" w:eastAsia="Times New Roman" w:hAnsi="Arial" w:cs="Arial"/>
                <w:sz w:val="24"/>
                <w:szCs w:val="24"/>
              </w:rPr>
              <w:t xml:space="preserve"> Class (Upper) (equating to 60% - 69% or Grade B)</w:t>
            </w:r>
          </w:p>
          <w:p w14:paraId="1118D1BD" w14:textId="77777777" w:rsidR="00C37B9D" w:rsidRPr="00A231F2" w:rsidRDefault="00C37B9D" w:rsidP="008922A1">
            <w:pPr>
              <w:pStyle w:val="ListParagraph"/>
              <w:numPr>
                <w:ilvl w:val="0"/>
                <w:numId w:val="19"/>
              </w:numPr>
              <w:rPr>
                <w:rFonts w:ascii="Arial" w:eastAsia="Times New Roman" w:hAnsi="Arial" w:cs="Arial"/>
                <w:b/>
                <w:bCs/>
                <w:sz w:val="24"/>
                <w:szCs w:val="24"/>
              </w:rPr>
            </w:pPr>
            <w:r>
              <w:rPr>
                <w:rFonts w:ascii="Arial" w:eastAsia="Times New Roman" w:hAnsi="Arial" w:cs="Arial"/>
                <w:sz w:val="24"/>
                <w:szCs w:val="24"/>
              </w:rPr>
              <w:t>2</w:t>
            </w:r>
            <w:r w:rsidRPr="00A231F2">
              <w:rPr>
                <w:rFonts w:ascii="Arial" w:eastAsia="Times New Roman" w:hAnsi="Arial" w:cs="Arial"/>
                <w:sz w:val="24"/>
                <w:szCs w:val="24"/>
                <w:vertAlign w:val="superscript"/>
              </w:rPr>
              <w:t>nd</w:t>
            </w:r>
            <w:r>
              <w:rPr>
                <w:rFonts w:ascii="Arial" w:eastAsia="Times New Roman" w:hAnsi="Arial" w:cs="Arial"/>
                <w:sz w:val="24"/>
                <w:szCs w:val="24"/>
              </w:rPr>
              <w:t xml:space="preserve"> Class (Lower) (equating 50% - 59% or Grade C)</w:t>
            </w:r>
          </w:p>
          <w:p w14:paraId="0032F1B7" w14:textId="77777777" w:rsidR="00C37B9D" w:rsidRPr="00E25A4A" w:rsidRDefault="00C37B9D" w:rsidP="008922A1">
            <w:pPr>
              <w:pStyle w:val="ListParagraph"/>
              <w:numPr>
                <w:ilvl w:val="0"/>
                <w:numId w:val="19"/>
              </w:numPr>
              <w:rPr>
                <w:rFonts w:ascii="Arial" w:eastAsia="Times New Roman" w:hAnsi="Arial" w:cs="Arial"/>
                <w:b/>
                <w:bCs/>
                <w:sz w:val="24"/>
                <w:szCs w:val="24"/>
              </w:rPr>
            </w:pPr>
            <w:r>
              <w:rPr>
                <w:rFonts w:ascii="Arial" w:eastAsia="Times New Roman" w:hAnsi="Arial" w:cs="Arial"/>
                <w:sz w:val="24"/>
                <w:szCs w:val="24"/>
              </w:rPr>
              <w:t>3</w:t>
            </w:r>
            <w:r w:rsidRPr="00A231F2">
              <w:rPr>
                <w:rFonts w:ascii="Arial" w:eastAsia="Times New Roman" w:hAnsi="Arial" w:cs="Arial"/>
                <w:sz w:val="24"/>
                <w:szCs w:val="24"/>
                <w:vertAlign w:val="superscript"/>
              </w:rPr>
              <w:t>rd</w:t>
            </w:r>
            <w:r>
              <w:rPr>
                <w:rFonts w:ascii="Arial" w:eastAsia="Times New Roman" w:hAnsi="Arial" w:cs="Arial"/>
                <w:sz w:val="24"/>
                <w:szCs w:val="24"/>
              </w:rPr>
              <w:t xml:space="preserve"> Class (equating to 40% - 49% or Grade D)</w:t>
            </w:r>
          </w:p>
        </w:tc>
      </w:tr>
    </w:tbl>
    <w:p w14:paraId="3211DB52" w14:textId="26DF8C9F" w:rsidR="00D173CF" w:rsidRDefault="00573E77" w:rsidP="001C1A5C">
      <w:pPr>
        <w:spacing w:line="240" w:lineRule="auto"/>
        <w:rPr>
          <w:rFonts w:ascii="Arial" w:eastAsia="Times New Roman" w:hAnsi="Arial" w:cs="Arial"/>
          <w:sz w:val="24"/>
          <w:szCs w:val="24"/>
        </w:rPr>
      </w:pPr>
      <w:r>
        <w:rPr>
          <w:rFonts w:ascii="Arial" w:eastAsia="Times New Roman" w:hAnsi="Arial" w:cs="Arial"/>
          <w:sz w:val="24"/>
          <w:szCs w:val="24"/>
        </w:rPr>
        <w:t>The OT team’s</w:t>
      </w:r>
      <w:r w:rsidR="00D173CF">
        <w:rPr>
          <w:rFonts w:ascii="Arial" w:eastAsia="Times New Roman" w:hAnsi="Arial" w:cs="Arial"/>
          <w:sz w:val="24"/>
          <w:szCs w:val="24"/>
        </w:rPr>
        <w:t xml:space="preserve"> recommended minimum admission scores across the cognitive and non-cognitive assessments are listed in table 2 and constitute the minimum basis for selection of entry onto the OT program</w:t>
      </w:r>
      <w:r w:rsidR="00384187">
        <w:rPr>
          <w:rFonts w:ascii="Arial" w:eastAsia="Times New Roman" w:hAnsi="Arial" w:cs="Arial"/>
          <w:sz w:val="24"/>
          <w:szCs w:val="24"/>
        </w:rPr>
        <w:t xml:space="preserve">. </w:t>
      </w:r>
      <w:r w:rsidR="009F7E1A">
        <w:rPr>
          <w:rFonts w:ascii="Arial" w:eastAsia="Times New Roman" w:hAnsi="Arial" w:cs="Arial"/>
          <w:sz w:val="24"/>
          <w:szCs w:val="24"/>
        </w:rPr>
        <w:t>Unlike the university-wide agreed minimum UCAS entry tariff points, m</w:t>
      </w:r>
      <w:r w:rsidR="00AC16E5">
        <w:rPr>
          <w:rFonts w:ascii="Arial" w:eastAsia="Times New Roman" w:hAnsi="Arial" w:cs="Arial"/>
          <w:sz w:val="24"/>
          <w:szCs w:val="24"/>
        </w:rPr>
        <w:t>inimum</w:t>
      </w:r>
      <w:r w:rsidR="00384187">
        <w:rPr>
          <w:rFonts w:ascii="Arial" w:eastAsia="Times New Roman" w:hAnsi="Arial" w:cs="Arial"/>
          <w:sz w:val="24"/>
          <w:szCs w:val="24"/>
        </w:rPr>
        <w:t xml:space="preserve"> scores for the non-cognitive assessments </w:t>
      </w:r>
      <w:r w:rsidR="00AC16E5">
        <w:rPr>
          <w:rFonts w:ascii="Arial" w:eastAsia="Times New Roman" w:hAnsi="Arial" w:cs="Arial"/>
          <w:sz w:val="24"/>
          <w:szCs w:val="24"/>
        </w:rPr>
        <w:t xml:space="preserve">were </w:t>
      </w:r>
      <w:r w:rsidR="00384187">
        <w:rPr>
          <w:rFonts w:ascii="Arial" w:eastAsia="Times New Roman" w:hAnsi="Arial" w:cs="Arial"/>
          <w:sz w:val="24"/>
          <w:szCs w:val="24"/>
        </w:rPr>
        <w:t xml:space="preserve">set internally by the admitting OT team. </w:t>
      </w:r>
    </w:p>
    <w:p w14:paraId="7637DF01" w14:textId="77777777" w:rsidR="00DD463A" w:rsidRDefault="00DD463A" w:rsidP="00D173CF">
      <w:pPr>
        <w:spacing w:line="240" w:lineRule="auto"/>
        <w:rPr>
          <w:rFonts w:ascii="Arial" w:eastAsia="Times New Roman" w:hAnsi="Arial" w:cs="Arial"/>
          <w:sz w:val="24"/>
          <w:szCs w:val="24"/>
        </w:rPr>
      </w:pPr>
    </w:p>
    <w:p w14:paraId="132F5086" w14:textId="77777777" w:rsidR="00D173CF" w:rsidRDefault="00D173CF" w:rsidP="00D173CF">
      <w:pPr>
        <w:spacing w:line="240" w:lineRule="auto"/>
        <w:rPr>
          <w:rFonts w:ascii="Arial" w:eastAsia="Times New Roman" w:hAnsi="Arial" w:cs="Arial"/>
          <w:i/>
          <w:sz w:val="24"/>
          <w:szCs w:val="24"/>
        </w:rPr>
      </w:pPr>
      <w:r>
        <w:rPr>
          <w:rFonts w:ascii="Arial" w:eastAsia="Times New Roman" w:hAnsi="Arial" w:cs="Arial"/>
          <w:i/>
          <w:sz w:val="24"/>
          <w:szCs w:val="24"/>
        </w:rPr>
        <w:t>Table 2: Minimum academic (cognitive) and professional (non-academic) assessment scores required for admission into the BSc OT program</w:t>
      </w:r>
    </w:p>
    <w:tbl>
      <w:tblPr>
        <w:tblStyle w:val="TableGrid"/>
        <w:tblW w:w="9067" w:type="dxa"/>
        <w:tblLayout w:type="fixed"/>
        <w:tblLook w:val="04A0" w:firstRow="1" w:lastRow="0" w:firstColumn="1" w:lastColumn="0" w:noHBand="0" w:noVBand="1"/>
      </w:tblPr>
      <w:tblGrid>
        <w:gridCol w:w="988"/>
        <w:gridCol w:w="1275"/>
        <w:gridCol w:w="1418"/>
        <w:gridCol w:w="1417"/>
        <w:gridCol w:w="1418"/>
        <w:gridCol w:w="1276"/>
        <w:gridCol w:w="1275"/>
      </w:tblGrid>
      <w:tr w:rsidR="00D173CF" w14:paraId="0FB6C7D3" w14:textId="77777777" w:rsidTr="00614A63">
        <w:tc>
          <w:tcPr>
            <w:tcW w:w="988" w:type="dxa"/>
            <w:shd w:val="clear" w:color="auto" w:fill="A6A6A6" w:themeFill="background1" w:themeFillShade="A6"/>
          </w:tcPr>
          <w:p w14:paraId="1930E472" w14:textId="434A37B3" w:rsidR="00D173CF" w:rsidRPr="00435D13" w:rsidRDefault="00D173CF" w:rsidP="007331E6">
            <w:pPr>
              <w:jc w:val="both"/>
              <w:rPr>
                <w:rFonts w:ascii="Arial" w:eastAsia="Times New Roman" w:hAnsi="Arial" w:cs="Arial"/>
                <w:b/>
                <w:sz w:val="24"/>
                <w:szCs w:val="24"/>
              </w:rPr>
            </w:pPr>
            <w:r w:rsidRPr="00435D13">
              <w:rPr>
                <w:rFonts w:ascii="Arial" w:eastAsia="Times New Roman" w:hAnsi="Arial" w:cs="Arial"/>
                <w:b/>
                <w:sz w:val="24"/>
                <w:szCs w:val="24"/>
              </w:rPr>
              <w:t xml:space="preserve">UCAS </w:t>
            </w:r>
            <w:r w:rsidR="007331E6">
              <w:rPr>
                <w:rFonts w:ascii="Arial" w:eastAsia="Times New Roman" w:hAnsi="Arial" w:cs="Arial"/>
                <w:b/>
                <w:sz w:val="24"/>
                <w:szCs w:val="24"/>
              </w:rPr>
              <w:t xml:space="preserve">Entry Tariff </w:t>
            </w:r>
          </w:p>
        </w:tc>
        <w:tc>
          <w:tcPr>
            <w:tcW w:w="1275" w:type="dxa"/>
            <w:shd w:val="clear" w:color="auto" w:fill="A6A6A6" w:themeFill="background1" w:themeFillShade="A6"/>
          </w:tcPr>
          <w:p w14:paraId="03B8B2FF" w14:textId="77777777" w:rsidR="00D173CF" w:rsidRPr="00435D13" w:rsidRDefault="00D173CF" w:rsidP="00EB0272">
            <w:pPr>
              <w:jc w:val="both"/>
              <w:rPr>
                <w:rFonts w:ascii="Arial" w:eastAsia="Times New Roman" w:hAnsi="Arial" w:cs="Arial"/>
                <w:b/>
                <w:sz w:val="24"/>
                <w:szCs w:val="24"/>
              </w:rPr>
            </w:pPr>
            <w:r w:rsidRPr="00435D13">
              <w:rPr>
                <w:rFonts w:ascii="Arial" w:eastAsia="Times New Roman" w:hAnsi="Arial" w:cs="Arial"/>
                <w:b/>
                <w:sz w:val="24"/>
                <w:szCs w:val="24"/>
              </w:rPr>
              <w:t>CAPSAT-R Average Score</w:t>
            </w:r>
          </w:p>
        </w:tc>
        <w:tc>
          <w:tcPr>
            <w:tcW w:w="1418" w:type="dxa"/>
            <w:shd w:val="clear" w:color="auto" w:fill="A6A6A6" w:themeFill="background1" w:themeFillShade="A6"/>
          </w:tcPr>
          <w:p w14:paraId="5FB7A259" w14:textId="77777777" w:rsidR="00D173CF" w:rsidRPr="00435D13" w:rsidRDefault="00D173CF" w:rsidP="00EB0272">
            <w:pPr>
              <w:jc w:val="both"/>
              <w:rPr>
                <w:rFonts w:ascii="Arial" w:eastAsia="Times New Roman" w:hAnsi="Arial" w:cs="Arial"/>
                <w:b/>
                <w:sz w:val="24"/>
                <w:szCs w:val="24"/>
              </w:rPr>
            </w:pPr>
            <w:r w:rsidRPr="00435D13">
              <w:rPr>
                <w:rFonts w:ascii="Arial" w:eastAsia="Times New Roman" w:hAnsi="Arial" w:cs="Arial"/>
                <w:b/>
                <w:sz w:val="24"/>
                <w:szCs w:val="24"/>
              </w:rPr>
              <w:t>CAPSAT-R Decision Making</w:t>
            </w:r>
          </w:p>
        </w:tc>
        <w:tc>
          <w:tcPr>
            <w:tcW w:w="1417" w:type="dxa"/>
            <w:shd w:val="clear" w:color="auto" w:fill="A6A6A6" w:themeFill="background1" w:themeFillShade="A6"/>
          </w:tcPr>
          <w:p w14:paraId="22DC15A3" w14:textId="77777777" w:rsidR="00D173CF" w:rsidRPr="00435D13" w:rsidRDefault="00D173CF" w:rsidP="00EB0272">
            <w:pPr>
              <w:jc w:val="both"/>
              <w:rPr>
                <w:rFonts w:ascii="Arial" w:eastAsia="Times New Roman" w:hAnsi="Arial" w:cs="Arial"/>
                <w:b/>
                <w:sz w:val="24"/>
                <w:szCs w:val="24"/>
              </w:rPr>
            </w:pPr>
            <w:r w:rsidRPr="00435D13">
              <w:rPr>
                <w:rFonts w:ascii="Arial" w:eastAsia="Times New Roman" w:hAnsi="Arial" w:cs="Arial"/>
                <w:b/>
                <w:sz w:val="24"/>
                <w:szCs w:val="24"/>
              </w:rPr>
              <w:t>CAPSAT-R Flexibility</w:t>
            </w:r>
          </w:p>
        </w:tc>
        <w:tc>
          <w:tcPr>
            <w:tcW w:w="1418" w:type="dxa"/>
            <w:shd w:val="clear" w:color="auto" w:fill="A6A6A6" w:themeFill="background1" w:themeFillShade="A6"/>
          </w:tcPr>
          <w:p w14:paraId="7036D7DE" w14:textId="77777777" w:rsidR="00D173CF" w:rsidRPr="00435D13" w:rsidRDefault="00D173CF" w:rsidP="00EB0272">
            <w:pPr>
              <w:jc w:val="both"/>
              <w:rPr>
                <w:rFonts w:ascii="Arial" w:eastAsia="Times New Roman" w:hAnsi="Arial" w:cs="Arial"/>
                <w:b/>
                <w:sz w:val="24"/>
                <w:szCs w:val="24"/>
              </w:rPr>
            </w:pPr>
            <w:r w:rsidRPr="00435D13">
              <w:rPr>
                <w:rFonts w:ascii="Arial" w:eastAsia="Times New Roman" w:hAnsi="Arial" w:cs="Arial"/>
                <w:b/>
                <w:sz w:val="24"/>
                <w:szCs w:val="24"/>
              </w:rPr>
              <w:t>CAPSAT-R Creativity</w:t>
            </w:r>
          </w:p>
        </w:tc>
        <w:tc>
          <w:tcPr>
            <w:tcW w:w="1276" w:type="dxa"/>
            <w:shd w:val="clear" w:color="auto" w:fill="A6A6A6" w:themeFill="background1" w:themeFillShade="A6"/>
          </w:tcPr>
          <w:p w14:paraId="03044EB2" w14:textId="77777777" w:rsidR="00D173CF" w:rsidRPr="00435D13" w:rsidRDefault="00D173CF" w:rsidP="00077386">
            <w:pPr>
              <w:rPr>
                <w:rFonts w:ascii="Arial" w:eastAsia="Times New Roman" w:hAnsi="Arial" w:cs="Arial"/>
                <w:b/>
                <w:sz w:val="24"/>
                <w:szCs w:val="24"/>
              </w:rPr>
            </w:pPr>
            <w:r w:rsidRPr="00435D13">
              <w:rPr>
                <w:rFonts w:ascii="Arial" w:eastAsia="Times New Roman" w:hAnsi="Arial" w:cs="Arial"/>
                <w:b/>
                <w:sz w:val="24"/>
                <w:szCs w:val="24"/>
              </w:rPr>
              <w:t>CAPSAT-R Self-efficacy</w:t>
            </w:r>
          </w:p>
        </w:tc>
        <w:tc>
          <w:tcPr>
            <w:tcW w:w="1275" w:type="dxa"/>
            <w:shd w:val="clear" w:color="auto" w:fill="A6A6A6" w:themeFill="background1" w:themeFillShade="A6"/>
          </w:tcPr>
          <w:p w14:paraId="574BBDA2" w14:textId="05D04FA9" w:rsidR="00D173CF" w:rsidRPr="00435D13" w:rsidRDefault="00D173CF" w:rsidP="00EB0272">
            <w:pPr>
              <w:jc w:val="both"/>
              <w:rPr>
                <w:rFonts w:ascii="Arial" w:eastAsia="Times New Roman" w:hAnsi="Arial" w:cs="Arial"/>
                <w:b/>
                <w:sz w:val="24"/>
                <w:szCs w:val="24"/>
              </w:rPr>
            </w:pPr>
            <w:r w:rsidRPr="00435D13">
              <w:rPr>
                <w:rFonts w:ascii="Arial" w:eastAsia="Times New Roman" w:hAnsi="Arial" w:cs="Arial"/>
                <w:b/>
                <w:sz w:val="24"/>
                <w:szCs w:val="24"/>
              </w:rPr>
              <w:t>Essay</w:t>
            </w:r>
          </w:p>
        </w:tc>
      </w:tr>
      <w:tr w:rsidR="00D173CF" w14:paraId="67A44D7B" w14:textId="77777777" w:rsidTr="00614A63">
        <w:tc>
          <w:tcPr>
            <w:tcW w:w="988" w:type="dxa"/>
          </w:tcPr>
          <w:p w14:paraId="721C9735" w14:textId="1147A71F"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320</w:t>
            </w:r>
            <w:r w:rsidR="00614A63">
              <w:rPr>
                <w:rFonts w:ascii="Arial" w:eastAsia="Times New Roman" w:hAnsi="Arial" w:cs="Arial"/>
                <w:sz w:val="24"/>
                <w:szCs w:val="24"/>
              </w:rPr>
              <w:t xml:space="preserve"> points</w:t>
            </w:r>
          </w:p>
          <w:p w14:paraId="4DE1B6E0" w14:textId="77777777" w:rsidR="00D173CF" w:rsidRDefault="00D173CF" w:rsidP="00614A63">
            <w:pPr>
              <w:jc w:val="both"/>
              <w:rPr>
                <w:rFonts w:ascii="Arial" w:eastAsia="Times New Roman" w:hAnsi="Arial" w:cs="Arial"/>
                <w:sz w:val="24"/>
                <w:szCs w:val="24"/>
              </w:rPr>
            </w:pPr>
          </w:p>
        </w:tc>
        <w:tc>
          <w:tcPr>
            <w:tcW w:w="1275" w:type="dxa"/>
          </w:tcPr>
          <w:p w14:paraId="67319B7F"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60%</w:t>
            </w:r>
          </w:p>
        </w:tc>
        <w:tc>
          <w:tcPr>
            <w:tcW w:w="1418" w:type="dxa"/>
          </w:tcPr>
          <w:p w14:paraId="75273518"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50%</w:t>
            </w:r>
          </w:p>
        </w:tc>
        <w:tc>
          <w:tcPr>
            <w:tcW w:w="1417" w:type="dxa"/>
          </w:tcPr>
          <w:p w14:paraId="7C2CD160"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70%</w:t>
            </w:r>
          </w:p>
          <w:p w14:paraId="5E695339"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(65% if essay is scored at over 60%)</w:t>
            </w:r>
          </w:p>
        </w:tc>
        <w:tc>
          <w:tcPr>
            <w:tcW w:w="1418" w:type="dxa"/>
          </w:tcPr>
          <w:p w14:paraId="09AA9B96"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70%</w:t>
            </w:r>
          </w:p>
          <w:p w14:paraId="711F6FDA"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(65 if essay is scored at over 60%)</w:t>
            </w:r>
          </w:p>
        </w:tc>
        <w:tc>
          <w:tcPr>
            <w:tcW w:w="1276" w:type="dxa"/>
          </w:tcPr>
          <w:p w14:paraId="5E12FE65"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50%</w:t>
            </w:r>
          </w:p>
        </w:tc>
        <w:tc>
          <w:tcPr>
            <w:tcW w:w="1275" w:type="dxa"/>
          </w:tcPr>
          <w:p w14:paraId="19B660CE"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50%</w:t>
            </w:r>
          </w:p>
          <w:p w14:paraId="04AC78D6" w14:textId="77777777" w:rsidR="00D173CF" w:rsidRDefault="00D173CF" w:rsidP="00EB0272">
            <w:pPr>
              <w:jc w:val="both"/>
              <w:rPr>
                <w:rFonts w:ascii="Arial" w:eastAsia="Times New Roman" w:hAnsi="Arial" w:cs="Arial"/>
                <w:sz w:val="24"/>
                <w:szCs w:val="24"/>
              </w:rPr>
            </w:pPr>
            <w:r>
              <w:rPr>
                <w:rFonts w:ascii="Arial" w:eastAsia="Times New Roman" w:hAnsi="Arial" w:cs="Arial"/>
                <w:sz w:val="24"/>
                <w:szCs w:val="24"/>
              </w:rPr>
              <w:t>(If essay score is over 65% CAPSAT-R Flexibility and Creativity minimum score is lowered from 70% to 65%)</w:t>
            </w:r>
          </w:p>
        </w:tc>
      </w:tr>
    </w:tbl>
    <w:p w14:paraId="53B95672" w14:textId="77777777" w:rsidR="00C72F36" w:rsidRDefault="00C72F36" w:rsidP="00D173CF">
      <w:pPr>
        <w:spacing w:line="240" w:lineRule="auto"/>
        <w:rPr>
          <w:rFonts w:ascii="Arial" w:eastAsia="Times New Roman" w:hAnsi="Arial" w:cs="Arial"/>
          <w:b/>
          <w:bCs/>
          <w:iCs/>
          <w:sz w:val="24"/>
          <w:szCs w:val="24"/>
        </w:rPr>
      </w:pPr>
    </w:p>
    <w:p w14:paraId="3DB938CE" w14:textId="77777777" w:rsidR="00D173CF" w:rsidRDefault="00D173CF" w:rsidP="00D173CF">
      <w:pPr>
        <w:spacing w:line="240" w:lineRule="auto"/>
        <w:rPr>
          <w:rFonts w:ascii="Arial" w:eastAsia="Times New Roman" w:hAnsi="Arial" w:cs="Arial"/>
          <w:sz w:val="24"/>
          <w:szCs w:val="24"/>
        </w:rPr>
      </w:pPr>
      <w:r w:rsidRPr="00AB3369">
        <w:rPr>
          <w:rFonts w:ascii="Arial" w:eastAsia="Times New Roman" w:hAnsi="Arial" w:cs="Arial"/>
          <w:b/>
          <w:bCs/>
          <w:iCs/>
          <w:sz w:val="24"/>
          <w:szCs w:val="24"/>
        </w:rPr>
        <w:t xml:space="preserve">Exclusion Criteria - </w:t>
      </w:r>
      <w:r w:rsidRPr="00AB3369">
        <w:rPr>
          <w:rFonts w:ascii="Arial" w:eastAsia="Times New Roman" w:hAnsi="Arial" w:cs="Arial"/>
          <w:sz w:val="24"/>
          <w:szCs w:val="24"/>
        </w:rPr>
        <w:t xml:space="preserve">excluded from the original data </w:t>
      </w:r>
      <w:r>
        <w:rPr>
          <w:rFonts w:ascii="Arial" w:eastAsia="Times New Roman" w:hAnsi="Arial" w:cs="Arial"/>
          <w:sz w:val="24"/>
          <w:szCs w:val="24"/>
        </w:rPr>
        <w:t>were</w:t>
      </w:r>
      <w:r w:rsidRPr="00AB3369">
        <w:rPr>
          <w:rFonts w:ascii="Arial" w:eastAsia="Times New Roman" w:hAnsi="Arial" w:cs="Arial"/>
          <w:sz w:val="24"/>
          <w:szCs w:val="24"/>
        </w:rPr>
        <w:t xml:space="preserve"> 3 </w:t>
      </w:r>
      <w:r>
        <w:rPr>
          <w:rFonts w:ascii="Arial" w:eastAsia="Times New Roman" w:hAnsi="Arial" w:cs="Arial"/>
          <w:sz w:val="24"/>
          <w:szCs w:val="24"/>
        </w:rPr>
        <w:t>program</w:t>
      </w:r>
      <w:r w:rsidRPr="00AB3369">
        <w:rPr>
          <w:rFonts w:ascii="Arial" w:eastAsia="Times New Roman" w:hAnsi="Arial" w:cs="Arial"/>
          <w:sz w:val="24"/>
          <w:szCs w:val="24"/>
        </w:rPr>
        <w:t xml:space="preserve"> withdrawals; 7 out-of-sync/late graduates; 5 registrants with a prior first </w:t>
      </w:r>
      <w:r>
        <w:rPr>
          <w:rFonts w:ascii="Arial" w:eastAsia="Times New Roman" w:hAnsi="Arial" w:cs="Arial"/>
          <w:sz w:val="24"/>
          <w:szCs w:val="24"/>
        </w:rPr>
        <w:t xml:space="preserve">BSc </w:t>
      </w:r>
      <w:r w:rsidRPr="00AB3369">
        <w:rPr>
          <w:rFonts w:ascii="Arial" w:eastAsia="Times New Roman" w:hAnsi="Arial" w:cs="Arial"/>
          <w:sz w:val="24"/>
          <w:szCs w:val="24"/>
        </w:rPr>
        <w:t>degree and 2 registrants with a prior Master</w:t>
      </w:r>
      <w:r>
        <w:rPr>
          <w:rFonts w:ascii="Arial" w:eastAsia="Times New Roman" w:hAnsi="Arial" w:cs="Arial"/>
          <w:sz w:val="24"/>
          <w:szCs w:val="24"/>
        </w:rPr>
        <w:t xml:space="preserve"> of Science (MSc)</w:t>
      </w:r>
      <w:r w:rsidRPr="00AB3369">
        <w:rPr>
          <w:rFonts w:ascii="Arial" w:eastAsia="Times New Roman" w:hAnsi="Arial" w:cs="Arial"/>
          <w:sz w:val="24"/>
          <w:szCs w:val="24"/>
        </w:rPr>
        <w:t xml:space="preserve"> degree that did not fit the UCAS tariff system, leaving a final sample population</w:t>
      </w:r>
      <w:r>
        <w:rPr>
          <w:rFonts w:ascii="Arial" w:eastAsia="Times New Roman" w:hAnsi="Arial" w:cs="Arial"/>
          <w:sz w:val="24"/>
          <w:szCs w:val="24"/>
        </w:rPr>
        <w:t xml:space="preserve"> of</w:t>
      </w:r>
      <w:r w:rsidRPr="00AB3369">
        <w:rPr>
          <w:rFonts w:ascii="Arial" w:eastAsia="Times New Roman" w:hAnsi="Arial" w:cs="Arial"/>
          <w:sz w:val="24"/>
          <w:szCs w:val="24"/>
        </w:rPr>
        <w:t xml:space="preserve"> (</w:t>
      </w:r>
      <w:r>
        <w:rPr>
          <w:rFonts w:ascii="Arial" w:eastAsia="Times New Roman" w:hAnsi="Arial" w:cs="Arial"/>
          <w:i/>
          <w:iCs/>
          <w:sz w:val="24"/>
          <w:szCs w:val="24"/>
        </w:rPr>
        <w:t>n</w:t>
      </w:r>
      <w:r w:rsidRPr="00AB3369">
        <w:rPr>
          <w:rFonts w:ascii="Arial" w:eastAsia="Times New Roman" w:hAnsi="Arial" w:cs="Arial"/>
          <w:iCs/>
          <w:sz w:val="24"/>
          <w:szCs w:val="24"/>
        </w:rPr>
        <w:t>=</w:t>
      </w:r>
      <w:r w:rsidRPr="00AB3369">
        <w:rPr>
          <w:rFonts w:ascii="Arial" w:eastAsia="Times New Roman" w:hAnsi="Arial" w:cs="Arial"/>
          <w:sz w:val="24"/>
          <w:szCs w:val="24"/>
        </w:rPr>
        <w:t xml:space="preserve">27). </w:t>
      </w:r>
    </w:p>
    <w:p w14:paraId="6379D777" w14:textId="77777777" w:rsidR="00B303F8" w:rsidRPr="00AB3369" w:rsidRDefault="00B303F8" w:rsidP="00D173CF">
      <w:pPr>
        <w:spacing w:line="240" w:lineRule="auto"/>
        <w:rPr>
          <w:rFonts w:ascii="Arial" w:eastAsia="Times New Roman" w:hAnsi="Arial" w:cs="Arial"/>
          <w:sz w:val="24"/>
          <w:szCs w:val="24"/>
        </w:rPr>
      </w:pPr>
    </w:p>
    <w:p w14:paraId="721545ED" w14:textId="77777777" w:rsidR="00D173CF" w:rsidRPr="00AB3369" w:rsidRDefault="00D173CF" w:rsidP="00D173CF">
      <w:pPr>
        <w:spacing w:line="240" w:lineRule="auto"/>
        <w:jc w:val="both"/>
        <w:rPr>
          <w:rFonts w:ascii="Arial" w:eastAsia="Times New Roman" w:hAnsi="Arial" w:cs="Arial"/>
          <w:b/>
          <w:bCs/>
          <w:iCs/>
          <w:sz w:val="24"/>
          <w:szCs w:val="24"/>
        </w:rPr>
      </w:pPr>
      <w:r w:rsidRPr="00AB3369">
        <w:rPr>
          <w:rFonts w:ascii="Arial" w:eastAsia="Times New Roman" w:hAnsi="Arial" w:cs="Arial"/>
          <w:b/>
          <w:bCs/>
          <w:iCs/>
          <w:sz w:val="24"/>
          <w:szCs w:val="24"/>
        </w:rPr>
        <w:t>Ethical Considerations</w:t>
      </w:r>
    </w:p>
    <w:p w14:paraId="35287F7F" w14:textId="5CAB5F67" w:rsidR="00D173CF" w:rsidRDefault="00D173CF" w:rsidP="004D45E4">
      <w:pPr>
        <w:spacing w:line="240" w:lineRule="auto"/>
        <w:rPr>
          <w:rFonts w:ascii="Arial" w:eastAsia="Times New Roman" w:hAnsi="Arial" w:cs="Arial"/>
          <w:sz w:val="24"/>
          <w:szCs w:val="24"/>
        </w:rPr>
      </w:pPr>
      <w:r w:rsidRPr="00E21894">
        <w:rPr>
          <w:rFonts w:ascii="Arial" w:eastAsia="Times New Roman" w:hAnsi="Arial" w:cs="Arial"/>
          <w:sz w:val="24"/>
          <w:szCs w:val="24"/>
        </w:rPr>
        <w:t xml:space="preserve">Maintaining confidentiality in data collection, analysis and presentation of results </w:t>
      </w:r>
      <w:r>
        <w:rPr>
          <w:rFonts w:ascii="Arial" w:eastAsia="Times New Roman" w:hAnsi="Arial" w:cs="Arial"/>
          <w:sz w:val="24"/>
          <w:szCs w:val="24"/>
        </w:rPr>
        <w:t>was</w:t>
      </w:r>
      <w:r w:rsidRPr="00E21894">
        <w:rPr>
          <w:rFonts w:ascii="Arial" w:eastAsia="Times New Roman" w:hAnsi="Arial" w:cs="Arial"/>
          <w:sz w:val="24"/>
          <w:szCs w:val="24"/>
        </w:rPr>
        <w:t xml:space="preserve"> a priority throughout</w:t>
      </w:r>
      <w:r>
        <w:rPr>
          <w:rFonts w:ascii="Arial" w:eastAsia="Times New Roman" w:hAnsi="Arial" w:cs="Arial"/>
          <w:sz w:val="24"/>
          <w:szCs w:val="24"/>
        </w:rPr>
        <w:t xml:space="preserve"> the research process</w:t>
      </w:r>
      <w:r w:rsidR="00B36D77">
        <w:rPr>
          <w:rFonts w:ascii="Arial" w:eastAsia="Times New Roman" w:hAnsi="Arial" w:cs="Arial"/>
          <w:sz w:val="24"/>
          <w:szCs w:val="24"/>
        </w:rPr>
        <w:t>. A</w:t>
      </w:r>
      <w:r>
        <w:rPr>
          <w:rFonts w:ascii="Arial" w:eastAsia="Times New Roman" w:hAnsi="Arial" w:cs="Arial"/>
          <w:sz w:val="24"/>
          <w:szCs w:val="24"/>
        </w:rPr>
        <w:t>s</w:t>
      </w:r>
      <w:r w:rsidRPr="00E21894">
        <w:rPr>
          <w:rFonts w:ascii="Arial" w:eastAsia="Times New Roman" w:hAnsi="Arial" w:cs="Arial"/>
          <w:sz w:val="24"/>
          <w:szCs w:val="24"/>
        </w:rPr>
        <w:t xml:space="preserve"> the data was originally collected for the purpose</w:t>
      </w:r>
      <w:r>
        <w:rPr>
          <w:rFonts w:ascii="Arial" w:eastAsia="Times New Roman" w:hAnsi="Arial" w:cs="Arial"/>
          <w:sz w:val="24"/>
          <w:szCs w:val="24"/>
        </w:rPr>
        <w:t>s</w:t>
      </w:r>
      <w:r w:rsidRPr="00E21894">
        <w:rPr>
          <w:rFonts w:ascii="Arial" w:eastAsia="Times New Roman" w:hAnsi="Arial" w:cs="Arial"/>
          <w:sz w:val="24"/>
          <w:szCs w:val="24"/>
        </w:rPr>
        <w:t xml:space="preserve"> of decision-making for entry into a</w:t>
      </w:r>
      <w:r>
        <w:rPr>
          <w:rFonts w:ascii="Arial" w:eastAsia="Times New Roman" w:hAnsi="Arial" w:cs="Arial"/>
          <w:sz w:val="24"/>
          <w:szCs w:val="24"/>
        </w:rPr>
        <w:t xml:space="preserve"> BSc</w:t>
      </w:r>
      <w:r w:rsidR="00B36D77">
        <w:rPr>
          <w:rFonts w:ascii="Arial" w:eastAsia="Times New Roman" w:hAnsi="Arial" w:cs="Arial"/>
          <w:sz w:val="24"/>
          <w:szCs w:val="24"/>
        </w:rPr>
        <w:t xml:space="preserve"> (Hons)</w:t>
      </w:r>
      <w:r w:rsidRPr="00E21894">
        <w:rPr>
          <w:rFonts w:ascii="Arial" w:eastAsia="Times New Roman" w:hAnsi="Arial" w:cs="Arial"/>
          <w:sz w:val="24"/>
          <w:szCs w:val="24"/>
        </w:rPr>
        <w:t xml:space="preserve"> </w:t>
      </w:r>
      <w:r>
        <w:rPr>
          <w:rFonts w:ascii="Arial" w:eastAsia="Times New Roman" w:hAnsi="Arial" w:cs="Arial"/>
          <w:sz w:val="24"/>
          <w:szCs w:val="24"/>
        </w:rPr>
        <w:t>OT</w:t>
      </w:r>
      <w:r w:rsidRPr="00E21894">
        <w:rPr>
          <w:rFonts w:ascii="Arial" w:eastAsia="Times New Roman" w:hAnsi="Arial" w:cs="Arial"/>
          <w:sz w:val="24"/>
          <w:szCs w:val="24"/>
        </w:rPr>
        <w:t xml:space="preserve"> degree program</w:t>
      </w:r>
      <w:r w:rsidR="00B36D77">
        <w:rPr>
          <w:rFonts w:ascii="Arial" w:eastAsia="Times New Roman" w:hAnsi="Arial" w:cs="Arial"/>
          <w:sz w:val="24"/>
          <w:szCs w:val="24"/>
        </w:rPr>
        <w:t xml:space="preserve">, the author </w:t>
      </w:r>
      <w:r w:rsidRPr="00E21894">
        <w:rPr>
          <w:rFonts w:ascii="Arial" w:eastAsia="Times New Roman" w:hAnsi="Arial" w:cs="Arial"/>
          <w:sz w:val="24"/>
          <w:szCs w:val="24"/>
        </w:rPr>
        <w:t>consider</w:t>
      </w:r>
      <w:r>
        <w:rPr>
          <w:rFonts w:ascii="Arial" w:eastAsia="Times New Roman" w:hAnsi="Arial" w:cs="Arial"/>
          <w:sz w:val="24"/>
          <w:szCs w:val="24"/>
        </w:rPr>
        <w:t>ed</w:t>
      </w:r>
      <w:r w:rsidRPr="00E21894">
        <w:rPr>
          <w:rFonts w:ascii="Arial" w:eastAsia="Times New Roman" w:hAnsi="Arial" w:cs="Arial"/>
          <w:sz w:val="24"/>
          <w:szCs w:val="24"/>
        </w:rPr>
        <w:t xml:space="preserve"> the ethical implications of using </w:t>
      </w:r>
      <w:r>
        <w:rPr>
          <w:rFonts w:ascii="Arial" w:eastAsia="Times New Roman" w:hAnsi="Arial" w:cs="Arial"/>
          <w:sz w:val="24"/>
          <w:szCs w:val="24"/>
        </w:rPr>
        <w:t>the</w:t>
      </w:r>
      <w:r w:rsidRPr="00E21894">
        <w:rPr>
          <w:rFonts w:ascii="Arial" w:eastAsia="Times New Roman" w:hAnsi="Arial" w:cs="Arial"/>
          <w:sz w:val="24"/>
          <w:szCs w:val="24"/>
        </w:rPr>
        <w:t xml:space="preserve"> information for purposes</w:t>
      </w:r>
      <w:r>
        <w:rPr>
          <w:rFonts w:ascii="Arial" w:eastAsia="Times New Roman" w:hAnsi="Arial" w:cs="Arial"/>
          <w:sz w:val="24"/>
          <w:szCs w:val="24"/>
        </w:rPr>
        <w:t xml:space="preserve"> that</w:t>
      </w:r>
      <w:r w:rsidRPr="00E21894">
        <w:rPr>
          <w:rFonts w:ascii="Arial" w:eastAsia="Times New Roman" w:hAnsi="Arial" w:cs="Arial"/>
          <w:sz w:val="24"/>
          <w:szCs w:val="24"/>
        </w:rPr>
        <w:t xml:space="preserve"> </w:t>
      </w:r>
      <w:r>
        <w:rPr>
          <w:rFonts w:ascii="Arial" w:eastAsia="Times New Roman" w:hAnsi="Arial" w:cs="Arial"/>
          <w:sz w:val="24"/>
          <w:szCs w:val="24"/>
        </w:rPr>
        <w:t>applicants</w:t>
      </w:r>
      <w:r w:rsidRPr="00E21894">
        <w:rPr>
          <w:rFonts w:ascii="Arial" w:eastAsia="Times New Roman" w:hAnsi="Arial" w:cs="Arial"/>
          <w:sz w:val="24"/>
          <w:szCs w:val="24"/>
        </w:rPr>
        <w:t xml:space="preserve"> were not aware of</w:t>
      </w:r>
      <w:r w:rsidR="00B36D77">
        <w:rPr>
          <w:rFonts w:ascii="Arial" w:eastAsia="Times New Roman" w:hAnsi="Arial" w:cs="Arial"/>
          <w:sz w:val="24"/>
          <w:szCs w:val="24"/>
        </w:rPr>
        <w:t xml:space="preserve"> carefully</w:t>
      </w:r>
      <w:r w:rsidRPr="00E21894">
        <w:rPr>
          <w:rFonts w:ascii="Arial" w:eastAsia="Times New Roman" w:hAnsi="Arial" w:cs="Arial"/>
          <w:sz w:val="24"/>
          <w:szCs w:val="24"/>
        </w:rPr>
        <w:t xml:space="preserve">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{"citationItems":[{"id":"ITEM-1","itemData":{"DOI":"10.1177/1609406918788203","ISSN":"16094069","abstract":"As Internet research grows in popularity, attention to the ethics of studying online content is crucial to ensuring ethical diligence and appropriateness. Over recent years, ethical guidelines and recommendations have emerged to advise researchers and institutional review boards on best practices. However, these guidelines are sometimes irrelevant, overly rigid, or lack recognition of the contingent nature of ethical decision-making in qualitative research. Furthermore, varied ethical stances and practices are evident in existing literature. This article explores key ethical issues for qualitative research involving online content, with a focus on the unobtrusive study of personal narratives shared via the Internet. Principles of informed consent and confidentiality are examined in depth alongside practical and methodological considerations for unobtrusive qualitative research. This critical exploration contributes to ongoing discussion of ethical conduct of Internet research and promotes ethically aware yet flexible approaches to online qualitative research and creative methodological efforts to overcoming ethical challenges.","author":[{"dropping-particle":"","family":"Burles","given":"Meridith C.","non-dropping-particle":"","parse-names":false,"suffix":""},{"dropping-particle":"","family":"Bally","given":"Jill M.G.","non-dropping-particle":"","parse-names":false,"suffix":""}],"container-title":"International Journal of Qualitative Methods","id":"ITEM-1","issue":"1","issued":{"date-parts":[["2018"]]},"page":"1-9","title":"Ethical, Practical, and Methodological Considerations for Unobtrusive Qualitative Research About Personal Narratives Shared on the Internet","type":"article-journal","volume":"17"},"uris":["http://www.mendeley.com/documents/?uuid=6735d0d5-f7c1-4215-bcca-44ee200feb91"]}],"mendeley":{"formattedCitation":"(Burles &amp; Bally, 2018)","plainTextFormattedCitation":"(Burles &amp; Bally, 2018)","previouslyFormattedCitation":"(Burles &amp; Bally, 2018)"},"properties":{"noteIndex":0},"schema":"https://github.com/citation-style-language/schema/raw/master/csl-citation.json"}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(Burles &amp; Bally, 2018)</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Informing candidates of the project would have altered the measurement process and ultimately invalidated the rationale for using an unobtrusive method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author":[{"dropping-particle":"","family":"Sechrest","given":"Lee","non-dropping-particle":"","parse-names":false,"suffix":""},{"dropping-particle":"","family":"Phillips","given":"Melinda","non-dropping-particle":"","parse-names":false,"suffix":""}],"container-title":"New Directions For Methodology of Behavioural Science: Unobtrusive Measurement Today","editor":[{"dropping-particle":"","family":"Sechrest","given":"Lee","non-dropping-particle":"","parse-names":false,"suffix":""}],"id":"ITEM-1","issued":{"date-parts":[["1979"]]},"publisher":"Josey-Bass Publishers","publisher-place":"Chicago","title":"Unobtrusive Measures: An Overview","type":"chapter"},"uris":["http://www.mendeley.com/documents/?uuid=5d8c0ca8-3ca8-4d84-b2b8-d59ec18351ed"]}],"mendeley":{"formattedCitation":"(Sechrest &amp; Phillips, 1979)","plainTextFormattedCitation":"(Sechrest &amp; Phillips, 1979)","previouslyFormattedCitation":"(Sechrest &amp; Phillips, 1979)"},"properties":{"noteIndex":0},"schema":"https://github.com/citation-style-language/schema/raw/master/csl-citation.json"}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(Sechrest &amp; Phillips, 1979)</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In line with ethical consideration, the </w:t>
      </w:r>
      <w:r w:rsidR="004D45E4">
        <w:rPr>
          <w:rFonts w:ascii="Arial" w:eastAsia="Times New Roman" w:hAnsi="Arial" w:cs="Arial"/>
          <w:sz w:val="24"/>
          <w:szCs w:val="24"/>
        </w:rPr>
        <w:t xml:space="preserve">institutions’ </w:t>
      </w:r>
      <w:r w:rsidRPr="00E21894">
        <w:rPr>
          <w:rFonts w:ascii="Arial" w:eastAsia="Times New Roman" w:hAnsi="Arial" w:cs="Arial"/>
          <w:sz w:val="24"/>
          <w:szCs w:val="24"/>
        </w:rPr>
        <w:t>Student Services Team anonymi</w:t>
      </w:r>
      <w:r>
        <w:rPr>
          <w:rFonts w:ascii="Arial" w:eastAsia="Times New Roman" w:hAnsi="Arial" w:cs="Arial"/>
          <w:sz w:val="24"/>
          <w:szCs w:val="24"/>
        </w:rPr>
        <w:t>s</w:t>
      </w:r>
      <w:r w:rsidRPr="00E21894">
        <w:rPr>
          <w:rFonts w:ascii="Arial" w:eastAsia="Times New Roman" w:hAnsi="Arial" w:cs="Arial"/>
          <w:sz w:val="24"/>
          <w:szCs w:val="24"/>
        </w:rPr>
        <w:t xml:space="preserve">ed the 2016 BSc (Hons) </w:t>
      </w:r>
      <w:r>
        <w:rPr>
          <w:rFonts w:ascii="Arial" w:eastAsia="Times New Roman" w:hAnsi="Arial" w:cs="Arial"/>
          <w:sz w:val="24"/>
          <w:szCs w:val="24"/>
        </w:rPr>
        <w:t>OT</w:t>
      </w:r>
      <w:r w:rsidRPr="00E21894">
        <w:rPr>
          <w:rFonts w:ascii="Arial" w:eastAsia="Times New Roman" w:hAnsi="Arial" w:cs="Arial"/>
          <w:sz w:val="24"/>
          <w:szCs w:val="24"/>
        </w:rPr>
        <w:t xml:space="preserve"> selection day and 2019 final degree results for all registrants</w:t>
      </w:r>
      <w:r w:rsidR="004D45E4">
        <w:rPr>
          <w:rFonts w:ascii="Arial" w:eastAsia="Times New Roman" w:hAnsi="Arial" w:cs="Arial"/>
          <w:sz w:val="24"/>
          <w:szCs w:val="24"/>
        </w:rPr>
        <w:t xml:space="preserve"> before making a copy available to the author</w:t>
      </w:r>
      <w:r w:rsidRPr="00E21894">
        <w:rPr>
          <w:rFonts w:ascii="Arial" w:eastAsia="Times New Roman" w:hAnsi="Arial" w:cs="Arial"/>
          <w:sz w:val="24"/>
          <w:szCs w:val="24"/>
        </w:rPr>
        <w:t xml:space="preserve">. Student numbers were </w:t>
      </w:r>
      <w:r w:rsidR="004D45E4">
        <w:rPr>
          <w:rFonts w:ascii="Arial" w:eastAsia="Times New Roman" w:hAnsi="Arial" w:cs="Arial"/>
          <w:sz w:val="24"/>
          <w:szCs w:val="24"/>
        </w:rPr>
        <w:t>randomised, with</w:t>
      </w:r>
      <w:r w:rsidRPr="00E21894">
        <w:rPr>
          <w:rFonts w:ascii="Arial" w:eastAsia="Times New Roman" w:hAnsi="Arial" w:cs="Arial"/>
          <w:sz w:val="24"/>
          <w:szCs w:val="24"/>
        </w:rPr>
        <w:t xml:space="preserve"> individual pre-admission and graduation data</w:t>
      </w:r>
      <w:r w:rsidR="004D45E4">
        <w:rPr>
          <w:rFonts w:ascii="Arial" w:eastAsia="Times New Roman" w:hAnsi="Arial" w:cs="Arial"/>
          <w:sz w:val="24"/>
          <w:szCs w:val="24"/>
        </w:rPr>
        <w:t xml:space="preserve"> inputted</w:t>
      </w:r>
      <w:r w:rsidRPr="00E21894">
        <w:rPr>
          <w:rFonts w:ascii="Arial" w:eastAsia="Times New Roman" w:hAnsi="Arial" w:cs="Arial"/>
          <w:sz w:val="24"/>
          <w:szCs w:val="24"/>
        </w:rPr>
        <w:t xml:space="preserve"> into a spreadsheet</w:t>
      </w:r>
      <w:r w:rsidR="004D45E4">
        <w:rPr>
          <w:rFonts w:ascii="Arial" w:eastAsia="Times New Roman" w:hAnsi="Arial" w:cs="Arial"/>
          <w:sz w:val="24"/>
          <w:szCs w:val="24"/>
        </w:rPr>
        <w:t>. D</w:t>
      </w:r>
      <w:r w:rsidRPr="00E21894">
        <w:rPr>
          <w:rFonts w:ascii="Arial" w:eastAsia="Times New Roman" w:hAnsi="Arial" w:cs="Arial"/>
          <w:sz w:val="24"/>
          <w:szCs w:val="24"/>
        </w:rPr>
        <w:t>ata</w:t>
      </w:r>
      <w:r w:rsidR="004D45E4">
        <w:rPr>
          <w:rFonts w:ascii="Arial" w:eastAsia="Times New Roman" w:hAnsi="Arial" w:cs="Arial"/>
          <w:sz w:val="24"/>
          <w:szCs w:val="24"/>
        </w:rPr>
        <w:t xml:space="preserve"> was</w:t>
      </w:r>
      <w:r w:rsidRPr="00E21894">
        <w:rPr>
          <w:rFonts w:ascii="Arial" w:eastAsia="Times New Roman" w:hAnsi="Arial" w:cs="Arial"/>
          <w:sz w:val="24"/>
          <w:szCs w:val="24"/>
        </w:rPr>
        <w:t xml:space="preserve"> cleaned of demographic and identifiable references relating to age at entry, nationality and </w:t>
      </w:r>
      <w:r>
        <w:rPr>
          <w:rFonts w:ascii="Arial" w:eastAsia="Times New Roman" w:hAnsi="Arial" w:cs="Arial"/>
          <w:sz w:val="24"/>
          <w:szCs w:val="24"/>
        </w:rPr>
        <w:t>gender</w:t>
      </w:r>
      <w:r w:rsidRPr="00E21894">
        <w:rPr>
          <w:rFonts w:ascii="Arial" w:eastAsia="Times New Roman" w:hAnsi="Arial" w:cs="Arial"/>
          <w:sz w:val="24"/>
          <w:szCs w:val="24"/>
        </w:rPr>
        <w:t>, to reduce the risk of the author deducing the ident</w:t>
      </w:r>
      <w:r>
        <w:rPr>
          <w:rFonts w:ascii="Arial" w:eastAsia="Times New Roman" w:hAnsi="Arial" w:cs="Arial"/>
          <w:sz w:val="24"/>
          <w:szCs w:val="24"/>
        </w:rPr>
        <w:t xml:space="preserve">ities of individuals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{"citationItems":[{"id":"ITEM-1","itemData":{"author":[{"dropping-particle":"","family":"Lee","given":"Raymond M","non-dropping-particle":"","parse-names":false,"suffix":""}],"id":"ITEM-1","issued":{"date-parts":[["2000"]]},"publisher":"Open University Press","publisher-place":"Buckingham","title":"Unobtrusive Methods in Social Research","type":"book"},"uris":["http://www.mendeley.com/documents/?uuid=110a1d52-7a8a-4070-b831-2c073b3e1915"]}],"mendeley":{"formattedCitation":"(Lee, 2000)","plainTextFormattedCitation":"(Lee, 2000)","previouslyFormattedCitation":"(Lee, 2000)"},"properties":{"noteIndex":0},"schema":"https://github.com/citation-style-language/schema/raw/master/csl-citation.json"}</w:instrText>
      </w:r>
      <w:r>
        <w:rPr>
          <w:rFonts w:ascii="Arial" w:eastAsia="Times New Roman" w:hAnsi="Arial" w:cs="Arial"/>
          <w:sz w:val="24"/>
          <w:szCs w:val="24"/>
        </w:rPr>
        <w:fldChar w:fldCharType="separate"/>
      </w:r>
      <w:r w:rsidR="004D45E4" w:rsidRPr="0075369F">
        <w:rPr>
          <w:rFonts w:ascii="Arial" w:eastAsia="Times New Roman" w:hAnsi="Arial" w:cs="Arial"/>
          <w:noProof/>
          <w:sz w:val="24"/>
          <w:szCs w:val="24"/>
        </w:rPr>
        <w:t>(Dewhurst, Rix, &amp; Newell, 2015</w:t>
      </w:r>
      <w:r w:rsidR="004D45E4">
        <w:rPr>
          <w:rFonts w:ascii="Arial" w:eastAsia="Times New Roman" w:hAnsi="Arial" w:cs="Arial"/>
          <w:noProof/>
          <w:sz w:val="24"/>
          <w:szCs w:val="24"/>
        </w:rPr>
        <w:t xml:space="preserve">; </w:t>
      </w:r>
      <w:r w:rsidRPr="00037C10">
        <w:rPr>
          <w:rFonts w:ascii="Arial" w:eastAsia="Times New Roman" w:hAnsi="Arial" w:cs="Arial"/>
          <w:noProof/>
          <w:sz w:val="24"/>
          <w:szCs w:val="24"/>
        </w:rPr>
        <w:t>Lee, 2000)</w:t>
      </w:r>
      <w:r>
        <w:rPr>
          <w:rFonts w:ascii="Arial" w:eastAsia="Times New Roman" w:hAnsi="Arial" w:cs="Arial"/>
          <w:sz w:val="24"/>
          <w:szCs w:val="24"/>
        </w:rPr>
        <w:fldChar w:fldCharType="end"/>
      </w:r>
      <w:r w:rsidRPr="00E21894">
        <w:rPr>
          <w:rFonts w:ascii="Arial" w:eastAsia="Times New Roman" w:hAnsi="Arial" w:cs="Arial"/>
          <w:sz w:val="24"/>
          <w:szCs w:val="24"/>
        </w:rPr>
        <w:t xml:space="preserve">. </w:t>
      </w:r>
    </w:p>
    <w:p w14:paraId="4638031A" w14:textId="77777777" w:rsidR="00167F0A" w:rsidRDefault="00167F0A" w:rsidP="004D45E4">
      <w:pPr>
        <w:spacing w:line="240" w:lineRule="auto"/>
        <w:rPr>
          <w:rFonts w:ascii="Arial" w:eastAsia="Times New Roman" w:hAnsi="Arial" w:cs="Arial"/>
          <w:sz w:val="24"/>
          <w:szCs w:val="24"/>
        </w:rPr>
      </w:pPr>
      <w:bookmarkStart w:id="0" w:name="_GoBack"/>
      <w:bookmarkEnd w:id="0"/>
    </w:p>
    <w:p w14:paraId="14544127" w14:textId="77777777" w:rsidR="00D173CF" w:rsidRPr="00AB3369" w:rsidRDefault="00D173CF" w:rsidP="00D173CF">
      <w:pPr>
        <w:spacing w:line="240" w:lineRule="auto"/>
        <w:jc w:val="both"/>
        <w:rPr>
          <w:rFonts w:ascii="Arial" w:eastAsia="Times New Roman" w:hAnsi="Arial" w:cs="Arial"/>
          <w:b/>
          <w:bCs/>
          <w:iCs/>
          <w:sz w:val="24"/>
          <w:szCs w:val="24"/>
        </w:rPr>
      </w:pPr>
      <w:r w:rsidRPr="00AB3369">
        <w:rPr>
          <w:rFonts w:ascii="Arial" w:eastAsia="Times New Roman" w:hAnsi="Arial" w:cs="Arial"/>
          <w:b/>
          <w:bCs/>
          <w:iCs/>
          <w:sz w:val="24"/>
          <w:szCs w:val="24"/>
        </w:rPr>
        <w:t>Data Analysis</w:t>
      </w:r>
    </w:p>
    <w:p w14:paraId="7F54233F" w14:textId="4C43F268" w:rsidR="00D173CF" w:rsidRPr="00DC61DC" w:rsidRDefault="00D173CF" w:rsidP="00D173CF">
      <w:pPr>
        <w:spacing w:line="240" w:lineRule="auto"/>
        <w:rPr>
          <w:rFonts w:ascii="Arial" w:eastAsia="Times New Roman" w:hAnsi="Arial" w:cs="Arial"/>
          <w:sz w:val="24"/>
          <w:szCs w:val="24"/>
        </w:rPr>
      </w:pPr>
      <w:r w:rsidRPr="00DC61DC">
        <w:rPr>
          <w:rFonts w:ascii="Arial" w:eastAsia="Times New Roman" w:hAnsi="Arial" w:cs="Arial"/>
          <w:sz w:val="24"/>
          <w:szCs w:val="24"/>
        </w:rPr>
        <w:t>Data analysis was conducted using Statistical Packages for Social Sciences (SPSS</w:t>
      </w:r>
      <w:r>
        <w:rPr>
          <w:rFonts w:ascii="Arial" w:eastAsia="Times New Roman" w:hAnsi="Arial" w:cs="Arial"/>
          <w:sz w:val="24"/>
          <w:szCs w:val="24"/>
        </w:rPr>
        <w:t>,</w:t>
      </w:r>
      <w:r w:rsidRPr="00DC61DC">
        <w:rPr>
          <w:rFonts w:ascii="Arial" w:eastAsia="Times New Roman" w:hAnsi="Arial" w:cs="Arial"/>
          <w:sz w:val="24"/>
          <w:szCs w:val="24"/>
        </w:rPr>
        <w:t xml:space="preserve"> IBM Corp. 2017) software to explore possible correlations between pre-admission data</w:t>
      </w:r>
      <w:r w:rsidRPr="00DC61DC">
        <w:rPr>
          <w:rFonts w:ascii="Arial" w:eastAsia="Times New Roman" w:hAnsi="Arial" w:cs="Arial"/>
          <w:b/>
          <w:bCs/>
          <w:i/>
          <w:iCs/>
          <w:sz w:val="24"/>
          <w:szCs w:val="24"/>
        </w:rPr>
        <w:t xml:space="preserve"> </w:t>
      </w:r>
      <w:r w:rsidRPr="00DC61DC">
        <w:rPr>
          <w:rFonts w:ascii="Arial" w:eastAsia="Times New Roman" w:hAnsi="Arial" w:cs="Arial"/>
          <w:bCs/>
          <w:sz w:val="24"/>
          <w:szCs w:val="24"/>
        </w:rPr>
        <w:t>(</w:t>
      </w:r>
      <w:r w:rsidRPr="00DC61DC">
        <w:rPr>
          <w:rFonts w:ascii="Arial" w:eastAsia="Times New Roman" w:hAnsi="Arial" w:cs="Arial"/>
          <w:sz w:val="24"/>
          <w:szCs w:val="24"/>
        </w:rPr>
        <w:t xml:space="preserve">UCAS tariff points, qualification category (A-Levels, Access to HE or BTEC), selection day assessment scores (CAPSAT-R scores </w:t>
      </w:r>
      <w:r w:rsidRPr="00DC61DC">
        <w:rPr>
          <w:rFonts w:ascii="Arial" w:eastAsia="Times New Roman" w:hAnsi="Arial" w:cs="Arial"/>
          <w:sz w:val="24"/>
          <w:szCs w:val="24"/>
        </w:rPr>
        <w:fldChar w:fldCharType="begin" w:fldLock="1"/>
      </w:r>
      <w:r w:rsidRPr="00DC61DC">
        <w:rPr>
          <w:rFonts w:ascii="Arial" w:eastAsia="Times New Roman" w:hAnsi="Arial" w:cs="Arial"/>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2016)","plainTextFormattedCitation":"(Psych Tests AIM, 2016)","previouslyFormattedCitation":"(Psych Tests AIM, 2016)"},"properties":{"noteIndex":0},"schema":"https://github.com/citation-style-language/schema/raw/master/csl-citation.json"}</w:instrText>
      </w:r>
      <w:r w:rsidRPr="00DC61DC">
        <w:rPr>
          <w:rFonts w:ascii="Arial" w:eastAsia="Times New Roman" w:hAnsi="Arial" w:cs="Arial"/>
          <w:sz w:val="24"/>
          <w:szCs w:val="24"/>
        </w:rPr>
        <w:fldChar w:fldCharType="separate"/>
      </w:r>
      <w:r w:rsidRPr="00DC61DC">
        <w:rPr>
          <w:rFonts w:ascii="Arial" w:eastAsia="Times New Roman" w:hAnsi="Arial" w:cs="Arial"/>
          <w:noProof/>
          <w:sz w:val="24"/>
          <w:szCs w:val="24"/>
        </w:rPr>
        <w:t>(Psych Tests AIM, 2016)</w:t>
      </w:r>
      <w:r w:rsidRPr="00DC61DC">
        <w:rPr>
          <w:rFonts w:ascii="Arial" w:eastAsia="Times New Roman" w:hAnsi="Arial" w:cs="Arial"/>
          <w:sz w:val="24"/>
          <w:szCs w:val="24"/>
        </w:rPr>
        <w:fldChar w:fldCharType="end"/>
      </w:r>
      <w:r w:rsidRPr="00DC61DC">
        <w:rPr>
          <w:rFonts w:ascii="Arial" w:eastAsia="Times New Roman" w:hAnsi="Arial" w:cs="Arial"/>
          <w:sz w:val="24"/>
          <w:szCs w:val="24"/>
        </w:rPr>
        <w:t xml:space="preserve"> and reflective essay scores) and graduation data</w:t>
      </w:r>
      <w:r w:rsidRPr="00DC61DC">
        <w:rPr>
          <w:rFonts w:ascii="Arial" w:eastAsia="Times New Roman" w:hAnsi="Arial" w:cs="Arial"/>
          <w:b/>
          <w:bCs/>
          <w:i/>
          <w:iCs/>
          <w:sz w:val="24"/>
          <w:szCs w:val="24"/>
        </w:rPr>
        <w:t xml:space="preserve"> </w:t>
      </w:r>
      <w:r w:rsidRPr="00DC61DC">
        <w:rPr>
          <w:rFonts w:ascii="Arial" w:eastAsia="Times New Roman" w:hAnsi="Arial" w:cs="Arial"/>
          <w:bCs/>
          <w:sz w:val="24"/>
          <w:szCs w:val="24"/>
        </w:rPr>
        <w:t>(</w:t>
      </w:r>
      <w:r w:rsidRPr="00DC61DC">
        <w:rPr>
          <w:rFonts w:ascii="Arial" w:eastAsia="Times New Roman" w:hAnsi="Arial" w:cs="Arial"/>
          <w:sz w:val="24"/>
          <w:szCs w:val="24"/>
        </w:rPr>
        <w:t xml:space="preserve">final degree percentages and classifications). </w:t>
      </w:r>
    </w:p>
    <w:p w14:paraId="59D91CEC" w14:textId="77777777" w:rsidR="00D173CF" w:rsidRPr="00E21894" w:rsidRDefault="00D173CF" w:rsidP="00D173CF">
      <w:pPr>
        <w:spacing w:line="240" w:lineRule="auto"/>
        <w:jc w:val="both"/>
        <w:rPr>
          <w:rFonts w:ascii="Arial" w:eastAsia="Times New Roman" w:hAnsi="Arial" w:cs="Arial"/>
          <w:sz w:val="24"/>
          <w:szCs w:val="24"/>
        </w:rPr>
      </w:pPr>
    </w:p>
    <w:p w14:paraId="79377F72" w14:textId="77777777" w:rsidR="00D173CF" w:rsidRPr="00E21894" w:rsidRDefault="00D173CF" w:rsidP="00D173CF">
      <w:pPr>
        <w:spacing w:line="240" w:lineRule="auto"/>
        <w:rPr>
          <w:rFonts w:ascii="Arial" w:eastAsia="Times New Roman" w:hAnsi="Arial" w:cs="Arial"/>
          <w:sz w:val="24"/>
          <w:szCs w:val="24"/>
        </w:rPr>
      </w:pPr>
      <w:r>
        <w:rPr>
          <w:rFonts w:ascii="Arial" w:eastAsia="Times New Roman" w:hAnsi="Arial" w:cs="Arial"/>
          <w:sz w:val="24"/>
          <w:szCs w:val="24"/>
        </w:rPr>
        <w:t>The</w:t>
      </w:r>
      <w:r w:rsidRPr="00E21894">
        <w:rPr>
          <w:rFonts w:ascii="Arial" w:eastAsia="Times New Roman" w:hAnsi="Arial" w:cs="Arial"/>
          <w:sz w:val="24"/>
          <w:szCs w:val="24"/>
        </w:rPr>
        <w:t xml:space="preserve"> choice of parametric (Pearson correlation coefficient) and non-parametric (Spearman correlation coefficient) correlational tests were guided by the coding of variables</w:t>
      </w:r>
      <w:r>
        <w:rPr>
          <w:rFonts w:ascii="Arial" w:eastAsia="Times New Roman" w:hAnsi="Arial" w:cs="Arial"/>
          <w:sz w:val="24"/>
          <w:szCs w:val="24"/>
        </w:rPr>
        <w:t xml:space="preserve"> as nominal, scale or ordinal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{"citationItems":[{"id":"ITEM-1","itemData":{"author":[{"dropping-particle":"","family":"Pallant","given":"J","non-dropping-particle":"","parse-names":false,"suffix":""}],"edition":"6th Editio","id":"ITEM-1","issued":{"date-parts":[["2016"]]},"publisher":"Open University Press","publisher-place":"Berkshire","title":"SPSS Survival Manual","type":"book"},"uris":["http://www.mendeley.com/documents/?uuid=da8678f2-7bdf-4bf4-b3ca-af7cd7105cad"]}],"mendeley":{"formattedCitation":"(Pallant, 2016)","plainTextFormattedCitation":"(Pallant, 2016)","previouslyFormattedCitation":"(Pallant, 2016)"},"properties":{"noteIndex":0},"schema":"https://github.com/citation-style-language/schema/raw/master/csl-citation.json"}</w:instrText>
      </w:r>
      <w:r>
        <w:rPr>
          <w:rFonts w:ascii="Arial" w:eastAsia="Times New Roman" w:hAnsi="Arial" w:cs="Arial"/>
          <w:sz w:val="24"/>
          <w:szCs w:val="24"/>
        </w:rPr>
        <w:fldChar w:fldCharType="separate"/>
      </w:r>
      <w:r w:rsidRPr="00037C10">
        <w:rPr>
          <w:rFonts w:ascii="Arial" w:eastAsia="Times New Roman" w:hAnsi="Arial" w:cs="Arial"/>
          <w:noProof/>
          <w:sz w:val="24"/>
          <w:szCs w:val="24"/>
        </w:rPr>
        <w:t>(Pallant, 2016)</w:t>
      </w:r>
      <w:r>
        <w:rPr>
          <w:rFonts w:ascii="Arial" w:eastAsia="Times New Roman" w:hAnsi="Arial" w:cs="Arial"/>
          <w:sz w:val="24"/>
          <w:szCs w:val="24"/>
        </w:rPr>
        <w:fldChar w:fldCharType="end"/>
      </w:r>
      <w:r>
        <w:rPr>
          <w:rFonts w:ascii="Arial" w:eastAsia="Times New Roman" w:hAnsi="Arial" w:cs="Arial"/>
          <w:sz w:val="24"/>
          <w:szCs w:val="24"/>
        </w:rPr>
        <w:t xml:space="preserve">. </w:t>
      </w:r>
      <w:r w:rsidRPr="00E21894">
        <w:rPr>
          <w:rFonts w:ascii="Arial" w:eastAsia="Times New Roman" w:hAnsi="Arial" w:cs="Arial"/>
          <w:sz w:val="24"/>
          <w:szCs w:val="24"/>
        </w:rPr>
        <w:t>The Pearson correlation test paired scaled, normally distributed pre-admission variables with final degree percentages, while the Spearman correlation test paired ordinal, non-normally distributed pre-admission variables with final degree classifications</w:t>
      </w:r>
      <w:r>
        <w:rPr>
          <w:rFonts w:ascii="Arial" w:eastAsia="Times New Roman" w:hAnsi="Arial" w:cs="Arial"/>
          <w:sz w:val="24"/>
          <w:szCs w:val="24"/>
        </w:rPr>
        <w:t xml:space="preserve"> as highlighted in table 3</w:t>
      </w:r>
      <w:r w:rsidRPr="00E21894">
        <w:rPr>
          <w:rFonts w:ascii="Arial" w:eastAsia="Times New Roman" w:hAnsi="Arial" w:cs="Arial"/>
          <w:sz w:val="24"/>
          <w:szCs w:val="24"/>
        </w:rPr>
        <w:t xml:space="preserve">. Both tests were used to assess potential correlations of  2 variables (bivariate), using a two-tailed option so as to establish relationship(s) in either direction, i.e. possible positive or negative correlation(s) between pre-admission and graduation data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{"citationItems":[{"id":"ITEM-1","itemData":{"author":[{"dropping-particle":"","family":"Field","given":"A","non-dropping-particle":"","parse-names":false,"suffix":""}],"id":"ITEM-1","issued":{"date-parts":[["2018"]]},"publisher":"Sage Publications Ltd","publisher-place":"London","title":"Discovering Statistics Using IBM SPSS Statistics","type":"book"},"uris":["http://www.mendeley.com/documents/?uuid=686be2b8-c12d-42e3-b5b4-81355791ca02"]}],"mendeley":{"formattedCitation":"(Field, 2018)","plainTextFormattedCitation":"(Field, 2018)","previouslyFormattedCitation":"(Field, 2018)"},"properties":{"noteIndex":0},"schema":"https://github.com/citation-style-language/schema/raw/master/csl-citation.json"}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(Field, 2018)</w:t>
      </w:r>
      <w:r w:rsidRPr="00E21894">
        <w:rPr>
          <w:rFonts w:ascii="Arial" w:eastAsia="Times New Roman" w:hAnsi="Arial" w:cs="Arial"/>
          <w:sz w:val="24"/>
          <w:szCs w:val="24"/>
        </w:rPr>
        <w:fldChar w:fldCharType="end"/>
      </w:r>
      <w:r w:rsidRPr="00E21894">
        <w:rPr>
          <w:rFonts w:ascii="Arial" w:eastAsia="Times New Roman" w:hAnsi="Arial" w:cs="Arial"/>
          <w:sz w:val="24"/>
          <w:szCs w:val="24"/>
        </w:rPr>
        <w:t>. Considering this, the author proffered no hypotheses, preferring to explore and analyse what emerged from the data.</w:t>
      </w:r>
    </w:p>
    <w:p w14:paraId="7A99E355" w14:textId="77777777" w:rsidR="00455B88" w:rsidRDefault="00455B88" w:rsidP="00D173CF">
      <w:pPr>
        <w:spacing w:line="240" w:lineRule="auto"/>
        <w:jc w:val="both"/>
        <w:rPr>
          <w:rFonts w:ascii="Arial" w:eastAsia="Times New Roman" w:hAnsi="Arial" w:cs="Arial"/>
          <w:sz w:val="24"/>
          <w:szCs w:val="24"/>
        </w:rPr>
      </w:pPr>
    </w:p>
    <w:p w14:paraId="4ED421C5" w14:textId="77777777" w:rsidR="00D173CF" w:rsidRPr="00510EE2" w:rsidRDefault="00D173CF" w:rsidP="00D173CF">
      <w:pPr>
        <w:spacing w:line="240" w:lineRule="auto"/>
        <w:jc w:val="both"/>
        <w:rPr>
          <w:rFonts w:ascii="Arial" w:eastAsia="Times New Roman" w:hAnsi="Arial" w:cs="Arial"/>
          <w:bCs/>
          <w:i/>
          <w:iCs/>
          <w:sz w:val="24"/>
          <w:szCs w:val="24"/>
        </w:rPr>
      </w:pPr>
      <w:r w:rsidRPr="00DC61DC">
        <w:rPr>
          <w:rFonts w:ascii="Arial" w:eastAsia="Times New Roman" w:hAnsi="Arial" w:cs="Arial"/>
          <w:bCs/>
          <w:i/>
          <w:iCs/>
          <w:sz w:val="24"/>
          <w:szCs w:val="24"/>
        </w:rPr>
        <w:t xml:space="preserve">Table </w:t>
      </w:r>
      <w:r>
        <w:rPr>
          <w:rFonts w:ascii="Arial" w:eastAsia="Times New Roman" w:hAnsi="Arial" w:cs="Arial"/>
          <w:bCs/>
          <w:i/>
          <w:iCs/>
          <w:sz w:val="24"/>
          <w:szCs w:val="24"/>
        </w:rPr>
        <w:t>3</w:t>
      </w:r>
      <w:r w:rsidRPr="00DC61DC">
        <w:rPr>
          <w:rFonts w:ascii="Arial" w:eastAsia="Times New Roman" w:hAnsi="Arial" w:cs="Arial"/>
          <w:bCs/>
          <w:i/>
          <w:iCs/>
          <w:sz w:val="24"/>
          <w:szCs w:val="24"/>
        </w:rPr>
        <w:t>: Choice of parametric and non-parametric tests for comparison of pre-admission and graduation variables</w:t>
      </w:r>
    </w:p>
    <w:tbl>
      <w:tblPr>
        <w:tblStyle w:val="TableGrid"/>
        <w:tblW w:w="0" w:type="auto"/>
        <w:tblLook w:val="04A0" w:firstRow="1" w:lastRow="0" w:firstColumn="1" w:lastColumn="0" w:noHBand="0" w:noVBand="1"/>
      </w:tblPr>
      <w:tblGrid>
        <w:gridCol w:w="3005"/>
        <w:gridCol w:w="3005"/>
        <w:gridCol w:w="3006"/>
      </w:tblGrid>
      <w:tr w:rsidR="00D173CF" w:rsidRPr="00E21894" w14:paraId="5B4982BF" w14:textId="77777777" w:rsidTr="00EB0272">
        <w:tc>
          <w:tcPr>
            <w:tcW w:w="3005" w:type="dxa"/>
            <w:shd w:val="clear" w:color="auto" w:fill="A6A6A6" w:themeFill="background1" w:themeFillShade="A6"/>
          </w:tcPr>
          <w:p w14:paraId="3B2050A4"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Pre-admission variable</w:t>
            </w:r>
          </w:p>
        </w:tc>
        <w:tc>
          <w:tcPr>
            <w:tcW w:w="3005" w:type="dxa"/>
            <w:shd w:val="clear" w:color="auto" w:fill="A6A6A6" w:themeFill="background1" w:themeFillShade="A6"/>
          </w:tcPr>
          <w:p w14:paraId="61C287C1"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Graduation variable</w:t>
            </w:r>
          </w:p>
        </w:tc>
        <w:tc>
          <w:tcPr>
            <w:tcW w:w="3006" w:type="dxa"/>
            <w:shd w:val="clear" w:color="auto" w:fill="A6A6A6" w:themeFill="background1" w:themeFillShade="A6"/>
          </w:tcPr>
          <w:p w14:paraId="7EDEF1B1"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Test used to assess potential correlations</w:t>
            </w:r>
          </w:p>
          <w:p w14:paraId="49EB19CC" w14:textId="77777777" w:rsidR="00D173CF" w:rsidRPr="00E21894" w:rsidRDefault="00D173CF" w:rsidP="00EB0272">
            <w:pPr>
              <w:jc w:val="both"/>
              <w:rPr>
                <w:rFonts w:ascii="Arial" w:eastAsia="Times New Roman" w:hAnsi="Arial" w:cs="Arial"/>
                <w:b/>
                <w:bCs/>
                <w:sz w:val="24"/>
                <w:szCs w:val="24"/>
              </w:rPr>
            </w:pPr>
          </w:p>
        </w:tc>
      </w:tr>
      <w:tr w:rsidR="00D173CF" w:rsidRPr="00E21894" w14:paraId="7CDB0FB8" w14:textId="77777777" w:rsidTr="00EB0272">
        <w:tc>
          <w:tcPr>
            <w:tcW w:w="3005" w:type="dxa"/>
          </w:tcPr>
          <w:p w14:paraId="2E29B8D9"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Reflective essay numerical scores</w:t>
            </w:r>
            <w:r>
              <w:rPr>
                <w:rFonts w:ascii="Arial" w:eastAsia="Times New Roman" w:hAnsi="Arial" w:cs="Arial"/>
                <w:sz w:val="24"/>
                <w:szCs w:val="24"/>
              </w:rPr>
              <w:t xml:space="preserve"> (scale)</w:t>
            </w:r>
          </w:p>
          <w:p w14:paraId="11A5200C" w14:textId="77777777" w:rsidR="00D173CF" w:rsidRPr="00E21894" w:rsidRDefault="00D173CF" w:rsidP="00EB0272">
            <w:pPr>
              <w:jc w:val="both"/>
              <w:rPr>
                <w:rFonts w:ascii="Arial" w:eastAsia="Times New Roman" w:hAnsi="Arial" w:cs="Arial"/>
                <w:sz w:val="24"/>
                <w:szCs w:val="24"/>
              </w:rPr>
            </w:pPr>
          </w:p>
        </w:tc>
        <w:tc>
          <w:tcPr>
            <w:tcW w:w="3005" w:type="dxa"/>
          </w:tcPr>
          <w:p w14:paraId="06CB1D37"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Final degree percentages (%)</w:t>
            </w:r>
            <w:r>
              <w:rPr>
                <w:rFonts w:ascii="Arial" w:eastAsia="Times New Roman" w:hAnsi="Arial" w:cs="Arial"/>
                <w:sz w:val="24"/>
                <w:szCs w:val="24"/>
              </w:rPr>
              <w:t xml:space="preserve"> (scale)</w:t>
            </w:r>
          </w:p>
        </w:tc>
        <w:tc>
          <w:tcPr>
            <w:tcW w:w="3006" w:type="dxa"/>
          </w:tcPr>
          <w:p w14:paraId="392C8AF1"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Pearson parametric bivariate test (two-tailed)</w:t>
            </w:r>
          </w:p>
        </w:tc>
      </w:tr>
      <w:tr w:rsidR="00D173CF" w:rsidRPr="00E21894" w14:paraId="76DDC99D" w14:textId="77777777" w:rsidTr="00EB0272">
        <w:tc>
          <w:tcPr>
            <w:tcW w:w="3005" w:type="dxa"/>
          </w:tcPr>
          <w:p w14:paraId="7AF713AE"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CAPSAT-R numerical scores</w:t>
            </w:r>
            <w:r>
              <w:rPr>
                <w:rFonts w:ascii="Arial" w:eastAsia="Times New Roman" w:hAnsi="Arial" w:cs="Arial"/>
                <w:sz w:val="24"/>
                <w:szCs w:val="24"/>
              </w:rPr>
              <w:t xml:space="preserve"> (scale)</w:t>
            </w:r>
          </w:p>
          <w:p w14:paraId="73BAF491" w14:textId="77777777" w:rsidR="00D173CF" w:rsidRPr="00E21894" w:rsidRDefault="00D173CF" w:rsidP="00EB0272">
            <w:pPr>
              <w:jc w:val="both"/>
              <w:rPr>
                <w:rFonts w:ascii="Arial" w:eastAsia="Times New Roman" w:hAnsi="Arial" w:cs="Arial"/>
                <w:sz w:val="24"/>
                <w:szCs w:val="24"/>
              </w:rPr>
            </w:pPr>
          </w:p>
        </w:tc>
        <w:tc>
          <w:tcPr>
            <w:tcW w:w="3005" w:type="dxa"/>
          </w:tcPr>
          <w:p w14:paraId="66455057"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Final degree %</w:t>
            </w:r>
            <w:r>
              <w:rPr>
                <w:rFonts w:ascii="Arial" w:eastAsia="Times New Roman" w:hAnsi="Arial" w:cs="Arial"/>
                <w:sz w:val="24"/>
                <w:szCs w:val="24"/>
              </w:rPr>
              <w:t xml:space="preserve"> (scale)</w:t>
            </w:r>
          </w:p>
        </w:tc>
        <w:tc>
          <w:tcPr>
            <w:tcW w:w="3006" w:type="dxa"/>
          </w:tcPr>
          <w:p w14:paraId="0C280894"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Pearson parametric bivariate test (two-tailed)</w:t>
            </w:r>
          </w:p>
        </w:tc>
      </w:tr>
      <w:tr w:rsidR="00D173CF" w:rsidRPr="00E21894" w14:paraId="3BE86A23" w14:textId="77777777" w:rsidTr="00EB0272">
        <w:tc>
          <w:tcPr>
            <w:tcW w:w="3005" w:type="dxa"/>
          </w:tcPr>
          <w:p w14:paraId="358C808D"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Qualification category (A-Level; Access to HE; BTEC)</w:t>
            </w:r>
            <w:r>
              <w:rPr>
                <w:rFonts w:ascii="Arial" w:eastAsia="Times New Roman" w:hAnsi="Arial" w:cs="Arial"/>
                <w:sz w:val="24"/>
                <w:szCs w:val="24"/>
              </w:rPr>
              <w:t xml:space="preserve"> (nominal)</w:t>
            </w:r>
          </w:p>
        </w:tc>
        <w:tc>
          <w:tcPr>
            <w:tcW w:w="3005" w:type="dxa"/>
          </w:tcPr>
          <w:p w14:paraId="6A2C6614"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Final degree classifications</w:t>
            </w:r>
            <w:r>
              <w:rPr>
                <w:rFonts w:ascii="Arial" w:eastAsia="Times New Roman" w:hAnsi="Arial" w:cs="Arial"/>
                <w:sz w:val="24"/>
                <w:szCs w:val="24"/>
              </w:rPr>
              <w:t xml:space="preserve"> (ordinal)</w:t>
            </w:r>
          </w:p>
        </w:tc>
        <w:tc>
          <w:tcPr>
            <w:tcW w:w="3006" w:type="dxa"/>
          </w:tcPr>
          <w:p w14:paraId="44550AB2"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Spearman non-parametric bivariate test (two-tailed)</w:t>
            </w:r>
          </w:p>
          <w:p w14:paraId="0D882B0E" w14:textId="77777777" w:rsidR="00D173CF" w:rsidRPr="00E21894" w:rsidRDefault="00D173CF" w:rsidP="00EB0272">
            <w:pPr>
              <w:jc w:val="both"/>
              <w:rPr>
                <w:rFonts w:ascii="Arial" w:eastAsia="Times New Roman" w:hAnsi="Arial" w:cs="Arial"/>
                <w:sz w:val="24"/>
                <w:szCs w:val="24"/>
              </w:rPr>
            </w:pPr>
          </w:p>
        </w:tc>
      </w:tr>
      <w:tr w:rsidR="00D173CF" w:rsidRPr="00E21894" w14:paraId="4ECE5218" w14:textId="77777777" w:rsidTr="00EB0272">
        <w:tc>
          <w:tcPr>
            <w:tcW w:w="3005" w:type="dxa"/>
          </w:tcPr>
          <w:p w14:paraId="5E3CA771"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UCAS tariff points</w:t>
            </w:r>
            <w:r>
              <w:rPr>
                <w:rFonts w:ascii="Arial" w:eastAsia="Times New Roman" w:hAnsi="Arial" w:cs="Arial"/>
                <w:sz w:val="24"/>
                <w:szCs w:val="24"/>
              </w:rPr>
              <w:t xml:space="preserve"> (scale)</w:t>
            </w:r>
          </w:p>
        </w:tc>
        <w:tc>
          <w:tcPr>
            <w:tcW w:w="3005" w:type="dxa"/>
          </w:tcPr>
          <w:p w14:paraId="57F07503"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Final degree classifications</w:t>
            </w:r>
            <w:r>
              <w:rPr>
                <w:rFonts w:ascii="Arial" w:eastAsia="Times New Roman" w:hAnsi="Arial" w:cs="Arial"/>
                <w:sz w:val="24"/>
                <w:szCs w:val="24"/>
              </w:rPr>
              <w:t xml:space="preserve"> (ordinal)</w:t>
            </w:r>
          </w:p>
        </w:tc>
        <w:tc>
          <w:tcPr>
            <w:tcW w:w="3006" w:type="dxa"/>
          </w:tcPr>
          <w:p w14:paraId="3EC5E18F"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Spearman non-parametric bivariate test (two-tailed)</w:t>
            </w:r>
          </w:p>
          <w:p w14:paraId="486B1340" w14:textId="77777777" w:rsidR="00D173CF" w:rsidRPr="00E21894" w:rsidRDefault="00D173CF" w:rsidP="00EB0272">
            <w:pPr>
              <w:jc w:val="both"/>
              <w:rPr>
                <w:rFonts w:ascii="Arial" w:eastAsia="Times New Roman" w:hAnsi="Arial" w:cs="Arial"/>
                <w:sz w:val="24"/>
                <w:szCs w:val="24"/>
              </w:rPr>
            </w:pPr>
          </w:p>
        </w:tc>
      </w:tr>
      <w:tr w:rsidR="00D173CF" w:rsidRPr="00E21894" w14:paraId="71C17DC8" w14:textId="77777777" w:rsidTr="00EB0272">
        <w:tc>
          <w:tcPr>
            <w:tcW w:w="3005" w:type="dxa"/>
          </w:tcPr>
          <w:p w14:paraId="5C30465F"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CAPSAT-R ranked order categories (limitation;  potential strength; strength)</w:t>
            </w:r>
            <w:r>
              <w:rPr>
                <w:rFonts w:ascii="Arial" w:eastAsia="Times New Roman" w:hAnsi="Arial" w:cs="Arial"/>
                <w:sz w:val="24"/>
                <w:szCs w:val="24"/>
              </w:rPr>
              <w:t xml:space="preserve"> (ordinal)</w:t>
            </w:r>
          </w:p>
        </w:tc>
        <w:tc>
          <w:tcPr>
            <w:tcW w:w="3005" w:type="dxa"/>
          </w:tcPr>
          <w:p w14:paraId="43089AAE"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Final degree classifications</w:t>
            </w:r>
            <w:r>
              <w:rPr>
                <w:rFonts w:ascii="Arial" w:eastAsia="Times New Roman" w:hAnsi="Arial" w:cs="Arial"/>
                <w:sz w:val="24"/>
                <w:szCs w:val="24"/>
              </w:rPr>
              <w:t xml:space="preserve"> (ordinal)</w:t>
            </w:r>
          </w:p>
        </w:tc>
        <w:tc>
          <w:tcPr>
            <w:tcW w:w="3006" w:type="dxa"/>
          </w:tcPr>
          <w:p w14:paraId="3C22DBD4"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Spearman non-parametric bivariate test (two-tailed)</w:t>
            </w:r>
          </w:p>
          <w:p w14:paraId="20582CF5" w14:textId="77777777" w:rsidR="00D173CF" w:rsidRPr="00E21894" w:rsidRDefault="00D173CF" w:rsidP="00EB0272">
            <w:pPr>
              <w:jc w:val="both"/>
              <w:rPr>
                <w:rFonts w:ascii="Arial" w:eastAsia="Times New Roman" w:hAnsi="Arial" w:cs="Arial"/>
                <w:sz w:val="24"/>
                <w:szCs w:val="24"/>
              </w:rPr>
            </w:pPr>
          </w:p>
        </w:tc>
      </w:tr>
    </w:tbl>
    <w:p w14:paraId="11AC5739" w14:textId="77777777" w:rsidR="00384187" w:rsidRDefault="00384187" w:rsidP="00D173CF">
      <w:pPr>
        <w:spacing w:line="240" w:lineRule="auto"/>
        <w:rPr>
          <w:rFonts w:ascii="Arial" w:eastAsia="Times New Roman" w:hAnsi="Arial" w:cs="Arial"/>
          <w:sz w:val="24"/>
          <w:szCs w:val="24"/>
        </w:rPr>
      </w:pPr>
    </w:p>
    <w:p w14:paraId="43A67685" w14:textId="77777777" w:rsidR="00D173CF" w:rsidRDefault="00D173CF" w:rsidP="00D173CF">
      <w:pPr>
        <w:spacing w:line="240" w:lineRule="auto"/>
        <w:rPr>
          <w:rFonts w:ascii="Arial" w:eastAsia="Times New Roman" w:hAnsi="Arial" w:cs="Arial"/>
          <w:sz w:val="24"/>
          <w:szCs w:val="24"/>
        </w:rPr>
      </w:pPr>
      <w:r w:rsidRPr="00DC61DC">
        <w:rPr>
          <w:rFonts w:ascii="Arial" w:eastAsia="Times New Roman" w:hAnsi="Arial" w:cs="Arial"/>
          <w:sz w:val="24"/>
          <w:szCs w:val="24"/>
        </w:rPr>
        <w:t>Tests of normality to check the sample distribution with the normal distribution were completed using Kolmogorov Smironvᵃ</w:t>
      </w:r>
      <w:r w:rsidRPr="00DC61DC">
        <w:rPr>
          <w:rFonts w:ascii="Arial" w:eastAsia="Times New Roman" w:hAnsi="Arial" w:cs="Arial"/>
          <w:sz w:val="16"/>
          <w:szCs w:val="16"/>
        </w:rPr>
        <w:t xml:space="preserve"> </w:t>
      </w:r>
      <w:r w:rsidRPr="00DC61DC">
        <w:rPr>
          <w:rFonts w:ascii="Arial" w:eastAsia="Times New Roman" w:hAnsi="Arial" w:cs="Arial"/>
          <w:sz w:val="24"/>
          <w:szCs w:val="24"/>
        </w:rPr>
        <w:t>and Sha</w:t>
      </w:r>
      <w:r>
        <w:rPr>
          <w:rFonts w:ascii="Arial" w:eastAsia="Times New Roman" w:hAnsi="Arial" w:cs="Arial"/>
          <w:sz w:val="24"/>
          <w:szCs w:val="24"/>
        </w:rPr>
        <w:t xml:space="preserve">piro-Wilk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{"citationItems":[{"id":"ITEM-1","itemData":{"author":[{"dropping-particle":"","family":"IBM Corp.","given":"","non-dropping-particle":"","parse-names":false,"suffix":""}],"id":"ITEM-1","issued":{"date-parts":[["2017"]]},"number":"25.0","publisher":"IBM Corp","publisher-place":"New York","title":"IBM SPSS Statitics for Windows","type":"article"},"uris":["http://www.mendeley.com/documents/?uuid=4dc79445-ab91-49aa-a051-4129a93bb60c"]},{"id":"ITEM-2","itemData":{"author":[{"dropping-particle":"","family":"Hinton","given":"P","non-dropping-particle":"","parse-names":false,"suffix":""},{"dropping-particle":"","family":"McMurray","given":"I","non-dropping-particle":"","parse-names":false,"suffix":""},{"dropping-particle":"","family":"Brownlow","given":"C","non-dropping-particle":"","parse-names":false,"suffix":""}],"edition":"2nd Editio","id":"ITEM-2","issued":{"date-parts":[["2014"]]},"publisher":"Routledge","publisher-place":"East Sussex","title":"SPSS Explained","type":"book"},"uris":["http://www.mendeley.com/documents/?uuid=dff4bb90-0aa0-4afe-9f8c-66ba29ab7388"]}],"mendeley":{"formattedCitation":"(Hinton, McMurray, &amp; Brownlow, 2014; IBM Corp., 2017)","plainTextFormattedCitation":"(Hinton, McMurray, &amp; Brownlow, 2014; IBM Corp., 2017)","previouslyFormattedCitation":"(Hinton, McMurray, &amp; Brownlow, 2014; IBM Corp., 2017)"},"properties":{"noteIndex":0},"schema":"https://github.com/citation-style-language/schema/raw/master/csl-citation.json"}</w:instrText>
      </w:r>
      <w:r>
        <w:rPr>
          <w:rFonts w:ascii="Arial" w:eastAsia="Times New Roman" w:hAnsi="Arial" w:cs="Arial"/>
          <w:sz w:val="24"/>
          <w:szCs w:val="24"/>
        </w:rPr>
        <w:fldChar w:fldCharType="separate"/>
      </w:r>
      <w:r w:rsidRPr="00037C10">
        <w:rPr>
          <w:rFonts w:ascii="Arial" w:eastAsia="Times New Roman" w:hAnsi="Arial" w:cs="Arial"/>
          <w:noProof/>
          <w:sz w:val="24"/>
          <w:szCs w:val="24"/>
        </w:rPr>
        <w:t>(Hinton, McMurray, &amp; Brownlow, 2014; IBM Corp., 2017)</w:t>
      </w:r>
      <w:r>
        <w:rPr>
          <w:rFonts w:ascii="Arial" w:eastAsia="Times New Roman" w:hAnsi="Arial" w:cs="Arial"/>
          <w:sz w:val="24"/>
          <w:szCs w:val="24"/>
        </w:rPr>
        <w:fldChar w:fldCharType="end"/>
      </w:r>
      <w:r w:rsidRPr="00DC61DC">
        <w:rPr>
          <w:rFonts w:ascii="Arial" w:eastAsia="Times New Roman" w:hAnsi="Arial" w:cs="Arial"/>
          <w:sz w:val="24"/>
          <w:szCs w:val="24"/>
        </w:rPr>
        <w:t xml:space="preserve">. ‘UCAS Tariff Points’ and ‘Qualification Category’ were not normally distributed, with a significant finding of </w:t>
      </w:r>
      <w:r w:rsidRPr="00DC61DC">
        <w:rPr>
          <w:rFonts w:ascii="Arial" w:eastAsia="Times New Roman" w:hAnsi="Arial" w:cs="Arial"/>
          <w:i/>
          <w:iCs/>
          <w:sz w:val="24"/>
          <w:szCs w:val="24"/>
        </w:rPr>
        <w:t xml:space="preserve">p </w:t>
      </w:r>
      <w:r w:rsidRPr="00DC61DC">
        <w:rPr>
          <w:rFonts w:ascii="Arial" w:eastAsia="Times New Roman" w:hAnsi="Arial" w:cs="Arial"/>
          <w:sz w:val="24"/>
          <w:szCs w:val="24"/>
        </w:rPr>
        <w:t>&lt; 0.05 (</w:t>
      </w:r>
      <w:r w:rsidRPr="00DC61DC">
        <w:rPr>
          <w:rFonts w:ascii="Arial" w:eastAsia="Times New Roman" w:hAnsi="Arial" w:cs="Arial"/>
          <w:i/>
          <w:iCs/>
          <w:sz w:val="24"/>
          <w:szCs w:val="24"/>
        </w:rPr>
        <w:t xml:space="preserve">p = </w:t>
      </w:r>
      <w:r w:rsidRPr="00DC61DC">
        <w:rPr>
          <w:rFonts w:ascii="Arial" w:eastAsia="Times New Roman" w:hAnsi="Arial" w:cs="Arial"/>
          <w:sz w:val="24"/>
          <w:szCs w:val="24"/>
        </w:rPr>
        <w:t xml:space="preserve">0.00 and 0.001 in both tests). All other variables were of a normal distribution with </w:t>
      </w:r>
      <w:r w:rsidRPr="00DC61DC">
        <w:rPr>
          <w:rFonts w:ascii="Arial" w:eastAsia="Times New Roman" w:hAnsi="Arial" w:cs="Arial"/>
          <w:i/>
          <w:iCs/>
          <w:sz w:val="24"/>
          <w:szCs w:val="24"/>
        </w:rPr>
        <w:t xml:space="preserve">p &gt; </w:t>
      </w:r>
      <w:r w:rsidRPr="00DC61DC">
        <w:rPr>
          <w:rFonts w:ascii="Arial" w:eastAsia="Times New Roman" w:hAnsi="Arial" w:cs="Arial"/>
          <w:sz w:val="24"/>
          <w:szCs w:val="24"/>
        </w:rPr>
        <w:t>0.05</w:t>
      </w:r>
      <w:r>
        <w:rPr>
          <w:rFonts w:ascii="Arial" w:eastAsia="Times New Roman" w:hAnsi="Arial" w:cs="Arial"/>
          <w:sz w:val="24"/>
          <w:szCs w:val="24"/>
        </w:rPr>
        <w:t>.</w:t>
      </w:r>
    </w:p>
    <w:p w14:paraId="20CF0FA9" w14:textId="77777777" w:rsidR="00C72F36" w:rsidRPr="00DC61DC" w:rsidRDefault="00C72F36" w:rsidP="00D173CF">
      <w:pPr>
        <w:spacing w:line="240" w:lineRule="auto"/>
        <w:rPr>
          <w:rFonts w:ascii="Arial" w:eastAsia="Times New Roman" w:hAnsi="Arial" w:cs="Arial"/>
          <w:sz w:val="24"/>
          <w:szCs w:val="24"/>
        </w:rPr>
      </w:pPr>
    </w:p>
    <w:p w14:paraId="600083C3" w14:textId="77777777" w:rsidR="00D173CF" w:rsidRPr="00E21894" w:rsidRDefault="00D173CF" w:rsidP="00D173CF">
      <w:pPr>
        <w:spacing w:line="240" w:lineRule="auto"/>
        <w:rPr>
          <w:rFonts w:ascii="Arial" w:hAnsi="Arial" w:cs="Arial"/>
          <w:b/>
          <w:bCs/>
          <w:sz w:val="24"/>
          <w:szCs w:val="24"/>
        </w:rPr>
      </w:pPr>
      <w:r>
        <w:rPr>
          <w:rFonts w:ascii="Arial" w:hAnsi="Arial" w:cs="Arial"/>
          <w:b/>
          <w:bCs/>
          <w:sz w:val="24"/>
          <w:szCs w:val="24"/>
        </w:rPr>
        <w:t>RESULTS</w:t>
      </w:r>
    </w:p>
    <w:p w14:paraId="0ECBC0FC" w14:textId="038190D3" w:rsidR="00D173CF" w:rsidRPr="00E21894" w:rsidRDefault="00E544DB" w:rsidP="00D173CF">
      <w:pPr>
        <w:spacing w:line="240" w:lineRule="auto"/>
        <w:rPr>
          <w:rFonts w:ascii="Arial" w:eastAsia="Times New Roman" w:hAnsi="Arial" w:cs="Arial"/>
          <w:sz w:val="24"/>
          <w:szCs w:val="24"/>
        </w:rPr>
      </w:pPr>
      <w:r>
        <w:rPr>
          <w:rFonts w:ascii="Arial" w:eastAsia="Times New Roman" w:hAnsi="Arial" w:cs="Arial"/>
          <w:sz w:val="24"/>
          <w:szCs w:val="24"/>
        </w:rPr>
        <w:t>Table 2 (p. 8)</w:t>
      </w:r>
      <w:r w:rsidR="00D173CF">
        <w:rPr>
          <w:rFonts w:ascii="Arial" w:eastAsia="Times New Roman" w:hAnsi="Arial" w:cs="Arial"/>
          <w:sz w:val="24"/>
          <w:szCs w:val="24"/>
        </w:rPr>
        <w:t xml:space="preserve"> </w:t>
      </w:r>
      <w:r w:rsidR="00D173CF" w:rsidRPr="00E21894">
        <w:rPr>
          <w:rFonts w:ascii="Arial" w:eastAsia="Times New Roman" w:hAnsi="Arial" w:cs="Arial"/>
          <w:sz w:val="24"/>
          <w:szCs w:val="24"/>
        </w:rPr>
        <w:t xml:space="preserve">is recommended as </w:t>
      </w:r>
      <w:r w:rsidR="00D173CF">
        <w:rPr>
          <w:rFonts w:ascii="Arial" w:eastAsia="Times New Roman" w:hAnsi="Arial" w:cs="Arial"/>
          <w:sz w:val="24"/>
          <w:szCs w:val="24"/>
        </w:rPr>
        <w:t>ad</w:t>
      </w:r>
      <w:r w:rsidR="00D173CF" w:rsidRPr="00E21894">
        <w:rPr>
          <w:rFonts w:ascii="Arial" w:eastAsia="Times New Roman" w:hAnsi="Arial" w:cs="Arial"/>
          <w:sz w:val="24"/>
          <w:szCs w:val="24"/>
        </w:rPr>
        <w:t xml:space="preserve">junctive reading due to frequent reference and comparison to the </w:t>
      </w:r>
      <w:r w:rsidR="00D173CF">
        <w:rPr>
          <w:rFonts w:ascii="Arial" w:eastAsia="Times New Roman" w:hAnsi="Arial" w:cs="Arial"/>
          <w:sz w:val="24"/>
          <w:szCs w:val="24"/>
        </w:rPr>
        <w:t>program</w:t>
      </w:r>
      <w:r w:rsidR="00D173CF" w:rsidRPr="00E21894">
        <w:rPr>
          <w:rFonts w:ascii="Arial" w:eastAsia="Times New Roman" w:hAnsi="Arial" w:cs="Arial"/>
          <w:sz w:val="24"/>
          <w:szCs w:val="24"/>
        </w:rPr>
        <w:t>’s minimal entry requirements.</w:t>
      </w:r>
    </w:p>
    <w:p w14:paraId="39B741AA" w14:textId="77777777" w:rsidR="00D173CF" w:rsidRDefault="00D173CF" w:rsidP="00D173CF">
      <w:pPr>
        <w:spacing w:line="240" w:lineRule="auto"/>
        <w:rPr>
          <w:rFonts w:ascii="Arial" w:eastAsia="Times New Roman" w:hAnsi="Arial" w:cs="Arial"/>
          <w:b/>
          <w:bCs/>
          <w:iCs/>
          <w:sz w:val="24"/>
          <w:szCs w:val="24"/>
        </w:rPr>
      </w:pPr>
    </w:p>
    <w:p w14:paraId="465EE07D" w14:textId="77777777" w:rsidR="00D173CF" w:rsidRPr="00AB3369" w:rsidRDefault="00D173CF" w:rsidP="00D173CF">
      <w:pPr>
        <w:spacing w:line="240" w:lineRule="auto"/>
        <w:rPr>
          <w:rFonts w:ascii="Arial" w:eastAsia="Times New Roman" w:hAnsi="Arial" w:cs="Arial"/>
          <w:b/>
          <w:bCs/>
          <w:iCs/>
          <w:sz w:val="24"/>
          <w:szCs w:val="24"/>
        </w:rPr>
      </w:pPr>
      <w:r w:rsidRPr="00AB3369">
        <w:rPr>
          <w:rFonts w:ascii="Arial" w:eastAsia="Times New Roman" w:hAnsi="Arial" w:cs="Arial"/>
          <w:b/>
          <w:bCs/>
          <w:iCs/>
          <w:sz w:val="24"/>
          <w:szCs w:val="24"/>
        </w:rPr>
        <w:t>Descriptive Statistics – Entry Qualifications</w:t>
      </w:r>
    </w:p>
    <w:p w14:paraId="40D6EB0F" w14:textId="2780CBA5" w:rsidR="00D173CF" w:rsidRDefault="00D173CF" w:rsidP="00D173CF">
      <w:pPr>
        <w:spacing w:line="240" w:lineRule="auto"/>
        <w:rPr>
          <w:rFonts w:ascii="Arial" w:eastAsia="Times New Roman" w:hAnsi="Arial" w:cs="Arial"/>
          <w:sz w:val="24"/>
          <w:szCs w:val="24"/>
        </w:rPr>
      </w:pPr>
      <w:r>
        <w:rPr>
          <w:rFonts w:ascii="Arial" w:eastAsia="Times New Roman" w:hAnsi="Arial" w:cs="Arial"/>
          <w:sz w:val="24"/>
          <w:szCs w:val="24"/>
        </w:rPr>
        <w:t>Table 4 shows the</w:t>
      </w:r>
      <w:r w:rsidRPr="00E21894">
        <w:rPr>
          <w:rFonts w:ascii="Arial" w:eastAsia="Times New Roman" w:hAnsi="Arial" w:cs="Arial"/>
          <w:sz w:val="24"/>
          <w:szCs w:val="24"/>
        </w:rPr>
        <w:t xml:space="preserve"> final sample of 27 candidates </w:t>
      </w:r>
      <w:r w:rsidR="009F2335">
        <w:rPr>
          <w:rFonts w:ascii="Arial" w:eastAsia="Times New Roman" w:hAnsi="Arial" w:cs="Arial"/>
          <w:sz w:val="24"/>
          <w:szCs w:val="24"/>
        </w:rPr>
        <w:t xml:space="preserve">who </w:t>
      </w:r>
      <w:r w:rsidRPr="00E21894">
        <w:rPr>
          <w:rFonts w:ascii="Arial" w:eastAsia="Times New Roman" w:hAnsi="Arial" w:cs="Arial"/>
          <w:sz w:val="24"/>
          <w:szCs w:val="24"/>
        </w:rPr>
        <w:t xml:space="preserve">entered the </w:t>
      </w:r>
      <w:r>
        <w:rPr>
          <w:rFonts w:ascii="Arial" w:eastAsia="Times New Roman" w:hAnsi="Arial" w:cs="Arial"/>
          <w:sz w:val="24"/>
          <w:szCs w:val="24"/>
        </w:rPr>
        <w:t>program</w:t>
      </w:r>
      <w:r w:rsidRPr="00E21894">
        <w:rPr>
          <w:rFonts w:ascii="Arial" w:eastAsia="Times New Roman" w:hAnsi="Arial" w:cs="Arial"/>
          <w:sz w:val="24"/>
          <w:szCs w:val="24"/>
        </w:rPr>
        <w:t xml:space="preserve"> with A-Levels (</w:t>
      </w:r>
      <w:r w:rsidRPr="00E21894">
        <w:rPr>
          <w:rFonts w:ascii="Arial" w:eastAsia="Times New Roman" w:hAnsi="Arial" w:cs="Arial"/>
          <w:i/>
          <w:iCs/>
          <w:sz w:val="24"/>
          <w:szCs w:val="24"/>
        </w:rPr>
        <w:t>n=</w:t>
      </w:r>
      <w:r w:rsidR="009F2335">
        <w:rPr>
          <w:rFonts w:ascii="Arial" w:eastAsia="Times New Roman" w:hAnsi="Arial" w:cs="Arial"/>
          <w:sz w:val="24"/>
          <w:szCs w:val="24"/>
        </w:rPr>
        <w:t>13),</w:t>
      </w:r>
      <w:r w:rsidRPr="00E21894">
        <w:rPr>
          <w:rFonts w:ascii="Arial" w:eastAsia="Times New Roman" w:hAnsi="Arial" w:cs="Arial"/>
          <w:sz w:val="24"/>
          <w:szCs w:val="24"/>
        </w:rPr>
        <w:t xml:space="preserve"> Access to HE (</w:t>
      </w:r>
      <w:r w:rsidRPr="00E21894">
        <w:rPr>
          <w:rFonts w:ascii="Arial" w:eastAsia="Times New Roman" w:hAnsi="Arial" w:cs="Arial"/>
          <w:i/>
          <w:iCs/>
          <w:sz w:val="24"/>
          <w:szCs w:val="24"/>
        </w:rPr>
        <w:t>n=</w:t>
      </w:r>
      <w:r w:rsidRPr="00E21894">
        <w:rPr>
          <w:rFonts w:ascii="Arial" w:eastAsia="Times New Roman" w:hAnsi="Arial" w:cs="Arial"/>
          <w:sz w:val="24"/>
          <w:szCs w:val="24"/>
        </w:rPr>
        <w:t xml:space="preserve">13) or B-TEC </w:t>
      </w:r>
      <w:r w:rsidRPr="00E21894">
        <w:rPr>
          <w:rFonts w:ascii="Arial" w:eastAsia="Times New Roman" w:hAnsi="Arial" w:cs="Arial"/>
          <w:i/>
          <w:iCs/>
          <w:sz w:val="24"/>
          <w:szCs w:val="24"/>
        </w:rPr>
        <w:t>(n=</w:t>
      </w:r>
      <w:r w:rsidRPr="00E21894">
        <w:rPr>
          <w:rFonts w:ascii="Arial" w:eastAsia="Times New Roman" w:hAnsi="Arial" w:cs="Arial"/>
          <w:sz w:val="24"/>
          <w:szCs w:val="24"/>
        </w:rPr>
        <w:t>1), reflecting the lack of normal distribution within the qualification category.  UCAS tariff points follow a similar pattern of non-normal distribution, ranging between 300 and 420 points; a mean of 376.3; median of 400 and mode of 420</w:t>
      </w:r>
      <w:r>
        <w:rPr>
          <w:rFonts w:ascii="Arial" w:eastAsia="Times New Roman" w:hAnsi="Arial" w:cs="Arial"/>
          <w:sz w:val="24"/>
          <w:szCs w:val="24"/>
        </w:rPr>
        <w:t>.</w:t>
      </w:r>
      <w:r w:rsidRPr="00E21894">
        <w:rPr>
          <w:rFonts w:ascii="Arial" w:eastAsia="Times New Roman" w:hAnsi="Arial" w:cs="Arial"/>
          <w:sz w:val="24"/>
          <w:szCs w:val="24"/>
        </w:rPr>
        <w:t xml:space="preserve"> </w:t>
      </w:r>
    </w:p>
    <w:p w14:paraId="2ADC0987" w14:textId="77777777" w:rsidR="00C033E3" w:rsidRPr="00E21894" w:rsidRDefault="00C033E3" w:rsidP="00D173CF">
      <w:pPr>
        <w:spacing w:line="240" w:lineRule="auto"/>
        <w:jc w:val="both"/>
        <w:rPr>
          <w:rFonts w:ascii="Arial" w:eastAsia="Times New Roman" w:hAnsi="Arial" w:cs="Arial"/>
          <w:sz w:val="24"/>
          <w:szCs w:val="24"/>
        </w:rPr>
      </w:pPr>
    </w:p>
    <w:p w14:paraId="17031AFF" w14:textId="4E864C04" w:rsidR="00D173CF" w:rsidRPr="00DC61DC" w:rsidRDefault="00D173CF" w:rsidP="00D173CF">
      <w:pPr>
        <w:spacing w:line="240" w:lineRule="auto"/>
        <w:jc w:val="both"/>
        <w:rPr>
          <w:rFonts w:ascii="Arial" w:eastAsia="Times New Roman" w:hAnsi="Arial" w:cs="Arial"/>
          <w:bCs/>
          <w:i/>
          <w:iCs/>
          <w:sz w:val="24"/>
          <w:szCs w:val="24"/>
        </w:rPr>
      </w:pPr>
      <w:r w:rsidRPr="00DC61DC">
        <w:rPr>
          <w:rFonts w:ascii="Arial" w:eastAsia="Times New Roman" w:hAnsi="Arial" w:cs="Arial"/>
          <w:bCs/>
          <w:i/>
          <w:iCs/>
          <w:sz w:val="24"/>
          <w:szCs w:val="24"/>
        </w:rPr>
        <w:t xml:space="preserve">Table </w:t>
      </w:r>
      <w:r>
        <w:rPr>
          <w:rFonts w:ascii="Arial" w:eastAsia="Times New Roman" w:hAnsi="Arial" w:cs="Arial"/>
          <w:bCs/>
          <w:i/>
          <w:iCs/>
          <w:sz w:val="24"/>
          <w:szCs w:val="24"/>
        </w:rPr>
        <w:t>4</w:t>
      </w:r>
      <w:r w:rsidRPr="00DC61DC">
        <w:rPr>
          <w:rFonts w:ascii="Arial" w:eastAsia="Times New Roman" w:hAnsi="Arial" w:cs="Arial"/>
          <w:bCs/>
          <w:i/>
          <w:iCs/>
          <w:sz w:val="24"/>
          <w:szCs w:val="24"/>
        </w:rPr>
        <w:t xml:space="preserve">: Descriptive Statistics of UCAS Tariff Points at admission </w:t>
      </w:r>
    </w:p>
    <w:tbl>
      <w:tblPr>
        <w:tblW w:w="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5"/>
        <w:gridCol w:w="2265"/>
        <w:gridCol w:w="1116"/>
      </w:tblGrid>
      <w:tr w:rsidR="00D173CF" w:rsidRPr="00E21894" w14:paraId="2F51C65D" w14:textId="77777777" w:rsidTr="00EB0272">
        <w:trPr>
          <w:cantSplit/>
        </w:trPr>
        <w:tc>
          <w:tcPr>
            <w:tcW w:w="2265" w:type="dxa"/>
            <w:vMerge w:val="restart"/>
            <w:shd w:val="clear" w:color="auto" w:fill="A6A6A6" w:themeFill="background1" w:themeFillShade="A6"/>
          </w:tcPr>
          <w:p w14:paraId="6D2F6A45" w14:textId="77777777" w:rsidR="00D173CF" w:rsidRPr="00E21894" w:rsidRDefault="00D173CF" w:rsidP="00EB0272">
            <w:pPr>
              <w:autoSpaceDE w:val="0"/>
              <w:autoSpaceDN w:val="0"/>
              <w:adjustRightInd w:val="0"/>
              <w:spacing w:after="0" w:line="240" w:lineRule="auto"/>
              <w:ind w:left="60" w:right="60"/>
              <w:rPr>
                <w:rFonts w:ascii="Arial" w:hAnsi="Arial" w:cs="Arial"/>
                <w:b/>
                <w:bCs/>
                <w:sz w:val="24"/>
                <w:szCs w:val="24"/>
              </w:rPr>
            </w:pPr>
            <w:r w:rsidRPr="00E21894">
              <w:rPr>
                <w:rFonts w:ascii="Arial" w:hAnsi="Arial" w:cs="Arial"/>
                <w:b/>
                <w:bCs/>
                <w:sz w:val="24"/>
                <w:szCs w:val="24"/>
              </w:rPr>
              <w:t>Descriptive Statistics for UCAS tariff points</w:t>
            </w:r>
          </w:p>
        </w:tc>
        <w:tc>
          <w:tcPr>
            <w:tcW w:w="2265" w:type="dxa"/>
            <w:shd w:val="clear" w:color="auto" w:fill="auto"/>
          </w:tcPr>
          <w:p w14:paraId="4F0CDDC4" w14:textId="77777777" w:rsidR="00D173CF" w:rsidRPr="00E21894" w:rsidRDefault="00D173CF" w:rsidP="00EB0272">
            <w:pPr>
              <w:autoSpaceDE w:val="0"/>
              <w:autoSpaceDN w:val="0"/>
              <w:adjustRightInd w:val="0"/>
              <w:spacing w:after="0" w:line="240" w:lineRule="auto"/>
              <w:ind w:left="60" w:right="60"/>
              <w:rPr>
                <w:rFonts w:ascii="Arial" w:hAnsi="Arial" w:cs="Arial"/>
                <w:sz w:val="24"/>
                <w:szCs w:val="24"/>
              </w:rPr>
            </w:pPr>
            <w:r w:rsidRPr="00E21894">
              <w:rPr>
                <w:rFonts w:ascii="Arial" w:hAnsi="Arial" w:cs="Arial"/>
                <w:sz w:val="24"/>
                <w:szCs w:val="24"/>
              </w:rPr>
              <w:t>Mean</w:t>
            </w:r>
          </w:p>
        </w:tc>
        <w:tc>
          <w:tcPr>
            <w:tcW w:w="1116" w:type="dxa"/>
            <w:shd w:val="clear" w:color="auto" w:fill="auto"/>
          </w:tcPr>
          <w:p w14:paraId="3BA4760E" w14:textId="77777777" w:rsidR="00D173CF" w:rsidRPr="00E21894" w:rsidRDefault="00D173CF" w:rsidP="00EB0272">
            <w:pPr>
              <w:autoSpaceDE w:val="0"/>
              <w:autoSpaceDN w:val="0"/>
              <w:adjustRightInd w:val="0"/>
              <w:spacing w:after="0" w:line="240" w:lineRule="auto"/>
              <w:ind w:left="60" w:right="60"/>
              <w:rPr>
                <w:rFonts w:ascii="Arial" w:hAnsi="Arial" w:cs="Arial"/>
                <w:sz w:val="24"/>
                <w:szCs w:val="24"/>
              </w:rPr>
            </w:pPr>
            <w:r w:rsidRPr="00E21894">
              <w:rPr>
                <w:rFonts w:ascii="Arial" w:hAnsi="Arial" w:cs="Arial"/>
                <w:sz w:val="24"/>
                <w:szCs w:val="24"/>
              </w:rPr>
              <w:t>376.30</w:t>
            </w:r>
          </w:p>
        </w:tc>
      </w:tr>
      <w:tr w:rsidR="00D173CF" w:rsidRPr="00E21894" w14:paraId="52B89C28" w14:textId="77777777" w:rsidTr="00EB0272">
        <w:trPr>
          <w:cantSplit/>
        </w:trPr>
        <w:tc>
          <w:tcPr>
            <w:tcW w:w="2265" w:type="dxa"/>
            <w:vMerge/>
            <w:shd w:val="clear" w:color="auto" w:fill="A6A6A6" w:themeFill="background1" w:themeFillShade="A6"/>
          </w:tcPr>
          <w:p w14:paraId="6F33980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295B3D6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Std. Error of Mean</w:t>
            </w:r>
          </w:p>
        </w:tc>
        <w:tc>
          <w:tcPr>
            <w:tcW w:w="1116" w:type="dxa"/>
            <w:shd w:val="clear" w:color="auto" w:fill="auto"/>
          </w:tcPr>
          <w:p w14:paraId="2C4E4BA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8.408</w:t>
            </w:r>
          </w:p>
        </w:tc>
      </w:tr>
      <w:tr w:rsidR="00D173CF" w:rsidRPr="00E21894" w14:paraId="23018FFC" w14:textId="77777777" w:rsidTr="00EB0272">
        <w:trPr>
          <w:cantSplit/>
        </w:trPr>
        <w:tc>
          <w:tcPr>
            <w:tcW w:w="2265" w:type="dxa"/>
            <w:vMerge/>
            <w:shd w:val="clear" w:color="auto" w:fill="A6A6A6" w:themeFill="background1" w:themeFillShade="A6"/>
          </w:tcPr>
          <w:p w14:paraId="0F4B929C"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6144299C"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Median</w:t>
            </w:r>
          </w:p>
        </w:tc>
        <w:tc>
          <w:tcPr>
            <w:tcW w:w="1116" w:type="dxa"/>
            <w:shd w:val="clear" w:color="auto" w:fill="auto"/>
          </w:tcPr>
          <w:p w14:paraId="0EFD35B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400.00</w:t>
            </w:r>
          </w:p>
        </w:tc>
      </w:tr>
      <w:tr w:rsidR="00D173CF" w:rsidRPr="00E21894" w14:paraId="051DB198" w14:textId="77777777" w:rsidTr="00EB0272">
        <w:trPr>
          <w:cantSplit/>
        </w:trPr>
        <w:tc>
          <w:tcPr>
            <w:tcW w:w="2265" w:type="dxa"/>
            <w:vMerge/>
            <w:shd w:val="clear" w:color="auto" w:fill="A6A6A6" w:themeFill="background1" w:themeFillShade="A6"/>
          </w:tcPr>
          <w:p w14:paraId="0DFD715E"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4EF2ED2D"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Mode</w:t>
            </w:r>
          </w:p>
        </w:tc>
        <w:tc>
          <w:tcPr>
            <w:tcW w:w="1116" w:type="dxa"/>
            <w:shd w:val="clear" w:color="auto" w:fill="auto"/>
          </w:tcPr>
          <w:p w14:paraId="5881C2DE"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420</w:t>
            </w:r>
          </w:p>
        </w:tc>
      </w:tr>
      <w:tr w:rsidR="00D173CF" w:rsidRPr="00E21894" w14:paraId="6871EC5C" w14:textId="77777777" w:rsidTr="00EB0272">
        <w:trPr>
          <w:cantSplit/>
        </w:trPr>
        <w:tc>
          <w:tcPr>
            <w:tcW w:w="2265" w:type="dxa"/>
            <w:vMerge/>
            <w:shd w:val="clear" w:color="auto" w:fill="A6A6A6" w:themeFill="background1" w:themeFillShade="A6"/>
          </w:tcPr>
          <w:p w14:paraId="5F32B9C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380D216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Range</w:t>
            </w:r>
          </w:p>
        </w:tc>
        <w:tc>
          <w:tcPr>
            <w:tcW w:w="1116" w:type="dxa"/>
            <w:shd w:val="clear" w:color="auto" w:fill="auto"/>
          </w:tcPr>
          <w:p w14:paraId="6AC6D1F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120</w:t>
            </w:r>
          </w:p>
        </w:tc>
      </w:tr>
      <w:tr w:rsidR="00D173CF" w:rsidRPr="00E21894" w14:paraId="2CF53975" w14:textId="77777777" w:rsidTr="00EB0272">
        <w:trPr>
          <w:cantSplit/>
        </w:trPr>
        <w:tc>
          <w:tcPr>
            <w:tcW w:w="2265" w:type="dxa"/>
            <w:vMerge/>
            <w:shd w:val="clear" w:color="auto" w:fill="A6A6A6" w:themeFill="background1" w:themeFillShade="A6"/>
          </w:tcPr>
          <w:p w14:paraId="75857A88"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1CBAAFF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Minimum</w:t>
            </w:r>
          </w:p>
        </w:tc>
        <w:tc>
          <w:tcPr>
            <w:tcW w:w="1116" w:type="dxa"/>
            <w:shd w:val="clear" w:color="auto" w:fill="auto"/>
          </w:tcPr>
          <w:p w14:paraId="40FC5FD5"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300</w:t>
            </w:r>
          </w:p>
        </w:tc>
      </w:tr>
      <w:tr w:rsidR="00D173CF" w:rsidRPr="00E21894" w14:paraId="4DDD10B9" w14:textId="77777777" w:rsidTr="00EB0272">
        <w:trPr>
          <w:cantSplit/>
        </w:trPr>
        <w:tc>
          <w:tcPr>
            <w:tcW w:w="2265" w:type="dxa"/>
            <w:vMerge/>
            <w:shd w:val="clear" w:color="auto" w:fill="A6A6A6" w:themeFill="background1" w:themeFillShade="A6"/>
          </w:tcPr>
          <w:p w14:paraId="56AA177E"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56541C6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Maximum</w:t>
            </w:r>
          </w:p>
        </w:tc>
        <w:tc>
          <w:tcPr>
            <w:tcW w:w="1116" w:type="dxa"/>
            <w:shd w:val="clear" w:color="auto" w:fill="auto"/>
          </w:tcPr>
          <w:p w14:paraId="73D1ACB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420</w:t>
            </w:r>
          </w:p>
        </w:tc>
      </w:tr>
    </w:tbl>
    <w:p w14:paraId="34D7746E" w14:textId="77777777" w:rsidR="00D173CF" w:rsidRPr="00E21894" w:rsidRDefault="00D173CF" w:rsidP="00D173CF">
      <w:pPr>
        <w:spacing w:line="240" w:lineRule="auto"/>
        <w:jc w:val="both"/>
        <w:rPr>
          <w:rFonts w:ascii="Arial" w:eastAsia="Times New Roman" w:hAnsi="Arial" w:cs="Arial"/>
          <w:b/>
          <w:bCs/>
          <w:i/>
          <w:iCs/>
          <w:sz w:val="24"/>
          <w:szCs w:val="24"/>
        </w:rPr>
      </w:pPr>
    </w:p>
    <w:p w14:paraId="76492D19" w14:textId="3B115963" w:rsidR="00D173CF" w:rsidRDefault="00D173CF" w:rsidP="00AC16E5">
      <w:pPr>
        <w:spacing w:line="240" w:lineRule="auto"/>
        <w:rPr>
          <w:rFonts w:ascii="Arial" w:eastAsia="Times New Roman" w:hAnsi="Arial" w:cs="Arial"/>
          <w:sz w:val="24"/>
          <w:szCs w:val="24"/>
        </w:rPr>
      </w:pPr>
      <w:r>
        <w:rPr>
          <w:rFonts w:ascii="Arial" w:eastAsia="Times New Roman" w:hAnsi="Arial" w:cs="Arial"/>
          <w:sz w:val="24"/>
          <w:szCs w:val="24"/>
        </w:rPr>
        <w:t xml:space="preserve">Fifteen </w:t>
      </w:r>
      <w:r w:rsidRPr="00E21894">
        <w:rPr>
          <w:rFonts w:ascii="Arial" w:eastAsia="Times New Roman" w:hAnsi="Arial" w:cs="Arial"/>
          <w:sz w:val="24"/>
          <w:szCs w:val="24"/>
        </w:rPr>
        <w:t>students</w:t>
      </w:r>
      <w:r>
        <w:rPr>
          <w:rFonts w:ascii="Arial" w:eastAsia="Times New Roman" w:hAnsi="Arial" w:cs="Arial"/>
          <w:sz w:val="24"/>
          <w:szCs w:val="24"/>
        </w:rPr>
        <w:t xml:space="preserve"> (55.5%)</w:t>
      </w:r>
      <w:r w:rsidRPr="00E21894">
        <w:rPr>
          <w:rFonts w:ascii="Arial" w:eastAsia="Times New Roman" w:hAnsi="Arial" w:cs="Arial"/>
          <w:sz w:val="24"/>
          <w:szCs w:val="24"/>
        </w:rPr>
        <w:t xml:space="preserve"> were admitted with 400</w:t>
      </w:r>
      <w:r>
        <w:rPr>
          <w:rFonts w:ascii="Arial" w:eastAsia="Times New Roman" w:hAnsi="Arial" w:cs="Arial"/>
          <w:sz w:val="24"/>
          <w:szCs w:val="24"/>
        </w:rPr>
        <w:t xml:space="preserve"> UCAS tariff points</w:t>
      </w:r>
      <w:r w:rsidRPr="00E21894">
        <w:rPr>
          <w:rFonts w:ascii="Arial" w:eastAsia="Times New Roman" w:hAnsi="Arial" w:cs="Arial"/>
          <w:sz w:val="24"/>
          <w:szCs w:val="24"/>
        </w:rPr>
        <w:t xml:space="preserve"> or more and</w:t>
      </w:r>
      <w:r>
        <w:rPr>
          <w:rFonts w:ascii="Arial" w:eastAsia="Times New Roman" w:hAnsi="Arial" w:cs="Arial"/>
          <w:sz w:val="24"/>
          <w:szCs w:val="24"/>
        </w:rPr>
        <w:t xml:space="preserve"> twelve</w:t>
      </w:r>
      <w:r w:rsidRPr="00E21894">
        <w:rPr>
          <w:rFonts w:ascii="Arial" w:eastAsia="Times New Roman" w:hAnsi="Arial" w:cs="Arial"/>
          <w:sz w:val="24"/>
          <w:szCs w:val="24"/>
        </w:rPr>
        <w:t xml:space="preserve"> </w:t>
      </w:r>
      <w:r>
        <w:rPr>
          <w:rFonts w:ascii="Arial" w:eastAsia="Times New Roman" w:hAnsi="Arial" w:cs="Arial"/>
          <w:sz w:val="24"/>
          <w:szCs w:val="24"/>
        </w:rPr>
        <w:t>(</w:t>
      </w:r>
      <w:r w:rsidRPr="00E21894">
        <w:rPr>
          <w:rFonts w:ascii="Arial" w:eastAsia="Times New Roman" w:hAnsi="Arial" w:cs="Arial"/>
          <w:sz w:val="24"/>
          <w:szCs w:val="24"/>
        </w:rPr>
        <w:t>44.5%</w:t>
      </w:r>
      <w:r>
        <w:rPr>
          <w:rFonts w:ascii="Arial" w:eastAsia="Times New Roman" w:hAnsi="Arial" w:cs="Arial"/>
          <w:sz w:val="24"/>
          <w:szCs w:val="24"/>
        </w:rPr>
        <w:t>)</w:t>
      </w:r>
      <w:r w:rsidRPr="00E21894">
        <w:rPr>
          <w:rFonts w:ascii="Arial" w:eastAsia="Times New Roman" w:hAnsi="Arial" w:cs="Arial"/>
          <w:sz w:val="24"/>
          <w:szCs w:val="24"/>
        </w:rPr>
        <w:t xml:space="preserve"> with 380 or less. Three candidates (11.1%) were admitted with UCAS tariff points below the </w:t>
      </w:r>
      <w:r>
        <w:rPr>
          <w:rFonts w:ascii="Arial" w:eastAsia="Times New Roman" w:hAnsi="Arial" w:cs="Arial"/>
          <w:sz w:val="24"/>
          <w:szCs w:val="24"/>
        </w:rPr>
        <w:t>program</w:t>
      </w:r>
      <w:r w:rsidRPr="00E21894">
        <w:rPr>
          <w:rFonts w:ascii="Arial" w:eastAsia="Times New Roman" w:hAnsi="Arial" w:cs="Arial"/>
          <w:sz w:val="24"/>
          <w:szCs w:val="24"/>
        </w:rPr>
        <w:t>’s minimum recommended entry criteria of 3</w:t>
      </w:r>
      <w:r>
        <w:rPr>
          <w:rFonts w:ascii="Arial" w:eastAsia="Times New Roman" w:hAnsi="Arial" w:cs="Arial"/>
          <w:sz w:val="24"/>
          <w:szCs w:val="24"/>
        </w:rPr>
        <w:t>20 as illustrated i</w:t>
      </w:r>
      <w:r w:rsidR="00C033E3">
        <w:rPr>
          <w:rFonts w:ascii="Arial" w:eastAsia="Times New Roman" w:hAnsi="Arial" w:cs="Arial"/>
          <w:sz w:val="24"/>
          <w:szCs w:val="24"/>
        </w:rPr>
        <w:t>n Table 5.</w:t>
      </w:r>
      <w:r w:rsidR="00AC16E5">
        <w:rPr>
          <w:rFonts w:ascii="Arial" w:eastAsia="Times New Roman" w:hAnsi="Arial" w:cs="Arial"/>
          <w:sz w:val="24"/>
          <w:szCs w:val="24"/>
        </w:rPr>
        <w:t xml:space="preserve"> It is likely these three candidates were admitted to the program during the UK UCAS Clearing period</w:t>
      </w:r>
      <w:r w:rsidR="005B5D53">
        <w:rPr>
          <w:rFonts w:ascii="Arial" w:eastAsia="Times New Roman" w:hAnsi="Arial" w:cs="Arial"/>
          <w:sz w:val="24"/>
          <w:szCs w:val="24"/>
        </w:rPr>
        <w:t>.</w:t>
      </w:r>
      <w:r w:rsidR="00AC16E5">
        <w:rPr>
          <w:rFonts w:ascii="Arial" w:eastAsia="Times New Roman" w:hAnsi="Arial" w:cs="Arial"/>
          <w:sz w:val="24"/>
          <w:szCs w:val="24"/>
        </w:rPr>
        <w:t xml:space="preserve"> </w:t>
      </w:r>
      <w:r w:rsidR="005B5D53">
        <w:rPr>
          <w:rFonts w:ascii="Arial" w:eastAsia="Times New Roman" w:hAnsi="Arial" w:cs="Arial"/>
          <w:sz w:val="24"/>
          <w:szCs w:val="24"/>
        </w:rPr>
        <w:t>This official process</w:t>
      </w:r>
      <w:r w:rsidR="007870C5">
        <w:rPr>
          <w:rFonts w:ascii="Arial" w:eastAsia="Times New Roman" w:hAnsi="Arial" w:cs="Arial"/>
          <w:sz w:val="24"/>
          <w:szCs w:val="24"/>
        </w:rPr>
        <w:t xml:space="preserve"> allows candidates to apply for and be accepted onto</w:t>
      </w:r>
      <w:r w:rsidR="00AC16E5">
        <w:rPr>
          <w:rFonts w:ascii="Arial" w:eastAsia="Times New Roman" w:hAnsi="Arial" w:cs="Arial"/>
          <w:sz w:val="24"/>
          <w:szCs w:val="24"/>
        </w:rPr>
        <w:t xml:space="preserve"> programs with vacancies following</w:t>
      </w:r>
      <w:r w:rsidR="007870C5">
        <w:rPr>
          <w:rFonts w:ascii="Arial" w:eastAsia="Times New Roman" w:hAnsi="Arial" w:cs="Arial"/>
          <w:sz w:val="24"/>
          <w:szCs w:val="24"/>
        </w:rPr>
        <w:t xml:space="preserve"> release and</w:t>
      </w:r>
      <w:r w:rsidR="00AC16E5">
        <w:rPr>
          <w:rFonts w:ascii="Arial" w:eastAsia="Times New Roman" w:hAnsi="Arial" w:cs="Arial"/>
          <w:sz w:val="24"/>
          <w:szCs w:val="24"/>
        </w:rPr>
        <w:t xml:space="preserve"> receipt of their academic qualifications</w:t>
      </w:r>
      <w:r w:rsidR="007870C5">
        <w:rPr>
          <w:rFonts w:ascii="Arial" w:eastAsia="Times New Roman" w:hAnsi="Arial" w:cs="Arial"/>
          <w:sz w:val="24"/>
          <w:szCs w:val="24"/>
        </w:rPr>
        <w:t xml:space="preserve"> in August, prior to official admission and commencement of undergraduate education in September</w:t>
      </w:r>
      <w:r w:rsidR="00AC16E5">
        <w:rPr>
          <w:rFonts w:ascii="Arial" w:eastAsia="Times New Roman" w:hAnsi="Arial" w:cs="Arial"/>
          <w:sz w:val="24"/>
          <w:szCs w:val="24"/>
        </w:rPr>
        <w:t xml:space="preserve">. Each UK university sets their own lower limit tariff for the period of Clearing and for the host institution in this study, this equated to 300 points or </w:t>
      </w:r>
      <w:r w:rsidR="007870C5">
        <w:rPr>
          <w:rFonts w:ascii="Arial" w:eastAsia="Times New Roman" w:hAnsi="Arial" w:cs="Arial"/>
          <w:sz w:val="24"/>
          <w:szCs w:val="24"/>
        </w:rPr>
        <w:t>three A-Level subjects at Grade B (100 points each), indicating an accepted reduction in the tariff of 20 points from the typical minimum of 320 points.</w:t>
      </w:r>
    </w:p>
    <w:p w14:paraId="7A98224A" w14:textId="77777777" w:rsidR="00C242FA" w:rsidRDefault="00C242FA" w:rsidP="00AC16E5">
      <w:pPr>
        <w:spacing w:line="240" w:lineRule="auto"/>
        <w:rPr>
          <w:rFonts w:ascii="Arial" w:eastAsia="Times New Roman" w:hAnsi="Arial" w:cs="Arial"/>
          <w:sz w:val="24"/>
          <w:szCs w:val="24"/>
        </w:rPr>
      </w:pPr>
    </w:p>
    <w:p w14:paraId="3968580F" w14:textId="77777777" w:rsidR="00C242FA" w:rsidRDefault="00C242FA" w:rsidP="00AC16E5">
      <w:pPr>
        <w:spacing w:line="240" w:lineRule="auto"/>
        <w:rPr>
          <w:rFonts w:ascii="Arial" w:eastAsia="Times New Roman" w:hAnsi="Arial" w:cs="Arial"/>
          <w:sz w:val="24"/>
          <w:szCs w:val="24"/>
        </w:rPr>
      </w:pPr>
    </w:p>
    <w:p w14:paraId="730715EE" w14:textId="77777777" w:rsidR="00C242FA" w:rsidRDefault="00C242FA" w:rsidP="00AC16E5">
      <w:pPr>
        <w:spacing w:line="240" w:lineRule="auto"/>
        <w:rPr>
          <w:rFonts w:ascii="Arial" w:eastAsia="Times New Roman" w:hAnsi="Arial" w:cs="Arial"/>
          <w:sz w:val="24"/>
          <w:szCs w:val="24"/>
        </w:rPr>
      </w:pPr>
    </w:p>
    <w:p w14:paraId="6922718C" w14:textId="77777777" w:rsidR="009F7E1A" w:rsidRDefault="009F7E1A" w:rsidP="007870C5">
      <w:pPr>
        <w:spacing w:line="240" w:lineRule="auto"/>
        <w:jc w:val="both"/>
        <w:rPr>
          <w:rFonts w:ascii="Arial" w:eastAsia="Times New Roman" w:hAnsi="Arial" w:cs="Arial"/>
          <w:sz w:val="24"/>
          <w:szCs w:val="24"/>
        </w:rPr>
      </w:pPr>
    </w:p>
    <w:p w14:paraId="70541968" w14:textId="5B03F121" w:rsidR="00D173CF" w:rsidRPr="00C07002" w:rsidRDefault="00D173CF" w:rsidP="007870C5">
      <w:pPr>
        <w:spacing w:line="240" w:lineRule="auto"/>
        <w:jc w:val="both"/>
        <w:rPr>
          <w:rFonts w:ascii="Arial" w:eastAsia="Times New Roman" w:hAnsi="Arial" w:cs="Arial"/>
          <w:bCs/>
          <w:i/>
          <w:iCs/>
          <w:sz w:val="24"/>
          <w:szCs w:val="24"/>
        </w:rPr>
      </w:pPr>
      <w:r w:rsidRPr="00C07002">
        <w:rPr>
          <w:rFonts w:ascii="Arial" w:eastAsia="Times New Roman" w:hAnsi="Arial" w:cs="Arial"/>
          <w:bCs/>
          <w:i/>
          <w:iCs/>
          <w:sz w:val="24"/>
          <w:szCs w:val="24"/>
        </w:rPr>
        <w:t xml:space="preserve">Table </w:t>
      </w:r>
      <w:r>
        <w:rPr>
          <w:rFonts w:ascii="Arial" w:eastAsia="Times New Roman" w:hAnsi="Arial" w:cs="Arial"/>
          <w:bCs/>
          <w:i/>
          <w:iCs/>
          <w:sz w:val="24"/>
          <w:szCs w:val="24"/>
        </w:rPr>
        <w:t>5</w:t>
      </w:r>
      <w:r w:rsidRPr="00C07002">
        <w:rPr>
          <w:rFonts w:ascii="Arial" w:eastAsia="Times New Roman" w:hAnsi="Arial" w:cs="Arial"/>
          <w:bCs/>
          <w:i/>
          <w:iCs/>
          <w:sz w:val="24"/>
          <w:szCs w:val="24"/>
        </w:rPr>
        <w:t xml:space="preserve">: Frequency Statistics of UCAS Tariff Points at admission </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417"/>
        <w:gridCol w:w="1701"/>
      </w:tblGrid>
      <w:tr w:rsidR="00D173CF" w:rsidRPr="00E21894" w14:paraId="7E4F9787" w14:textId="77777777" w:rsidTr="00EB0272">
        <w:trPr>
          <w:cantSplit/>
          <w:trHeight w:val="572"/>
        </w:trPr>
        <w:tc>
          <w:tcPr>
            <w:tcW w:w="1555" w:type="dxa"/>
            <w:shd w:val="clear" w:color="auto" w:fill="A6A6A6" w:themeFill="background1" w:themeFillShade="A6"/>
            <w:vAlign w:val="bottom"/>
          </w:tcPr>
          <w:p w14:paraId="655F9866" w14:textId="77777777" w:rsidR="00D173CF" w:rsidRPr="00E21894" w:rsidRDefault="00D173CF" w:rsidP="00EB0272">
            <w:pPr>
              <w:autoSpaceDE w:val="0"/>
              <w:autoSpaceDN w:val="0"/>
              <w:adjustRightInd w:val="0"/>
              <w:spacing w:after="0" w:line="240" w:lineRule="auto"/>
              <w:jc w:val="both"/>
              <w:rPr>
                <w:rFonts w:ascii="Arial" w:hAnsi="Arial" w:cs="Arial"/>
                <w:b/>
                <w:bCs/>
                <w:sz w:val="24"/>
                <w:szCs w:val="24"/>
              </w:rPr>
            </w:pPr>
          </w:p>
          <w:p w14:paraId="1F66775E" w14:textId="77777777" w:rsidR="00D173CF" w:rsidRPr="00E21894" w:rsidRDefault="00D173CF" w:rsidP="00EB0272">
            <w:pPr>
              <w:autoSpaceDE w:val="0"/>
              <w:autoSpaceDN w:val="0"/>
              <w:adjustRightInd w:val="0"/>
              <w:spacing w:after="0" w:line="240" w:lineRule="auto"/>
              <w:jc w:val="both"/>
              <w:rPr>
                <w:rFonts w:ascii="Arial" w:hAnsi="Arial" w:cs="Arial"/>
                <w:b/>
                <w:bCs/>
                <w:sz w:val="24"/>
                <w:szCs w:val="24"/>
              </w:rPr>
            </w:pPr>
            <w:r w:rsidRPr="00E21894">
              <w:rPr>
                <w:rFonts w:ascii="Arial" w:hAnsi="Arial" w:cs="Arial"/>
                <w:b/>
                <w:bCs/>
                <w:sz w:val="24"/>
                <w:szCs w:val="24"/>
              </w:rPr>
              <w:t>UCAS Points</w:t>
            </w:r>
          </w:p>
          <w:p w14:paraId="38FE23B8" w14:textId="77777777" w:rsidR="00D173CF" w:rsidRPr="00E21894" w:rsidRDefault="00D173CF" w:rsidP="00EB0272">
            <w:pPr>
              <w:autoSpaceDE w:val="0"/>
              <w:autoSpaceDN w:val="0"/>
              <w:adjustRightInd w:val="0"/>
              <w:spacing w:after="0" w:line="240" w:lineRule="auto"/>
              <w:jc w:val="both"/>
              <w:rPr>
                <w:rFonts w:ascii="Arial" w:hAnsi="Arial" w:cs="Arial"/>
                <w:b/>
                <w:bCs/>
                <w:sz w:val="24"/>
                <w:szCs w:val="24"/>
              </w:rPr>
            </w:pPr>
          </w:p>
        </w:tc>
        <w:tc>
          <w:tcPr>
            <w:tcW w:w="1417" w:type="dxa"/>
            <w:shd w:val="clear" w:color="auto" w:fill="A6A6A6" w:themeFill="background1" w:themeFillShade="A6"/>
            <w:vAlign w:val="bottom"/>
          </w:tcPr>
          <w:p w14:paraId="08AD2A21" w14:textId="77777777" w:rsidR="00D173CF" w:rsidRPr="00E21894" w:rsidRDefault="00D173CF" w:rsidP="00EB0272">
            <w:pPr>
              <w:autoSpaceDE w:val="0"/>
              <w:autoSpaceDN w:val="0"/>
              <w:adjustRightInd w:val="0"/>
              <w:spacing w:after="0" w:line="240" w:lineRule="auto"/>
              <w:ind w:left="60" w:right="60"/>
              <w:jc w:val="both"/>
              <w:rPr>
                <w:rFonts w:ascii="Arial" w:hAnsi="Arial" w:cs="Arial"/>
                <w:b/>
                <w:bCs/>
                <w:sz w:val="24"/>
                <w:szCs w:val="24"/>
              </w:rPr>
            </w:pPr>
            <w:r w:rsidRPr="00E21894">
              <w:rPr>
                <w:rFonts w:ascii="Arial" w:hAnsi="Arial" w:cs="Arial"/>
                <w:b/>
                <w:bCs/>
                <w:sz w:val="24"/>
                <w:szCs w:val="24"/>
              </w:rPr>
              <w:t>Frequency</w:t>
            </w:r>
          </w:p>
          <w:p w14:paraId="7635F71F" w14:textId="77777777" w:rsidR="00D173CF" w:rsidRPr="00E21894" w:rsidRDefault="00D173CF" w:rsidP="00EB0272">
            <w:pPr>
              <w:autoSpaceDE w:val="0"/>
              <w:autoSpaceDN w:val="0"/>
              <w:adjustRightInd w:val="0"/>
              <w:spacing w:after="0" w:line="240" w:lineRule="auto"/>
              <w:ind w:left="60" w:right="60"/>
              <w:jc w:val="both"/>
              <w:rPr>
                <w:rFonts w:ascii="Arial" w:hAnsi="Arial" w:cs="Arial"/>
                <w:b/>
                <w:bCs/>
                <w:sz w:val="24"/>
                <w:szCs w:val="24"/>
              </w:rPr>
            </w:pPr>
          </w:p>
        </w:tc>
        <w:tc>
          <w:tcPr>
            <w:tcW w:w="1701" w:type="dxa"/>
            <w:shd w:val="clear" w:color="auto" w:fill="A6A6A6" w:themeFill="background1" w:themeFillShade="A6"/>
            <w:vAlign w:val="bottom"/>
          </w:tcPr>
          <w:p w14:paraId="0F5656E0" w14:textId="77777777" w:rsidR="00D173CF" w:rsidRPr="00E21894" w:rsidRDefault="00D173CF" w:rsidP="00EB0272">
            <w:pPr>
              <w:autoSpaceDE w:val="0"/>
              <w:autoSpaceDN w:val="0"/>
              <w:adjustRightInd w:val="0"/>
              <w:spacing w:after="0" w:line="240" w:lineRule="auto"/>
              <w:ind w:left="60" w:right="60"/>
              <w:jc w:val="both"/>
              <w:rPr>
                <w:rFonts w:ascii="Arial" w:hAnsi="Arial" w:cs="Arial"/>
                <w:b/>
                <w:bCs/>
                <w:sz w:val="24"/>
                <w:szCs w:val="24"/>
              </w:rPr>
            </w:pPr>
            <w:r w:rsidRPr="00E21894">
              <w:rPr>
                <w:rFonts w:ascii="Arial" w:hAnsi="Arial" w:cs="Arial"/>
                <w:b/>
                <w:bCs/>
                <w:sz w:val="24"/>
                <w:szCs w:val="24"/>
              </w:rPr>
              <w:t>Percentage %</w:t>
            </w:r>
          </w:p>
        </w:tc>
      </w:tr>
      <w:tr w:rsidR="00D173CF" w:rsidRPr="00E21894" w14:paraId="7718DE72" w14:textId="77777777" w:rsidTr="00EB0272">
        <w:trPr>
          <w:cantSplit/>
          <w:trHeight w:val="299"/>
        </w:trPr>
        <w:tc>
          <w:tcPr>
            <w:tcW w:w="1555" w:type="dxa"/>
            <w:shd w:val="clear" w:color="auto" w:fill="auto"/>
          </w:tcPr>
          <w:p w14:paraId="4E75132C"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300</w:t>
            </w:r>
          </w:p>
        </w:tc>
        <w:tc>
          <w:tcPr>
            <w:tcW w:w="1417" w:type="dxa"/>
            <w:shd w:val="clear" w:color="auto" w:fill="auto"/>
          </w:tcPr>
          <w:p w14:paraId="7C6D660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w:t>
            </w:r>
          </w:p>
        </w:tc>
        <w:tc>
          <w:tcPr>
            <w:tcW w:w="1701" w:type="dxa"/>
            <w:shd w:val="clear" w:color="auto" w:fill="auto"/>
          </w:tcPr>
          <w:p w14:paraId="0BEF519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11.1</w:t>
            </w:r>
          </w:p>
        </w:tc>
      </w:tr>
      <w:tr w:rsidR="00D173CF" w:rsidRPr="00E21894" w14:paraId="7C5DC2B4" w14:textId="77777777" w:rsidTr="00EB0272">
        <w:trPr>
          <w:cantSplit/>
          <w:trHeight w:val="313"/>
        </w:trPr>
        <w:tc>
          <w:tcPr>
            <w:tcW w:w="1555" w:type="dxa"/>
            <w:shd w:val="clear" w:color="auto" w:fill="auto"/>
          </w:tcPr>
          <w:p w14:paraId="101AB32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320</w:t>
            </w:r>
          </w:p>
        </w:tc>
        <w:tc>
          <w:tcPr>
            <w:tcW w:w="1417" w:type="dxa"/>
            <w:shd w:val="clear" w:color="auto" w:fill="auto"/>
          </w:tcPr>
          <w:p w14:paraId="6B579CD5"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w:t>
            </w:r>
          </w:p>
        </w:tc>
        <w:tc>
          <w:tcPr>
            <w:tcW w:w="1701" w:type="dxa"/>
            <w:shd w:val="clear" w:color="auto" w:fill="auto"/>
          </w:tcPr>
          <w:p w14:paraId="1B28840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11.1</w:t>
            </w:r>
          </w:p>
        </w:tc>
      </w:tr>
      <w:tr w:rsidR="00D173CF" w:rsidRPr="00E21894" w14:paraId="47140209" w14:textId="77777777" w:rsidTr="00EB0272">
        <w:trPr>
          <w:cantSplit/>
          <w:trHeight w:val="299"/>
        </w:trPr>
        <w:tc>
          <w:tcPr>
            <w:tcW w:w="1555" w:type="dxa"/>
            <w:shd w:val="clear" w:color="auto" w:fill="auto"/>
          </w:tcPr>
          <w:p w14:paraId="34035C2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340</w:t>
            </w:r>
          </w:p>
        </w:tc>
        <w:tc>
          <w:tcPr>
            <w:tcW w:w="1417" w:type="dxa"/>
            <w:shd w:val="clear" w:color="auto" w:fill="auto"/>
          </w:tcPr>
          <w:p w14:paraId="7FF2A88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w:t>
            </w:r>
          </w:p>
        </w:tc>
        <w:tc>
          <w:tcPr>
            <w:tcW w:w="1701" w:type="dxa"/>
            <w:shd w:val="clear" w:color="auto" w:fill="auto"/>
          </w:tcPr>
          <w:p w14:paraId="1B37CF2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7.4</w:t>
            </w:r>
          </w:p>
        </w:tc>
      </w:tr>
      <w:tr w:rsidR="00D173CF" w:rsidRPr="00E21894" w14:paraId="102552FE" w14:textId="77777777" w:rsidTr="00EB0272">
        <w:trPr>
          <w:cantSplit/>
          <w:trHeight w:val="313"/>
        </w:trPr>
        <w:tc>
          <w:tcPr>
            <w:tcW w:w="1555" w:type="dxa"/>
            <w:shd w:val="clear" w:color="auto" w:fill="auto"/>
          </w:tcPr>
          <w:p w14:paraId="659EE37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360</w:t>
            </w:r>
          </w:p>
        </w:tc>
        <w:tc>
          <w:tcPr>
            <w:tcW w:w="1417" w:type="dxa"/>
            <w:shd w:val="clear" w:color="auto" w:fill="auto"/>
          </w:tcPr>
          <w:p w14:paraId="1B884D88"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w:t>
            </w:r>
          </w:p>
        </w:tc>
        <w:tc>
          <w:tcPr>
            <w:tcW w:w="1701" w:type="dxa"/>
            <w:shd w:val="clear" w:color="auto" w:fill="auto"/>
          </w:tcPr>
          <w:p w14:paraId="571307F6"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11.1</w:t>
            </w:r>
          </w:p>
        </w:tc>
      </w:tr>
      <w:tr w:rsidR="00D173CF" w:rsidRPr="00E21894" w14:paraId="723F38B3" w14:textId="77777777" w:rsidTr="00EB0272">
        <w:trPr>
          <w:cantSplit/>
          <w:trHeight w:val="313"/>
        </w:trPr>
        <w:tc>
          <w:tcPr>
            <w:tcW w:w="1555" w:type="dxa"/>
            <w:shd w:val="clear" w:color="auto" w:fill="auto"/>
          </w:tcPr>
          <w:p w14:paraId="02ED9FF6"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380</w:t>
            </w:r>
          </w:p>
        </w:tc>
        <w:tc>
          <w:tcPr>
            <w:tcW w:w="1417" w:type="dxa"/>
            <w:shd w:val="clear" w:color="auto" w:fill="auto"/>
          </w:tcPr>
          <w:p w14:paraId="711E50FE"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w:t>
            </w:r>
          </w:p>
        </w:tc>
        <w:tc>
          <w:tcPr>
            <w:tcW w:w="1701" w:type="dxa"/>
            <w:shd w:val="clear" w:color="auto" w:fill="auto"/>
          </w:tcPr>
          <w:p w14:paraId="33161C0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3.7</w:t>
            </w:r>
          </w:p>
        </w:tc>
      </w:tr>
      <w:tr w:rsidR="00D173CF" w:rsidRPr="00E21894" w14:paraId="1C1F03C6" w14:textId="77777777" w:rsidTr="00EB0272">
        <w:trPr>
          <w:cantSplit/>
          <w:trHeight w:val="299"/>
        </w:trPr>
        <w:tc>
          <w:tcPr>
            <w:tcW w:w="1555" w:type="dxa"/>
            <w:shd w:val="clear" w:color="auto" w:fill="auto"/>
          </w:tcPr>
          <w:p w14:paraId="7E6F0F4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400</w:t>
            </w:r>
          </w:p>
        </w:tc>
        <w:tc>
          <w:tcPr>
            <w:tcW w:w="1417" w:type="dxa"/>
            <w:shd w:val="clear" w:color="auto" w:fill="auto"/>
          </w:tcPr>
          <w:p w14:paraId="05AA187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w:t>
            </w:r>
          </w:p>
        </w:tc>
        <w:tc>
          <w:tcPr>
            <w:tcW w:w="1701" w:type="dxa"/>
            <w:shd w:val="clear" w:color="auto" w:fill="auto"/>
          </w:tcPr>
          <w:p w14:paraId="697A83CB"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25.9</w:t>
            </w:r>
          </w:p>
        </w:tc>
      </w:tr>
      <w:tr w:rsidR="00D173CF" w:rsidRPr="00E21894" w14:paraId="789EBD37" w14:textId="77777777" w:rsidTr="00EB0272">
        <w:trPr>
          <w:cantSplit/>
          <w:trHeight w:val="313"/>
        </w:trPr>
        <w:tc>
          <w:tcPr>
            <w:tcW w:w="1555" w:type="dxa"/>
            <w:shd w:val="clear" w:color="auto" w:fill="auto"/>
          </w:tcPr>
          <w:p w14:paraId="6CE09486"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420</w:t>
            </w:r>
          </w:p>
        </w:tc>
        <w:tc>
          <w:tcPr>
            <w:tcW w:w="1417" w:type="dxa"/>
            <w:shd w:val="clear" w:color="auto" w:fill="auto"/>
          </w:tcPr>
          <w:p w14:paraId="7EAED176"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8</w:t>
            </w:r>
          </w:p>
        </w:tc>
        <w:tc>
          <w:tcPr>
            <w:tcW w:w="1701" w:type="dxa"/>
            <w:shd w:val="clear" w:color="auto" w:fill="auto"/>
          </w:tcPr>
          <w:p w14:paraId="13A6949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29.6</w:t>
            </w:r>
          </w:p>
        </w:tc>
      </w:tr>
      <w:tr w:rsidR="00D173CF" w:rsidRPr="00E21894" w14:paraId="2AB2120C" w14:textId="77777777" w:rsidTr="00EB0272">
        <w:trPr>
          <w:cantSplit/>
          <w:trHeight w:val="313"/>
        </w:trPr>
        <w:tc>
          <w:tcPr>
            <w:tcW w:w="1555" w:type="dxa"/>
            <w:shd w:val="clear" w:color="auto" w:fill="auto"/>
          </w:tcPr>
          <w:p w14:paraId="7CCDE3C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Total</w:t>
            </w:r>
          </w:p>
        </w:tc>
        <w:tc>
          <w:tcPr>
            <w:tcW w:w="1417" w:type="dxa"/>
            <w:shd w:val="clear" w:color="auto" w:fill="auto"/>
          </w:tcPr>
          <w:p w14:paraId="01A96DB8"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27</w:t>
            </w:r>
          </w:p>
        </w:tc>
        <w:tc>
          <w:tcPr>
            <w:tcW w:w="1701" w:type="dxa"/>
            <w:shd w:val="clear" w:color="auto" w:fill="auto"/>
          </w:tcPr>
          <w:p w14:paraId="5BE2E683"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100.0</w:t>
            </w:r>
          </w:p>
        </w:tc>
      </w:tr>
    </w:tbl>
    <w:p w14:paraId="111F033B" w14:textId="77777777" w:rsidR="007D7018" w:rsidRDefault="007D7018" w:rsidP="00D173CF">
      <w:pPr>
        <w:spacing w:line="240" w:lineRule="auto"/>
        <w:rPr>
          <w:rFonts w:ascii="Arial" w:eastAsia="Times New Roman" w:hAnsi="Arial" w:cs="Arial"/>
          <w:b/>
          <w:bCs/>
          <w:iCs/>
          <w:sz w:val="24"/>
          <w:szCs w:val="24"/>
        </w:rPr>
      </w:pPr>
    </w:p>
    <w:p w14:paraId="06FF87E2" w14:textId="77777777" w:rsidR="00D173CF" w:rsidRPr="00AB3369" w:rsidRDefault="00D173CF" w:rsidP="00D173CF">
      <w:pPr>
        <w:spacing w:line="240" w:lineRule="auto"/>
        <w:rPr>
          <w:rFonts w:ascii="Arial" w:eastAsia="Times New Roman" w:hAnsi="Arial" w:cs="Arial"/>
          <w:b/>
          <w:bCs/>
          <w:iCs/>
          <w:sz w:val="24"/>
          <w:szCs w:val="24"/>
        </w:rPr>
      </w:pPr>
      <w:r w:rsidRPr="00AB3369">
        <w:rPr>
          <w:rFonts w:ascii="Arial" w:eastAsia="Times New Roman" w:hAnsi="Arial" w:cs="Arial"/>
          <w:b/>
          <w:bCs/>
          <w:iCs/>
          <w:sz w:val="24"/>
          <w:szCs w:val="24"/>
        </w:rPr>
        <w:t xml:space="preserve">Descriptive Statistics – Reflective Essay </w:t>
      </w:r>
    </w:p>
    <w:p w14:paraId="140CAB57" w14:textId="77777777" w:rsidR="00D173CF" w:rsidRDefault="00D173CF" w:rsidP="00D173CF">
      <w:pPr>
        <w:spacing w:line="240" w:lineRule="auto"/>
        <w:rPr>
          <w:rFonts w:ascii="Arial" w:eastAsia="Times New Roman" w:hAnsi="Arial" w:cs="Arial"/>
          <w:sz w:val="24"/>
          <w:szCs w:val="24"/>
        </w:rPr>
      </w:pPr>
    </w:p>
    <w:p w14:paraId="4515F1F6" w14:textId="77777777" w:rsidR="00D173CF" w:rsidRPr="00E21894" w:rsidRDefault="00D173CF" w:rsidP="00D173CF">
      <w:pPr>
        <w:spacing w:line="240" w:lineRule="auto"/>
        <w:rPr>
          <w:rFonts w:ascii="Arial" w:eastAsia="Times New Roman" w:hAnsi="Arial" w:cs="Arial"/>
          <w:sz w:val="24"/>
          <w:szCs w:val="24"/>
        </w:rPr>
      </w:pPr>
      <w:r w:rsidRPr="00E21894">
        <w:rPr>
          <w:rFonts w:ascii="Arial" w:eastAsia="Times New Roman" w:hAnsi="Arial" w:cs="Arial"/>
          <w:sz w:val="24"/>
          <w:szCs w:val="24"/>
        </w:rPr>
        <w:t>Results for the reflective essay</w:t>
      </w:r>
      <w:r>
        <w:rPr>
          <w:rFonts w:ascii="Arial" w:eastAsia="Times New Roman" w:hAnsi="Arial" w:cs="Arial"/>
          <w:sz w:val="24"/>
          <w:szCs w:val="24"/>
        </w:rPr>
        <w:t xml:space="preserve"> can be seen in table 6</w:t>
      </w:r>
      <w:r w:rsidRPr="00E21894">
        <w:rPr>
          <w:rFonts w:ascii="Arial" w:eastAsia="Times New Roman" w:hAnsi="Arial" w:cs="Arial"/>
          <w:sz w:val="24"/>
          <w:szCs w:val="24"/>
        </w:rPr>
        <w:t>,</w:t>
      </w:r>
      <w:r>
        <w:rPr>
          <w:rFonts w:ascii="Arial" w:eastAsia="Times New Roman" w:hAnsi="Arial" w:cs="Arial"/>
          <w:sz w:val="24"/>
          <w:szCs w:val="24"/>
        </w:rPr>
        <w:t xml:space="preserve"> which</w:t>
      </w:r>
      <w:r w:rsidRPr="00E21894">
        <w:rPr>
          <w:rFonts w:ascii="Arial" w:eastAsia="Times New Roman" w:hAnsi="Arial" w:cs="Arial"/>
          <w:sz w:val="24"/>
          <w:szCs w:val="24"/>
        </w:rPr>
        <w:t xml:space="preserve"> demonstrate</w:t>
      </w:r>
      <w:r>
        <w:rPr>
          <w:rFonts w:ascii="Arial" w:eastAsia="Times New Roman" w:hAnsi="Arial" w:cs="Arial"/>
          <w:sz w:val="24"/>
          <w:szCs w:val="24"/>
        </w:rPr>
        <w:t>s</w:t>
      </w:r>
      <w:r w:rsidRPr="00E21894">
        <w:rPr>
          <w:rFonts w:ascii="Arial" w:eastAsia="Times New Roman" w:hAnsi="Arial" w:cs="Arial"/>
          <w:sz w:val="24"/>
          <w:szCs w:val="24"/>
        </w:rPr>
        <w:t xml:space="preserve"> a range of 24 (out of 100), as a percentage grade from 50% to 74% with an overall mean of 59.7%, median of 59% and an approximate mode of 50% due to the presence of multiple mode</w:t>
      </w:r>
      <w:r>
        <w:rPr>
          <w:rFonts w:ascii="Arial" w:eastAsia="Times New Roman" w:hAnsi="Arial" w:cs="Arial"/>
          <w:sz w:val="24"/>
          <w:szCs w:val="24"/>
        </w:rPr>
        <w:t>s.</w:t>
      </w:r>
    </w:p>
    <w:p w14:paraId="50BE0879" w14:textId="77777777" w:rsidR="00C033E3" w:rsidRPr="00E21894" w:rsidRDefault="00C033E3" w:rsidP="00D173CF">
      <w:pPr>
        <w:spacing w:line="240" w:lineRule="auto"/>
        <w:jc w:val="both"/>
        <w:rPr>
          <w:rFonts w:ascii="Arial" w:eastAsia="Times New Roman" w:hAnsi="Arial" w:cs="Arial"/>
          <w:sz w:val="24"/>
          <w:szCs w:val="24"/>
        </w:rPr>
      </w:pPr>
    </w:p>
    <w:p w14:paraId="1C75A270" w14:textId="77777777" w:rsidR="00D173CF" w:rsidRPr="00C07002" w:rsidRDefault="00D173CF" w:rsidP="00D173CF">
      <w:pPr>
        <w:spacing w:line="240" w:lineRule="auto"/>
        <w:jc w:val="both"/>
        <w:rPr>
          <w:rFonts w:ascii="Arial" w:eastAsia="Times New Roman" w:hAnsi="Arial" w:cs="Arial"/>
          <w:bCs/>
          <w:i/>
          <w:iCs/>
          <w:sz w:val="24"/>
          <w:szCs w:val="24"/>
        </w:rPr>
      </w:pPr>
      <w:r w:rsidRPr="00C07002">
        <w:rPr>
          <w:rFonts w:ascii="Arial" w:eastAsia="Times New Roman" w:hAnsi="Arial" w:cs="Arial"/>
          <w:bCs/>
          <w:i/>
          <w:iCs/>
          <w:sz w:val="24"/>
          <w:szCs w:val="24"/>
        </w:rPr>
        <w:t xml:space="preserve">Table </w:t>
      </w:r>
      <w:r>
        <w:rPr>
          <w:rFonts w:ascii="Arial" w:eastAsia="Times New Roman" w:hAnsi="Arial" w:cs="Arial"/>
          <w:bCs/>
          <w:i/>
          <w:iCs/>
          <w:sz w:val="24"/>
          <w:szCs w:val="24"/>
        </w:rPr>
        <w:t>6</w:t>
      </w:r>
      <w:r w:rsidRPr="00C07002">
        <w:rPr>
          <w:rFonts w:ascii="Arial" w:eastAsia="Times New Roman" w:hAnsi="Arial" w:cs="Arial"/>
          <w:bCs/>
          <w:i/>
          <w:iCs/>
          <w:sz w:val="24"/>
          <w:szCs w:val="24"/>
        </w:rPr>
        <w:t xml:space="preserve">: Descriptive statistics of reflective essay numerical scores </w:t>
      </w:r>
    </w:p>
    <w:tbl>
      <w:tblPr>
        <w:tblW w:w="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5"/>
        <w:gridCol w:w="2265"/>
        <w:gridCol w:w="1055"/>
      </w:tblGrid>
      <w:tr w:rsidR="00D173CF" w:rsidRPr="00E21894" w14:paraId="27A7139A" w14:textId="77777777" w:rsidTr="00EB0272">
        <w:trPr>
          <w:cantSplit/>
        </w:trPr>
        <w:tc>
          <w:tcPr>
            <w:tcW w:w="2265" w:type="dxa"/>
            <w:vMerge w:val="restart"/>
            <w:shd w:val="clear" w:color="auto" w:fill="A6A6A6" w:themeFill="background1" w:themeFillShade="A6"/>
          </w:tcPr>
          <w:p w14:paraId="67E56B4A"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b/>
                <w:bCs/>
                <w:sz w:val="24"/>
                <w:szCs w:val="24"/>
              </w:rPr>
              <w:t>Descriptive statistics for reflective essay numerical scores</w:t>
            </w:r>
          </w:p>
        </w:tc>
        <w:tc>
          <w:tcPr>
            <w:tcW w:w="2265" w:type="dxa"/>
            <w:shd w:val="clear" w:color="auto" w:fill="auto"/>
          </w:tcPr>
          <w:p w14:paraId="6751F675"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Mean</w:t>
            </w:r>
          </w:p>
        </w:tc>
        <w:tc>
          <w:tcPr>
            <w:tcW w:w="1055" w:type="dxa"/>
            <w:shd w:val="clear" w:color="auto" w:fill="auto"/>
          </w:tcPr>
          <w:p w14:paraId="4E68DB0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59.7</w:t>
            </w:r>
          </w:p>
        </w:tc>
      </w:tr>
      <w:tr w:rsidR="00D173CF" w:rsidRPr="00E21894" w14:paraId="239BB13E" w14:textId="77777777" w:rsidTr="00EB0272">
        <w:trPr>
          <w:cantSplit/>
        </w:trPr>
        <w:tc>
          <w:tcPr>
            <w:tcW w:w="2265" w:type="dxa"/>
            <w:vMerge/>
            <w:shd w:val="clear" w:color="auto" w:fill="A6A6A6" w:themeFill="background1" w:themeFillShade="A6"/>
          </w:tcPr>
          <w:p w14:paraId="4FA7CB0B"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7325458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Median</w:t>
            </w:r>
          </w:p>
        </w:tc>
        <w:tc>
          <w:tcPr>
            <w:tcW w:w="1055" w:type="dxa"/>
            <w:shd w:val="clear" w:color="auto" w:fill="auto"/>
          </w:tcPr>
          <w:p w14:paraId="77E83DE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59</w:t>
            </w:r>
          </w:p>
        </w:tc>
      </w:tr>
      <w:tr w:rsidR="00D173CF" w:rsidRPr="00E21894" w14:paraId="2ED60077" w14:textId="77777777" w:rsidTr="00EB0272">
        <w:trPr>
          <w:cantSplit/>
        </w:trPr>
        <w:tc>
          <w:tcPr>
            <w:tcW w:w="2265" w:type="dxa"/>
            <w:vMerge/>
            <w:shd w:val="clear" w:color="auto" w:fill="A6A6A6" w:themeFill="background1" w:themeFillShade="A6"/>
          </w:tcPr>
          <w:p w14:paraId="26EB67C6"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2FF8DF03"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Mode</w:t>
            </w:r>
          </w:p>
        </w:tc>
        <w:tc>
          <w:tcPr>
            <w:tcW w:w="1055" w:type="dxa"/>
            <w:shd w:val="clear" w:color="auto" w:fill="auto"/>
          </w:tcPr>
          <w:p w14:paraId="799045E3"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50</w:t>
            </w:r>
            <w:r w:rsidRPr="00E21894">
              <w:rPr>
                <w:rFonts w:ascii="Arial" w:hAnsi="Arial" w:cs="Arial"/>
                <w:sz w:val="24"/>
                <w:szCs w:val="24"/>
                <w:vertAlign w:val="superscript"/>
              </w:rPr>
              <w:t>a</w:t>
            </w:r>
          </w:p>
        </w:tc>
      </w:tr>
      <w:tr w:rsidR="00D173CF" w:rsidRPr="00E21894" w14:paraId="3EE5B6E1" w14:textId="77777777" w:rsidTr="00EB0272">
        <w:trPr>
          <w:cantSplit/>
        </w:trPr>
        <w:tc>
          <w:tcPr>
            <w:tcW w:w="2265" w:type="dxa"/>
            <w:vMerge/>
            <w:shd w:val="clear" w:color="auto" w:fill="A6A6A6" w:themeFill="background1" w:themeFillShade="A6"/>
          </w:tcPr>
          <w:p w14:paraId="62DC976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43A8C01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Std. Deviation</w:t>
            </w:r>
          </w:p>
        </w:tc>
        <w:tc>
          <w:tcPr>
            <w:tcW w:w="1055" w:type="dxa"/>
            <w:shd w:val="clear" w:color="auto" w:fill="auto"/>
          </w:tcPr>
          <w:p w14:paraId="3BDD968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7.0</w:t>
            </w:r>
          </w:p>
        </w:tc>
      </w:tr>
      <w:tr w:rsidR="00D173CF" w:rsidRPr="00E21894" w14:paraId="53B7A42E" w14:textId="77777777" w:rsidTr="00EB0272">
        <w:trPr>
          <w:cantSplit/>
        </w:trPr>
        <w:tc>
          <w:tcPr>
            <w:tcW w:w="2265" w:type="dxa"/>
            <w:vMerge/>
            <w:shd w:val="clear" w:color="auto" w:fill="A6A6A6" w:themeFill="background1" w:themeFillShade="A6"/>
          </w:tcPr>
          <w:p w14:paraId="0DA5A1CB"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263CAA3C"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Range</w:t>
            </w:r>
          </w:p>
        </w:tc>
        <w:tc>
          <w:tcPr>
            <w:tcW w:w="1055" w:type="dxa"/>
            <w:shd w:val="clear" w:color="auto" w:fill="auto"/>
          </w:tcPr>
          <w:p w14:paraId="005B9033"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24</w:t>
            </w:r>
          </w:p>
        </w:tc>
      </w:tr>
      <w:tr w:rsidR="00D173CF" w:rsidRPr="00E21894" w14:paraId="594161B4" w14:textId="77777777" w:rsidTr="00EB0272">
        <w:trPr>
          <w:cantSplit/>
        </w:trPr>
        <w:tc>
          <w:tcPr>
            <w:tcW w:w="2265" w:type="dxa"/>
            <w:vMerge/>
            <w:shd w:val="clear" w:color="auto" w:fill="A6A6A6" w:themeFill="background1" w:themeFillShade="A6"/>
          </w:tcPr>
          <w:p w14:paraId="472266A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0DC828A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Minimum</w:t>
            </w:r>
          </w:p>
        </w:tc>
        <w:tc>
          <w:tcPr>
            <w:tcW w:w="1055" w:type="dxa"/>
            <w:shd w:val="clear" w:color="auto" w:fill="auto"/>
          </w:tcPr>
          <w:p w14:paraId="52CB387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50</w:t>
            </w:r>
          </w:p>
        </w:tc>
      </w:tr>
      <w:tr w:rsidR="00D173CF" w:rsidRPr="00E21894" w14:paraId="06B39B06" w14:textId="77777777" w:rsidTr="00EB0272">
        <w:trPr>
          <w:cantSplit/>
        </w:trPr>
        <w:tc>
          <w:tcPr>
            <w:tcW w:w="2265" w:type="dxa"/>
            <w:vMerge/>
            <w:shd w:val="clear" w:color="auto" w:fill="A6A6A6" w:themeFill="background1" w:themeFillShade="A6"/>
          </w:tcPr>
          <w:p w14:paraId="3C4E0CA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2265" w:type="dxa"/>
            <w:shd w:val="clear" w:color="auto" w:fill="auto"/>
          </w:tcPr>
          <w:p w14:paraId="19477F5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Maximum</w:t>
            </w:r>
          </w:p>
        </w:tc>
        <w:tc>
          <w:tcPr>
            <w:tcW w:w="1055" w:type="dxa"/>
            <w:shd w:val="clear" w:color="auto" w:fill="auto"/>
          </w:tcPr>
          <w:p w14:paraId="66EBFF7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74</w:t>
            </w:r>
          </w:p>
        </w:tc>
      </w:tr>
      <w:tr w:rsidR="00D173CF" w:rsidRPr="00E21894" w14:paraId="5B658698" w14:textId="77777777" w:rsidTr="00EB0272">
        <w:trPr>
          <w:cantSplit/>
        </w:trPr>
        <w:tc>
          <w:tcPr>
            <w:tcW w:w="2265" w:type="dxa"/>
            <w:vMerge/>
            <w:shd w:val="clear" w:color="auto" w:fill="A6A6A6" w:themeFill="background1" w:themeFillShade="A6"/>
          </w:tcPr>
          <w:p w14:paraId="334EEA28"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p>
        </w:tc>
        <w:tc>
          <w:tcPr>
            <w:tcW w:w="3320" w:type="dxa"/>
            <w:gridSpan w:val="2"/>
            <w:shd w:val="clear" w:color="auto" w:fill="auto"/>
          </w:tcPr>
          <w:p w14:paraId="7579C41D"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a. Multiple modes exist. The smallest value is shown</w:t>
            </w:r>
          </w:p>
        </w:tc>
      </w:tr>
    </w:tbl>
    <w:p w14:paraId="60E94B03" w14:textId="77777777" w:rsidR="00D173CF" w:rsidRPr="00E21894" w:rsidRDefault="00D173CF" w:rsidP="00D173CF">
      <w:pPr>
        <w:spacing w:line="240" w:lineRule="auto"/>
        <w:jc w:val="both"/>
        <w:rPr>
          <w:rFonts w:ascii="Arial" w:eastAsia="Times New Roman" w:hAnsi="Arial" w:cs="Arial"/>
          <w:b/>
          <w:bCs/>
          <w:i/>
          <w:iCs/>
          <w:sz w:val="24"/>
          <w:szCs w:val="24"/>
        </w:rPr>
      </w:pPr>
    </w:p>
    <w:p w14:paraId="70EF8B1A" w14:textId="77777777" w:rsidR="00D173CF" w:rsidRPr="00E21894" w:rsidRDefault="00D173CF" w:rsidP="00D173CF">
      <w:pPr>
        <w:spacing w:line="240" w:lineRule="auto"/>
        <w:rPr>
          <w:rFonts w:ascii="Arial" w:eastAsia="Times New Roman" w:hAnsi="Arial" w:cs="Arial"/>
          <w:sz w:val="24"/>
          <w:szCs w:val="24"/>
        </w:rPr>
      </w:pPr>
      <w:r w:rsidRPr="00E21894">
        <w:rPr>
          <w:rFonts w:ascii="Arial" w:eastAsia="Times New Roman" w:hAnsi="Arial" w:cs="Arial"/>
          <w:sz w:val="24"/>
          <w:szCs w:val="24"/>
        </w:rPr>
        <w:t xml:space="preserve">Further examination of the data illustrates the </w:t>
      </w:r>
      <w:r>
        <w:rPr>
          <w:rFonts w:ascii="Arial" w:eastAsia="Times New Roman" w:hAnsi="Arial" w:cs="Arial"/>
          <w:sz w:val="24"/>
          <w:szCs w:val="24"/>
        </w:rPr>
        <w:t>analysis</w:t>
      </w:r>
      <w:r w:rsidRPr="00E21894">
        <w:rPr>
          <w:rFonts w:ascii="Arial" w:eastAsia="Times New Roman" w:hAnsi="Arial" w:cs="Arial"/>
          <w:sz w:val="24"/>
          <w:szCs w:val="24"/>
        </w:rPr>
        <w:t xml:space="preserve"> of essay scores achieved to be between 50% - 59% (</w:t>
      </w:r>
      <w:r w:rsidRPr="00E21894">
        <w:rPr>
          <w:rFonts w:ascii="Arial" w:eastAsia="Times New Roman" w:hAnsi="Arial" w:cs="Arial"/>
          <w:i/>
          <w:iCs/>
          <w:sz w:val="24"/>
          <w:szCs w:val="24"/>
        </w:rPr>
        <w:t>n=</w:t>
      </w:r>
      <w:r w:rsidRPr="00E21894">
        <w:rPr>
          <w:rFonts w:ascii="Arial" w:eastAsia="Times New Roman" w:hAnsi="Arial" w:cs="Arial"/>
          <w:sz w:val="24"/>
          <w:szCs w:val="24"/>
        </w:rPr>
        <w:t>4); 60 – 69% (</w:t>
      </w:r>
      <w:r w:rsidRPr="00E21894">
        <w:rPr>
          <w:rFonts w:ascii="Arial" w:eastAsia="Times New Roman" w:hAnsi="Arial" w:cs="Arial"/>
          <w:i/>
          <w:iCs/>
          <w:sz w:val="24"/>
          <w:szCs w:val="24"/>
        </w:rPr>
        <w:t xml:space="preserve">n= </w:t>
      </w:r>
      <w:r>
        <w:rPr>
          <w:rFonts w:ascii="Arial" w:eastAsia="Times New Roman" w:hAnsi="Arial" w:cs="Arial"/>
          <w:sz w:val="24"/>
          <w:szCs w:val="24"/>
        </w:rPr>
        <w:t>1</w:t>
      </w:r>
      <w:r w:rsidRPr="00E21894">
        <w:rPr>
          <w:rFonts w:ascii="Arial" w:eastAsia="Times New Roman" w:hAnsi="Arial" w:cs="Arial"/>
          <w:sz w:val="24"/>
          <w:szCs w:val="24"/>
        </w:rPr>
        <w:t>0); 70 - 74% (</w:t>
      </w:r>
      <w:r w:rsidRPr="00E21894">
        <w:rPr>
          <w:rFonts w:ascii="Arial" w:eastAsia="Times New Roman" w:hAnsi="Arial" w:cs="Arial"/>
          <w:i/>
          <w:iCs/>
          <w:sz w:val="24"/>
          <w:szCs w:val="24"/>
        </w:rPr>
        <w:t>n=</w:t>
      </w:r>
      <w:r w:rsidRPr="00E21894">
        <w:rPr>
          <w:rFonts w:ascii="Arial" w:eastAsia="Times New Roman" w:hAnsi="Arial" w:cs="Arial"/>
          <w:sz w:val="24"/>
          <w:szCs w:val="24"/>
        </w:rPr>
        <w:t xml:space="preserve">3). No candidate selected for admission scored below 50% for the reflective essay, which is coherent with the </w:t>
      </w:r>
      <w:r>
        <w:rPr>
          <w:rFonts w:ascii="Arial" w:eastAsia="Times New Roman" w:hAnsi="Arial" w:cs="Arial"/>
          <w:sz w:val="24"/>
          <w:szCs w:val="24"/>
        </w:rPr>
        <w:t>program</w:t>
      </w:r>
      <w:r w:rsidRPr="00E21894">
        <w:rPr>
          <w:rFonts w:ascii="Arial" w:eastAsia="Times New Roman" w:hAnsi="Arial" w:cs="Arial"/>
          <w:sz w:val="24"/>
          <w:szCs w:val="24"/>
        </w:rPr>
        <w:t>’s recommendations</w:t>
      </w:r>
      <w:r>
        <w:rPr>
          <w:rFonts w:ascii="Arial" w:eastAsia="Times New Roman" w:hAnsi="Arial" w:cs="Arial"/>
          <w:sz w:val="24"/>
          <w:szCs w:val="24"/>
        </w:rPr>
        <w:t xml:space="preserve">. </w:t>
      </w:r>
    </w:p>
    <w:p w14:paraId="30B85C8E" w14:textId="77777777" w:rsidR="00D173CF" w:rsidRDefault="00D173CF" w:rsidP="00D173CF">
      <w:pPr>
        <w:spacing w:line="240" w:lineRule="auto"/>
        <w:rPr>
          <w:rFonts w:ascii="Arial" w:eastAsia="Times New Roman" w:hAnsi="Arial" w:cs="Arial"/>
          <w:b/>
          <w:bCs/>
          <w:i/>
          <w:iCs/>
          <w:sz w:val="24"/>
          <w:szCs w:val="24"/>
        </w:rPr>
      </w:pPr>
    </w:p>
    <w:p w14:paraId="2BC39405" w14:textId="77777777" w:rsidR="00D173CF" w:rsidRPr="00AB3369" w:rsidRDefault="00D173CF" w:rsidP="00D173CF">
      <w:pPr>
        <w:spacing w:line="240" w:lineRule="auto"/>
        <w:rPr>
          <w:rFonts w:ascii="Arial" w:eastAsia="Times New Roman" w:hAnsi="Arial" w:cs="Arial"/>
          <w:b/>
          <w:bCs/>
          <w:iCs/>
          <w:sz w:val="24"/>
          <w:szCs w:val="24"/>
        </w:rPr>
      </w:pPr>
      <w:r w:rsidRPr="00AB3369">
        <w:rPr>
          <w:rFonts w:ascii="Arial" w:eastAsia="Times New Roman" w:hAnsi="Arial" w:cs="Arial"/>
          <w:b/>
          <w:bCs/>
          <w:iCs/>
          <w:sz w:val="24"/>
          <w:szCs w:val="24"/>
        </w:rPr>
        <w:t xml:space="preserve">Descriptive Statistics - CAPSAT-R </w:t>
      </w:r>
      <w:r w:rsidRPr="00AB3369">
        <w:rPr>
          <w:rFonts w:ascii="Arial" w:eastAsia="Times New Roman" w:hAnsi="Arial" w:cs="Arial"/>
          <w:b/>
          <w:bCs/>
          <w:iCs/>
          <w:sz w:val="24"/>
          <w:szCs w:val="24"/>
        </w:rPr>
        <w:fldChar w:fldCharType="begin" w:fldLock="1"/>
      </w:r>
      <w:r w:rsidRPr="00AB3369">
        <w:rPr>
          <w:rFonts w:ascii="Arial" w:eastAsia="Times New Roman" w:hAnsi="Arial" w:cs="Arial"/>
          <w:b/>
          <w:bCs/>
          <w:iCs/>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2016)","plainTextFormattedCitation":"(Psych Tests AIM, 2016)","previouslyFormattedCitation":"(Psych Tests AIM, 2016)"},"properties":{"noteIndex":0},"schema":"https://github.com/citation-style-language/schema/raw/master/csl-citation.json"}</w:instrText>
      </w:r>
      <w:r w:rsidRPr="00AB3369">
        <w:rPr>
          <w:rFonts w:ascii="Arial" w:eastAsia="Times New Roman" w:hAnsi="Arial" w:cs="Arial"/>
          <w:b/>
          <w:bCs/>
          <w:iCs/>
          <w:sz w:val="24"/>
          <w:szCs w:val="24"/>
        </w:rPr>
        <w:fldChar w:fldCharType="separate"/>
      </w:r>
      <w:r w:rsidRPr="00AB3369">
        <w:rPr>
          <w:rFonts w:ascii="Arial" w:eastAsia="Times New Roman" w:hAnsi="Arial" w:cs="Arial"/>
          <w:b/>
          <w:noProof/>
          <w:sz w:val="24"/>
          <w:szCs w:val="24"/>
        </w:rPr>
        <w:t>(Psych Tests AIM, 2016)</w:t>
      </w:r>
      <w:r w:rsidRPr="00AB3369">
        <w:rPr>
          <w:rFonts w:ascii="Arial" w:eastAsia="Times New Roman" w:hAnsi="Arial" w:cs="Arial"/>
          <w:b/>
          <w:bCs/>
          <w:iCs/>
          <w:sz w:val="24"/>
          <w:szCs w:val="24"/>
        </w:rPr>
        <w:fldChar w:fldCharType="end"/>
      </w:r>
      <w:r w:rsidRPr="00AB3369">
        <w:rPr>
          <w:rFonts w:ascii="Arial" w:eastAsia="Times New Roman" w:hAnsi="Arial" w:cs="Arial"/>
          <w:b/>
          <w:bCs/>
          <w:iCs/>
          <w:sz w:val="24"/>
          <w:szCs w:val="24"/>
        </w:rPr>
        <w:t xml:space="preserve"> categories</w:t>
      </w:r>
    </w:p>
    <w:p w14:paraId="091254E4" w14:textId="77777777" w:rsidR="00D173CF" w:rsidRDefault="00D173CF" w:rsidP="00D173CF">
      <w:pPr>
        <w:spacing w:line="240" w:lineRule="auto"/>
        <w:rPr>
          <w:rFonts w:ascii="Arial" w:eastAsia="Times New Roman" w:hAnsi="Arial" w:cs="Arial"/>
          <w:sz w:val="24"/>
          <w:szCs w:val="24"/>
        </w:rPr>
      </w:pPr>
      <w:r w:rsidRPr="00E21894">
        <w:rPr>
          <w:rFonts w:ascii="Arial" w:eastAsia="Times New Roman" w:hAnsi="Arial" w:cs="Arial"/>
          <w:sz w:val="24"/>
          <w:szCs w:val="24"/>
        </w:rPr>
        <w:t xml:space="preserve">CAPSAT-R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2016)","plainTextFormattedCitation":"(Psych Tests AIM, 2016)","previouslyFormattedCitation":"(Psych Tests AIM, 2016)"},"properties":{"noteIndex":0},"schema":"https://github.com/citation-style-language/schema/raw/master/csl-citation.json"}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(Psych Tests AIM, 2016)</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scores for each subsection (comfort with decision-making, flexibility, openness to creativity and sense of self-efficacy) were analysed as both scale (numerical) and ordinal (categorised in </w:t>
      </w:r>
      <w:r>
        <w:rPr>
          <w:rFonts w:ascii="Arial" w:eastAsia="Times New Roman" w:hAnsi="Arial" w:cs="Arial"/>
          <w:sz w:val="24"/>
          <w:szCs w:val="24"/>
        </w:rPr>
        <w:t xml:space="preserve">ranked </w:t>
      </w:r>
      <w:r w:rsidRPr="00E21894">
        <w:rPr>
          <w:rFonts w:ascii="Arial" w:eastAsia="Times New Roman" w:hAnsi="Arial" w:cs="Arial"/>
          <w:sz w:val="24"/>
          <w:szCs w:val="24"/>
        </w:rPr>
        <w:t xml:space="preserve">order from limitation, potential strength and strength) data. </w:t>
      </w:r>
      <w:r>
        <w:rPr>
          <w:rFonts w:ascii="Arial" w:eastAsia="Times New Roman" w:hAnsi="Arial" w:cs="Arial"/>
          <w:sz w:val="24"/>
          <w:szCs w:val="24"/>
        </w:rPr>
        <w:t>Table 7 illustrates how the</w:t>
      </w:r>
      <w:r w:rsidRPr="00E21894">
        <w:rPr>
          <w:rFonts w:ascii="Arial" w:eastAsia="Times New Roman" w:hAnsi="Arial" w:cs="Arial"/>
          <w:sz w:val="24"/>
          <w:szCs w:val="24"/>
        </w:rPr>
        <w:t xml:space="preserve"> overall average of the CAPSAT-R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2016)","plainTextFormattedCitation":"(Psych Tests AIM, 2016)","previouslyFormattedCitation":"(Psych Tests AIM, 2016)"},"properties":{"noteIndex":0},"schema":"https://github.com/citation-style-language/schema/raw/master/csl-citation.json"}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(Psych Tests AIM, 2016)</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was 72.5%, with the average for sub-categories flexibility and creativity (both 75.7%) being notably higher than decision-making (65.7%) and self-efficacy (72.7%). Conversely, the range of scores and standard deviations (SD) were lower for flexibility (range 27; SD 6.7) and creativity (range 27; SD 5.4) subsections, when compared to those of decision-making (range 42; SD 11.2) and self-efficacy (range 42; SD 11.1)</w:t>
      </w:r>
      <w:r>
        <w:rPr>
          <w:rFonts w:ascii="Arial" w:eastAsia="Times New Roman" w:hAnsi="Arial" w:cs="Arial"/>
          <w:sz w:val="24"/>
          <w:szCs w:val="24"/>
        </w:rPr>
        <w:t>.</w:t>
      </w:r>
    </w:p>
    <w:p w14:paraId="1FB31117" w14:textId="77777777" w:rsidR="00614A63" w:rsidRDefault="00614A63" w:rsidP="00D173CF">
      <w:pPr>
        <w:spacing w:line="240" w:lineRule="auto"/>
        <w:rPr>
          <w:rFonts w:ascii="Arial" w:eastAsia="Times New Roman" w:hAnsi="Arial" w:cs="Arial"/>
          <w:sz w:val="24"/>
          <w:szCs w:val="24"/>
        </w:rPr>
      </w:pPr>
    </w:p>
    <w:p w14:paraId="468EB893" w14:textId="77777777" w:rsidR="00D173CF" w:rsidRPr="00133060" w:rsidRDefault="00D173CF" w:rsidP="00D173CF">
      <w:pPr>
        <w:spacing w:before="240" w:line="240" w:lineRule="auto"/>
        <w:jc w:val="both"/>
        <w:rPr>
          <w:rFonts w:ascii="Arial" w:eastAsia="Times New Roman" w:hAnsi="Arial" w:cs="Arial"/>
          <w:i/>
          <w:sz w:val="24"/>
          <w:szCs w:val="24"/>
        </w:rPr>
      </w:pPr>
      <w:r w:rsidRPr="00133060">
        <w:rPr>
          <w:rFonts w:ascii="Arial" w:eastAsia="Times New Roman" w:hAnsi="Arial" w:cs="Arial"/>
          <w:bCs/>
          <w:i/>
          <w:iCs/>
          <w:sz w:val="24"/>
          <w:szCs w:val="24"/>
        </w:rPr>
        <w:t xml:space="preserve">Table </w:t>
      </w:r>
      <w:r>
        <w:rPr>
          <w:rFonts w:ascii="Arial" w:eastAsia="Times New Roman" w:hAnsi="Arial" w:cs="Arial"/>
          <w:bCs/>
          <w:i/>
          <w:iCs/>
          <w:sz w:val="24"/>
          <w:szCs w:val="24"/>
        </w:rPr>
        <w:t>7</w:t>
      </w:r>
      <w:r w:rsidRPr="00133060">
        <w:rPr>
          <w:rFonts w:ascii="Arial" w:eastAsia="Times New Roman" w:hAnsi="Arial" w:cs="Arial"/>
          <w:bCs/>
          <w:i/>
          <w:iCs/>
          <w:sz w:val="24"/>
          <w:szCs w:val="24"/>
        </w:rPr>
        <w:t xml:space="preserve">: CAPSAT-R numerical scores (average and sub-categorical scale data) </w:t>
      </w:r>
    </w:p>
    <w:tbl>
      <w:tblPr>
        <w:tblW w:w="9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6"/>
        <w:gridCol w:w="1484"/>
        <w:gridCol w:w="1484"/>
        <w:gridCol w:w="1484"/>
        <w:gridCol w:w="1484"/>
        <w:gridCol w:w="1484"/>
      </w:tblGrid>
      <w:tr w:rsidR="00D173CF" w:rsidRPr="00E21894" w14:paraId="64BFA551" w14:textId="77777777" w:rsidTr="00EB0272">
        <w:trPr>
          <w:cantSplit/>
        </w:trPr>
        <w:tc>
          <w:tcPr>
            <w:tcW w:w="2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C4BA828" w14:textId="77777777" w:rsidR="00D173CF" w:rsidRPr="00E21894" w:rsidRDefault="00D173CF" w:rsidP="00EB0272">
            <w:pPr>
              <w:autoSpaceDE w:val="0"/>
              <w:autoSpaceDN w:val="0"/>
              <w:adjustRightInd w:val="0"/>
              <w:spacing w:after="0" w:line="240" w:lineRule="auto"/>
              <w:jc w:val="both"/>
              <w:rPr>
                <w:rFonts w:ascii="Arial" w:hAnsi="Arial" w:cs="Arial"/>
                <w:sz w:val="24"/>
                <w:szCs w:val="24"/>
              </w:rPr>
            </w:pPr>
          </w:p>
        </w:tc>
        <w:tc>
          <w:tcPr>
            <w:tcW w:w="1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2D7EEEAF" w14:textId="77777777" w:rsidR="00D173CF" w:rsidRPr="00E21894" w:rsidRDefault="00D173CF" w:rsidP="00B9119A">
            <w:pPr>
              <w:autoSpaceDE w:val="0"/>
              <w:autoSpaceDN w:val="0"/>
              <w:adjustRightInd w:val="0"/>
              <w:spacing w:after="0" w:line="240" w:lineRule="auto"/>
              <w:ind w:right="62"/>
              <w:jc w:val="both"/>
              <w:rPr>
                <w:rFonts w:ascii="Arial" w:hAnsi="Arial" w:cs="Arial"/>
                <w:b/>
                <w:bCs/>
                <w:sz w:val="24"/>
                <w:szCs w:val="24"/>
              </w:rPr>
            </w:pPr>
            <w:r w:rsidRPr="00E21894">
              <w:rPr>
                <w:rFonts w:ascii="Arial" w:hAnsi="Arial" w:cs="Arial"/>
                <w:b/>
                <w:bCs/>
                <w:sz w:val="24"/>
                <w:szCs w:val="24"/>
              </w:rPr>
              <w:t>CAPSAT R average numerical score</w:t>
            </w:r>
          </w:p>
        </w:tc>
        <w:tc>
          <w:tcPr>
            <w:tcW w:w="1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799775A1" w14:textId="7DC096C8" w:rsidR="00B9119A" w:rsidRPr="00E21894" w:rsidRDefault="00D173CF" w:rsidP="00B9119A">
            <w:pPr>
              <w:autoSpaceDE w:val="0"/>
              <w:autoSpaceDN w:val="0"/>
              <w:adjustRightInd w:val="0"/>
              <w:spacing w:after="0" w:line="240" w:lineRule="auto"/>
              <w:ind w:right="60"/>
              <w:jc w:val="both"/>
              <w:rPr>
                <w:rFonts w:ascii="Arial" w:hAnsi="Arial" w:cs="Arial"/>
                <w:b/>
                <w:bCs/>
                <w:sz w:val="24"/>
                <w:szCs w:val="24"/>
              </w:rPr>
            </w:pPr>
            <w:r w:rsidRPr="00E21894">
              <w:rPr>
                <w:rFonts w:ascii="Arial" w:hAnsi="Arial" w:cs="Arial"/>
                <w:b/>
                <w:bCs/>
                <w:sz w:val="24"/>
                <w:szCs w:val="24"/>
              </w:rPr>
              <w:t>CAPSAT-R</w:t>
            </w:r>
            <w:r w:rsidR="00B9119A">
              <w:rPr>
                <w:rFonts w:ascii="Arial" w:hAnsi="Arial" w:cs="Arial"/>
                <w:b/>
                <w:bCs/>
                <w:sz w:val="24"/>
                <w:szCs w:val="24"/>
              </w:rPr>
              <w:t xml:space="preserve"> decision-making numerical score</w:t>
            </w:r>
          </w:p>
        </w:tc>
        <w:tc>
          <w:tcPr>
            <w:tcW w:w="1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2889B52" w14:textId="77777777" w:rsidR="00D173CF" w:rsidRPr="00E21894" w:rsidRDefault="00D173CF" w:rsidP="00B9119A">
            <w:pPr>
              <w:autoSpaceDE w:val="0"/>
              <w:autoSpaceDN w:val="0"/>
              <w:adjustRightInd w:val="0"/>
              <w:spacing w:after="0" w:line="240" w:lineRule="auto"/>
              <w:ind w:right="60"/>
              <w:jc w:val="both"/>
              <w:rPr>
                <w:rFonts w:ascii="Arial" w:hAnsi="Arial" w:cs="Arial"/>
                <w:b/>
                <w:bCs/>
                <w:sz w:val="24"/>
                <w:szCs w:val="24"/>
              </w:rPr>
            </w:pPr>
            <w:r w:rsidRPr="00E21894">
              <w:rPr>
                <w:rFonts w:ascii="Arial" w:hAnsi="Arial" w:cs="Arial"/>
                <w:b/>
                <w:bCs/>
                <w:sz w:val="24"/>
                <w:szCs w:val="24"/>
              </w:rPr>
              <w:t>CAPSAT-R flexibility numerical score</w:t>
            </w:r>
          </w:p>
        </w:tc>
        <w:tc>
          <w:tcPr>
            <w:tcW w:w="1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0DBB801E" w14:textId="77777777" w:rsidR="00D173CF" w:rsidRPr="00E21894" w:rsidRDefault="00D173CF" w:rsidP="00B9119A">
            <w:pPr>
              <w:autoSpaceDE w:val="0"/>
              <w:autoSpaceDN w:val="0"/>
              <w:adjustRightInd w:val="0"/>
              <w:spacing w:after="0" w:line="240" w:lineRule="auto"/>
              <w:ind w:right="60"/>
              <w:jc w:val="both"/>
              <w:rPr>
                <w:rFonts w:ascii="Arial" w:hAnsi="Arial" w:cs="Arial"/>
                <w:b/>
                <w:bCs/>
                <w:sz w:val="24"/>
                <w:szCs w:val="24"/>
              </w:rPr>
            </w:pPr>
            <w:r w:rsidRPr="00E21894">
              <w:rPr>
                <w:rFonts w:ascii="Arial" w:hAnsi="Arial" w:cs="Arial"/>
                <w:b/>
                <w:bCs/>
                <w:sz w:val="24"/>
                <w:szCs w:val="24"/>
              </w:rPr>
              <w:t>CAPSAT-R creativity numerical score</w:t>
            </w:r>
          </w:p>
        </w:tc>
        <w:tc>
          <w:tcPr>
            <w:tcW w:w="14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D2EC4E1" w14:textId="77777777" w:rsidR="00D173CF" w:rsidRPr="00E21894" w:rsidRDefault="00D173CF" w:rsidP="00B9119A">
            <w:pPr>
              <w:autoSpaceDE w:val="0"/>
              <w:autoSpaceDN w:val="0"/>
              <w:adjustRightInd w:val="0"/>
              <w:spacing w:after="0" w:line="240" w:lineRule="auto"/>
              <w:ind w:right="60"/>
              <w:jc w:val="both"/>
              <w:rPr>
                <w:rFonts w:ascii="Arial" w:hAnsi="Arial" w:cs="Arial"/>
                <w:b/>
                <w:bCs/>
                <w:sz w:val="24"/>
                <w:szCs w:val="24"/>
              </w:rPr>
            </w:pPr>
            <w:r w:rsidRPr="00E21894">
              <w:rPr>
                <w:rFonts w:ascii="Arial" w:hAnsi="Arial" w:cs="Arial"/>
                <w:b/>
                <w:bCs/>
                <w:sz w:val="24"/>
                <w:szCs w:val="24"/>
              </w:rPr>
              <w:t>CAPSAT-R efficacy</w:t>
            </w:r>
          </w:p>
          <w:p w14:paraId="3643DE9B" w14:textId="77777777" w:rsidR="00D173CF" w:rsidRPr="00E21894" w:rsidRDefault="00D173CF" w:rsidP="00EB0272">
            <w:pPr>
              <w:autoSpaceDE w:val="0"/>
              <w:autoSpaceDN w:val="0"/>
              <w:adjustRightInd w:val="0"/>
              <w:spacing w:after="0" w:line="240" w:lineRule="auto"/>
              <w:ind w:left="60" w:right="60"/>
              <w:jc w:val="both"/>
              <w:rPr>
                <w:rFonts w:ascii="Arial" w:hAnsi="Arial" w:cs="Arial"/>
                <w:b/>
                <w:bCs/>
                <w:sz w:val="24"/>
                <w:szCs w:val="24"/>
              </w:rPr>
            </w:pPr>
            <w:r w:rsidRPr="00E21894">
              <w:rPr>
                <w:rFonts w:ascii="Arial" w:hAnsi="Arial" w:cs="Arial"/>
                <w:b/>
                <w:bCs/>
                <w:sz w:val="24"/>
                <w:szCs w:val="24"/>
              </w:rPr>
              <w:t>Numerical score</w:t>
            </w:r>
          </w:p>
        </w:tc>
      </w:tr>
      <w:tr w:rsidR="00D173CF" w:rsidRPr="00E21894" w14:paraId="6E1663F9" w14:textId="77777777" w:rsidTr="00EB0272">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2735F96E"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Mean</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CAEC51B"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72.5</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7CC75F9"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65.7</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9D6B12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75.7</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7C568A3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75.7</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F006B05"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72.7</w:t>
            </w:r>
          </w:p>
        </w:tc>
      </w:tr>
      <w:tr w:rsidR="00D173CF" w:rsidRPr="00E21894" w14:paraId="378DB977" w14:textId="77777777" w:rsidTr="00EB0272">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6C063A65"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Median</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45FB271B"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73</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4F181EBC"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68</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B5FE9A9"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77</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993F0A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75</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B84250A"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72</w:t>
            </w:r>
          </w:p>
        </w:tc>
      </w:tr>
      <w:tr w:rsidR="00D173CF" w:rsidRPr="00E21894" w14:paraId="38A6CACA" w14:textId="77777777" w:rsidTr="00EB0272">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5310D2FC"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Mode</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477AF5B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75</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33099E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68</w:t>
            </w:r>
            <w:r w:rsidRPr="00E21894">
              <w:rPr>
                <w:rFonts w:ascii="Arial" w:hAnsi="Arial" w:cs="Arial"/>
                <w:sz w:val="24"/>
                <w:szCs w:val="24"/>
                <w:vertAlign w:val="superscript"/>
              </w:rPr>
              <w:t>a</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A8E51B9"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68</w:t>
            </w:r>
            <w:r w:rsidRPr="00E21894">
              <w:rPr>
                <w:rFonts w:ascii="Arial" w:hAnsi="Arial" w:cs="Arial"/>
                <w:sz w:val="24"/>
                <w:szCs w:val="24"/>
                <w:vertAlign w:val="superscript"/>
              </w:rPr>
              <w:t>a</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0E1EF4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75</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46A4BB0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72</w:t>
            </w:r>
          </w:p>
        </w:tc>
      </w:tr>
      <w:tr w:rsidR="00D173CF" w:rsidRPr="00E21894" w14:paraId="78516769" w14:textId="77777777" w:rsidTr="00EB0272">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71BE6E6A"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Std. Deviation</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19EB9D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6.0</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14C4526"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11.2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60586B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6.7</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2D0CFD8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5.4</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6662975"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11.1</w:t>
            </w:r>
          </w:p>
        </w:tc>
      </w:tr>
      <w:tr w:rsidR="00D173CF" w:rsidRPr="00E21894" w14:paraId="20A0D087" w14:textId="77777777" w:rsidTr="00EB0272">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65F9154A"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Range</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FB29253"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29</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20A436D9"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42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6D8DB4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27</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8601DD6"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27</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7A6570A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42</w:t>
            </w:r>
          </w:p>
        </w:tc>
      </w:tr>
      <w:tr w:rsidR="00D173CF" w:rsidRPr="00E21894" w14:paraId="184EA0F5" w14:textId="77777777" w:rsidTr="00EB0272">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546C94B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Minimum</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4915FB5"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61</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81183F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47</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2FF5838"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63</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8E8218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2C5A1E7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50</w:t>
            </w:r>
          </w:p>
        </w:tc>
      </w:tr>
      <w:tr w:rsidR="00D173CF" w:rsidRPr="00E21894" w14:paraId="0CF93E6A" w14:textId="77777777" w:rsidTr="00EB0272">
        <w:trPr>
          <w:cantSplit/>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1B818A8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Maximum</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3AD423A"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90</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8D2805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89</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7E92583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90</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4F4EB17C"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89</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8FBBFC9"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92</w:t>
            </w:r>
          </w:p>
        </w:tc>
      </w:tr>
      <w:tr w:rsidR="00D173CF" w:rsidRPr="00E21894" w14:paraId="297A8994" w14:textId="77777777" w:rsidTr="00EB0272">
        <w:trPr>
          <w:cantSplit/>
        </w:trPr>
        <w:tc>
          <w:tcPr>
            <w:tcW w:w="9646" w:type="dxa"/>
            <w:gridSpan w:val="6"/>
            <w:tcBorders>
              <w:top w:val="single" w:sz="4" w:space="0" w:color="auto"/>
              <w:left w:val="single" w:sz="4" w:space="0" w:color="auto"/>
              <w:bottom w:val="single" w:sz="4" w:space="0" w:color="auto"/>
              <w:right w:val="single" w:sz="4" w:space="0" w:color="auto"/>
            </w:tcBorders>
            <w:shd w:val="clear" w:color="auto" w:fill="auto"/>
          </w:tcPr>
          <w:p w14:paraId="50DC2B6B"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a. Multiple modes exist. The smallest value is shown</w:t>
            </w:r>
          </w:p>
        </w:tc>
      </w:tr>
    </w:tbl>
    <w:p w14:paraId="71CD773A" w14:textId="77777777" w:rsidR="00077386" w:rsidRDefault="00077386" w:rsidP="00D173CF">
      <w:pPr>
        <w:spacing w:before="240" w:line="240" w:lineRule="auto"/>
        <w:rPr>
          <w:rFonts w:ascii="Arial" w:eastAsia="Times New Roman" w:hAnsi="Arial" w:cs="Arial"/>
          <w:sz w:val="24"/>
          <w:szCs w:val="24"/>
        </w:rPr>
      </w:pPr>
    </w:p>
    <w:p w14:paraId="04EA9248" w14:textId="4E0C9817" w:rsidR="002600B0" w:rsidRDefault="002600B0" w:rsidP="00B9119A">
      <w:pPr>
        <w:spacing w:before="240" w:line="240" w:lineRule="auto"/>
        <w:rPr>
          <w:rFonts w:ascii="Arial" w:eastAsia="Times New Roman" w:hAnsi="Arial" w:cs="Arial"/>
          <w:sz w:val="24"/>
          <w:szCs w:val="24"/>
        </w:rPr>
      </w:pPr>
      <w:r>
        <w:rPr>
          <w:rFonts w:ascii="Arial" w:eastAsia="Times New Roman" w:hAnsi="Arial" w:cs="Arial"/>
          <w:sz w:val="24"/>
          <w:szCs w:val="24"/>
        </w:rPr>
        <w:t>Figure 1 illustrates how the</w:t>
      </w:r>
      <w:r w:rsidR="00D173CF" w:rsidRPr="00E21894">
        <w:rPr>
          <w:rFonts w:ascii="Arial" w:eastAsia="Times New Roman" w:hAnsi="Arial" w:cs="Arial"/>
          <w:sz w:val="24"/>
          <w:szCs w:val="24"/>
        </w:rPr>
        <w:t xml:space="preserve"> ranked</w:t>
      </w:r>
      <w:r>
        <w:rPr>
          <w:rFonts w:ascii="Arial" w:eastAsia="Times New Roman" w:hAnsi="Arial" w:cs="Arial"/>
          <w:sz w:val="24"/>
          <w:szCs w:val="24"/>
        </w:rPr>
        <w:t xml:space="preserve"> CAPSAT-R</w:t>
      </w:r>
      <w:r w:rsidR="00D173CF" w:rsidRPr="00E21894">
        <w:rPr>
          <w:rFonts w:ascii="Arial" w:eastAsia="Times New Roman" w:hAnsi="Arial" w:cs="Arial"/>
          <w:sz w:val="24"/>
          <w:szCs w:val="24"/>
        </w:rPr>
        <w:t xml:space="preserve"> data detected ‘potential strengths’ and ‘strengths’ in all 4 subsections for all 27 candidates, with ‘limitations’ present</w:t>
      </w:r>
      <w:r w:rsidR="007D7018">
        <w:rPr>
          <w:rFonts w:ascii="Arial" w:eastAsia="Times New Roman" w:hAnsi="Arial" w:cs="Arial"/>
          <w:sz w:val="24"/>
          <w:szCs w:val="24"/>
        </w:rPr>
        <w:t xml:space="preserve"> only in the</w:t>
      </w:r>
      <w:r w:rsidR="00D173CF" w:rsidRPr="00E21894">
        <w:rPr>
          <w:rFonts w:ascii="Arial" w:eastAsia="Times New Roman" w:hAnsi="Arial" w:cs="Arial"/>
          <w:sz w:val="24"/>
          <w:szCs w:val="24"/>
        </w:rPr>
        <w:t xml:space="preserve"> self-efficacy </w:t>
      </w:r>
      <w:r w:rsidR="007D7018">
        <w:rPr>
          <w:rFonts w:ascii="Arial" w:eastAsia="Times New Roman" w:hAnsi="Arial" w:cs="Arial"/>
          <w:sz w:val="24"/>
          <w:szCs w:val="24"/>
        </w:rPr>
        <w:t xml:space="preserve">and decision-making </w:t>
      </w:r>
      <w:r w:rsidR="00D173CF" w:rsidRPr="00E21894">
        <w:rPr>
          <w:rFonts w:ascii="Arial" w:eastAsia="Times New Roman" w:hAnsi="Arial" w:cs="Arial"/>
          <w:sz w:val="24"/>
          <w:szCs w:val="24"/>
        </w:rPr>
        <w:t>subsections</w:t>
      </w:r>
      <w:r w:rsidR="00B9119A">
        <w:rPr>
          <w:rFonts w:ascii="Arial" w:eastAsia="Times New Roman" w:hAnsi="Arial" w:cs="Arial"/>
          <w:sz w:val="24"/>
          <w:szCs w:val="24"/>
        </w:rPr>
        <w:t>.</w:t>
      </w:r>
    </w:p>
    <w:p w14:paraId="35FA7A98" w14:textId="77777777" w:rsidR="002600B0" w:rsidRDefault="002600B0" w:rsidP="002600B0">
      <w:pPr>
        <w:spacing w:line="240" w:lineRule="auto"/>
        <w:jc w:val="both"/>
        <w:rPr>
          <w:rFonts w:asciiTheme="majorBidi" w:eastAsia="Times New Roman" w:hAnsiTheme="majorBidi" w:cstheme="majorBidi"/>
          <w:b/>
          <w:bCs/>
          <w:i/>
          <w:iCs/>
          <w:sz w:val="24"/>
          <w:szCs w:val="24"/>
        </w:rPr>
      </w:pPr>
      <w:r w:rsidRPr="002600B0">
        <w:rPr>
          <w:noProof/>
          <w:highlight w:val="black"/>
        </w:rPr>
        <w:drawing>
          <wp:inline distT="0" distB="0" distL="0" distR="0" wp14:anchorId="15ADAC19" wp14:editId="637496EE">
            <wp:extent cx="5731510" cy="3352800"/>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3DFA06" w14:textId="03B9837F" w:rsidR="002600B0" w:rsidRPr="002600B0" w:rsidRDefault="002600B0" w:rsidP="002600B0">
      <w:pPr>
        <w:spacing w:line="240" w:lineRule="auto"/>
        <w:jc w:val="both"/>
        <w:rPr>
          <w:rFonts w:asciiTheme="minorBidi" w:eastAsia="Times New Roman" w:hAnsiTheme="minorBidi"/>
          <w:i/>
          <w:iCs/>
          <w:sz w:val="24"/>
          <w:szCs w:val="24"/>
        </w:rPr>
      </w:pPr>
      <w:r w:rsidRPr="002600B0">
        <w:rPr>
          <w:rFonts w:asciiTheme="minorBidi" w:eastAsia="Times New Roman" w:hAnsiTheme="minorBidi"/>
          <w:i/>
          <w:iCs/>
          <w:sz w:val="24"/>
          <w:szCs w:val="24"/>
        </w:rPr>
        <w:t>Figure 1: CAPSAT-R categories sum rankings for a cohort of undergraduate occupational therapy students (n = 27)</w:t>
      </w:r>
    </w:p>
    <w:p w14:paraId="6873314A" w14:textId="67EC2CEA" w:rsidR="00D173CF" w:rsidRDefault="00D173CF" w:rsidP="005B5D53">
      <w:pPr>
        <w:spacing w:before="240" w:line="240" w:lineRule="auto"/>
        <w:rPr>
          <w:rFonts w:ascii="Arial" w:eastAsia="Times New Roman" w:hAnsi="Arial" w:cs="Arial"/>
          <w:sz w:val="24"/>
          <w:szCs w:val="24"/>
        </w:rPr>
      </w:pPr>
      <w:r w:rsidRPr="00E21894">
        <w:rPr>
          <w:rFonts w:ascii="Arial" w:eastAsia="Times New Roman" w:hAnsi="Arial" w:cs="Arial"/>
          <w:sz w:val="24"/>
          <w:szCs w:val="24"/>
        </w:rPr>
        <w:t xml:space="preserve">These combined ordinal and ranked statistics are supportive of the </w:t>
      </w:r>
      <w:r>
        <w:rPr>
          <w:rFonts w:ascii="Arial" w:eastAsia="Times New Roman" w:hAnsi="Arial" w:cs="Arial"/>
          <w:sz w:val="24"/>
          <w:szCs w:val="24"/>
        </w:rPr>
        <w:t>program</w:t>
      </w:r>
      <w:r w:rsidRPr="00E21894">
        <w:rPr>
          <w:rFonts w:ascii="Arial" w:eastAsia="Times New Roman" w:hAnsi="Arial" w:cs="Arial"/>
          <w:sz w:val="24"/>
          <w:szCs w:val="24"/>
        </w:rPr>
        <w:t xml:space="preserve">’s minimum </w:t>
      </w:r>
      <w:r w:rsidR="007D7018">
        <w:rPr>
          <w:rFonts w:ascii="Arial" w:eastAsia="Times New Roman" w:hAnsi="Arial" w:cs="Arial"/>
          <w:sz w:val="24"/>
          <w:szCs w:val="24"/>
        </w:rPr>
        <w:t>entry criteria, which recommends</w:t>
      </w:r>
      <w:r w:rsidRPr="00E21894">
        <w:rPr>
          <w:rFonts w:ascii="Arial" w:eastAsia="Times New Roman" w:hAnsi="Arial" w:cs="Arial"/>
          <w:sz w:val="24"/>
          <w:szCs w:val="24"/>
        </w:rPr>
        <w:t xml:space="preserve"> rejection of a candidate if they score less than 70% in the areas of flexibility and creativity (or less than 65% if essay score is 60% or over). </w:t>
      </w:r>
      <w:r w:rsidR="007D7018">
        <w:rPr>
          <w:rFonts w:asciiTheme="minorBidi" w:eastAsia="Times New Roman" w:hAnsiTheme="minorBidi"/>
          <w:sz w:val="24"/>
          <w:szCs w:val="24"/>
        </w:rPr>
        <w:t xml:space="preserve">A decision was made by the admitting team that </w:t>
      </w:r>
      <w:r w:rsidR="007D7018" w:rsidRPr="007D7018">
        <w:rPr>
          <w:rFonts w:asciiTheme="minorBidi" w:eastAsia="Times New Roman" w:hAnsiTheme="minorBidi"/>
          <w:sz w:val="24"/>
          <w:szCs w:val="24"/>
        </w:rPr>
        <w:t>greater value</w:t>
      </w:r>
      <w:r w:rsidR="007D7018">
        <w:rPr>
          <w:rFonts w:asciiTheme="minorBidi" w:eastAsia="Times New Roman" w:hAnsiTheme="minorBidi"/>
          <w:sz w:val="24"/>
          <w:szCs w:val="24"/>
        </w:rPr>
        <w:t xml:space="preserve"> should be placed</w:t>
      </w:r>
      <w:r w:rsidR="007D7018" w:rsidRPr="007D7018">
        <w:rPr>
          <w:rFonts w:asciiTheme="minorBidi" w:eastAsia="Times New Roman" w:hAnsiTheme="minorBidi"/>
          <w:sz w:val="24"/>
          <w:szCs w:val="24"/>
        </w:rPr>
        <w:t xml:space="preserve"> on skills related to </w:t>
      </w:r>
      <w:r w:rsidR="007D7018">
        <w:rPr>
          <w:rFonts w:asciiTheme="minorBidi" w:eastAsia="Times New Roman" w:hAnsiTheme="minorBidi"/>
          <w:sz w:val="24"/>
          <w:szCs w:val="24"/>
        </w:rPr>
        <w:t xml:space="preserve">the sub-sections of </w:t>
      </w:r>
      <w:r w:rsidR="007D7018" w:rsidRPr="007D7018">
        <w:rPr>
          <w:rFonts w:asciiTheme="minorBidi" w:eastAsia="Times New Roman" w:hAnsiTheme="minorBidi"/>
          <w:sz w:val="24"/>
          <w:szCs w:val="24"/>
        </w:rPr>
        <w:t>flexib</w:t>
      </w:r>
      <w:r w:rsidR="007D7018">
        <w:rPr>
          <w:rFonts w:asciiTheme="minorBidi" w:eastAsia="Times New Roman" w:hAnsiTheme="minorBidi"/>
          <w:sz w:val="24"/>
          <w:szCs w:val="24"/>
        </w:rPr>
        <w:t>ility and creativity as there was general professional agreement these skills were</w:t>
      </w:r>
      <w:r w:rsidR="007D7018" w:rsidRPr="007D7018">
        <w:rPr>
          <w:rFonts w:asciiTheme="minorBidi" w:eastAsia="Times New Roman" w:hAnsiTheme="minorBidi"/>
          <w:sz w:val="24"/>
          <w:szCs w:val="24"/>
        </w:rPr>
        <w:t xml:space="preserve"> considered innate to the individual, whereas </w:t>
      </w:r>
      <w:r w:rsidR="00B9119A">
        <w:rPr>
          <w:rFonts w:asciiTheme="minorBidi" w:eastAsia="Times New Roman" w:hAnsiTheme="minorBidi"/>
          <w:sz w:val="24"/>
          <w:szCs w:val="24"/>
        </w:rPr>
        <w:t xml:space="preserve">the sub-sections of </w:t>
      </w:r>
      <w:r w:rsidR="007D7018" w:rsidRPr="007D7018">
        <w:rPr>
          <w:rFonts w:asciiTheme="minorBidi" w:eastAsia="Times New Roman" w:hAnsiTheme="minorBidi"/>
          <w:sz w:val="24"/>
          <w:szCs w:val="24"/>
        </w:rPr>
        <w:t>decision-making and s</w:t>
      </w:r>
      <w:r w:rsidR="007D7018">
        <w:rPr>
          <w:rFonts w:asciiTheme="minorBidi" w:eastAsia="Times New Roman" w:hAnsiTheme="minorBidi"/>
          <w:sz w:val="24"/>
          <w:szCs w:val="24"/>
        </w:rPr>
        <w:t>elf-efficacy skills were more</w:t>
      </w:r>
      <w:r w:rsidR="007D7018" w:rsidRPr="007D7018">
        <w:rPr>
          <w:rFonts w:asciiTheme="minorBidi" w:eastAsia="Times New Roman" w:hAnsiTheme="minorBidi"/>
          <w:sz w:val="24"/>
          <w:szCs w:val="24"/>
        </w:rPr>
        <w:t xml:space="preserve"> likely to d</w:t>
      </w:r>
      <w:r w:rsidR="00B9119A">
        <w:rPr>
          <w:rFonts w:asciiTheme="minorBidi" w:eastAsia="Times New Roman" w:hAnsiTheme="minorBidi"/>
          <w:sz w:val="24"/>
          <w:szCs w:val="24"/>
        </w:rPr>
        <w:t>evelop over time, alongside</w:t>
      </w:r>
      <w:r w:rsidR="007D7018">
        <w:rPr>
          <w:rFonts w:asciiTheme="minorBidi" w:eastAsia="Times New Roman" w:hAnsiTheme="minorBidi"/>
          <w:sz w:val="24"/>
          <w:szCs w:val="24"/>
        </w:rPr>
        <w:t xml:space="preserve"> the teaching and learning experience</w:t>
      </w:r>
      <w:r w:rsidR="00B9119A">
        <w:rPr>
          <w:rFonts w:asciiTheme="minorBidi" w:eastAsia="Times New Roman" w:hAnsiTheme="minorBidi"/>
          <w:sz w:val="24"/>
          <w:szCs w:val="24"/>
        </w:rPr>
        <w:t>s</w:t>
      </w:r>
      <w:r w:rsidR="007D7018">
        <w:rPr>
          <w:rFonts w:asciiTheme="minorBidi" w:eastAsia="Times New Roman" w:hAnsiTheme="minorBidi"/>
          <w:sz w:val="24"/>
          <w:szCs w:val="24"/>
        </w:rPr>
        <w:t xml:space="preserve"> offered by the 3-year </w:t>
      </w:r>
      <w:r w:rsidR="00B9119A">
        <w:rPr>
          <w:rFonts w:asciiTheme="minorBidi" w:eastAsia="Times New Roman" w:hAnsiTheme="minorBidi"/>
          <w:sz w:val="24"/>
          <w:szCs w:val="24"/>
        </w:rPr>
        <w:t>OT program</w:t>
      </w:r>
      <w:r w:rsidR="007D7018" w:rsidRPr="007D7018">
        <w:rPr>
          <w:rFonts w:asciiTheme="minorBidi" w:eastAsia="Times New Roman" w:hAnsiTheme="minorBidi"/>
          <w:sz w:val="24"/>
          <w:szCs w:val="24"/>
        </w:rPr>
        <w:t>.</w:t>
      </w:r>
      <w:r w:rsidR="007D7018">
        <w:rPr>
          <w:rFonts w:asciiTheme="majorBidi" w:eastAsia="Times New Roman" w:hAnsiTheme="majorBidi" w:cstheme="majorBidi"/>
          <w:sz w:val="24"/>
          <w:szCs w:val="24"/>
        </w:rPr>
        <w:t xml:space="preserve"> </w:t>
      </w:r>
      <w:r>
        <w:rPr>
          <w:rFonts w:ascii="Arial" w:eastAsia="Times New Roman" w:hAnsi="Arial" w:cs="Arial"/>
          <w:sz w:val="24"/>
          <w:szCs w:val="24"/>
        </w:rPr>
        <w:t>A</w:t>
      </w:r>
      <w:r w:rsidRPr="00E21894">
        <w:rPr>
          <w:rFonts w:ascii="Arial" w:eastAsia="Times New Roman" w:hAnsi="Arial" w:cs="Arial"/>
          <w:sz w:val="24"/>
          <w:szCs w:val="24"/>
        </w:rPr>
        <w:t>nalysis of the</w:t>
      </w:r>
      <w:r>
        <w:rPr>
          <w:rFonts w:ascii="Arial" w:eastAsia="Times New Roman" w:hAnsi="Arial" w:cs="Arial"/>
          <w:sz w:val="24"/>
          <w:szCs w:val="24"/>
        </w:rPr>
        <w:t>se</w:t>
      </w:r>
      <w:r w:rsidRPr="00E21894">
        <w:rPr>
          <w:rFonts w:ascii="Arial" w:eastAsia="Times New Roman" w:hAnsi="Arial" w:cs="Arial"/>
          <w:sz w:val="24"/>
          <w:szCs w:val="24"/>
        </w:rPr>
        <w:t xml:space="preserve"> data</w:t>
      </w:r>
      <w:r>
        <w:rPr>
          <w:rFonts w:ascii="Arial" w:eastAsia="Times New Roman" w:hAnsi="Arial" w:cs="Arial"/>
          <w:sz w:val="24"/>
          <w:szCs w:val="24"/>
        </w:rPr>
        <w:t xml:space="preserve"> sets</w:t>
      </w:r>
      <w:r w:rsidRPr="00E21894">
        <w:rPr>
          <w:rFonts w:ascii="Arial" w:eastAsia="Times New Roman" w:hAnsi="Arial" w:cs="Arial"/>
          <w:sz w:val="24"/>
          <w:szCs w:val="24"/>
        </w:rPr>
        <w:t xml:space="preserve"> suggest </w:t>
      </w:r>
      <w:r w:rsidR="00DD463A">
        <w:rPr>
          <w:rFonts w:ascii="Arial" w:eastAsia="Times New Roman" w:hAnsi="Arial" w:cs="Arial"/>
          <w:sz w:val="24"/>
          <w:szCs w:val="24"/>
        </w:rPr>
        <w:t xml:space="preserve">that </w:t>
      </w:r>
      <w:r w:rsidRPr="00E21894">
        <w:rPr>
          <w:rFonts w:ascii="Arial" w:eastAsia="Times New Roman" w:hAnsi="Arial" w:cs="Arial"/>
          <w:sz w:val="24"/>
          <w:szCs w:val="24"/>
        </w:rPr>
        <w:t xml:space="preserve">there were nine reported frequencies across six individuals scoring below 65% (flexibility </w:t>
      </w:r>
      <w:r w:rsidRPr="00E21894">
        <w:rPr>
          <w:rFonts w:ascii="Arial" w:eastAsia="Times New Roman" w:hAnsi="Arial" w:cs="Arial"/>
          <w:i/>
          <w:iCs/>
          <w:sz w:val="24"/>
          <w:szCs w:val="24"/>
        </w:rPr>
        <w:t>n</w:t>
      </w:r>
      <w:r w:rsidRPr="00E21894">
        <w:rPr>
          <w:rFonts w:ascii="Arial" w:eastAsia="Times New Roman" w:hAnsi="Arial" w:cs="Arial"/>
          <w:sz w:val="24"/>
          <w:szCs w:val="24"/>
        </w:rPr>
        <w:t xml:space="preserve">=2; creativity </w:t>
      </w:r>
      <w:r w:rsidRPr="00E21894">
        <w:rPr>
          <w:rFonts w:ascii="Arial" w:eastAsia="Times New Roman" w:hAnsi="Arial" w:cs="Arial"/>
          <w:i/>
          <w:iCs/>
          <w:sz w:val="24"/>
          <w:szCs w:val="24"/>
        </w:rPr>
        <w:t xml:space="preserve">n </w:t>
      </w:r>
      <w:r w:rsidRPr="00E21894">
        <w:rPr>
          <w:rFonts w:ascii="Arial" w:eastAsia="Times New Roman" w:hAnsi="Arial" w:cs="Arial"/>
          <w:sz w:val="24"/>
          <w:szCs w:val="24"/>
        </w:rPr>
        <w:t xml:space="preserve">=1) and between 65% and 69% (flexibility </w:t>
      </w:r>
      <w:r w:rsidRPr="00E21894">
        <w:rPr>
          <w:rFonts w:ascii="Arial" w:eastAsia="Times New Roman" w:hAnsi="Arial" w:cs="Arial"/>
          <w:i/>
          <w:iCs/>
          <w:sz w:val="24"/>
          <w:szCs w:val="24"/>
        </w:rPr>
        <w:t>n</w:t>
      </w:r>
      <w:r w:rsidRPr="00E21894">
        <w:rPr>
          <w:rFonts w:ascii="Arial" w:eastAsia="Times New Roman" w:hAnsi="Arial" w:cs="Arial"/>
          <w:sz w:val="24"/>
          <w:szCs w:val="24"/>
        </w:rPr>
        <w:t xml:space="preserve">=4; creativity </w:t>
      </w:r>
      <w:r w:rsidRPr="00E21894">
        <w:rPr>
          <w:rFonts w:ascii="Arial" w:eastAsia="Times New Roman" w:hAnsi="Arial" w:cs="Arial"/>
          <w:i/>
          <w:iCs/>
          <w:sz w:val="24"/>
          <w:szCs w:val="24"/>
        </w:rPr>
        <w:t>n=</w:t>
      </w:r>
      <w:r w:rsidRPr="00E21894">
        <w:rPr>
          <w:rFonts w:ascii="Arial" w:eastAsia="Times New Roman" w:hAnsi="Arial" w:cs="Arial"/>
          <w:sz w:val="24"/>
          <w:szCs w:val="24"/>
        </w:rPr>
        <w:t>2), all of which were admitted to the program and went on to graduate</w:t>
      </w:r>
      <w:r>
        <w:rPr>
          <w:rFonts w:ascii="Arial" w:eastAsia="Times New Roman" w:hAnsi="Arial" w:cs="Arial"/>
          <w:sz w:val="24"/>
          <w:szCs w:val="24"/>
        </w:rPr>
        <w:t>.</w:t>
      </w:r>
      <w:r w:rsidR="005B5D53">
        <w:rPr>
          <w:rFonts w:ascii="Arial" w:eastAsia="Times New Roman" w:hAnsi="Arial" w:cs="Arial"/>
          <w:sz w:val="24"/>
          <w:szCs w:val="24"/>
        </w:rPr>
        <w:t xml:space="preserve"> As the minimum scores for the non-cognitive assessments were set internally (as opposed to centrally by </w:t>
      </w:r>
      <w:r w:rsidR="00C242FA">
        <w:rPr>
          <w:rFonts w:ascii="Arial" w:eastAsia="Times New Roman" w:hAnsi="Arial" w:cs="Arial"/>
          <w:sz w:val="24"/>
          <w:szCs w:val="24"/>
        </w:rPr>
        <w:t xml:space="preserve">the </w:t>
      </w:r>
      <w:r w:rsidR="005B5D53">
        <w:rPr>
          <w:rFonts w:ascii="Arial" w:eastAsia="Times New Roman" w:hAnsi="Arial" w:cs="Arial"/>
          <w:sz w:val="24"/>
          <w:szCs w:val="24"/>
        </w:rPr>
        <w:t>university), the OT</w:t>
      </w:r>
      <w:r w:rsidR="00C242FA">
        <w:rPr>
          <w:rFonts w:ascii="Arial" w:eastAsia="Times New Roman" w:hAnsi="Arial" w:cs="Arial"/>
          <w:sz w:val="24"/>
          <w:szCs w:val="24"/>
        </w:rPr>
        <w:t xml:space="preserve"> team were able to exercise</w:t>
      </w:r>
      <w:r w:rsidR="005B5D53">
        <w:rPr>
          <w:rFonts w:ascii="Arial" w:eastAsia="Times New Roman" w:hAnsi="Arial" w:cs="Arial"/>
          <w:sz w:val="24"/>
          <w:szCs w:val="24"/>
        </w:rPr>
        <w:t xml:space="preserve"> flexibility over acceptance to the program</w:t>
      </w:r>
      <w:r w:rsidR="00C242FA">
        <w:rPr>
          <w:rFonts w:ascii="Arial" w:eastAsia="Times New Roman" w:hAnsi="Arial" w:cs="Arial"/>
          <w:sz w:val="24"/>
          <w:szCs w:val="24"/>
        </w:rPr>
        <w:t>, which was likely based on a holistic view of the candidate’s overall application (UCAS personal statement, academic reference and general presentation on the selection day).</w:t>
      </w:r>
      <w:r w:rsidR="005B5D53">
        <w:rPr>
          <w:rFonts w:ascii="Arial" w:eastAsia="Times New Roman" w:hAnsi="Arial" w:cs="Arial"/>
          <w:sz w:val="24"/>
          <w:szCs w:val="24"/>
        </w:rPr>
        <w:t xml:space="preserve"> </w:t>
      </w:r>
    </w:p>
    <w:p w14:paraId="2636D972" w14:textId="77777777" w:rsidR="00D173CF" w:rsidRDefault="00D173CF" w:rsidP="00D173CF">
      <w:pPr>
        <w:spacing w:line="240" w:lineRule="auto"/>
        <w:jc w:val="both"/>
        <w:rPr>
          <w:rFonts w:ascii="Arial" w:eastAsia="Times New Roman" w:hAnsi="Arial" w:cs="Arial"/>
          <w:sz w:val="24"/>
          <w:szCs w:val="24"/>
        </w:rPr>
      </w:pPr>
    </w:p>
    <w:p w14:paraId="2140C408" w14:textId="77777777" w:rsidR="00D173CF" w:rsidRPr="00AB3369" w:rsidRDefault="00D173CF" w:rsidP="00D173CF">
      <w:pPr>
        <w:spacing w:line="240" w:lineRule="auto"/>
        <w:jc w:val="both"/>
        <w:rPr>
          <w:rFonts w:ascii="Arial" w:eastAsia="Times New Roman" w:hAnsi="Arial" w:cs="Arial"/>
          <w:sz w:val="24"/>
          <w:szCs w:val="24"/>
        </w:rPr>
      </w:pPr>
      <w:r w:rsidRPr="00AB3369">
        <w:rPr>
          <w:rFonts w:ascii="Arial" w:eastAsia="Times New Roman" w:hAnsi="Arial" w:cs="Arial"/>
          <w:b/>
          <w:bCs/>
          <w:iCs/>
          <w:sz w:val="24"/>
          <w:szCs w:val="24"/>
        </w:rPr>
        <w:t>Inferential Statistics – Local and National Statistics</w:t>
      </w:r>
    </w:p>
    <w:p w14:paraId="4CAD23AC" w14:textId="61F33E6F" w:rsidR="00D173CF" w:rsidRDefault="00D173CF" w:rsidP="00D173CF">
      <w:pPr>
        <w:spacing w:line="240" w:lineRule="auto"/>
        <w:rPr>
          <w:rFonts w:ascii="Arial" w:eastAsia="Times New Roman" w:hAnsi="Arial" w:cs="Arial"/>
          <w:sz w:val="24"/>
          <w:szCs w:val="24"/>
        </w:rPr>
      </w:pPr>
      <w:r w:rsidRPr="00E21894">
        <w:rPr>
          <w:rFonts w:ascii="Arial" w:eastAsia="Times New Roman" w:hAnsi="Arial" w:cs="Arial"/>
          <w:sz w:val="24"/>
          <w:szCs w:val="24"/>
        </w:rPr>
        <w:t>A review of national occupational therapy graduate data</w:t>
      </w:r>
      <w:r>
        <w:rPr>
          <w:rFonts w:ascii="Arial" w:eastAsia="Times New Roman" w:hAnsi="Arial" w:cs="Arial"/>
          <w:sz w:val="24"/>
          <w:szCs w:val="24"/>
        </w:rPr>
        <w:t xml:space="preserve"> </w:t>
      </w:r>
      <w:r>
        <w:rPr>
          <w:rFonts w:ascii="Arial" w:eastAsia="Times New Roman" w:hAnsi="Arial" w:cs="Arial"/>
          <w:sz w:val="24"/>
          <w:szCs w:val="24"/>
        </w:rPr>
        <w:fldChar w:fldCharType="begin" w:fldLock="1"/>
      </w:r>
      <w:r>
        <w:rPr>
          <w:rFonts w:ascii="Arial" w:eastAsia="Times New Roman" w:hAnsi="Arial" w:cs="Arial"/>
          <w:sz w:val="24"/>
          <w:szCs w:val="24"/>
        </w:rPr>
        <w:instrText>ADDIN CSL_CITATION {"citationItems":[{"id":"ITEM-1","itemData":{"author":[{"dropping-particle":"","family":"College of Occupational Therapists","given":"","non-dropping-particle":"","parse-names":false,"suffix":""}],"id":"ITEM-1","issued":{"date-parts":[["2014"]]},"title":"Report of the Annual Monitoring of Accredited Pre-Registration Programmes Academic Year 2014 / 15","type":"article-journal"},"uris":["http://www.mendeley.com/documents/?uuid=0e68f3e9-592c-4fb3-b572-fa1047989446"]}],"mendeley":{"formattedCitation":"(College of Occupational Therapists, 2014b)","plainTextFormattedCitation":"(College of Occupational Therapists, 2014b)","previouslyFormattedCitation":"(College of Occupational Therapists, 2014b)"},"properties":{"noteIndex":0},"schema":"https://github.com/citation-style-language/schema/raw/master/csl-citation.json"}</w:instrText>
      </w:r>
      <w:r>
        <w:rPr>
          <w:rFonts w:ascii="Arial" w:eastAsia="Times New Roman" w:hAnsi="Arial" w:cs="Arial"/>
          <w:sz w:val="24"/>
          <w:szCs w:val="24"/>
        </w:rPr>
        <w:fldChar w:fldCharType="separate"/>
      </w:r>
      <w:r w:rsidRPr="00037C10">
        <w:rPr>
          <w:rFonts w:ascii="Arial" w:eastAsia="Times New Roman" w:hAnsi="Arial" w:cs="Arial"/>
          <w:noProof/>
          <w:sz w:val="24"/>
          <w:szCs w:val="24"/>
        </w:rPr>
        <w:t>(College of Occupational Therapists, 2014b)</w:t>
      </w:r>
      <w:r>
        <w:rPr>
          <w:rFonts w:ascii="Arial" w:eastAsia="Times New Roman" w:hAnsi="Arial" w:cs="Arial"/>
          <w:sz w:val="24"/>
          <w:szCs w:val="24"/>
        </w:rPr>
        <w:fldChar w:fldCharType="end"/>
      </w:r>
      <w:r w:rsidRPr="00E21894">
        <w:rPr>
          <w:rFonts w:ascii="Arial" w:eastAsia="Times New Roman" w:hAnsi="Arial" w:cs="Arial"/>
          <w:sz w:val="24"/>
          <w:szCs w:val="24"/>
        </w:rPr>
        <w:t xml:space="preserve"> allows some comparison with the local sample</w:t>
      </w:r>
      <w:r>
        <w:rPr>
          <w:rFonts w:ascii="Arial" w:eastAsia="Times New Roman" w:hAnsi="Arial" w:cs="Arial"/>
          <w:sz w:val="24"/>
          <w:szCs w:val="24"/>
        </w:rPr>
        <w:t xml:space="preserve">. The </w:t>
      </w:r>
      <w:r w:rsidRPr="00682819">
        <w:rPr>
          <w:rFonts w:ascii="Arial" w:eastAsia="Times New Roman" w:hAnsi="Arial" w:cs="Arial"/>
          <w:sz w:val="24"/>
          <w:szCs w:val="24"/>
        </w:rPr>
        <w:t xml:space="preserve">three </w:t>
      </w:r>
      <w:r>
        <w:rPr>
          <w:rFonts w:ascii="Arial" w:eastAsia="Times New Roman" w:hAnsi="Arial" w:cs="Arial"/>
          <w:sz w:val="24"/>
          <w:szCs w:val="24"/>
        </w:rPr>
        <w:t>program</w:t>
      </w:r>
      <w:r w:rsidRPr="00682819">
        <w:rPr>
          <w:rFonts w:ascii="Arial" w:eastAsia="Times New Roman" w:hAnsi="Arial" w:cs="Arial"/>
          <w:sz w:val="24"/>
          <w:szCs w:val="24"/>
        </w:rPr>
        <w:t xml:space="preserve"> withdrawals account for a 7% attrition rate (of the original sample of 44), which compares to th</w:t>
      </w:r>
      <w:r>
        <w:rPr>
          <w:rFonts w:ascii="Arial" w:eastAsia="Times New Roman" w:hAnsi="Arial" w:cs="Arial"/>
          <w:sz w:val="24"/>
          <w:szCs w:val="24"/>
        </w:rPr>
        <w:t xml:space="preserve">e UK-wide average of 8%. As can be seen in table 8, </w:t>
      </w:r>
      <w:r w:rsidR="00E544DB">
        <w:rPr>
          <w:rFonts w:ascii="Arial" w:eastAsia="Times New Roman" w:hAnsi="Arial" w:cs="Arial"/>
          <w:sz w:val="24"/>
          <w:szCs w:val="24"/>
        </w:rPr>
        <w:t xml:space="preserve">UK degree </w:t>
      </w:r>
      <w:r>
        <w:rPr>
          <w:rFonts w:ascii="Arial" w:eastAsia="Times New Roman" w:hAnsi="Arial" w:cs="Arial"/>
          <w:sz w:val="24"/>
          <w:szCs w:val="24"/>
        </w:rPr>
        <w:t>classifications awarded at both a local and national level show a general trend in terms of distribution with the highest percentage awarded at 2</w:t>
      </w:r>
      <w:r w:rsidRPr="00E11944">
        <w:rPr>
          <w:rFonts w:ascii="Arial" w:eastAsia="Times New Roman" w:hAnsi="Arial" w:cs="Arial"/>
          <w:sz w:val="24"/>
          <w:szCs w:val="24"/>
          <w:vertAlign w:val="superscript"/>
        </w:rPr>
        <w:t>nd</w:t>
      </w:r>
      <w:r>
        <w:rPr>
          <w:rFonts w:ascii="Arial" w:eastAsia="Times New Roman" w:hAnsi="Arial" w:cs="Arial"/>
          <w:sz w:val="24"/>
          <w:szCs w:val="24"/>
        </w:rPr>
        <w:t xml:space="preserve"> Class (upper</w:t>
      </w:r>
      <w:r w:rsidR="006162BA">
        <w:rPr>
          <w:rFonts w:ascii="Arial" w:eastAsia="Times New Roman" w:hAnsi="Arial" w:cs="Arial"/>
          <w:sz w:val="24"/>
          <w:szCs w:val="24"/>
        </w:rPr>
        <w:t>, equivalent to Grade B</w:t>
      </w:r>
      <w:r>
        <w:rPr>
          <w:rFonts w:ascii="Arial" w:eastAsia="Times New Roman" w:hAnsi="Arial" w:cs="Arial"/>
          <w:sz w:val="24"/>
          <w:szCs w:val="24"/>
        </w:rPr>
        <w:t>) (59% local; 42% national), followed by 1</w:t>
      </w:r>
      <w:r w:rsidRPr="00E11944">
        <w:rPr>
          <w:rFonts w:ascii="Arial" w:eastAsia="Times New Roman" w:hAnsi="Arial" w:cs="Arial"/>
          <w:sz w:val="24"/>
          <w:szCs w:val="24"/>
          <w:vertAlign w:val="superscript"/>
        </w:rPr>
        <w:t>st</w:t>
      </w:r>
      <w:r>
        <w:rPr>
          <w:rFonts w:ascii="Arial" w:eastAsia="Times New Roman" w:hAnsi="Arial" w:cs="Arial"/>
          <w:sz w:val="24"/>
          <w:szCs w:val="24"/>
        </w:rPr>
        <w:t xml:space="preserve"> Class</w:t>
      </w:r>
      <w:r w:rsidR="006162BA">
        <w:rPr>
          <w:rFonts w:ascii="Arial" w:eastAsia="Times New Roman" w:hAnsi="Arial" w:cs="Arial"/>
          <w:sz w:val="24"/>
          <w:szCs w:val="24"/>
        </w:rPr>
        <w:t>, equivalent to Grade A</w:t>
      </w:r>
      <w:r>
        <w:rPr>
          <w:rFonts w:ascii="Arial" w:eastAsia="Times New Roman" w:hAnsi="Arial" w:cs="Arial"/>
          <w:sz w:val="24"/>
          <w:szCs w:val="24"/>
        </w:rPr>
        <w:t xml:space="preserve"> (22% local; 30% national), 2</w:t>
      </w:r>
      <w:r w:rsidRPr="00E11944">
        <w:rPr>
          <w:rFonts w:ascii="Arial" w:eastAsia="Times New Roman" w:hAnsi="Arial" w:cs="Arial"/>
          <w:sz w:val="24"/>
          <w:szCs w:val="24"/>
          <w:vertAlign w:val="superscript"/>
        </w:rPr>
        <w:t>nd</w:t>
      </w:r>
      <w:r>
        <w:rPr>
          <w:rFonts w:ascii="Arial" w:eastAsia="Times New Roman" w:hAnsi="Arial" w:cs="Arial"/>
          <w:sz w:val="24"/>
          <w:szCs w:val="24"/>
        </w:rPr>
        <w:t xml:space="preserve"> Class (lower</w:t>
      </w:r>
      <w:r w:rsidR="006162BA">
        <w:rPr>
          <w:rFonts w:ascii="Arial" w:eastAsia="Times New Roman" w:hAnsi="Arial" w:cs="Arial"/>
          <w:sz w:val="24"/>
          <w:szCs w:val="24"/>
        </w:rPr>
        <w:t>, equivalent to Grade C</w:t>
      </w:r>
      <w:r>
        <w:rPr>
          <w:rFonts w:ascii="Arial" w:eastAsia="Times New Roman" w:hAnsi="Arial" w:cs="Arial"/>
          <w:sz w:val="24"/>
          <w:szCs w:val="24"/>
        </w:rPr>
        <w:t>) (15% local; 24% national) and 3</w:t>
      </w:r>
      <w:r w:rsidRPr="00E11944">
        <w:rPr>
          <w:rFonts w:ascii="Arial" w:eastAsia="Times New Roman" w:hAnsi="Arial" w:cs="Arial"/>
          <w:sz w:val="24"/>
          <w:szCs w:val="24"/>
          <w:vertAlign w:val="superscript"/>
        </w:rPr>
        <w:t>rd</w:t>
      </w:r>
      <w:r>
        <w:rPr>
          <w:rFonts w:ascii="Arial" w:eastAsia="Times New Roman" w:hAnsi="Arial" w:cs="Arial"/>
          <w:sz w:val="24"/>
          <w:szCs w:val="24"/>
        </w:rPr>
        <w:t xml:space="preserve"> Class</w:t>
      </w:r>
      <w:r w:rsidR="006162BA">
        <w:rPr>
          <w:rFonts w:ascii="Arial" w:eastAsia="Times New Roman" w:hAnsi="Arial" w:cs="Arial"/>
          <w:sz w:val="24"/>
          <w:szCs w:val="24"/>
        </w:rPr>
        <w:t>, equivalent to Grade D</w:t>
      </w:r>
      <w:r>
        <w:rPr>
          <w:rFonts w:ascii="Arial" w:eastAsia="Times New Roman" w:hAnsi="Arial" w:cs="Arial"/>
          <w:sz w:val="24"/>
          <w:szCs w:val="24"/>
        </w:rPr>
        <w:t xml:space="preserve"> (4% at both local and national).</w:t>
      </w:r>
    </w:p>
    <w:p w14:paraId="7E1F330F" w14:textId="77777777" w:rsidR="006162BA" w:rsidRDefault="006162BA" w:rsidP="00D173CF">
      <w:pPr>
        <w:spacing w:line="240" w:lineRule="auto"/>
        <w:jc w:val="both"/>
        <w:rPr>
          <w:rFonts w:ascii="Arial" w:eastAsia="Times New Roman" w:hAnsi="Arial" w:cs="Arial"/>
          <w:sz w:val="24"/>
          <w:szCs w:val="24"/>
        </w:rPr>
      </w:pPr>
    </w:p>
    <w:p w14:paraId="01E828A9" w14:textId="77777777" w:rsidR="00D173CF" w:rsidRPr="00682819" w:rsidRDefault="00D173CF" w:rsidP="00D173CF">
      <w:pPr>
        <w:spacing w:line="240" w:lineRule="auto"/>
        <w:jc w:val="both"/>
        <w:rPr>
          <w:rFonts w:ascii="Arial" w:eastAsia="Times New Roman" w:hAnsi="Arial" w:cs="Arial"/>
          <w:bCs/>
          <w:i/>
          <w:iCs/>
          <w:sz w:val="24"/>
          <w:szCs w:val="24"/>
        </w:rPr>
      </w:pPr>
      <w:r>
        <w:rPr>
          <w:rFonts w:ascii="Arial" w:eastAsia="Times New Roman" w:hAnsi="Arial" w:cs="Arial"/>
          <w:bCs/>
          <w:i/>
          <w:iCs/>
          <w:sz w:val="24"/>
          <w:szCs w:val="24"/>
        </w:rPr>
        <w:t>Table 8</w:t>
      </w:r>
      <w:r w:rsidRPr="00682819">
        <w:rPr>
          <w:rFonts w:ascii="Arial" w:eastAsia="Times New Roman" w:hAnsi="Arial" w:cs="Arial"/>
          <w:bCs/>
          <w:i/>
          <w:iCs/>
          <w:sz w:val="24"/>
          <w:szCs w:val="24"/>
        </w:rPr>
        <w:t xml:space="preserve">: Final occupational therapy degree classifications awarded locally (2019) and nationally (2015) for UK undergraduate occupational therapy students. </w:t>
      </w:r>
    </w:p>
    <w:tbl>
      <w:tblPr>
        <w:tblStyle w:val="TableGrid"/>
        <w:tblW w:w="0" w:type="auto"/>
        <w:tblLook w:val="04A0" w:firstRow="1" w:lastRow="0" w:firstColumn="1" w:lastColumn="0" w:noHBand="0" w:noVBand="1"/>
      </w:tblPr>
      <w:tblGrid>
        <w:gridCol w:w="1091"/>
        <w:gridCol w:w="1057"/>
        <w:gridCol w:w="527"/>
        <w:gridCol w:w="1057"/>
        <w:gridCol w:w="526"/>
        <w:gridCol w:w="1057"/>
        <w:gridCol w:w="525"/>
        <w:gridCol w:w="1057"/>
        <w:gridCol w:w="487"/>
        <w:gridCol w:w="1048"/>
        <w:gridCol w:w="584"/>
      </w:tblGrid>
      <w:tr w:rsidR="00D173CF" w:rsidRPr="00E21894" w14:paraId="137D526D" w14:textId="77777777" w:rsidTr="00EB0272">
        <w:tc>
          <w:tcPr>
            <w:tcW w:w="1091" w:type="dxa"/>
            <w:shd w:val="clear" w:color="auto" w:fill="A6A6A6" w:themeFill="background1" w:themeFillShade="A6"/>
          </w:tcPr>
          <w:p w14:paraId="426C9876" w14:textId="77777777" w:rsidR="00D173CF" w:rsidRPr="00E71327" w:rsidRDefault="00D173CF" w:rsidP="00EB0272">
            <w:pPr>
              <w:rPr>
                <w:rFonts w:ascii="Arial" w:eastAsia="Times New Roman" w:hAnsi="Arial" w:cs="Arial"/>
                <w:b/>
                <w:bCs/>
                <w:i/>
                <w:iCs/>
              </w:rPr>
            </w:pPr>
          </w:p>
        </w:tc>
        <w:tc>
          <w:tcPr>
            <w:tcW w:w="1584" w:type="dxa"/>
            <w:gridSpan w:val="2"/>
            <w:shd w:val="clear" w:color="auto" w:fill="A6A6A6" w:themeFill="background1" w:themeFillShade="A6"/>
          </w:tcPr>
          <w:p w14:paraId="5B21C221" w14:textId="77777777" w:rsidR="00D173CF" w:rsidRDefault="00D173CF" w:rsidP="00EB0272">
            <w:pPr>
              <w:rPr>
                <w:rFonts w:ascii="Arial" w:eastAsia="Times New Roman" w:hAnsi="Arial" w:cs="Arial"/>
                <w:b/>
                <w:bCs/>
              </w:rPr>
            </w:pPr>
            <w:r w:rsidRPr="00E71327">
              <w:rPr>
                <w:rFonts w:ascii="Arial" w:eastAsia="Times New Roman" w:hAnsi="Arial" w:cs="Arial"/>
                <w:b/>
                <w:bCs/>
              </w:rPr>
              <w:t>1</w:t>
            </w:r>
            <w:r w:rsidRPr="00E71327">
              <w:rPr>
                <w:rFonts w:ascii="Arial" w:eastAsia="Times New Roman" w:hAnsi="Arial" w:cs="Arial"/>
                <w:b/>
                <w:bCs/>
                <w:vertAlign w:val="superscript"/>
              </w:rPr>
              <w:t>st</w:t>
            </w:r>
            <w:r w:rsidRPr="00E71327">
              <w:rPr>
                <w:rFonts w:ascii="Arial" w:eastAsia="Times New Roman" w:hAnsi="Arial" w:cs="Arial"/>
                <w:b/>
                <w:bCs/>
              </w:rPr>
              <w:t xml:space="preserve"> Class</w:t>
            </w:r>
            <w:r>
              <w:rPr>
                <w:rFonts w:ascii="Arial" w:eastAsia="Times New Roman" w:hAnsi="Arial" w:cs="Arial"/>
                <w:b/>
                <w:bCs/>
              </w:rPr>
              <w:t xml:space="preserve"> </w:t>
            </w:r>
          </w:p>
          <w:p w14:paraId="392165F9" w14:textId="77777777" w:rsidR="00D173CF" w:rsidRDefault="00D173CF" w:rsidP="00EB0272">
            <w:pPr>
              <w:rPr>
                <w:rFonts w:ascii="Arial" w:eastAsia="Times New Roman" w:hAnsi="Arial" w:cs="Arial"/>
                <w:b/>
                <w:bCs/>
              </w:rPr>
            </w:pPr>
          </w:p>
          <w:p w14:paraId="557890F2" w14:textId="77777777" w:rsidR="006162BA" w:rsidRDefault="006162BA" w:rsidP="00EB0272">
            <w:pPr>
              <w:rPr>
                <w:rFonts w:ascii="Arial" w:eastAsia="Times New Roman" w:hAnsi="Arial" w:cs="Arial"/>
                <w:b/>
                <w:bCs/>
              </w:rPr>
            </w:pPr>
          </w:p>
          <w:p w14:paraId="5151D035" w14:textId="3DFE8E19" w:rsidR="00D173CF" w:rsidRPr="00E71327" w:rsidRDefault="00D173CF" w:rsidP="00EB0272">
            <w:pPr>
              <w:rPr>
                <w:rFonts w:ascii="Arial" w:eastAsia="Times New Roman" w:hAnsi="Arial" w:cs="Arial"/>
                <w:b/>
                <w:bCs/>
              </w:rPr>
            </w:pPr>
            <w:r>
              <w:rPr>
                <w:rFonts w:ascii="Arial" w:eastAsia="Times New Roman" w:hAnsi="Arial" w:cs="Arial"/>
                <w:b/>
                <w:bCs/>
              </w:rPr>
              <w:t>(70%+</w:t>
            </w:r>
            <w:r w:rsidR="006162BA">
              <w:rPr>
                <w:rFonts w:ascii="Arial" w:eastAsia="Times New Roman" w:hAnsi="Arial" w:cs="Arial"/>
                <w:b/>
                <w:bCs/>
              </w:rPr>
              <w:t xml:space="preserve"> or Grade A</w:t>
            </w:r>
            <w:r>
              <w:rPr>
                <w:rFonts w:ascii="Arial" w:eastAsia="Times New Roman" w:hAnsi="Arial" w:cs="Arial"/>
                <w:b/>
                <w:bCs/>
              </w:rPr>
              <w:t>)</w:t>
            </w:r>
          </w:p>
        </w:tc>
        <w:tc>
          <w:tcPr>
            <w:tcW w:w="1583" w:type="dxa"/>
            <w:gridSpan w:val="2"/>
            <w:shd w:val="clear" w:color="auto" w:fill="A6A6A6" w:themeFill="background1" w:themeFillShade="A6"/>
          </w:tcPr>
          <w:p w14:paraId="4AAD576C" w14:textId="77777777" w:rsidR="00D173CF" w:rsidRDefault="00D173CF" w:rsidP="00EB0272">
            <w:pPr>
              <w:rPr>
                <w:rFonts w:ascii="Arial" w:eastAsia="Times New Roman" w:hAnsi="Arial" w:cs="Arial"/>
                <w:b/>
                <w:bCs/>
              </w:rPr>
            </w:pPr>
            <w:r w:rsidRPr="00E71327">
              <w:rPr>
                <w:rFonts w:ascii="Arial" w:eastAsia="Times New Roman" w:hAnsi="Arial" w:cs="Arial"/>
                <w:b/>
                <w:bCs/>
              </w:rPr>
              <w:t>2</w:t>
            </w:r>
            <w:r w:rsidRPr="00E71327">
              <w:rPr>
                <w:rFonts w:ascii="Arial" w:eastAsia="Times New Roman" w:hAnsi="Arial" w:cs="Arial"/>
                <w:b/>
                <w:bCs/>
                <w:vertAlign w:val="superscript"/>
              </w:rPr>
              <w:t>nd</w:t>
            </w:r>
            <w:r w:rsidRPr="00E71327">
              <w:rPr>
                <w:rFonts w:ascii="Arial" w:eastAsia="Times New Roman" w:hAnsi="Arial" w:cs="Arial"/>
                <w:b/>
                <w:bCs/>
              </w:rPr>
              <w:t xml:space="preserve"> Class (upper)</w:t>
            </w:r>
          </w:p>
          <w:p w14:paraId="4DBFE31C" w14:textId="77777777" w:rsidR="006162BA" w:rsidRDefault="006162BA" w:rsidP="00EB0272">
            <w:pPr>
              <w:rPr>
                <w:rFonts w:ascii="Arial" w:eastAsia="Times New Roman" w:hAnsi="Arial" w:cs="Arial"/>
                <w:b/>
                <w:bCs/>
              </w:rPr>
            </w:pPr>
          </w:p>
          <w:p w14:paraId="76FF9FB9" w14:textId="699E2374" w:rsidR="00D173CF" w:rsidRPr="00E71327" w:rsidRDefault="00D173CF" w:rsidP="00EB0272">
            <w:pPr>
              <w:rPr>
                <w:rFonts w:ascii="Arial" w:eastAsia="Times New Roman" w:hAnsi="Arial" w:cs="Arial"/>
                <w:b/>
                <w:bCs/>
              </w:rPr>
            </w:pPr>
            <w:r>
              <w:rPr>
                <w:rFonts w:ascii="Arial" w:eastAsia="Times New Roman" w:hAnsi="Arial" w:cs="Arial"/>
                <w:b/>
                <w:bCs/>
              </w:rPr>
              <w:t>(60% - 69%</w:t>
            </w:r>
            <w:r w:rsidR="006162BA">
              <w:rPr>
                <w:rFonts w:ascii="Arial" w:eastAsia="Times New Roman" w:hAnsi="Arial" w:cs="Arial"/>
                <w:b/>
                <w:bCs/>
              </w:rPr>
              <w:t xml:space="preserve"> or Grade B</w:t>
            </w:r>
            <w:r>
              <w:rPr>
                <w:rFonts w:ascii="Arial" w:eastAsia="Times New Roman" w:hAnsi="Arial" w:cs="Arial"/>
                <w:b/>
                <w:bCs/>
              </w:rPr>
              <w:t>)</w:t>
            </w:r>
          </w:p>
        </w:tc>
        <w:tc>
          <w:tcPr>
            <w:tcW w:w="1582" w:type="dxa"/>
            <w:gridSpan w:val="2"/>
            <w:shd w:val="clear" w:color="auto" w:fill="A6A6A6" w:themeFill="background1" w:themeFillShade="A6"/>
          </w:tcPr>
          <w:p w14:paraId="479F8613" w14:textId="77777777" w:rsidR="00D173CF" w:rsidRDefault="00D173CF" w:rsidP="00EB0272">
            <w:pPr>
              <w:rPr>
                <w:rFonts w:ascii="Arial" w:eastAsia="Times New Roman" w:hAnsi="Arial" w:cs="Arial"/>
                <w:b/>
                <w:bCs/>
              </w:rPr>
            </w:pPr>
            <w:r w:rsidRPr="00E71327">
              <w:rPr>
                <w:rFonts w:ascii="Arial" w:eastAsia="Times New Roman" w:hAnsi="Arial" w:cs="Arial"/>
                <w:b/>
                <w:bCs/>
              </w:rPr>
              <w:t>2</w:t>
            </w:r>
            <w:r w:rsidRPr="00E71327">
              <w:rPr>
                <w:rFonts w:ascii="Arial" w:eastAsia="Times New Roman" w:hAnsi="Arial" w:cs="Arial"/>
                <w:b/>
                <w:bCs/>
                <w:vertAlign w:val="superscript"/>
              </w:rPr>
              <w:t>nd</w:t>
            </w:r>
            <w:r w:rsidRPr="00E71327">
              <w:rPr>
                <w:rFonts w:ascii="Arial" w:eastAsia="Times New Roman" w:hAnsi="Arial" w:cs="Arial"/>
                <w:b/>
                <w:bCs/>
              </w:rPr>
              <w:t xml:space="preserve"> Class (lower)</w:t>
            </w:r>
          </w:p>
          <w:p w14:paraId="0D5D83B6" w14:textId="77777777" w:rsidR="006162BA" w:rsidRDefault="006162BA" w:rsidP="00EB0272">
            <w:pPr>
              <w:rPr>
                <w:rFonts w:ascii="Arial" w:eastAsia="Times New Roman" w:hAnsi="Arial" w:cs="Arial"/>
                <w:b/>
                <w:bCs/>
              </w:rPr>
            </w:pPr>
          </w:p>
          <w:p w14:paraId="4DE76922" w14:textId="72C31931" w:rsidR="00D173CF" w:rsidRPr="00E71327" w:rsidRDefault="00D173CF" w:rsidP="00EB0272">
            <w:pPr>
              <w:rPr>
                <w:rFonts w:ascii="Arial" w:eastAsia="Times New Roman" w:hAnsi="Arial" w:cs="Arial"/>
                <w:b/>
                <w:bCs/>
              </w:rPr>
            </w:pPr>
            <w:r>
              <w:rPr>
                <w:rFonts w:ascii="Arial" w:eastAsia="Times New Roman" w:hAnsi="Arial" w:cs="Arial"/>
                <w:b/>
                <w:bCs/>
              </w:rPr>
              <w:t>(50% - 59%</w:t>
            </w:r>
            <w:r w:rsidR="006162BA">
              <w:rPr>
                <w:rFonts w:ascii="Arial" w:eastAsia="Times New Roman" w:hAnsi="Arial" w:cs="Arial"/>
                <w:b/>
                <w:bCs/>
              </w:rPr>
              <w:t xml:space="preserve"> or Grade C</w:t>
            </w:r>
            <w:r>
              <w:rPr>
                <w:rFonts w:ascii="Arial" w:eastAsia="Times New Roman" w:hAnsi="Arial" w:cs="Arial"/>
                <w:b/>
                <w:bCs/>
              </w:rPr>
              <w:t>)</w:t>
            </w:r>
          </w:p>
        </w:tc>
        <w:tc>
          <w:tcPr>
            <w:tcW w:w="1544" w:type="dxa"/>
            <w:gridSpan w:val="2"/>
            <w:shd w:val="clear" w:color="auto" w:fill="A6A6A6" w:themeFill="background1" w:themeFillShade="A6"/>
          </w:tcPr>
          <w:p w14:paraId="41B91C36" w14:textId="77777777" w:rsidR="00D173CF" w:rsidRDefault="00D173CF" w:rsidP="00EB0272">
            <w:pPr>
              <w:rPr>
                <w:rFonts w:ascii="Arial" w:eastAsia="Times New Roman" w:hAnsi="Arial" w:cs="Arial"/>
                <w:b/>
                <w:bCs/>
              </w:rPr>
            </w:pPr>
            <w:r w:rsidRPr="00E71327">
              <w:rPr>
                <w:rFonts w:ascii="Arial" w:eastAsia="Times New Roman" w:hAnsi="Arial" w:cs="Arial"/>
                <w:b/>
                <w:bCs/>
              </w:rPr>
              <w:t>3</w:t>
            </w:r>
            <w:r w:rsidRPr="00E71327">
              <w:rPr>
                <w:rFonts w:ascii="Arial" w:eastAsia="Times New Roman" w:hAnsi="Arial" w:cs="Arial"/>
                <w:b/>
                <w:bCs/>
                <w:vertAlign w:val="superscript"/>
              </w:rPr>
              <w:t>rd</w:t>
            </w:r>
            <w:r w:rsidRPr="00E71327">
              <w:rPr>
                <w:rFonts w:ascii="Arial" w:eastAsia="Times New Roman" w:hAnsi="Arial" w:cs="Arial"/>
                <w:b/>
                <w:bCs/>
              </w:rPr>
              <w:t xml:space="preserve"> Class</w:t>
            </w:r>
            <w:r>
              <w:rPr>
                <w:rFonts w:ascii="Arial" w:eastAsia="Times New Roman" w:hAnsi="Arial" w:cs="Arial"/>
                <w:b/>
                <w:bCs/>
              </w:rPr>
              <w:t xml:space="preserve"> </w:t>
            </w:r>
          </w:p>
          <w:p w14:paraId="757C1BCE" w14:textId="77777777" w:rsidR="00D173CF" w:rsidRDefault="00D173CF" w:rsidP="00EB0272">
            <w:pPr>
              <w:rPr>
                <w:rFonts w:ascii="Arial" w:eastAsia="Times New Roman" w:hAnsi="Arial" w:cs="Arial"/>
                <w:b/>
                <w:bCs/>
              </w:rPr>
            </w:pPr>
          </w:p>
          <w:p w14:paraId="579290E4" w14:textId="77777777" w:rsidR="006162BA" w:rsidRDefault="006162BA" w:rsidP="00EB0272">
            <w:pPr>
              <w:rPr>
                <w:rFonts w:ascii="Arial" w:eastAsia="Times New Roman" w:hAnsi="Arial" w:cs="Arial"/>
                <w:b/>
                <w:bCs/>
              </w:rPr>
            </w:pPr>
          </w:p>
          <w:p w14:paraId="3543A606" w14:textId="5367259F" w:rsidR="00B9119A" w:rsidRPr="00E71327" w:rsidRDefault="00D173CF" w:rsidP="00B9119A">
            <w:pPr>
              <w:rPr>
                <w:rFonts w:ascii="Arial" w:eastAsia="Times New Roman" w:hAnsi="Arial" w:cs="Arial"/>
                <w:b/>
                <w:bCs/>
              </w:rPr>
            </w:pPr>
            <w:r>
              <w:rPr>
                <w:rFonts w:ascii="Arial" w:eastAsia="Times New Roman" w:hAnsi="Arial" w:cs="Arial"/>
                <w:b/>
                <w:bCs/>
              </w:rPr>
              <w:t>(40% – 49%</w:t>
            </w:r>
            <w:r w:rsidR="006162BA">
              <w:rPr>
                <w:rFonts w:ascii="Arial" w:eastAsia="Times New Roman" w:hAnsi="Arial" w:cs="Arial"/>
                <w:b/>
                <w:bCs/>
              </w:rPr>
              <w:t xml:space="preserve"> or Grade D</w:t>
            </w:r>
            <w:r>
              <w:rPr>
                <w:rFonts w:ascii="Arial" w:eastAsia="Times New Roman" w:hAnsi="Arial" w:cs="Arial"/>
                <w:b/>
                <w:bCs/>
              </w:rPr>
              <w:t>)</w:t>
            </w:r>
          </w:p>
        </w:tc>
        <w:tc>
          <w:tcPr>
            <w:tcW w:w="1632" w:type="dxa"/>
            <w:gridSpan w:val="2"/>
            <w:shd w:val="clear" w:color="auto" w:fill="A6A6A6" w:themeFill="background1" w:themeFillShade="A6"/>
          </w:tcPr>
          <w:p w14:paraId="7F44F524" w14:textId="77777777" w:rsidR="00D173CF" w:rsidRPr="00E71327" w:rsidRDefault="00D173CF" w:rsidP="00EB0272">
            <w:pPr>
              <w:rPr>
                <w:rFonts w:ascii="Arial" w:eastAsia="Times New Roman" w:hAnsi="Arial" w:cs="Arial"/>
                <w:b/>
                <w:bCs/>
              </w:rPr>
            </w:pPr>
            <w:r w:rsidRPr="00E71327">
              <w:rPr>
                <w:rFonts w:ascii="Arial" w:eastAsia="Times New Roman" w:hAnsi="Arial" w:cs="Arial"/>
                <w:b/>
                <w:bCs/>
              </w:rPr>
              <w:t>Totals</w:t>
            </w:r>
          </w:p>
        </w:tc>
      </w:tr>
      <w:tr w:rsidR="00D173CF" w:rsidRPr="00E21894" w14:paraId="520248B3" w14:textId="77777777" w:rsidTr="00DD463A">
        <w:tc>
          <w:tcPr>
            <w:tcW w:w="1091" w:type="dxa"/>
          </w:tcPr>
          <w:p w14:paraId="49CFEC40" w14:textId="77777777" w:rsidR="00D173CF" w:rsidRPr="00E71327" w:rsidRDefault="00D173CF" w:rsidP="00EB0272">
            <w:pPr>
              <w:rPr>
                <w:rFonts w:ascii="Arial" w:eastAsia="Times New Roman" w:hAnsi="Arial" w:cs="Arial"/>
              </w:rPr>
            </w:pPr>
          </w:p>
        </w:tc>
        <w:tc>
          <w:tcPr>
            <w:tcW w:w="1057" w:type="dxa"/>
          </w:tcPr>
          <w:p w14:paraId="399282DD" w14:textId="77777777" w:rsidR="00B9119A" w:rsidRDefault="00B9119A" w:rsidP="00EB0272">
            <w:pPr>
              <w:rPr>
                <w:rFonts w:ascii="Arial" w:eastAsia="Times New Roman" w:hAnsi="Arial" w:cs="Arial"/>
                <w:b/>
                <w:bCs/>
              </w:rPr>
            </w:pPr>
          </w:p>
          <w:p w14:paraId="48A7261F" w14:textId="42DE4B90" w:rsidR="00B9119A" w:rsidRPr="00E71327" w:rsidRDefault="00D173CF" w:rsidP="00B9119A">
            <w:pPr>
              <w:rPr>
                <w:rFonts w:ascii="Arial" w:eastAsia="Times New Roman" w:hAnsi="Arial" w:cs="Arial"/>
                <w:b/>
                <w:bCs/>
              </w:rPr>
            </w:pPr>
            <w:r w:rsidRPr="00E71327">
              <w:rPr>
                <w:rFonts w:ascii="Arial" w:eastAsia="Times New Roman" w:hAnsi="Arial" w:cs="Arial"/>
                <w:b/>
                <w:bCs/>
              </w:rPr>
              <w:t>Number</w:t>
            </w:r>
          </w:p>
        </w:tc>
        <w:tc>
          <w:tcPr>
            <w:tcW w:w="527" w:type="dxa"/>
            <w:shd w:val="clear" w:color="auto" w:fill="44546A" w:themeFill="text2"/>
          </w:tcPr>
          <w:p w14:paraId="44B338A5" w14:textId="77777777" w:rsidR="00B9119A" w:rsidRDefault="00B9119A" w:rsidP="00EB0272">
            <w:pPr>
              <w:rPr>
                <w:rFonts w:ascii="Arial" w:eastAsia="Times New Roman" w:hAnsi="Arial" w:cs="Arial"/>
                <w:b/>
                <w:bCs/>
              </w:rPr>
            </w:pPr>
          </w:p>
          <w:p w14:paraId="4F6E490E" w14:textId="77777777" w:rsidR="00D173CF" w:rsidRPr="00E71327" w:rsidRDefault="00D173CF" w:rsidP="00EB0272">
            <w:pPr>
              <w:rPr>
                <w:rFonts w:ascii="Arial" w:eastAsia="Times New Roman" w:hAnsi="Arial" w:cs="Arial"/>
                <w:b/>
                <w:bCs/>
              </w:rPr>
            </w:pPr>
            <w:r w:rsidRPr="00E71327">
              <w:rPr>
                <w:rFonts w:ascii="Arial" w:eastAsia="Times New Roman" w:hAnsi="Arial" w:cs="Arial"/>
                <w:b/>
                <w:bCs/>
              </w:rPr>
              <w:t>%</w:t>
            </w:r>
          </w:p>
        </w:tc>
        <w:tc>
          <w:tcPr>
            <w:tcW w:w="1057" w:type="dxa"/>
          </w:tcPr>
          <w:p w14:paraId="2A90DC0C" w14:textId="77777777" w:rsidR="00B9119A" w:rsidRDefault="00B9119A" w:rsidP="00EB0272">
            <w:pPr>
              <w:rPr>
                <w:rFonts w:ascii="Arial" w:eastAsia="Times New Roman" w:hAnsi="Arial" w:cs="Arial"/>
                <w:b/>
                <w:bCs/>
              </w:rPr>
            </w:pPr>
          </w:p>
          <w:p w14:paraId="54F5771A" w14:textId="77777777" w:rsidR="00D173CF" w:rsidRPr="00E71327" w:rsidRDefault="00D173CF" w:rsidP="00EB0272">
            <w:pPr>
              <w:rPr>
                <w:rFonts w:ascii="Arial" w:eastAsia="Times New Roman" w:hAnsi="Arial" w:cs="Arial"/>
                <w:b/>
                <w:bCs/>
                <w:i/>
                <w:iCs/>
              </w:rPr>
            </w:pPr>
            <w:r w:rsidRPr="00E71327">
              <w:rPr>
                <w:rFonts w:ascii="Arial" w:eastAsia="Times New Roman" w:hAnsi="Arial" w:cs="Arial"/>
                <w:b/>
                <w:bCs/>
              </w:rPr>
              <w:t>Number</w:t>
            </w:r>
          </w:p>
        </w:tc>
        <w:tc>
          <w:tcPr>
            <w:tcW w:w="526" w:type="dxa"/>
            <w:shd w:val="clear" w:color="auto" w:fill="44546A" w:themeFill="text2"/>
          </w:tcPr>
          <w:p w14:paraId="1256847D" w14:textId="77777777" w:rsidR="00B9119A" w:rsidRDefault="00B9119A" w:rsidP="00EB0272">
            <w:pPr>
              <w:rPr>
                <w:rFonts w:ascii="Arial" w:eastAsia="Times New Roman" w:hAnsi="Arial" w:cs="Arial"/>
                <w:b/>
                <w:bCs/>
              </w:rPr>
            </w:pPr>
          </w:p>
          <w:p w14:paraId="67E6F231" w14:textId="77777777" w:rsidR="00D173CF" w:rsidRPr="00E71327" w:rsidRDefault="00D173CF" w:rsidP="00EB0272">
            <w:pPr>
              <w:rPr>
                <w:rFonts w:ascii="Arial" w:eastAsia="Times New Roman" w:hAnsi="Arial" w:cs="Arial"/>
                <w:b/>
                <w:bCs/>
                <w:i/>
                <w:iCs/>
              </w:rPr>
            </w:pPr>
            <w:r w:rsidRPr="00E71327">
              <w:rPr>
                <w:rFonts w:ascii="Arial" w:eastAsia="Times New Roman" w:hAnsi="Arial" w:cs="Arial"/>
                <w:b/>
                <w:bCs/>
              </w:rPr>
              <w:t>%</w:t>
            </w:r>
          </w:p>
        </w:tc>
        <w:tc>
          <w:tcPr>
            <w:tcW w:w="1057" w:type="dxa"/>
          </w:tcPr>
          <w:p w14:paraId="1C2577DE" w14:textId="77777777" w:rsidR="00B9119A" w:rsidRDefault="00B9119A" w:rsidP="00EB0272">
            <w:pPr>
              <w:rPr>
                <w:rFonts w:ascii="Arial" w:eastAsia="Times New Roman" w:hAnsi="Arial" w:cs="Arial"/>
                <w:b/>
                <w:bCs/>
              </w:rPr>
            </w:pPr>
          </w:p>
          <w:p w14:paraId="21E62229" w14:textId="77777777" w:rsidR="00D173CF" w:rsidRPr="00E71327" w:rsidRDefault="00D173CF" w:rsidP="00EB0272">
            <w:pPr>
              <w:rPr>
                <w:rFonts w:ascii="Arial" w:eastAsia="Times New Roman" w:hAnsi="Arial" w:cs="Arial"/>
                <w:b/>
                <w:bCs/>
                <w:i/>
                <w:iCs/>
              </w:rPr>
            </w:pPr>
            <w:r w:rsidRPr="00E71327">
              <w:rPr>
                <w:rFonts w:ascii="Arial" w:eastAsia="Times New Roman" w:hAnsi="Arial" w:cs="Arial"/>
                <w:b/>
                <w:bCs/>
              </w:rPr>
              <w:t>Number</w:t>
            </w:r>
          </w:p>
        </w:tc>
        <w:tc>
          <w:tcPr>
            <w:tcW w:w="525" w:type="dxa"/>
            <w:shd w:val="clear" w:color="auto" w:fill="44546A" w:themeFill="text2"/>
          </w:tcPr>
          <w:p w14:paraId="64744BEC" w14:textId="77777777" w:rsidR="00B9119A" w:rsidRDefault="00B9119A" w:rsidP="00EB0272">
            <w:pPr>
              <w:rPr>
                <w:rFonts w:ascii="Arial" w:eastAsia="Times New Roman" w:hAnsi="Arial" w:cs="Arial"/>
                <w:b/>
                <w:bCs/>
              </w:rPr>
            </w:pPr>
          </w:p>
          <w:p w14:paraId="14B94900" w14:textId="77777777" w:rsidR="00D173CF" w:rsidRPr="00E71327" w:rsidRDefault="00D173CF" w:rsidP="00EB0272">
            <w:pPr>
              <w:rPr>
                <w:rFonts w:ascii="Arial" w:eastAsia="Times New Roman" w:hAnsi="Arial" w:cs="Arial"/>
                <w:b/>
                <w:bCs/>
                <w:i/>
                <w:iCs/>
              </w:rPr>
            </w:pPr>
            <w:r w:rsidRPr="00E71327">
              <w:rPr>
                <w:rFonts w:ascii="Arial" w:eastAsia="Times New Roman" w:hAnsi="Arial" w:cs="Arial"/>
                <w:b/>
                <w:bCs/>
              </w:rPr>
              <w:t>%</w:t>
            </w:r>
          </w:p>
        </w:tc>
        <w:tc>
          <w:tcPr>
            <w:tcW w:w="1057" w:type="dxa"/>
          </w:tcPr>
          <w:p w14:paraId="5C91997D" w14:textId="77777777" w:rsidR="00B9119A" w:rsidRDefault="00B9119A" w:rsidP="00EB0272">
            <w:pPr>
              <w:rPr>
                <w:rFonts w:ascii="Arial" w:eastAsia="Times New Roman" w:hAnsi="Arial" w:cs="Arial"/>
                <w:b/>
                <w:bCs/>
              </w:rPr>
            </w:pPr>
          </w:p>
          <w:p w14:paraId="23325121" w14:textId="77777777" w:rsidR="00D173CF" w:rsidRPr="00E71327" w:rsidRDefault="00D173CF" w:rsidP="00EB0272">
            <w:pPr>
              <w:rPr>
                <w:rFonts w:ascii="Arial" w:eastAsia="Times New Roman" w:hAnsi="Arial" w:cs="Arial"/>
                <w:b/>
                <w:bCs/>
                <w:i/>
                <w:iCs/>
              </w:rPr>
            </w:pPr>
            <w:r w:rsidRPr="00E71327">
              <w:rPr>
                <w:rFonts w:ascii="Arial" w:eastAsia="Times New Roman" w:hAnsi="Arial" w:cs="Arial"/>
                <w:b/>
                <w:bCs/>
              </w:rPr>
              <w:t>Number</w:t>
            </w:r>
          </w:p>
        </w:tc>
        <w:tc>
          <w:tcPr>
            <w:tcW w:w="487" w:type="dxa"/>
            <w:shd w:val="clear" w:color="auto" w:fill="44546A" w:themeFill="text2"/>
          </w:tcPr>
          <w:p w14:paraId="58BA3ACF" w14:textId="77777777" w:rsidR="00B9119A" w:rsidRDefault="00B9119A" w:rsidP="00EB0272">
            <w:pPr>
              <w:rPr>
                <w:rFonts w:ascii="Arial" w:eastAsia="Times New Roman" w:hAnsi="Arial" w:cs="Arial"/>
                <w:b/>
                <w:bCs/>
              </w:rPr>
            </w:pPr>
          </w:p>
          <w:p w14:paraId="5C5F2771" w14:textId="77777777" w:rsidR="00D173CF" w:rsidRPr="00E71327" w:rsidRDefault="00D173CF" w:rsidP="00EB0272">
            <w:pPr>
              <w:rPr>
                <w:rFonts w:ascii="Arial" w:eastAsia="Times New Roman" w:hAnsi="Arial" w:cs="Arial"/>
                <w:b/>
                <w:bCs/>
                <w:i/>
                <w:iCs/>
              </w:rPr>
            </w:pPr>
            <w:r w:rsidRPr="00E71327">
              <w:rPr>
                <w:rFonts w:ascii="Arial" w:eastAsia="Times New Roman" w:hAnsi="Arial" w:cs="Arial"/>
                <w:b/>
                <w:bCs/>
              </w:rPr>
              <w:t>%</w:t>
            </w:r>
          </w:p>
        </w:tc>
        <w:tc>
          <w:tcPr>
            <w:tcW w:w="1048" w:type="dxa"/>
          </w:tcPr>
          <w:p w14:paraId="7B6EEE56" w14:textId="77777777" w:rsidR="00B9119A" w:rsidRDefault="00B9119A" w:rsidP="00EB0272">
            <w:pPr>
              <w:rPr>
                <w:rFonts w:ascii="Arial" w:eastAsia="Times New Roman" w:hAnsi="Arial" w:cs="Arial"/>
                <w:b/>
                <w:bCs/>
              </w:rPr>
            </w:pPr>
          </w:p>
          <w:p w14:paraId="49790CB1" w14:textId="77777777" w:rsidR="00D173CF" w:rsidRPr="00E71327" w:rsidRDefault="00D173CF" w:rsidP="00EB0272">
            <w:pPr>
              <w:rPr>
                <w:rFonts w:ascii="Arial" w:eastAsia="Times New Roman" w:hAnsi="Arial" w:cs="Arial"/>
                <w:b/>
                <w:bCs/>
                <w:i/>
                <w:iCs/>
              </w:rPr>
            </w:pPr>
            <w:r w:rsidRPr="00E71327">
              <w:rPr>
                <w:rFonts w:ascii="Arial" w:eastAsia="Times New Roman" w:hAnsi="Arial" w:cs="Arial"/>
                <w:b/>
                <w:bCs/>
              </w:rPr>
              <w:t>Number</w:t>
            </w:r>
          </w:p>
        </w:tc>
        <w:tc>
          <w:tcPr>
            <w:tcW w:w="584" w:type="dxa"/>
            <w:shd w:val="clear" w:color="auto" w:fill="44546A" w:themeFill="text2"/>
          </w:tcPr>
          <w:p w14:paraId="69BA62F5" w14:textId="77777777" w:rsidR="00B9119A" w:rsidRDefault="00B9119A" w:rsidP="00EB0272">
            <w:pPr>
              <w:rPr>
                <w:rFonts w:ascii="Arial" w:eastAsia="Times New Roman" w:hAnsi="Arial" w:cs="Arial"/>
                <w:b/>
                <w:bCs/>
              </w:rPr>
            </w:pPr>
          </w:p>
          <w:p w14:paraId="43E8B8B1" w14:textId="77777777" w:rsidR="00D173CF" w:rsidRPr="00E71327" w:rsidRDefault="00D173CF" w:rsidP="00EB0272">
            <w:pPr>
              <w:rPr>
                <w:rFonts w:ascii="Arial" w:eastAsia="Times New Roman" w:hAnsi="Arial" w:cs="Arial"/>
                <w:b/>
                <w:bCs/>
                <w:i/>
                <w:iCs/>
              </w:rPr>
            </w:pPr>
            <w:r w:rsidRPr="00E71327">
              <w:rPr>
                <w:rFonts w:ascii="Arial" w:eastAsia="Times New Roman" w:hAnsi="Arial" w:cs="Arial"/>
                <w:b/>
                <w:bCs/>
              </w:rPr>
              <w:t>%</w:t>
            </w:r>
          </w:p>
        </w:tc>
      </w:tr>
      <w:tr w:rsidR="00D173CF" w:rsidRPr="00E21894" w14:paraId="7A5EFAA4" w14:textId="77777777" w:rsidTr="00DD463A">
        <w:tc>
          <w:tcPr>
            <w:tcW w:w="1091" w:type="dxa"/>
          </w:tcPr>
          <w:p w14:paraId="1271092D" w14:textId="77777777" w:rsidR="00B9119A" w:rsidRDefault="00B9119A" w:rsidP="00EB0272">
            <w:pPr>
              <w:rPr>
                <w:rFonts w:ascii="Arial" w:eastAsia="Times New Roman" w:hAnsi="Arial" w:cs="Arial"/>
                <w:b/>
                <w:bCs/>
              </w:rPr>
            </w:pPr>
          </w:p>
          <w:p w14:paraId="3CABD22B" w14:textId="59C4A86B" w:rsidR="00B9119A" w:rsidRPr="00E71327" w:rsidRDefault="00D173CF" w:rsidP="00B9119A">
            <w:pPr>
              <w:rPr>
                <w:rFonts w:ascii="Arial" w:eastAsia="Times New Roman" w:hAnsi="Arial" w:cs="Arial"/>
                <w:b/>
                <w:bCs/>
              </w:rPr>
            </w:pPr>
            <w:r w:rsidRPr="00E71327">
              <w:rPr>
                <w:rFonts w:ascii="Arial" w:eastAsia="Times New Roman" w:hAnsi="Arial" w:cs="Arial"/>
                <w:b/>
                <w:bCs/>
              </w:rPr>
              <w:t>Local (2019)</w:t>
            </w:r>
          </w:p>
        </w:tc>
        <w:tc>
          <w:tcPr>
            <w:tcW w:w="1057" w:type="dxa"/>
          </w:tcPr>
          <w:p w14:paraId="26AA9EFA" w14:textId="77777777" w:rsidR="00D173CF" w:rsidRPr="00E71327" w:rsidRDefault="00D173CF" w:rsidP="00EB0272">
            <w:pPr>
              <w:rPr>
                <w:rFonts w:ascii="Arial" w:eastAsia="Times New Roman" w:hAnsi="Arial" w:cs="Arial"/>
              </w:rPr>
            </w:pPr>
          </w:p>
          <w:p w14:paraId="7AA1B11D" w14:textId="77777777" w:rsidR="00D173CF" w:rsidRPr="00E71327" w:rsidRDefault="00D173CF" w:rsidP="00EB0272">
            <w:pPr>
              <w:rPr>
                <w:rFonts w:ascii="Arial" w:eastAsia="Times New Roman" w:hAnsi="Arial" w:cs="Arial"/>
              </w:rPr>
            </w:pPr>
            <w:r w:rsidRPr="00E71327">
              <w:rPr>
                <w:rFonts w:ascii="Arial" w:eastAsia="Times New Roman" w:hAnsi="Arial" w:cs="Arial"/>
              </w:rPr>
              <w:t>6</w:t>
            </w:r>
          </w:p>
        </w:tc>
        <w:tc>
          <w:tcPr>
            <w:tcW w:w="527" w:type="dxa"/>
            <w:shd w:val="clear" w:color="auto" w:fill="44546A" w:themeFill="text2"/>
          </w:tcPr>
          <w:p w14:paraId="28148CA3" w14:textId="77777777" w:rsidR="00D173CF" w:rsidRPr="00E71327" w:rsidRDefault="00D173CF" w:rsidP="00EB0272">
            <w:pPr>
              <w:rPr>
                <w:rFonts w:ascii="Arial" w:eastAsia="Times New Roman" w:hAnsi="Arial" w:cs="Arial"/>
              </w:rPr>
            </w:pPr>
          </w:p>
          <w:p w14:paraId="376420A8" w14:textId="77777777" w:rsidR="00D173CF" w:rsidRPr="00E71327" w:rsidRDefault="00D173CF" w:rsidP="00EB0272">
            <w:pPr>
              <w:rPr>
                <w:rFonts w:ascii="Arial" w:eastAsia="Times New Roman" w:hAnsi="Arial" w:cs="Arial"/>
              </w:rPr>
            </w:pPr>
            <w:r w:rsidRPr="00E71327">
              <w:rPr>
                <w:rFonts w:ascii="Arial" w:eastAsia="Times New Roman" w:hAnsi="Arial" w:cs="Arial"/>
              </w:rPr>
              <w:t>22</w:t>
            </w:r>
          </w:p>
        </w:tc>
        <w:tc>
          <w:tcPr>
            <w:tcW w:w="1057" w:type="dxa"/>
          </w:tcPr>
          <w:p w14:paraId="1745A5E6" w14:textId="77777777" w:rsidR="00D173CF" w:rsidRPr="00E71327" w:rsidRDefault="00D173CF" w:rsidP="00EB0272">
            <w:pPr>
              <w:rPr>
                <w:rFonts w:ascii="Arial" w:eastAsia="Times New Roman" w:hAnsi="Arial" w:cs="Arial"/>
              </w:rPr>
            </w:pPr>
          </w:p>
          <w:p w14:paraId="65FA2C5D" w14:textId="77777777" w:rsidR="00D173CF" w:rsidRPr="00E71327" w:rsidRDefault="00D173CF" w:rsidP="00EB0272">
            <w:pPr>
              <w:rPr>
                <w:rFonts w:ascii="Arial" w:eastAsia="Times New Roman" w:hAnsi="Arial" w:cs="Arial"/>
              </w:rPr>
            </w:pPr>
            <w:r w:rsidRPr="00E71327">
              <w:rPr>
                <w:rFonts w:ascii="Arial" w:eastAsia="Times New Roman" w:hAnsi="Arial" w:cs="Arial"/>
              </w:rPr>
              <w:t>16</w:t>
            </w:r>
          </w:p>
        </w:tc>
        <w:tc>
          <w:tcPr>
            <w:tcW w:w="526" w:type="dxa"/>
            <w:shd w:val="clear" w:color="auto" w:fill="44546A" w:themeFill="text2"/>
          </w:tcPr>
          <w:p w14:paraId="4984D463" w14:textId="77777777" w:rsidR="00D173CF" w:rsidRPr="00E71327" w:rsidRDefault="00D173CF" w:rsidP="00EB0272">
            <w:pPr>
              <w:rPr>
                <w:rFonts w:ascii="Arial" w:eastAsia="Times New Roman" w:hAnsi="Arial" w:cs="Arial"/>
              </w:rPr>
            </w:pPr>
          </w:p>
          <w:p w14:paraId="07D4A353" w14:textId="77777777" w:rsidR="00D173CF" w:rsidRPr="00E71327" w:rsidRDefault="00D173CF" w:rsidP="00EB0272">
            <w:pPr>
              <w:rPr>
                <w:rFonts w:ascii="Arial" w:eastAsia="Times New Roman" w:hAnsi="Arial" w:cs="Arial"/>
              </w:rPr>
            </w:pPr>
            <w:r w:rsidRPr="00E71327">
              <w:rPr>
                <w:rFonts w:ascii="Arial" w:eastAsia="Times New Roman" w:hAnsi="Arial" w:cs="Arial"/>
              </w:rPr>
              <w:t>59</w:t>
            </w:r>
          </w:p>
        </w:tc>
        <w:tc>
          <w:tcPr>
            <w:tcW w:w="1057" w:type="dxa"/>
          </w:tcPr>
          <w:p w14:paraId="038A53F7" w14:textId="77777777" w:rsidR="00D173CF" w:rsidRPr="00E71327" w:rsidRDefault="00D173CF" w:rsidP="00EB0272">
            <w:pPr>
              <w:rPr>
                <w:rFonts w:ascii="Arial" w:eastAsia="Times New Roman" w:hAnsi="Arial" w:cs="Arial"/>
              </w:rPr>
            </w:pPr>
          </w:p>
          <w:p w14:paraId="6CC3CFAB" w14:textId="77777777" w:rsidR="00D173CF" w:rsidRPr="00E71327" w:rsidRDefault="00D173CF" w:rsidP="00EB0272">
            <w:pPr>
              <w:rPr>
                <w:rFonts w:ascii="Arial" w:eastAsia="Times New Roman" w:hAnsi="Arial" w:cs="Arial"/>
              </w:rPr>
            </w:pPr>
            <w:r w:rsidRPr="00E71327">
              <w:rPr>
                <w:rFonts w:ascii="Arial" w:eastAsia="Times New Roman" w:hAnsi="Arial" w:cs="Arial"/>
              </w:rPr>
              <w:t>4</w:t>
            </w:r>
          </w:p>
        </w:tc>
        <w:tc>
          <w:tcPr>
            <w:tcW w:w="525" w:type="dxa"/>
            <w:shd w:val="clear" w:color="auto" w:fill="44546A" w:themeFill="text2"/>
          </w:tcPr>
          <w:p w14:paraId="2F02C204" w14:textId="77777777" w:rsidR="00D173CF" w:rsidRPr="00E71327" w:rsidRDefault="00D173CF" w:rsidP="00EB0272">
            <w:pPr>
              <w:rPr>
                <w:rFonts w:ascii="Arial" w:eastAsia="Times New Roman" w:hAnsi="Arial" w:cs="Arial"/>
              </w:rPr>
            </w:pPr>
          </w:p>
          <w:p w14:paraId="17D9E6B4" w14:textId="77777777" w:rsidR="00D173CF" w:rsidRPr="00E71327" w:rsidRDefault="00D173CF" w:rsidP="00EB0272">
            <w:pPr>
              <w:rPr>
                <w:rFonts w:ascii="Arial" w:eastAsia="Times New Roman" w:hAnsi="Arial" w:cs="Arial"/>
              </w:rPr>
            </w:pPr>
            <w:r w:rsidRPr="00E71327">
              <w:rPr>
                <w:rFonts w:ascii="Arial" w:eastAsia="Times New Roman" w:hAnsi="Arial" w:cs="Arial"/>
              </w:rPr>
              <w:t>15</w:t>
            </w:r>
          </w:p>
        </w:tc>
        <w:tc>
          <w:tcPr>
            <w:tcW w:w="1057" w:type="dxa"/>
          </w:tcPr>
          <w:p w14:paraId="1D74334D" w14:textId="77777777" w:rsidR="00D173CF" w:rsidRPr="00E71327" w:rsidRDefault="00D173CF" w:rsidP="00EB0272">
            <w:pPr>
              <w:rPr>
                <w:rFonts w:ascii="Arial" w:eastAsia="Times New Roman" w:hAnsi="Arial" w:cs="Arial"/>
              </w:rPr>
            </w:pPr>
          </w:p>
          <w:p w14:paraId="0DE0D563" w14:textId="77777777" w:rsidR="00D173CF" w:rsidRPr="00E71327" w:rsidRDefault="00D173CF" w:rsidP="00EB0272">
            <w:pPr>
              <w:rPr>
                <w:rFonts w:ascii="Arial" w:eastAsia="Times New Roman" w:hAnsi="Arial" w:cs="Arial"/>
              </w:rPr>
            </w:pPr>
            <w:r w:rsidRPr="00E71327">
              <w:rPr>
                <w:rFonts w:ascii="Arial" w:eastAsia="Times New Roman" w:hAnsi="Arial" w:cs="Arial"/>
              </w:rPr>
              <w:t>1</w:t>
            </w:r>
          </w:p>
          <w:p w14:paraId="0566E43A" w14:textId="77777777" w:rsidR="00D173CF" w:rsidRPr="00E71327" w:rsidRDefault="00D173CF" w:rsidP="00EB0272">
            <w:pPr>
              <w:rPr>
                <w:rFonts w:ascii="Arial" w:eastAsia="Times New Roman" w:hAnsi="Arial" w:cs="Arial"/>
              </w:rPr>
            </w:pPr>
          </w:p>
        </w:tc>
        <w:tc>
          <w:tcPr>
            <w:tcW w:w="487" w:type="dxa"/>
            <w:shd w:val="clear" w:color="auto" w:fill="44546A" w:themeFill="text2"/>
          </w:tcPr>
          <w:p w14:paraId="574E2D75" w14:textId="77777777" w:rsidR="00D173CF" w:rsidRPr="00E71327" w:rsidRDefault="00D173CF" w:rsidP="00EB0272">
            <w:pPr>
              <w:rPr>
                <w:rFonts w:ascii="Arial" w:eastAsia="Times New Roman" w:hAnsi="Arial" w:cs="Arial"/>
              </w:rPr>
            </w:pPr>
          </w:p>
          <w:p w14:paraId="6D32B7AB" w14:textId="77777777" w:rsidR="00D173CF" w:rsidRPr="00E71327" w:rsidRDefault="00D173CF" w:rsidP="00EB0272">
            <w:pPr>
              <w:rPr>
                <w:rFonts w:ascii="Arial" w:eastAsia="Times New Roman" w:hAnsi="Arial" w:cs="Arial"/>
              </w:rPr>
            </w:pPr>
            <w:r w:rsidRPr="00E71327">
              <w:rPr>
                <w:rFonts w:ascii="Arial" w:eastAsia="Times New Roman" w:hAnsi="Arial" w:cs="Arial"/>
              </w:rPr>
              <w:t>4</w:t>
            </w:r>
          </w:p>
        </w:tc>
        <w:tc>
          <w:tcPr>
            <w:tcW w:w="1048" w:type="dxa"/>
          </w:tcPr>
          <w:p w14:paraId="4DBD16FA" w14:textId="77777777" w:rsidR="00D173CF" w:rsidRPr="00E71327" w:rsidRDefault="00D173CF" w:rsidP="00EB0272">
            <w:pPr>
              <w:rPr>
                <w:rFonts w:ascii="Arial" w:eastAsia="Times New Roman" w:hAnsi="Arial" w:cs="Arial"/>
              </w:rPr>
            </w:pPr>
          </w:p>
          <w:p w14:paraId="6A275866" w14:textId="77777777" w:rsidR="00D173CF" w:rsidRPr="00E71327" w:rsidRDefault="00D173CF" w:rsidP="00EB0272">
            <w:pPr>
              <w:rPr>
                <w:rFonts w:ascii="Arial" w:eastAsia="Times New Roman" w:hAnsi="Arial" w:cs="Arial"/>
              </w:rPr>
            </w:pPr>
            <w:r w:rsidRPr="00E71327">
              <w:rPr>
                <w:rFonts w:ascii="Arial" w:eastAsia="Times New Roman" w:hAnsi="Arial" w:cs="Arial"/>
              </w:rPr>
              <w:t>27</w:t>
            </w:r>
          </w:p>
          <w:p w14:paraId="02772A42" w14:textId="77777777" w:rsidR="00D173CF" w:rsidRPr="00E71327" w:rsidRDefault="00D173CF" w:rsidP="00EB0272">
            <w:pPr>
              <w:rPr>
                <w:rFonts w:ascii="Arial" w:eastAsia="Times New Roman" w:hAnsi="Arial" w:cs="Arial"/>
              </w:rPr>
            </w:pPr>
          </w:p>
        </w:tc>
        <w:tc>
          <w:tcPr>
            <w:tcW w:w="584" w:type="dxa"/>
            <w:shd w:val="clear" w:color="auto" w:fill="44546A" w:themeFill="text2"/>
          </w:tcPr>
          <w:p w14:paraId="309CDA5A" w14:textId="77777777" w:rsidR="00D173CF" w:rsidRPr="00E71327" w:rsidRDefault="00D173CF" w:rsidP="00EB0272">
            <w:pPr>
              <w:rPr>
                <w:rFonts w:ascii="Arial" w:eastAsia="Times New Roman" w:hAnsi="Arial" w:cs="Arial"/>
              </w:rPr>
            </w:pPr>
          </w:p>
          <w:p w14:paraId="0C718744" w14:textId="77777777" w:rsidR="00D173CF" w:rsidRPr="00E71327" w:rsidRDefault="00D173CF" w:rsidP="00EB0272">
            <w:pPr>
              <w:rPr>
                <w:rFonts w:ascii="Arial" w:eastAsia="Times New Roman" w:hAnsi="Arial" w:cs="Arial"/>
              </w:rPr>
            </w:pPr>
            <w:r w:rsidRPr="00E71327">
              <w:rPr>
                <w:rFonts w:ascii="Arial" w:eastAsia="Times New Roman" w:hAnsi="Arial" w:cs="Arial"/>
              </w:rPr>
              <w:t>100</w:t>
            </w:r>
          </w:p>
        </w:tc>
      </w:tr>
      <w:tr w:rsidR="00D173CF" w:rsidRPr="00E21894" w14:paraId="0C0F2F08" w14:textId="77777777" w:rsidTr="00DD463A">
        <w:tc>
          <w:tcPr>
            <w:tcW w:w="1091" w:type="dxa"/>
          </w:tcPr>
          <w:p w14:paraId="1579AFDC" w14:textId="77777777" w:rsidR="00B9119A" w:rsidRDefault="00B9119A" w:rsidP="00EB0272">
            <w:pPr>
              <w:rPr>
                <w:rFonts w:ascii="Arial" w:eastAsia="Times New Roman" w:hAnsi="Arial" w:cs="Arial"/>
                <w:b/>
                <w:bCs/>
              </w:rPr>
            </w:pPr>
          </w:p>
          <w:p w14:paraId="28C25599" w14:textId="687DF2F3" w:rsidR="00B9119A" w:rsidRPr="00E71327" w:rsidRDefault="00D173CF" w:rsidP="00B9119A">
            <w:pPr>
              <w:rPr>
                <w:rFonts w:ascii="Arial" w:eastAsia="Times New Roman" w:hAnsi="Arial" w:cs="Arial"/>
                <w:b/>
                <w:bCs/>
              </w:rPr>
            </w:pPr>
            <w:r w:rsidRPr="00E71327">
              <w:rPr>
                <w:rFonts w:ascii="Arial" w:eastAsia="Times New Roman" w:hAnsi="Arial" w:cs="Arial"/>
                <w:b/>
                <w:bCs/>
              </w:rPr>
              <w:t>National (2015)</w:t>
            </w:r>
          </w:p>
        </w:tc>
        <w:tc>
          <w:tcPr>
            <w:tcW w:w="1057" w:type="dxa"/>
          </w:tcPr>
          <w:p w14:paraId="425A9756" w14:textId="77777777" w:rsidR="00D173CF" w:rsidRPr="00E71327" w:rsidRDefault="00D173CF" w:rsidP="00EB0272">
            <w:pPr>
              <w:rPr>
                <w:rFonts w:ascii="Arial" w:eastAsia="Times New Roman" w:hAnsi="Arial" w:cs="Arial"/>
              </w:rPr>
            </w:pPr>
          </w:p>
          <w:p w14:paraId="286CA665" w14:textId="77777777" w:rsidR="00D173CF" w:rsidRPr="00E71327" w:rsidRDefault="00D173CF" w:rsidP="00EB0272">
            <w:pPr>
              <w:rPr>
                <w:rFonts w:ascii="Arial" w:eastAsia="Times New Roman" w:hAnsi="Arial" w:cs="Arial"/>
              </w:rPr>
            </w:pPr>
            <w:r w:rsidRPr="00E71327">
              <w:rPr>
                <w:rFonts w:ascii="Arial" w:eastAsia="Times New Roman" w:hAnsi="Arial" w:cs="Arial"/>
              </w:rPr>
              <w:t>407</w:t>
            </w:r>
          </w:p>
        </w:tc>
        <w:tc>
          <w:tcPr>
            <w:tcW w:w="527" w:type="dxa"/>
            <w:shd w:val="clear" w:color="auto" w:fill="44546A" w:themeFill="text2"/>
          </w:tcPr>
          <w:p w14:paraId="6B383699" w14:textId="77777777" w:rsidR="00D173CF" w:rsidRPr="00E71327" w:rsidRDefault="00D173CF" w:rsidP="00EB0272">
            <w:pPr>
              <w:rPr>
                <w:rFonts w:ascii="Arial" w:eastAsia="Times New Roman" w:hAnsi="Arial" w:cs="Arial"/>
              </w:rPr>
            </w:pPr>
          </w:p>
          <w:p w14:paraId="6693777A" w14:textId="77777777" w:rsidR="00D173CF" w:rsidRPr="00E71327" w:rsidRDefault="00D173CF" w:rsidP="00EB0272">
            <w:pPr>
              <w:rPr>
                <w:rFonts w:ascii="Arial" w:eastAsia="Times New Roman" w:hAnsi="Arial" w:cs="Arial"/>
              </w:rPr>
            </w:pPr>
            <w:r w:rsidRPr="00E71327">
              <w:rPr>
                <w:rFonts w:ascii="Arial" w:eastAsia="Times New Roman" w:hAnsi="Arial" w:cs="Arial"/>
              </w:rPr>
              <w:t>30</w:t>
            </w:r>
          </w:p>
        </w:tc>
        <w:tc>
          <w:tcPr>
            <w:tcW w:w="1057" w:type="dxa"/>
          </w:tcPr>
          <w:p w14:paraId="425B72BD" w14:textId="77777777" w:rsidR="00D173CF" w:rsidRPr="00E71327" w:rsidRDefault="00D173CF" w:rsidP="00EB0272">
            <w:pPr>
              <w:rPr>
                <w:rFonts w:ascii="Arial" w:eastAsia="Times New Roman" w:hAnsi="Arial" w:cs="Arial"/>
              </w:rPr>
            </w:pPr>
          </w:p>
          <w:p w14:paraId="494D9A52" w14:textId="77777777" w:rsidR="00D173CF" w:rsidRPr="00E71327" w:rsidRDefault="00D173CF" w:rsidP="00EB0272">
            <w:pPr>
              <w:rPr>
                <w:rFonts w:ascii="Arial" w:eastAsia="Times New Roman" w:hAnsi="Arial" w:cs="Arial"/>
              </w:rPr>
            </w:pPr>
            <w:r w:rsidRPr="00E71327">
              <w:rPr>
                <w:rFonts w:ascii="Arial" w:eastAsia="Times New Roman" w:hAnsi="Arial" w:cs="Arial"/>
              </w:rPr>
              <w:t>568</w:t>
            </w:r>
          </w:p>
        </w:tc>
        <w:tc>
          <w:tcPr>
            <w:tcW w:w="526" w:type="dxa"/>
            <w:shd w:val="clear" w:color="auto" w:fill="44546A" w:themeFill="text2"/>
          </w:tcPr>
          <w:p w14:paraId="41261794" w14:textId="77777777" w:rsidR="00D173CF" w:rsidRPr="00E71327" w:rsidRDefault="00D173CF" w:rsidP="00EB0272">
            <w:pPr>
              <w:rPr>
                <w:rFonts w:ascii="Arial" w:eastAsia="Times New Roman" w:hAnsi="Arial" w:cs="Arial"/>
              </w:rPr>
            </w:pPr>
          </w:p>
          <w:p w14:paraId="6D634FCC" w14:textId="77777777" w:rsidR="00D173CF" w:rsidRPr="00E71327" w:rsidRDefault="00D173CF" w:rsidP="00EB0272">
            <w:pPr>
              <w:rPr>
                <w:rFonts w:ascii="Arial" w:eastAsia="Times New Roman" w:hAnsi="Arial" w:cs="Arial"/>
              </w:rPr>
            </w:pPr>
            <w:r w:rsidRPr="00E71327">
              <w:rPr>
                <w:rFonts w:ascii="Arial" w:eastAsia="Times New Roman" w:hAnsi="Arial" w:cs="Arial"/>
              </w:rPr>
              <w:t>42</w:t>
            </w:r>
          </w:p>
        </w:tc>
        <w:tc>
          <w:tcPr>
            <w:tcW w:w="1057" w:type="dxa"/>
          </w:tcPr>
          <w:p w14:paraId="15F92672" w14:textId="77777777" w:rsidR="00D173CF" w:rsidRPr="00E71327" w:rsidRDefault="00D173CF" w:rsidP="00EB0272">
            <w:pPr>
              <w:rPr>
                <w:rFonts w:ascii="Arial" w:eastAsia="Times New Roman" w:hAnsi="Arial" w:cs="Arial"/>
              </w:rPr>
            </w:pPr>
          </w:p>
          <w:p w14:paraId="12449518" w14:textId="77777777" w:rsidR="00D173CF" w:rsidRPr="00E71327" w:rsidRDefault="00D173CF" w:rsidP="00EB0272">
            <w:pPr>
              <w:rPr>
                <w:rFonts w:ascii="Arial" w:eastAsia="Times New Roman" w:hAnsi="Arial" w:cs="Arial"/>
              </w:rPr>
            </w:pPr>
            <w:r w:rsidRPr="00E71327">
              <w:rPr>
                <w:rFonts w:ascii="Arial" w:eastAsia="Times New Roman" w:hAnsi="Arial" w:cs="Arial"/>
              </w:rPr>
              <w:t>315</w:t>
            </w:r>
          </w:p>
        </w:tc>
        <w:tc>
          <w:tcPr>
            <w:tcW w:w="525" w:type="dxa"/>
            <w:shd w:val="clear" w:color="auto" w:fill="44546A" w:themeFill="text2"/>
          </w:tcPr>
          <w:p w14:paraId="6C187D9A" w14:textId="77777777" w:rsidR="00D173CF" w:rsidRPr="00E71327" w:rsidRDefault="00D173CF" w:rsidP="00EB0272">
            <w:pPr>
              <w:rPr>
                <w:rFonts w:ascii="Arial" w:eastAsia="Times New Roman" w:hAnsi="Arial" w:cs="Arial"/>
              </w:rPr>
            </w:pPr>
          </w:p>
          <w:p w14:paraId="02976C85" w14:textId="77777777" w:rsidR="00D173CF" w:rsidRPr="00E71327" w:rsidRDefault="00D173CF" w:rsidP="00EB0272">
            <w:pPr>
              <w:rPr>
                <w:rFonts w:ascii="Arial" w:eastAsia="Times New Roman" w:hAnsi="Arial" w:cs="Arial"/>
              </w:rPr>
            </w:pPr>
            <w:r w:rsidRPr="00E71327">
              <w:rPr>
                <w:rFonts w:ascii="Arial" w:eastAsia="Times New Roman" w:hAnsi="Arial" w:cs="Arial"/>
              </w:rPr>
              <w:t>24</w:t>
            </w:r>
          </w:p>
        </w:tc>
        <w:tc>
          <w:tcPr>
            <w:tcW w:w="1057" w:type="dxa"/>
          </w:tcPr>
          <w:p w14:paraId="062AC944" w14:textId="77777777" w:rsidR="00D173CF" w:rsidRPr="00E71327" w:rsidRDefault="00D173CF" w:rsidP="00EB0272">
            <w:pPr>
              <w:rPr>
                <w:rFonts w:ascii="Arial" w:eastAsia="Times New Roman" w:hAnsi="Arial" w:cs="Arial"/>
              </w:rPr>
            </w:pPr>
          </w:p>
          <w:p w14:paraId="3277E9DB" w14:textId="77777777" w:rsidR="00D173CF" w:rsidRPr="00E71327" w:rsidRDefault="00D173CF" w:rsidP="00EB0272">
            <w:pPr>
              <w:rPr>
                <w:rFonts w:ascii="Arial" w:eastAsia="Times New Roman" w:hAnsi="Arial" w:cs="Arial"/>
              </w:rPr>
            </w:pPr>
            <w:r w:rsidRPr="00E71327">
              <w:rPr>
                <w:rFonts w:ascii="Arial" w:eastAsia="Times New Roman" w:hAnsi="Arial" w:cs="Arial"/>
              </w:rPr>
              <w:t>51</w:t>
            </w:r>
          </w:p>
        </w:tc>
        <w:tc>
          <w:tcPr>
            <w:tcW w:w="487" w:type="dxa"/>
            <w:shd w:val="clear" w:color="auto" w:fill="44546A" w:themeFill="text2"/>
          </w:tcPr>
          <w:p w14:paraId="3D535137" w14:textId="77777777" w:rsidR="00D173CF" w:rsidRPr="00E71327" w:rsidRDefault="00D173CF" w:rsidP="00EB0272">
            <w:pPr>
              <w:rPr>
                <w:rFonts w:ascii="Arial" w:eastAsia="Times New Roman" w:hAnsi="Arial" w:cs="Arial"/>
              </w:rPr>
            </w:pPr>
          </w:p>
          <w:p w14:paraId="405F6D54" w14:textId="77777777" w:rsidR="00D173CF" w:rsidRPr="00E71327" w:rsidRDefault="00D173CF" w:rsidP="00EB0272">
            <w:pPr>
              <w:rPr>
                <w:rFonts w:ascii="Arial" w:eastAsia="Times New Roman" w:hAnsi="Arial" w:cs="Arial"/>
              </w:rPr>
            </w:pPr>
            <w:r w:rsidRPr="00E71327">
              <w:rPr>
                <w:rFonts w:ascii="Arial" w:eastAsia="Times New Roman" w:hAnsi="Arial" w:cs="Arial"/>
              </w:rPr>
              <w:t>4</w:t>
            </w:r>
          </w:p>
        </w:tc>
        <w:tc>
          <w:tcPr>
            <w:tcW w:w="1048" w:type="dxa"/>
          </w:tcPr>
          <w:p w14:paraId="27F21678" w14:textId="77777777" w:rsidR="00D173CF" w:rsidRPr="00E71327" w:rsidRDefault="00D173CF" w:rsidP="00EB0272">
            <w:pPr>
              <w:rPr>
                <w:rFonts w:ascii="Arial" w:eastAsia="Times New Roman" w:hAnsi="Arial" w:cs="Arial"/>
              </w:rPr>
            </w:pPr>
          </w:p>
          <w:p w14:paraId="0D54C31A" w14:textId="77777777" w:rsidR="00D173CF" w:rsidRPr="00E71327" w:rsidRDefault="00D173CF" w:rsidP="00EB0272">
            <w:pPr>
              <w:rPr>
                <w:rFonts w:ascii="Arial" w:eastAsia="Times New Roman" w:hAnsi="Arial" w:cs="Arial"/>
              </w:rPr>
            </w:pPr>
            <w:r w:rsidRPr="00E71327">
              <w:rPr>
                <w:rFonts w:ascii="Arial" w:eastAsia="Times New Roman" w:hAnsi="Arial" w:cs="Arial"/>
              </w:rPr>
              <w:t>1341</w:t>
            </w:r>
          </w:p>
        </w:tc>
        <w:tc>
          <w:tcPr>
            <w:tcW w:w="584" w:type="dxa"/>
            <w:shd w:val="clear" w:color="auto" w:fill="44546A" w:themeFill="text2"/>
          </w:tcPr>
          <w:p w14:paraId="07CD7731" w14:textId="77777777" w:rsidR="00D173CF" w:rsidRPr="00E71327" w:rsidRDefault="00D173CF" w:rsidP="00EB0272">
            <w:pPr>
              <w:rPr>
                <w:rFonts w:ascii="Arial" w:eastAsia="Times New Roman" w:hAnsi="Arial" w:cs="Arial"/>
              </w:rPr>
            </w:pPr>
          </w:p>
          <w:p w14:paraId="706255DC" w14:textId="77777777" w:rsidR="00D173CF" w:rsidRPr="00E71327" w:rsidRDefault="00D173CF" w:rsidP="00EB0272">
            <w:pPr>
              <w:rPr>
                <w:rFonts w:ascii="Arial" w:eastAsia="Times New Roman" w:hAnsi="Arial" w:cs="Arial"/>
              </w:rPr>
            </w:pPr>
            <w:r w:rsidRPr="00E71327">
              <w:rPr>
                <w:rFonts w:ascii="Arial" w:eastAsia="Times New Roman" w:hAnsi="Arial" w:cs="Arial"/>
              </w:rPr>
              <w:t>100</w:t>
            </w:r>
          </w:p>
          <w:p w14:paraId="0784C892" w14:textId="77777777" w:rsidR="00D173CF" w:rsidRPr="00E71327" w:rsidRDefault="00D173CF" w:rsidP="00EB0272">
            <w:pPr>
              <w:rPr>
                <w:rFonts w:ascii="Arial" w:eastAsia="Times New Roman" w:hAnsi="Arial" w:cs="Arial"/>
              </w:rPr>
            </w:pPr>
          </w:p>
        </w:tc>
      </w:tr>
    </w:tbl>
    <w:p w14:paraId="28351751" w14:textId="77777777" w:rsidR="00B9119A" w:rsidRDefault="00B9119A" w:rsidP="00D173CF">
      <w:pPr>
        <w:spacing w:line="240" w:lineRule="auto"/>
        <w:rPr>
          <w:rFonts w:ascii="Arial" w:eastAsia="Times New Roman" w:hAnsi="Arial" w:cs="Arial"/>
          <w:b/>
          <w:bCs/>
          <w:iCs/>
          <w:sz w:val="24"/>
          <w:szCs w:val="24"/>
        </w:rPr>
      </w:pPr>
    </w:p>
    <w:p w14:paraId="38E425AE" w14:textId="77777777" w:rsidR="00D173CF" w:rsidRPr="00AB3369" w:rsidRDefault="00D173CF" w:rsidP="00D173CF">
      <w:pPr>
        <w:spacing w:line="240" w:lineRule="auto"/>
        <w:rPr>
          <w:rFonts w:ascii="Arial" w:eastAsia="Times New Roman" w:hAnsi="Arial" w:cs="Arial"/>
          <w:b/>
          <w:bCs/>
          <w:iCs/>
          <w:sz w:val="24"/>
          <w:szCs w:val="24"/>
        </w:rPr>
      </w:pPr>
      <w:r w:rsidRPr="00AB3369">
        <w:rPr>
          <w:rFonts w:ascii="Arial" w:eastAsia="Times New Roman" w:hAnsi="Arial" w:cs="Arial"/>
          <w:b/>
          <w:bCs/>
          <w:iCs/>
          <w:sz w:val="24"/>
          <w:szCs w:val="24"/>
        </w:rPr>
        <w:t>Relationship statistics – Non-parametric tests of pre-entry qualifications and Final Degree / Percentages Classifications</w:t>
      </w:r>
    </w:p>
    <w:p w14:paraId="2386640C" w14:textId="77777777" w:rsidR="00D173CF" w:rsidRDefault="00D173CF" w:rsidP="00D173CF">
      <w:pPr>
        <w:spacing w:line="240" w:lineRule="auto"/>
        <w:rPr>
          <w:rFonts w:ascii="Arial" w:eastAsia="Times New Roman" w:hAnsi="Arial" w:cs="Arial"/>
          <w:sz w:val="24"/>
          <w:szCs w:val="24"/>
        </w:rPr>
      </w:pPr>
      <w:r w:rsidRPr="00E21894">
        <w:rPr>
          <w:rFonts w:ascii="Arial" w:eastAsia="Times New Roman" w:hAnsi="Arial" w:cs="Arial"/>
          <w:sz w:val="24"/>
          <w:szCs w:val="24"/>
        </w:rPr>
        <w:t xml:space="preserve">Spearman correlational coefficient showed that there was no significant relationship between pre-admission qualifications (UCAS tariff points) and graduation results (degree percentages), with </w:t>
      </w:r>
      <w:r w:rsidRPr="00E21894">
        <w:rPr>
          <w:rFonts w:ascii="Arial" w:eastAsia="Times New Roman" w:hAnsi="Arial" w:cs="Arial"/>
          <w:i/>
          <w:iCs/>
          <w:sz w:val="24"/>
          <w:szCs w:val="24"/>
        </w:rPr>
        <w:t>r</w:t>
      </w:r>
      <w:r w:rsidRPr="00E21894">
        <w:rPr>
          <w:rFonts w:ascii="Arial" w:eastAsia="Times New Roman" w:hAnsi="Arial" w:cs="Arial"/>
          <w:sz w:val="24"/>
          <w:szCs w:val="24"/>
        </w:rPr>
        <w:t xml:space="preserve"> = -.275; </w:t>
      </w:r>
      <w:r w:rsidRPr="00E21894">
        <w:rPr>
          <w:rFonts w:ascii="Arial" w:eastAsia="Times New Roman" w:hAnsi="Arial" w:cs="Arial"/>
          <w:i/>
          <w:iCs/>
          <w:sz w:val="24"/>
          <w:szCs w:val="24"/>
        </w:rPr>
        <w:t>p</w:t>
      </w:r>
      <w:r>
        <w:rPr>
          <w:rFonts w:ascii="Arial" w:eastAsia="Times New Roman" w:hAnsi="Arial" w:cs="Arial"/>
          <w:sz w:val="24"/>
          <w:szCs w:val="24"/>
        </w:rPr>
        <w:t xml:space="preserve"> = 0.16). </w:t>
      </w:r>
      <w:r w:rsidRPr="00E21894">
        <w:rPr>
          <w:rFonts w:ascii="Arial" w:eastAsia="Times New Roman" w:hAnsi="Arial" w:cs="Arial"/>
          <w:sz w:val="24"/>
          <w:szCs w:val="24"/>
        </w:rPr>
        <w:t xml:space="preserve">Similarly, no significant relationships were found between entry-level qualification type and final degree </w:t>
      </w:r>
      <w:r>
        <w:rPr>
          <w:rFonts w:ascii="Arial" w:eastAsia="Times New Roman" w:hAnsi="Arial" w:cs="Arial"/>
          <w:sz w:val="24"/>
          <w:szCs w:val="24"/>
        </w:rPr>
        <w:t>classifications. Table 9</w:t>
      </w:r>
      <w:r w:rsidRPr="00E21894">
        <w:rPr>
          <w:rFonts w:ascii="Arial" w:eastAsia="Times New Roman" w:hAnsi="Arial" w:cs="Arial"/>
          <w:sz w:val="24"/>
          <w:szCs w:val="24"/>
        </w:rPr>
        <w:t xml:space="preserve"> show</w:t>
      </w:r>
      <w:r>
        <w:rPr>
          <w:rFonts w:ascii="Arial" w:eastAsia="Times New Roman" w:hAnsi="Arial" w:cs="Arial"/>
          <w:sz w:val="24"/>
          <w:szCs w:val="24"/>
        </w:rPr>
        <w:t>s</w:t>
      </w:r>
      <w:r w:rsidRPr="00E21894">
        <w:rPr>
          <w:rFonts w:ascii="Arial" w:eastAsia="Times New Roman" w:hAnsi="Arial" w:cs="Arial"/>
          <w:sz w:val="24"/>
          <w:szCs w:val="24"/>
        </w:rPr>
        <w:t xml:space="preserve"> the highest frequency of award (2</w:t>
      </w:r>
      <w:r w:rsidRPr="00E21894">
        <w:rPr>
          <w:rFonts w:ascii="Arial" w:eastAsia="Times New Roman" w:hAnsi="Arial" w:cs="Arial"/>
          <w:sz w:val="24"/>
          <w:szCs w:val="24"/>
          <w:vertAlign w:val="superscript"/>
        </w:rPr>
        <w:t>nd</w:t>
      </w:r>
      <w:r w:rsidRPr="00E21894">
        <w:rPr>
          <w:rFonts w:ascii="Arial" w:eastAsia="Times New Roman" w:hAnsi="Arial" w:cs="Arial"/>
          <w:sz w:val="24"/>
          <w:szCs w:val="24"/>
        </w:rPr>
        <w:t xml:space="preserve"> class (upper); </w:t>
      </w:r>
      <w:r w:rsidRPr="00E21894">
        <w:rPr>
          <w:rFonts w:ascii="Arial" w:eastAsia="Times New Roman" w:hAnsi="Arial" w:cs="Arial"/>
          <w:i/>
          <w:iCs/>
          <w:sz w:val="24"/>
          <w:szCs w:val="24"/>
        </w:rPr>
        <w:t xml:space="preserve">n = </w:t>
      </w:r>
      <w:r w:rsidRPr="00E21894">
        <w:rPr>
          <w:rFonts w:ascii="Arial" w:eastAsia="Times New Roman" w:hAnsi="Arial" w:cs="Arial"/>
          <w:sz w:val="24"/>
          <w:szCs w:val="24"/>
        </w:rPr>
        <w:t>16; 59%) is evenly represented between candidates that entered with A-Levels (</w:t>
      </w:r>
      <w:r w:rsidRPr="00E21894">
        <w:rPr>
          <w:rFonts w:ascii="Arial" w:eastAsia="Times New Roman" w:hAnsi="Arial" w:cs="Arial"/>
          <w:i/>
          <w:iCs/>
          <w:sz w:val="24"/>
          <w:szCs w:val="24"/>
        </w:rPr>
        <w:t xml:space="preserve">n = </w:t>
      </w:r>
      <w:r w:rsidRPr="00E21894">
        <w:rPr>
          <w:rFonts w:ascii="Arial" w:eastAsia="Times New Roman" w:hAnsi="Arial" w:cs="Arial"/>
          <w:sz w:val="24"/>
          <w:szCs w:val="24"/>
        </w:rPr>
        <w:t>8) and Access to HE (</w:t>
      </w:r>
      <w:r w:rsidRPr="00E21894">
        <w:rPr>
          <w:rFonts w:ascii="Arial" w:eastAsia="Times New Roman" w:hAnsi="Arial" w:cs="Arial"/>
          <w:i/>
          <w:iCs/>
          <w:sz w:val="24"/>
          <w:szCs w:val="24"/>
        </w:rPr>
        <w:t xml:space="preserve">n = </w:t>
      </w:r>
      <w:r>
        <w:rPr>
          <w:rFonts w:ascii="Arial" w:eastAsia="Times New Roman" w:hAnsi="Arial" w:cs="Arial"/>
          <w:sz w:val="24"/>
          <w:szCs w:val="24"/>
        </w:rPr>
        <w:t xml:space="preserve">8). </w:t>
      </w:r>
    </w:p>
    <w:p w14:paraId="7E11DDFD" w14:textId="77777777" w:rsidR="00B303F8" w:rsidRDefault="00B303F8" w:rsidP="00D173CF">
      <w:pPr>
        <w:spacing w:line="240" w:lineRule="auto"/>
        <w:rPr>
          <w:rFonts w:ascii="Arial" w:eastAsia="Times New Roman" w:hAnsi="Arial" w:cs="Arial"/>
          <w:sz w:val="24"/>
          <w:szCs w:val="24"/>
        </w:rPr>
      </w:pPr>
    </w:p>
    <w:p w14:paraId="50781555" w14:textId="77777777" w:rsidR="00D173CF" w:rsidRPr="002106B9" w:rsidRDefault="00D173CF" w:rsidP="00D173CF">
      <w:pPr>
        <w:spacing w:line="240" w:lineRule="auto"/>
        <w:jc w:val="both"/>
        <w:rPr>
          <w:rFonts w:ascii="Arial" w:eastAsia="Times New Roman" w:hAnsi="Arial" w:cs="Arial"/>
          <w:bCs/>
          <w:i/>
          <w:iCs/>
          <w:sz w:val="24"/>
          <w:szCs w:val="24"/>
        </w:rPr>
      </w:pPr>
      <w:r>
        <w:rPr>
          <w:rFonts w:ascii="Arial" w:eastAsia="Times New Roman" w:hAnsi="Arial" w:cs="Arial"/>
          <w:bCs/>
          <w:i/>
          <w:iCs/>
          <w:sz w:val="24"/>
          <w:szCs w:val="24"/>
        </w:rPr>
        <w:t>Table 9</w:t>
      </w:r>
      <w:r w:rsidRPr="002106B9">
        <w:rPr>
          <w:rFonts w:ascii="Arial" w:eastAsia="Times New Roman" w:hAnsi="Arial" w:cs="Arial"/>
          <w:bCs/>
          <w:i/>
          <w:iCs/>
          <w:sz w:val="24"/>
          <w:szCs w:val="24"/>
        </w:rPr>
        <w:t xml:space="preserve">: Pre-entry qualifications and degree classifications awarded </w:t>
      </w:r>
    </w:p>
    <w:tbl>
      <w:tblPr>
        <w:tblStyle w:val="TableGrid"/>
        <w:tblW w:w="0" w:type="auto"/>
        <w:jc w:val="center"/>
        <w:tblLook w:val="04A0" w:firstRow="1" w:lastRow="0" w:firstColumn="1" w:lastColumn="0" w:noHBand="0" w:noVBand="1"/>
      </w:tblPr>
      <w:tblGrid>
        <w:gridCol w:w="1888"/>
        <w:gridCol w:w="1808"/>
        <w:gridCol w:w="1844"/>
        <w:gridCol w:w="1836"/>
        <w:gridCol w:w="1640"/>
      </w:tblGrid>
      <w:tr w:rsidR="00D173CF" w:rsidRPr="00E21894" w14:paraId="4FD9F556" w14:textId="77777777" w:rsidTr="00EB0272">
        <w:trPr>
          <w:jc w:val="center"/>
        </w:trPr>
        <w:tc>
          <w:tcPr>
            <w:tcW w:w="1888" w:type="dxa"/>
            <w:shd w:val="clear" w:color="auto" w:fill="A6A6A6" w:themeFill="background1" w:themeFillShade="A6"/>
          </w:tcPr>
          <w:p w14:paraId="29D74A27" w14:textId="77777777" w:rsidR="00D173CF" w:rsidRPr="00E21894" w:rsidRDefault="00D173CF" w:rsidP="00EB0272">
            <w:pPr>
              <w:jc w:val="both"/>
              <w:rPr>
                <w:rFonts w:ascii="Arial" w:eastAsia="Times New Roman" w:hAnsi="Arial" w:cs="Arial"/>
                <w:sz w:val="24"/>
                <w:szCs w:val="24"/>
              </w:rPr>
            </w:pPr>
          </w:p>
        </w:tc>
        <w:tc>
          <w:tcPr>
            <w:tcW w:w="1808" w:type="dxa"/>
            <w:shd w:val="clear" w:color="auto" w:fill="A6A6A6" w:themeFill="background1" w:themeFillShade="A6"/>
          </w:tcPr>
          <w:p w14:paraId="43447FB4"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A-Level</w:t>
            </w:r>
          </w:p>
        </w:tc>
        <w:tc>
          <w:tcPr>
            <w:tcW w:w="1844" w:type="dxa"/>
            <w:shd w:val="clear" w:color="auto" w:fill="A6A6A6" w:themeFill="background1" w:themeFillShade="A6"/>
          </w:tcPr>
          <w:p w14:paraId="35E3E572"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Access to HE</w:t>
            </w:r>
          </w:p>
        </w:tc>
        <w:tc>
          <w:tcPr>
            <w:tcW w:w="1836" w:type="dxa"/>
            <w:shd w:val="clear" w:color="auto" w:fill="A6A6A6" w:themeFill="background1" w:themeFillShade="A6"/>
          </w:tcPr>
          <w:p w14:paraId="02E62414"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BTEC</w:t>
            </w:r>
          </w:p>
        </w:tc>
        <w:tc>
          <w:tcPr>
            <w:tcW w:w="1640" w:type="dxa"/>
            <w:shd w:val="clear" w:color="auto" w:fill="A6A6A6" w:themeFill="background1" w:themeFillShade="A6"/>
          </w:tcPr>
          <w:p w14:paraId="5202C8B0"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Total Awards</w:t>
            </w:r>
            <w:r>
              <w:rPr>
                <w:rFonts w:ascii="Arial" w:eastAsia="Times New Roman" w:hAnsi="Arial" w:cs="Arial"/>
                <w:b/>
                <w:bCs/>
                <w:sz w:val="24"/>
                <w:szCs w:val="24"/>
              </w:rPr>
              <w:t xml:space="preserve"> (%)</w:t>
            </w:r>
          </w:p>
        </w:tc>
      </w:tr>
      <w:tr w:rsidR="00D173CF" w:rsidRPr="00E21894" w14:paraId="3205398C" w14:textId="77777777" w:rsidTr="00EB0272">
        <w:trPr>
          <w:jc w:val="center"/>
        </w:trPr>
        <w:tc>
          <w:tcPr>
            <w:tcW w:w="1888" w:type="dxa"/>
          </w:tcPr>
          <w:p w14:paraId="77A5B636"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1</w:t>
            </w:r>
            <w:r w:rsidRPr="00E21894">
              <w:rPr>
                <w:rFonts w:ascii="Arial" w:eastAsia="Times New Roman" w:hAnsi="Arial" w:cs="Arial"/>
                <w:b/>
                <w:bCs/>
                <w:sz w:val="24"/>
                <w:szCs w:val="24"/>
                <w:vertAlign w:val="superscript"/>
              </w:rPr>
              <w:t>st</w:t>
            </w:r>
            <w:r w:rsidRPr="00E21894">
              <w:rPr>
                <w:rFonts w:ascii="Arial" w:eastAsia="Times New Roman" w:hAnsi="Arial" w:cs="Arial"/>
                <w:b/>
                <w:bCs/>
                <w:sz w:val="24"/>
                <w:szCs w:val="24"/>
              </w:rPr>
              <w:t xml:space="preserve"> Class</w:t>
            </w:r>
          </w:p>
        </w:tc>
        <w:tc>
          <w:tcPr>
            <w:tcW w:w="1808" w:type="dxa"/>
          </w:tcPr>
          <w:p w14:paraId="2B4C2AE2"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4</w:t>
            </w:r>
          </w:p>
        </w:tc>
        <w:tc>
          <w:tcPr>
            <w:tcW w:w="1844" w:type="dxa"/>
          </w:tcPr>
          <w:p w14:paraId="2415DDEB"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2</w:t>
            </w:r>
          </w:p>
        </w:tc>
        <w:tc>
          <w:tcPr>
            <w:tcW w:w="1836" w:type="dxa"/>
          </w:tcPr>
          <w:p w14:paraId="75EF5496"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0</w:t>
            </w:r>
          </w:p>
        </w:tc>
        <w:tc>
          <w:tcPr>
            <w:tcW w:w="1640" w:type="dxa"/>
          </w:tcPr>
          <w:p w14:paraId="798D04FC"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6</w:t>
            </w:r>
            <w:r>
              <w:rPr>
                <w:rFonts w:ascii="Arial" w:eastAsia="Times New Roman" w:hAnsi="Arial" w:cs="Arial"/>
                <w:sz w:val="24"/>
                <w:szCs w:val="24"/>
              </w:rPr>
              <w:t xml:space="preserve">   (22%)</w:t>
            </w:r>
          </w:p>
        </w:tc>
      </w:tr>
      <w:tr w:rsidR="00D173CF" w:rsidRPr="00E21894" w14:paraId="14B9C09D" w14:textId="77777777" w:rsidTr="00EB0272">
        <w:trPr>
          <w:jc w:val="center"/>
        </w:trPr>
        <w:tc>
          <w:tcPr>
            <w:tcW w:w="1888" w:type="dxa"/>
          </w:tcPr>
          <w:p w14:paraId="0D7D8F65"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2</w:t>
            </w:r>
            <w:r w:rsidRPr="00E21894">
              <w:rPr>
                <w:rFonts w:ascii="Arial" w:eastAsia="Times New Roman" w:hAnsi="Arial" w:cs="Arial"/>
                <w:b/>
                <w:bCs/>
                <w:sz w:val="24"/>
                <w:szCs w:val="24"/>
                <w:vertAlign w:val="superscript"/>
              </w:rPr>
              <w:t>nd</w:t>
            </w:r>
            <w:r w:rsidRPr="00E21894">
              <w:rPr>
                <w:rFonts w:ascii="Arial" w:eastAsia="Times New Roman" w:hAnsi="Arial" w:cs="Arial"/>
                <w:b/>
                <w:bCs/>
                <w:sz w:val="24"/>
                <w:szCs w:val="24"/>
              </w:rPr>
              <w:t xml:space="preserve"> Class (Upper)</w:t>
            </w:r>
          </w:p>
        </w:tc>
        <w:tc>
          <w:tcPr>
            <w:tcW w:w="1808" w:type="dxa"/>
          </w:tcPr>
          <w:p w14:paraId="24F2DFDF"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8</w:t>
            </w:r>
          </w:p>
        </w:tc>
        <w:tc>
          <w:tcPr>
            <w:tcW w:w="1844" w:type="dxa"/>
          </w:tcPr>
          <w:p w14:paraId="1483411C"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8</w:t>
            </w:r>
          </w:p>
        </w:tc>
        <w:tc>
          <w:tcPr>
            <w:tcW w:w="1836" w:type="dxa"/>
          </w:tcPr>
          <w:p w14:paraId="0A659383"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0</w:t>
            </w:r>
          </w:p>
        </w:tc>
        <w:tc>
          <w:tcPr>
            <w:tcW w:w="1640" w:type="dxa"/>
          </w:tcPr>
          <w:p w14:paraId="75D8AEE0"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16</w:t>
            </w:r>
            <w:r>
              <w:rPr>
                <w:rFonts w:ascii="Arial" w:eastAsia="Times New Roman" w:hAnsi="Arial" w:cs="Arial"/>
                <w:sz w:val="24"/>
                <w:szCs w:val="24"/>
              </w:rPr>
              <w:t xml:space="preserve"> (59%)</w:t>
            </w:r>
          </w:p>
        </w:tc>
      </w:tr>
      <w:tr w:rsidR="00D173CF" w:rsidRPr="00E21894" w14:paraId="0C8FC6E9" w14:textId="77777777" w:rsidTr="00EB0272">
        <w:trPr>
          <w:jc w:val="center"/>
        </w:trPr>
        <w:tc>
          <w:tcPr>
            <w:tcW w:w="1888" w:type="dxa"/>
          </w:tcPr>
          <w:p w14:paraId="351EF69E"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2</w:t>
            </w:r>
            <w:r w:rsidRPr="00E21894">
              <w:rPr>
                <w:rFonts w:ascii="Arial" w:eastAsia="Times New Roman" w:hAnsi="Arial" w:cs="Arial"/>
                <w:b/>
                <w:bCs/>
                <w:sz w:val="24"/>
                <w:szCs w:val="24"/>
                <w:vertAlign w:val="superscript"/>
              </w:rPr>
              <w:t>nd</w:t>
            </w:r>
            <w:r w:rsidRPr="00E21894">
              <w:rPr>
                <w:rFonts w:ascii="Arial" w:eastAsia="Times New Roman" w:hAnsi="Arial" w:cs="Arial"/>
                <w:b/>
                <w:bCs/>
                <w:sz w:val="24"/>
                <w:szCs w:val="24"/>
              </w:rPr>
              <w:t xml:space="preserve"> Class (Lower)</w:t>
            </w:r>
          </w:p>
        </w:tc>
        <w:tc>
          <w:tcPr>
            <w:tcW w:w="1808" w:type="dxa"/>
          </w:tcPr>
          <w:p w14:paraId="7FE7CBFC"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 xml:space="preserve">1 </w:t>
            </w:r>
          </w:p>
        </w:tc>
        <w:tc>
          <w:tcPr>
            <w:tcW w:w="1844" w:type="dxa"/>
          </w:tcPr>
          <w:p w14:paraId="7A897269"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2</w:t>
            </w:r>
          </w:p>
        </w:tc>
        <w:tc>
          <w:tcPr>
            <w:tcW w:w="1836" w:type="dxa"/>
          </w:tcPr>
          <w:p w14:paraId="05F72DB2"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1</w:t>
            </w:r>
          </w:p>
        </w:tc>
        <w:tc>
          <w:tcPr>
            <w:tcW w:w="1640" w:type="dxa"/>
          </w:tcPr>
          <w:p w14:paraId="76A0A967"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4</w:t>
            </w:r>
            <w:r>
              <w:rPr>
                <w:rFonts w:ascii="Arial" w:eastAsia="Times New Roman" w:hAnsi="Arial" w:cs="Arial"/>
                <w:sz w:val="24"/>
                <w:szCs w:val="24"/>
              </w:rPr>
              <w:t xml:space="preserve">   (15%)</w:t>
            </w:r>
          </w:p>
        </w:tc>
      </w:tr>
      <w:tr w:rsidR="00D173CF" w:rsidRPr="00E21894" w14:paraId="2FD69BF1" w14:textId="77777777" w:rsidTr="00EB0272">
        <w:trPr>
          <w:jc w:val="center"/>
        </w:trPr>
        <w:tc>
          <w:tcPr>
            <w:tcW w:w="1888" w:type="dxa"/>
          </w:tcPr>
          <w:p w14:paraId="02CEA11B"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3</w:t>
            </w:r>
            <w:r w:rsidRPr="00E21894">
              <w:rPr>
                <w:rFonts w:ascii="Arial" w:eastAsia="Times New Roman" w:hAnsi="Arial" w:cs="Arial"/>
                <w:b/>
                <w:bCs/>
                <w:sz w:val="24"/>
                <w:szCs w:val="24"/>
                <w:vertAlign w:val="superscript"/>
              </w:rPr>
              <w:t>rd</w:t>
            </w:r>
            <w:r w:rsidRPr="00E21894">
              <w:rPr>
                <w:rFonts w:ascii="Arial" w:eastAsia="Times New Roman" w:hAnsi="Arial" w:cs="Arial"/>
                <w:b/>
                <w:bCs/>
                <w:sz w:val="24"/>
                <w:szCs w:val="24"/>
              </w:rPr>
              <w:t xml:space="preserve"> Class</w:t>
            </w:r>
          </w:p>
        </w:tc>
        <w:tc>
          <w:tcPr>
            <w:tcW w:w="1808" w:type="dxa"/>
          </w:tcPr>
          <w:p w14:paraId="4C072EB9"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0</w:t>
            </w:r>
          </w:p>
        </w:tc>
        <w:tc>
          <w:tcPr>
            <w:tcW w:w="1844" w:type="dxa"/>
          </w:tcPr>
          <w:p w14:paraId="4A98459A"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1</w:t>
            </w:r>
          </w:p>
        </w:tc>
        <w:tc>
          <w:tcPr>
            <w:tcW w:w="1836" w:type="dxa"/>
          </w:tcPr>
          <w:p w14:paraId="4EB2FFFC"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0</w:t>
            </w:r>
          </w:p>
        </w:tc>
        <w:tc>
          <w:tcPr>
            <w:tcW w:w="1640" w:type="dxa"/>
          </w:tcPr>
          <w:p w14:paraId="4413349F"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1</w:t>
            </w:r>
            <w:r>
              <w:rPr>
                <w:rFonts w:ascii="Arial" w:eastAsia="Times New Roman" w:hAnsi="Arial" w:cs="Arial"/>
                <w:sz w:val="24"/>
                <w:szCs w:val="24"/>
              </w:rPr>
              <w:t xml:space="preserve">   (4%)</w:t>
            </w:r>
          </w:p>
        </w:tc>
      </w:tr>
      <w:tr w:rsidR="00D173CF" w:rsidRPr="00E21894" w14:paraId="6445F599" w14:textId="77777777" w:rsidTr="00EB0272">
        <w:trPr>
          <w:jc w:val="center"/>
        </w:trPr>
        <w:tc>
          <w:tcPr>
            <w:tcW w:w="1888" w:type="dxa"/>
          </w:tcPr>
          <w:p w14:paraId="572940C5" w14:textId="77777777" w:rsidR="00D173CF" w:rsidRPr="00E21894" w:rsidRDefault="00D173CF" w:rsidP="00EB0272">
            <w:pPr>
              <w:jc w:val="both"/>
              <w:rPr>
                <w:rFonts w:ascii="Arial" w:eastAsia="Times New Roman" w:hAnsi="Arial" w:cs="Arial"/>
                <w:b/>
                <w:bCs/>
                <w:sz w:val="24"/>
                <w:szCs w:val="24"/>
              </w:rPr>
            </w:pPr>
            <w:r w:rsidRPr="00E21894">
              <w:rPr>
                <w:rFonts w:ascii="Arial" w:eastAsia="Times New Roman" w:hAnsi="Arial" w:cs="Arial"/>
                <w:b/>
                <w:bCs/>
                <w:sz w:val="24"/>
                <w:szCs w:val="24"/>
              </w:rPr>
              <w:t>Total Awards</w:t>
            </w:r>
          </w:p>
        </w:tc>
        <w:tc>
          <w:tcPr>
            <w:tcW w:w="1808" w:type="dxa"/>
          </w:tcPr>
          <w:p w14:paraId="64A6A5B3"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13</w:t>
            </w:r>
          </w:p>
        </w:tc>
        <w:tc>
          <w:tcPr>
            <w:tcW w:w="1844" w:type="dxa"/>
          </w:tcPr>
          <w:p w14:paraId="682F9F96"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13</w:t>
            </w:r>
          </w:p>
        </w:tc>
        <w:tc>
          <w:tcPr>
            <w:tcW w:w="1836" w:type="dxa"/>
          </w:tcPr>
          <w:p w14:paraId="060A3C5A"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1</w:t>
            </w:r>
          </w:p>
        </w:tc>
        <w:tc>
          <w:tcPr>
            <w:tcW w:w="1640" w:type="dxa"/>
          </w:tcPr>
          <w:p w14:paraId="51B9E9AA" w14:textId="77777777" w:rsidR="00D173CF" w:rsidRPr="00E21894" w:rsidRDefault="00D173CF" w:rsidP="00EB0272">
            <w:pPr>
              <w:jc w:val="both"/>
              <w:rPr>
                <w:rFonts w:ascii="Arial" w:eastAsia="Times New Roman" w:hAnsi="Arial" w:cs="Arial"/>
                <w:sz w:val="24"/>
                <w:szCs w:val="24"/>
              </w:rPr>
            </w:pPr>
            <w:r w:rsidRPr="00E21894">
              <w:rPr>
                <w:rFonts w:ascii="Arial" w:eastAsia="Times New Roman" w:hAnsi="Arial" w:cs="Arial"/>
                <w:sz w:val="24"/>
                <w:szCs w:val="24"/>
              </w:rPr>
              <w:t>27</w:t>
            </w:r>
            <w:r>
              <w:rPr>
                <w:rFonts w:ascii="Arial" w:eastAsia="Times New Roman" w:hAnsi="Arial" w:cs="Arial"/>
                <w:sz w:val="24"/>
                <w:szCs w:val="24"/>
              </w:rPr>
              <w:t xml:space="preserve"> (100%)</w:t>
            </w:r>
          </w:p>
        </w:tc>
      </w:tr>
    </w:tbl>
    <w:p w14:paraId="6AEBDC6D" w14:textId="77777777" w:rsidR="00D173CF" w:rsidRPr="00AB3369" w:rsidRDefault="00D173CF" w:rsidP="00D173CF">
      <w:pPr>
        <w:spacing w:line="240" w:lineRule="auto"/>
        <w:rPr>
          <w:rFonts w:ascii="Arial" w:eastAsia="Times New Roman" w:hAnsi="Arial" w:cs="Arial"/>
          <w:b/>
          <w:bCs/>
          <w:iCs/>
          <w:sz w:val="24"/>
          <w:szCs w:val="24"/>
        </w:rPr>
      </w:pPr>
    </w:p>
    <w:p w14:paraId="75742660" w14:textId="77777777" w:rsidR="00D173CF" w:rsidRPr="00AB3369" w:rsidRDefault="00D173CF" w:rsidP="00D173CF">
      <w:pPr>
        <w:spacing w:line="240" w:lineRule="auto"/>
        <w:rPr>
          <w:rFonts w:ascii="Arial" w:eastAsia="Times New Roman" w:hAnsi="Arial" w:cs="Arial"/>
          <w:b/>
          <w:bCs/>
          <w:iCs/>
          <w:sz w:val="24"/>
          <w:szCs w:val="24"/>
        </w:rPr>
      </w:pPr>
      <w:r w:rsidRPr="00AB3369">
        <w:rPr>
          <w:rFonts w:ascii="Arial" w:eastAsia="Times New Roman" w:hAnsi="Arial" w:cs="Arial"/>
          <w:b/>
          <w:bCs/>
          <w:iCs/>
          <w:sz w:val="24"/>
          <w:szCs w:val="24"/>
        </w:rPr>
        <w:t>Relationship statistics – parametric tests of reflective essay scores; CAPSAT-R numerical scores and final degree percentages</w:t>
      </w:r>
    </w:p>
    <w:p w14:paraId="03F1168F" w14:textId="77777777" w:rsidR="00D173CF" w:rsidRPr="00E21894" w:rsidRDefault="00D173CF" w:rsidP="00D173CF">
      <w:pPr>
        <w:spacing w:line="240" w:lineRule="auto"/>
        <w:rPr>
          <w:rFonts w:ascii="Arial" w:eastAsia="Times New Roman" w:hAnsi="Arial" w:cs="Arial"/>
          <w:sz w:val="24"/>
          <w:szCs w:val="24"/>
        </w:rPr>
      </w:pPr>
      <w:r>
        <w:rPr>
          <w:rFonts w:ascii="Arial" w:eastAsia="Times New Roman" w:hAnsi="Arial" w:cs="Arial"/>
          <w:sz w:val="24"/>
          <w:szCs w:val="24"/>
        </w:rPr>
        <w:t>The</w:t>
      </w:r>
      <w:r w:rsidRPr="00E21894">
        <w:rPr>
          <w:rFonts w:ascii="Arial" w:eastAsia="Times New Roman" w:hAnsi="Arial" w:cs="Arial"/>
          <w:sz w:val="24"/>
          <w:szCs w:val="24"/>
        </w:rPr>
        <w:t xml:space="preserve"> Pearson correlation coefficient test found no statistically significant relationship (</w:t>
      </w:r>
      <w:r w:rsidRPr="00E21894">
        <w:rPr>
          <w:rFonts w:ascii="Arial" w:eastAsia="Times New Roman" w:hAnsi="Arial" w:cs="Arial"/>
          <w:i/>
          <w:iCs/>
          <w:sz w:val="24"/>
          <w:szCs w:val="24"/>
        </w:rPr>
        <w:t xml:space="preserve">p = </w:t>
      </w:r>
      <w:r w:rsidRPr="00E21894">
        <w:rPr>
          <w:rFonts w:ascii="Arial" w:eastAsia="Times New Roman" w:hAnsi="Arial" w:cs="Arial"/>
          <w:sz w:val="24"/>
          <w:szCs w:val="24"/>
        </w:rPr>
        <w:t>0.97) between reflective essay scores and final degree percentages (</w:t>
      </w:r>
      <w:r w:rsidRPr="00E21894">
        <w:rPr>
          <w:rFonts w:ascii="Arial" w:eastAsia="Times New Roman" w:hAnsi="Arial" w:cs="Arial"/>
          <w:i/>
          <w:iCs/>
          <w:sz w:val="24"/>
          <w:szCs w:val="24"/>
        </w:rPr>
        <w:t xml:space="preserve">r = </w:t>
      </w:r>
      <w:r w:rsidRPr="00E21894">
        <w:rPr>
          <w:rFonts w:ascii="Arial" w:eastAsia="Times New Roman" w:hAnsi="Arial" w:cs="Arial"/>
          <w:sz w:val="24"/>
          <w:szCs w:val="24"/>
        </w:rPr>
        <w:t xml:space="preserve">.007). Additionally, no statistically significant relationships between CAPSAT-R </w:t>
      </w:r>
      <w:r w:rsidRPr="00E21894">
        <w:rPr>
          <w:rFonts w:ascii="Arial" w:eastAsia="Times New Roman" w:hAnsi="Arial" w:cs="Arial"/>
          <w:sz w:val="24"/>
          <w:szCs w:val="24"/>
        </w:rPr>
        <w:fldChar w:fldCharType="begin" w:fldLock="1"/>
      </w:r>
      <w:r w:rsidRPr="00E21894">
        <w:rPr>
          <w:rFonts w:ascii="Arial" w:eastAsia="Times New Roman" w:hAnsi="Arial" w:cs="Arial"/>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2016)","plainTextFormattedCitation":"(Psych Tests AIM, 2016)","previouslyFormattedCitation":"(Psych Tests AIM, 2016)"},"properties":{"noteIndex":0},"schema":"https://github.com/citation-style-language/schema/raw/master/csl-citation.json"}</w:instrText>
      </w:r>
      <w:r w:rsidRPr="00E21894">
        <w:rPr>
          <w:rFonts w:ascii="Arial" w:eastAsia="Times New Roman" w:hAnsi="Arial" w:cs="Arial"/>
          <w:sz w:val="24"/>
          <w:szCs w:val="24"/>
        </w:rPr>
        <w:fldChar w:fldCharType="separate"/>
      </w:r>
      <w:r w:rsidRPr="00E21894">
        <w:rPr>
          <w:rFonts w:ascii="Arial" w:eastAsia="Times New Roman" w:hAnsi="Arial" w:cs="Arial"/>
          <w:noProof/>
          <w:sz w:val="24"/>
          <w:szCs w:val="24"/>
        </w:rPr>
        <w:t>(Psych Tests AIM, 2016)</w:t>
      </w:r>
      <w:r w:rsidRPr="00E21894">
        <w:rPr>
          <w:rFonts w:ascii="Arial" w:eastAsia="Times New Roman" w:hAnsi="Arial" w:cs="Arial"/>
          <w:sz w:val="24"/>
          <w:szCs w:val="24"/>
        </w:rPr>
        <w:fldChar w:fldCharType="end"/>
      </w:r>
      <w:r w:rsidRPr="00E21894">
        <w:rPr>
          <w:rFonts w:ascii="Arial" w:eastAsia="Times New Roman" w:hAnsi="Arial" w:cs="Arial"/>
          <w:sz w:val="24"/>
          <w:szCs w:val="24"/>
        </w:rPr>
        <w:t xml:space="preserve"> scores (overall and each subsection) and final degree percentages were identified</w:t>
      </w:r>
      <w:r>
        <w:rPr>
          <w:rFonts w:ascii="Arial" w:eastAsia="Times New Roman" w:hAnsi="Arial" w:cs="Arial"/>
          <w:sz w:val="24"/>
          <w:szCs w:val="24"/>
        </w:rPr>
        <w:t xml:space="preserve"> as identified in table 10</w:t>
      </w:r>
      <w:r w:rsidRPr="00E21894">
        <w:rPr>
          <w:rFonts w:ascii="Arial" w:eastAsia="Times New Roman" w:hAnsi="Arial" w:cs="Arial"/>
          <w:sz w:val="24"/>
          <w:szCs w:val="24"/>
        </w:rPr>
        <w:t>.</w:t>
      </w:r>
    </w:p>
    <w:p w14:paraId="17D05009" w14:textId="77777777" w:rsidR="00C72F36" w:rsidRDefault="00C72F36" w:rsidP="00D173CF">
      <w:pPr>
        <w:spacing w:line="240" w:lineRule="auto"/>
        <w:rPr>
          <w:rFonts w:ascii="Arial" w:eastAsia="Times New Roman" w:hAnsi="Arial" w:cs="Arial"/>
          <w:sz w:val="24"/>
          <w:szCs w:val="24"/>
        </w:rPr>
      </w:pPr>
    </w:p>
    <w:p w14:paraId="6A83EC77" w14:textId="77777777" w:rsidR="00C242FA" w:rsidRDefault="00C242FA" w:rsidP="00D173CF">
      <w:pPr>
        <w:spacing w:line="240" w:lineRule="auto"/>
        <w:rPr>
          <w:rFonts w:ascii="Arial" w:eastAsia="Times New Roman" w:hAnsi="Arial" w:cs="Arial"/>
          <w:sz w:val="24"/>
          <w:szCs w:val="24"/>
        </w:rPr>
      </w:pPr>
    </w:p>
    <w:p w14:paraId="62137ACD" w14:textId="77777777" w:rsidR="00C242FA" w:rsidRDefault="00C242FA" w:rsidP="00D173CF">
      <w:pPr>
        <w:spacing w:line="240" w:lineRule="auto"/>
        <w:rPr>
          <w:rFonts w:ascii="Arial" w:eastAsia="Times New Roman" w:hAnsi="Arial" w:cs="Arial"/>
          <w:sz w:val="24"/>
          <w:szCs w:val="24"/>
        </w:rPr>
      </w:pPr>
    </w:p>
    <w:p w14:paraId="205B080E" w14:textId="77777777" w:rsidR="00C242FA" w:rsidRDefault="00C242FA" w:rsidP="00D173CF">
      <w:pPr>
        <w:spacing w:line="240" w:lineRule="auto"/>
        <w:rPr>
          <w:rFonts w:ascii="Arial" w:eastAsia="Times New Roman" w:hAnsi="Arial" w:cs="Arial"/>
          <w:sz w:val="24"/>
          <w:szCs w:val="24"/>
        </w:rPr>
      </w:pPr>
    </w:p>
    <w:p w14:paraId="5F50C50B" w14:textId="77777777" w:rsidR="00C242FA" w:rsidRDefault="00C242FA" w:rsidP="00D173CF">
      <w:pPr>
        <w:spacing w:line="240" w:lineRule="auto"/>
        <w:rPr>
          <w:rFonts w:ascii="Arial" w:eastAsia="Times New Roman" w:hAnsi="Arial" w:cs="Arial"/>
          <w:sz w:val="24"/>
          <w:szCs w:val="24"/>
        </w:rPr>
      </w:pPr>
    </w:p>
    <w:p w14:paraId="38A42D89" w14:textId="77777777" w:rsidR="00C242FA" w:rsidRDefault="00C242FA" w:rsidP="00D173CF">
      <w:pPr>
        <w:spacing w:line="240" w:lineRule="auto"/>
        <w:rPr>
          <w:rFonts w:ascii="Arial" w:eastAsia="Times New Roman" w:hAnsi="Arial" w:cs="Arial"/>
          <w:sz w:val="24"/>
          <w:szCs w:val="24"/>
        </w:rPr>
      </w:pPr>
    </w:p>
    <w:p w14:paraId="0D73A1E3" w14:textId="77777777" w:rsidR="00C242FA" w:rsidRDefault="00C242FA" w:rsidP="00D173CF">
      <w:pPr>
        <w:spacing w:line="240" w:lineRule="auto"/>
        <w:rPr>
          <w:rFonts w:ascii="Arial" w:eastAsia="Times New Roman" w:hAnsi="Arial" w:cs="Arial"/>
          <w:sz w:val="24"/>
          <w:szCs w:val="24"/>
        </w:rPr>
      </w:pPr>
    </w:p>
    <w:p w14:paraId="28162F06" w14:textId="77777777" w:rsidR="00C242FA" w:rsidRDefault="00C242FA" w:rsidP="00D173CF">
      <w:pPr>
        <w:spacing w:line="240" w:lineRule="auto"/>
        <w:rPr>
          <w:rFonts w:ascii="Arial" w:eastAsia="Times New Roman" w:hAnsi="Arial" w:cs="Arial"/>
          <w:sz w:val="24"/>
          <w:szCs w:val="24"/>
        </w:rPr>
      </w:pPr>
    </w:p>
    <w:p w14:paraId="7616BD70" w14:textId="77777777" w:rsidR="00C242FA" w:rsidRDefault="00C242FA" w:rsidP="00D173CF">
      <w:pPr>
        <w:spacing w:line="240" w:lineRule="auto"/>
        <w:rPr>
          <w:rFonts w:ascii="Arial" w:eastAsia="Times New Roman" w:hAnsi="Arial" w:cs="Arial"/>
          <w:sz w:val="24"/>
          <w:szCs w:val="24"/>
        </w:rPr>
      </w:pPr>
    </w:p>
    <w:p w14:paraId="616E5DBB" w14:textId="77777777" w:rsidR="00C242FA" w:rsidRDefault="00C242FA" w:rsidP="00D173CF">
      <w:pPr>
        <w:spacing w:line="240" w:lineRule="auto"/>
        <w:rPr>
          <w:rFonts w:ascii="Arial" w:eastAsia="Times New Roman" w:hAnsi="Arial" w:cs="Arial"/>
          <w:sz w:val="24"/>
          <w:szCs w:val="24"/>
        </w:rPr>
      </w:pPr>
    </w:p>
    <w:p w14:paraId="6CC5C80A" w14:textId="77777777" w:rsidR="00C242FA" w:rsidRDefault="00C242FA" w:rsidP="00D173CF">
      <w:pPr>
        <w:spacing w:line="240" w:lineRule="auto"/>
        <w:rPr>
          <w:rFonts w:ascii="Arial" w:eastAsia="Times New Roman" w:hAnsi="Arial" w:cs="Arial"/>
          <w:sz w:val="24"/>
          <w:szCs w:val="24"/>
        </w:rPr>
      </w:pPr>
    </w:p>
    <w:p w14:paraId="04004C28" w14:textId="77777777" w:rsidR="00D173CF" w:rsidRPr="002106B9" w:rsidRDefault="00D173CF" w:rsidP="00D173CF">
      <w:pPr>
        <w:spacing w:line="240" w:lineRule="auto"/>
        <w:rPr>
          <w:rFonts w:ascii="Arial" w:eastAsia="Times New Roman" w:hAnsi="Arial" w:cs="Arial"/>
          <w:bCs/>
          <w:i/>
          <w:iCs/>
          <w:sz w:val="24"/>
          <w:szCs w:val="24"/>
        </w:rPr>
      </w:pPr>
      <w:r>
        <w:rPr>
          <w:rFonts w:ascii="Arial" w:eastAsia="Times New Roman" w:hAnsi="Arial" w:cs="Arial"/>
          <w:bCs/>
          <w:i/>
          <w:iCs/>
          <w:sz w:val="24"/>
          <w:szCs w:val="24"/>
        </w:rPr>
        <w:t>Table 10</w:t>
      </w:r>
      <w:r w:rsidRPr="002106B9">
        <w:rPr>
          <w:rFonts w:ascii="Arial" w:eastAsia="Times New Roman" w:hAnsi="Arial" w:cs="Arial"/>
          <w:bCs/>
          <w:i/>
          <w:iCs/>
          <w:sz w:val="24"/>
          <w:szCs w:val="24"/>
        </w:rPr>
        <w:t xml:space="preserve">: Pearson’s correlation coefficient test of CAPSAT-R </w:t>
      </w:r>
      <w:r w:rsidRPr="002106B9">
        <w:rPr>
          <w:rFonts w:ascii="Arial" w:eastAsia="Times New Roman" w:hAnsi="Arial" w:cs="Arial"/>
          <w:bCs/>
          <w:i/>
          <w:iCs/>
          <w:sz w:val="24"/>
          <w:szCs w:val="24"/>
        </w:rPr>
        <w:fldChar w:fldCharType="begin" w:fldLock="1"/>
      </w:r>
      <w:r w:rsidRPr="002106B9">
        <w:rPr>
          <w:rFonts w:ascii="Arial" w:eastAsia="Times New Roman" w:hAnsi="Arial" w:cs="Arial"/>
          <w:bCs/>
          <w:i/>
          <w:iCs/>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2016)","plainTextFormattedCitation":"(Psych Tests AIM, 2016)","previouslyFormattedCitation":"(Psych Tests AIM, 2016)"},"properties":{"noteIndex":0},"schema":"https://github.com/citation-style-language/schema/raw/master/csl-citation.json"}</w:instrText>
      </w:r>
      <w:r w:rsidRPr="002106B9">
        <w:rPr>
          <w:rFonts w:ascii="Arial" w:eastAsia="Times New Roman" w:hAnsi="Arial" w:cs="Arial"/>
          <w:bCs/>
          <w:i/>
          <w:iCs/>
          <w:sz w:val="24"/>
          <w:szCs w:val="24"/>
        </w:rPr>
        <w:fldChar w:fldCharType="separate"/>
      </w:r>
      <w:r w:rsidRPr="002106B9">
        <w:rPr>
          <w:rFonts w:ascii="Arial" w:eastAsia="Times New Roman" w:hAnsi="Arial" w:cs="Arial"/>
          <w:bCs/>
          <w:i/>
          <w:iCs/>
          <w:noProof/>
          <w:sz w:val="24"/>
          <w:szCs w:val="24"/>
        </w:rPr>
        <w:t>(Psych Tests AIM, 2016)</w:t>
      </w:r>
      <w:r w:rsidRPr="002106B9">
        <w:rPr>
          <w:rFonts w:ascii="Arial" w:eastAsia="Times New Roman" w:hAnsi="Arial" w:cs="Arial"/>
          <w:bCs/>
          <w:i/>
          <w:iCs/>
          <w:sz w:val="24"/>
          <w:szCs w:val="24"/>
        </w:rPr>
        <w:fldChar w:fldCharType="end"/>
      </w:r>
      <w:r w:rsidRPr="002106B9">
        <w:rPr>
          <w:rFonts w:ascii="Arial" w:eastAsia="Times New Roman" w:hAnsi="Arial" w:cs="Arial"/>
          <w:bCs/>
          <w:i/>
          <w:iCs/>
          <w:sz w:val="24"/>
          <w:szCs w:val="24"/>
        </w:rPr>
        <w:t xml:space="preserve"> scores and final degree classifications </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1985"/>
        <w:gridCol w:w="1559"/>
      </w:tblGrid>
      <w:tr w:rsidR="00D173CF" w:rsidRPr="00E21894" w14:paraId="7C816702" w14:textId="77777777" w:rsidTr="00EB0272">
        <w:trPr>
          <w:cantSplit/>
          <w:jc w:val="center"/>
        </w:trPr>
        <w:tc>
          <w:tcPr>
            <w:tcW w:w="4390" w:type="dxa"/>
            <w:gridSpan w:val="2"/>
            <w:shd w:val="clear" w:color="auto" w:fill="A6A6A6" w:themeFill="background1" w:themeFillShade="A6"/>
            <w:vAlign w:val="bottom"/>
          </w:tcPr>
          <w:p w14:paraId="1A76531B" w14:textId="77777777" w:rsidR="00D173CF" w:rsidRPr="00E21894" w:rsidRDefault="00D173CF" w:rsidP="00EB0272">
            <w:pPr>
              <w:autoSpaceDE w:val="0"/>
              <w:autoSpaceDN w:val="0"/>
              <w:adjustRightInd w:val="0"/>
              <w:spacing w:after="0" w:line="240" w:lineRule="auto"/>
              <w:jc w:val="both"/>
              <w:rPr>
                <w:rFonts w:ascii="Arial" w:hAnsi="Arial" w:cs="Arial"/>
                <w:sz w:val="24"/>
                <w:szCs w:val="24"/>
              </w:rPr>
            </w:pPr>
          </w:p>
        </w:tc>
        <w:tc>
          <w:tcPr>
            <w:tcW w:w="1559" w:type="dxa"/>
            <w:shd w:val="clear" w:color="auto" w:fill="A6A6A6" w:themeFill="background1" w:themeFillShade="A6"/>
            <w:vAlign w:val="bottom"/>
          </w:tcPr>
          <w:p w14:paraId="485EEB9B" w14:textId="77777777" w:rsidR="00D173CF" w:rsidRPr="00E21894" w:rsidRDefault="00D173CF" w:rsidP="00EB0272">
            <w:pPr>
              <w:autoSpaceDE w:val="0"/>
              <w:autoSpaceDN w:val="0"/>
              <w:adjustRightInd w:val="0"/>
              <w:spacing w:after="0" w:line="240" w:lineRule="auto"/>
              <w:ind w:left="60" w:right="60"/>
              <w:jc w:val="both"/>
              <w:rPr>
                <w:rFonts w:ascii="Arial" w:hAnsi="Arial" w:cs="Arial"/>
                <w:b/>
                <w:bCs/>
                <w:sz w:val="24"/>
                <w:szCs w:val="24"/>
              </w:rPr>
            </w:pPr>
            <w:r w:rsidRPr="00E21894">
              <w:rPr>
                <w:rFonts w:ascii="Arial" w:hAnsi="Arial" w:cs="Arial"/>
                <w:b/>
                <w:bCs/>
                <w:sz w:val="24"/>
                <w:szCs w:val="24"/>
              </w:rPr>
              <w:t>Final degree percentage %</w:t>
            </w:r>
          </w:p>
        </w:tc>
      </w:tr>
      <w:tr w:rsidR="00D173CF" w:rsidRPr="00E21894" w14:paraId="314F50F2" w14:textId="77777777" w:rsidTr="00EB0272">
        <w:trPr>
          <w:cantSplit/>
          <w:jc w:val="center"/>
        </w:trPr>
        <w:tc>
          <w:tcPr>
            <w:tcW w:w="2405" w:type="dxa"/>
            <w:vMerge w:val="restart"/>
            <w:shd w:val="clear" w:color="auto" w:fill="auto"/>
          </w:tcPr>
          <w:p w14:paraId="0B599F6E" w14:textId="77777777" w:rsidR="00D173CF" w:rsidRPr="00E21894" w:rsidRDefault="00D173CF" w:rsidP="00EB0272">
            <w:pPr>
              <w:autoSpaceDE w:val="0"/>
              <w:autoSpaceDN w:val="0"/>
              <w:adjustRightInd w:val="0"/>
              <w:spacing w:after="0" w:line="240" w:lineRule="auto"/>
              <w:ind w:left="60" w:right="60"/>
              <w:jc w:val="both"/>
              <w:rPr>
                <w:rFonts w:ascii="Arial" w:hAnsi="Arial" w:cs="Arial"/>
                <w:b/>
                <w:bCs/>
                <w:sz w:val="24"/>
                <w:szCs w:val="24"/>
              </w:rPr>
            </w:pPr>
            <w:r w:rsidRPr="00E21894">
              <w:rPr>
                <w:rFonts w:ascii="Arial" w:hAnsi="Arial" w:cs="Arial"/>
                <w:b/>
                <w:bCs/>
                <w:sz w:val="24"/>
                <w:szCs w:val="24"/>
              </w:rPr>
              <w:t>CAPSAT R average numerical score</w:t>
            </w:r>
          </w:p>
        </w:tc>
        <w:tc>
          <w:tcPr>
            <w:tcW w:w="1985" w:type="dxa"/>
            <w:shd w:val="clear" w:color="auto" w:fill="auto"/>
          </w:tcPr>
          <w:p w14:paraId="0846016D"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Pearson Correlation</w:t>
            </w:r>
          </w:p>
        </w:tc>
        <w:tc>
          <w:tcPr>
            <w:tcW w:w="1559" w:type="dxa"/>
            <w:shd w:val="clear" w:color="auto" w:fill="auto"/>
          </w:tcPr>
          <w:p w14:paraId="00B16A8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.09</w:t>
            </w:r>
          </w:p>
        </w:tc>
      </w:tr>
      <w:tr w:rsidR="00D173CF" w:rsidRPr="00E21894" w14:paraId="4B42C23A" w14:textId="77777777" w:rsidTr="00EB0272">
        <w:trPr>
          <w:cantSplit/>
          <w:jc w:val="center"/>
        </w:trPr>
        <w:tc>
          <w:tcPr>
            <w:tcW w:w="2405" w:type="dxa"/>
            <w:vMerge/>
            <w:shd w:val="clear" w:color="auto" w:fill="auto"/>
          </w:tcPr>
          <w:p w14:paraId="4AE12057" w14:textId="77777777" w:rsidR="00D173CF" w:rsidRPr="00E21894" w:rsidRDefault="00D173CF" w:rsidP="00EB0272">
            <w:pPr>
              <w:autoSpaceDE w:val="0"/>
              <w:autoSpaceDN w:val="0"/>
              <w:adjustRightInd w:val="0"/>
              <w:spacing w:after="0" w:line="240" w:lineRule="auto"/>
              <w:jc w:val="both"/>
              <w:rPr>
                <w:rFonts w:ascii="Arial" w:hAnsi="Arial" w:cs="Arial"/>
                <w:sz w:val="24"/>
                <w:szCs w:val="24"/>
              </w:rPr>
            </w:pPr>
          </w:p>
        </w:tc>
        <w:tc>
          <w:tcPr>
            <w:tcW w:w="1985" w:type="dxa"/>
            <w:shd w:val="clear" w:color="auto" w:fill="auto"/>
          </w:tcPr>
          <w:p w14:paraId="39A2997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Sig. (2-tailed)</w:t>
            </w:r>
          </w:p>
        </w:tc>
        <w:tc>
          <w:tcPr>
            <w:tcW w:w="1559" w:type="dxa"/>
            <w:shd w:val="clear" w:color="auto" w:fill="auto"/>
          </w:tcPr>
          <w:p w14:paraId="2DE5282B"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.62</w:t>
            </w:r>
          </w:p>
        </w:tc>
      </w:tr>
      <w:tr w:rsidR="00D173CF" w:rsidRPr="00E21894" w14:paraId="3A35ED2A" w14:textId="77777777" w:rsidTr="00EB0272">
        <w:trPr>
          <w:cantSplit/>
          <w:jc w:val="center"/>
        </w:trPr>
        <w:tc>
          <w:tcPr>
            <w:tcW w:w="2405" w:type="dxa"/>
            <w:shd w:val="clear" w:color="auto" w:fill="auto"/>
          </w:tcPr>
          <w:p w14:paraId="5B220548" w14:textId="77777777" w:rsidR="00D173CF" w:rsidRPr="00E21894" w:rsidRDefault="00D173CF" w:rsidP="00EB0272">
            <w:pPr>
              <w:autoSpaceDE w:val="0"/>
              <w:autoSpaceDN w:val="0"/>
              <w:adjustRightInd w:val="0"/>
              <w:spacing w:after="0" w:line="240" w:lineRule="auto"/>
              <w:jc w:val="both"/>
              <w:rPr>
                <w:rFonts w:ascii="Arial" w:hAnsi="Arial" w:cs="Arial"/>
                <w:b/>
                <w:bCs/>
                <w:sz w:val="24"/>
                <w:szCs w:val="24"/>
              </w:rPr>
            </w:pPr>
            <w:r w:rsidRPr="00E21894">
              <w:rPr>
                <w:rFonts w:ascii="Arial" w:hAnsi="Arial" w:cs="Arial"/>
                <w:b/>
                <w:bCs/>
                <w:sz w:val="24"/>
                <w:szCs w:val="24"/>
              </w:rPr>
              <w:t>CAPSAT R decision-making numerical score</w:t>
            </w:r>
          </w:p>
        </w:tc>
        <w:tc>
          <w:tcPr>
            <w:tcW w:w="1985" w:type="dxa"/>
            <w:shd w:val="clear" w:color="auto" w:fill="auto"/>
          </w:tcPr>
          <w:p w14:paraId="43318FAB"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Pearson Correlation</w:t>
            </w:r>
          </w:p>
        </w:tc>
        <w:tc>
          <w:tcPr>
            <w:tcW w:w="1559" w:type="dxa"/>
            <w:shd w:val="clear" w:color="auto" w:fill="auto"/>
          </w:tcPr>
          <w:p w14:paraId="5F617E44"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.20</w:t>
            </w:r>
          </w:p>
        </w:tc>
      </w:tr>
      <w:tr w:rsidR="00D173CF" w:rsidRPr="00E21894" w14:paraId="100CDC23" w14:textId="77777777" w:rsidTr="00EB0272">
        <w:trPr>
          <w:cantSplit/>
          <w:jc w:val="center"/>
        </w:trPr>
        <w:tc>
          <w:tcPr>
            <w:tcW w:w="2405" w:type="dxa"/>
            <w:shd w:val="clear" w:color="auto" w:fill="auto"/>
          </w:tcPr>
          <w:p w14:paraId="41D844C4" w14:textId="77777777" w:rsidR="00D173CF" w:rsidRPr="00E21894" w:rsidRDefault="00D173CF" w:rsidP="00EB0272">
            <w:pPr>
              <w:autoSpaceDE w:val="0"/>
              <w:autoSpaceDN w:val="0"/>
              <w:adjustRightInd w:val="0"/>
              <w:spacing w:after="0" w:line="240" w:lineRule="auto"/>
              <w:jc w:val="both"/>
              <w:rPr>
                <w:rFonts w:ascii="Arial" w:hAnsi="Arial" w:cs="Arial"/>
                <w:sz w:val="24"/>
                <w:szCs w:val="24"/>
              </w:rPr>
            </w:pPr>
          </w:p>
        </w:tc>
        <w:tc>
          <w:tcPr>
            <w:tcW w:w="1985" w:type="dxa"/>
            <w:shd w:val="clear" w:color="auto" w:fill="auto"/>
          </w:tcPr>
          <w:p w14:paraId="20D2EB3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Sig. (2-tailed)</w:t>
            </w:r>
          </w:p>
        </w:tc>
        <w:tc>
          <w:tcPr>
            <w:tcW w:w="1559" w:type="dxa"/>
            <w:shd w:val="clear" w:color="auto" w:fill="auto"/>
          </w:tcPr>
          <w:p w14:paraId="569793C5"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.30</w:t>
            </w:r>
          </w:p>
        </w:tc>
      </w:tr>
      <w:tr w:rsidR="00D173CF" w:rsidRPr="00E21894" w14:paraId="21CA1A9D" w14:textId="77777777" w:rsidTr="00EB0272">
        <w:trPr>
          <w:cantSplit/>
          <w:jc w:val="center"/>
        </w:trPr>
        <w:tc>
          <w:tcPr>
            <w:tcW w:w="2405" w:type="dxa"/>
            <w:shd w:val="clear" w:color="auto" w:fill="auto"/>
          </w:tcPr>
          <w:p w14:paraId="5865EFF3" w14:textId="77777777" w:rsidR="00D173CF" w:rsidRPr="00E21894" w:rsidRDefault="00D173CF" w:rsidP="00EB0272">
            <w:pPr>
              <w:autoSpaceDE w:val="0"/>
              <w:autoSpaceDN w:val="0"/>
              <w:adjustRightInd w:val="0"/>
              <w:spacing w:after="0" w:line="240" w:lineRule="auto"/>
              <w:jc w:val="both"/>
              <w:rPr>
                <w:rFonts w:ascii="Arial" w:hAnsi="Arial" w:cs="Arial"/>
                <w:sz w:val="24"/>
                <w:szCs w:val="24"/>
              </w:rPr>
            </w:pPr>
            <w:r w:rsidRPr="00E21894">
              <w:rPr>
                <w:rFonts w:ascii="Arial" w:hAnsi="Arial" w:cs="Arial"/>
                <w:b/>
                <w:bCs/>
                <w:sz w:val="24"/>
                <w:szCs w:val="24"/>
              </w:rPr>
              <w:t>CAPSAT R flexibility numerical score</w:t>
            </w:r>
          </w:p>
        </w:tc>
        <w:tc>
          <w:tcPr>
            <w:tcW w:w="1985" w:type="dxa"/>
            <w:shd w:val="clear" w:color="auto" w:fill="auto"/>
          </w:tcPr>
          <w:p w14:paraId="59B310D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Pearson Correlation</w:t>
            </w:r>
          </w:p>
        </w:tc>
        <w:tc>
          <w:tcPr>
            <w:tcW w:w="1559" w:type="dxa"/>
            <w:shd w:val="clear" w:color="auto" w:fill="auto"/>
          </w:tcPr>
          <w:p w14:paraId="4599366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-.05</w:t>
            </w:r>
          </w:p>
        </w:tc>
      </w:tr>
      <w:tr w:rsidR="00D173CF" w:rsidRPr="00E21894" w14:paraId="78DF9D59" w14:textId="77777777" w:rsidTr="00EB0272">
        <w:trPr>
          <w:cantSplit/>
          <w:jc w:val="center"/>
        </w:trPr>
        <w:tc>
          <w:tcPr>
            <w:tcW w:w="2405" w:type="dxa"/>
            <w:shd w:val="clear" w:color="auto" w:fill="auto"/>
          </w:tcPr>
          <w:p w14:paraId="616BCE27" w14:textId="77777777" w:rsidR="00D173CF" w:rsidRPr="00E21894" w:rsidRDefault="00D173CF" w:rsidP="00EB0272">
            <w:pPr>
              <w:autoSpaceDE w:val="0"/>
              <w:autoSpaceDN w:val="0"/>
              <w:adjustRightInd w:val="0"/>
              <w:spacing w:after="0" w:line="240" w:lineRule="auto"/>
              <w:jc w:val="both"/>
              <w:rPr>
                <w:rFonts w:ascii="Arial" w:hAnsi="Arial" w:cs="Arial"/>
                <w:sz w:val="24"/>
                <w:szCs w:val="24"/>
              </w:rPr>
            </w:pPr>
          </w:p>
        </w:tc>
        <w:tc>
          <w:tcPr>
            <w:tcW w:w="1985" w:type="dxa"/>
            <w:shd w:val="clear" w:color="auto" w:fill="auto"/>
          </w:tcPr>
          <w:p w14:paraId="7FD0953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Sig. (2-tailed)</w:t>
            </w:r>
          </w:p>
        </w:tc>
        <w:tc>
          <w:tcPr>
            <w:tcW w:w="1559" w:type="dxa"/>
            <w:shd w:val="clear" w:color="auto" w:fill="auto"/>
          </w:tcPr>
          <w:p w14:paraId="7FF86FA2"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.80</w:t>
            </w:r>
          </w:p>
        </w:tc>
      </w:tr>
      <w:tr w:rsidR="00D173CF" w:rsidRPr="00E21894" w14:paraId="73D4749B" w14:textId="77777777" w:rsidTr="00EB0272">
        <w:trPr>
          <w:cantSplit/>
          <w:jc w:val="center"/>
        </w:trPr>
        <w:tc>
          <w:tcPr>
            <w:tcW w:w="2405" w:type="dxa"/>
            <w:shd w:val="clear" w:color="auto" w:fill="auto"/>
          </w:tcPr>
          <w:p w14:paraId="35A45725" w14:textId="77777777" w:rsidR="00D173CF" w:rsidRPr="00E21894" w:rsidRDefault="00D173CF" w:rsidP="00EB0272">
            <w:pPr>
              <w:autoSpaceDE w:val="0"/>
              <w:autoSpaceDN w:val="0"/>
              <w:adjustRightInd w:val="0"/>
              <w:spacing w:after="0" w:line="240" w:lineRule="auto"/>
              <w:jc w:val="both"/>
              <w:rPr>
                <w:rFonts w:ascii="Arial" w:hAnsi="Arial" w:cs="Arial"/>
                <w:b/>
                <w:bCs/>
                <w:sz w:val="24"/>
                <w:szCs w:val="24"/>
              </w:rPr>
            </w:pPr>
            <w:r w:rsidRPr="00E21894">
              <w:rPr>
                <w:rFonts w:ascii="Arial" w:hAnsi="Arial" w:cs="Arial"/>
                <w:b/>
                <w:bCs/>
                <w:sz w:val="24"/>
                <w:szCs w:val="24"/>
              </w:rPr>
              <w:t>CAPSAT-R creativity numerical scores</w:t>
            </w:r>
          </w:p>
        </w:tc>
        <w:tc>
          <w:tcPr>
            <w:tcW w:w="1985" w:type="dxa"/>
            <w:shd w:val="clear" w:color="auto" w:fill="auto"/>
          </w:tcPr>
          <w:p w14:paraId="7CAFEAFF"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Pearson Correlation</w:t>
            </w:r>
          </w:p>
        </w:tc>
        <w:tc>
          <w:tcPr>
            <w:tcW w:w="1559" w:type="dxa"/>
            <w:shd w:val="clear" w:color="auto" w:fill="auto"/>
          </w:tcPr>
          <w:p w14:paraId="03D74090"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-.10</w:t>
            </w:r>
          </w:p>
        </w:tc>
      </w:tr>
      <w:tr w:rsidR="00D173CF" w:rsidRPr="00E21894" w14:paraId="3D6EE5EE" w14:textId="77777777" w:rsidTr="00EB0272">
        <w:trPr>
          <w:cantSplit/>
          <w:jc w:val="center"/>
        </w:trPr>
        <w:tc>
          <w:tcPr>
            <w:tcW w:w="2405" w:type="dxa"/>
            <w:shd w:val="clear" w:color="auto" w:fill="auto"/>
          </w:tcPr>
          <w:p w14:paraId="388A432A" w14:textId="77777777" w:rsidR="00D173CF" w:rsidRPr="00E21894" w:rsidRDefault="00D173CF" w:rsidP="00EB0272">
            <w:pPr>
              <w:autoSpaceDE w:val="0"/>
              <w:autoSpaceDN w:val="0"/>
              <w:adjustRightInd w:val="0"/>
              <w:spacing w:after="0" w:line="240" w:lineRule="auto"/>
              <w:jc w:val="both"/>
              <w:rPr>
                <w:rFonts w:ascii="Arial" w:hAnsi="Arial" w:cs="Arial"/>
                <w:sz w:val="24"/>
                <w:szCs w:val="24"/>
              </w:rPr>
            </w:pPr>
          </w:p>
        </w:tc>
        <w:tc>
          <w:tcPr>
            <w:tcW w:w="1985" w:type="dxa"/>
            <w:shd w:val="clear" w:color="auto" w:fill="auto"/>
          </w:tcPr>
          <w:p w14:paraId="2B3F689E"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Sig. (2-tailed)</w:t>
            </w:r>
          </w:p>
        </w:tc>
        <w:tc>
          <w:tcPr>
            <w:tcW w:w="1559" w:type="dxa"/>
            <w:shd w:val="clear" w:color="auto" w:fill="auto"/>
          </w:tcPr>
          <w:p w14:paraId="3A9D3E61"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.59</w:t>
            </w:r>
          </w:p>
        </w:tc>
      </w:tr>
      <w:tr w:rsidR="00D173CF" w:rsidRPr="00E21894" w14:paraId="5DC44E87" w14:textId="77777777" w:rsidTr="00EB0272">
        <w:trPr>
          <w:cantSplit/>
          <w:jc w:val="center"/>
        </w:trPr>
        <w:tc>
          <w:tcPr>
            <w:tcW w:w="2405" w:type="dxa"/>
            <w:shd w:val="clear" w:color="auto" w:fill="auto"/>
          </w:tcPr>
          <w:p w14:paraId="6277BB5E" w14:textId="77777777" w:rsidR="00D173CF" w:rsidRPr="00E21894" w:rsidRDefault="00D173CF" w:rsidP="00EB0272">
            <w:pPr>
              <w:autoSpaceDE w:val="0"/>
              <w:autoSpaceDN w:val="0"/>
              <w:adjustRightInd w:val="0"/>
              <w:spacing w:after="0" w:line="240" w:lineRule="auto"/>
              <w:jc w:val="both"/>
              <w:rPr>
                <w:rFonts w:ascii="Arial" w:hAnsi="Arial" w:cs="Arial"/>
                <w:b/>
                <w:bCs/>
                <w:sz w:val="24"/>
                <w:szCs w:val="24"/>
              </w:rPr>
            </w:pPr>
            <w:r w:rsidRPr="00E21894">
              <w:rPr>
                <w:rFonts w:ascii="Arial" w:hAnsi="Arial" w:cs="Arial"/>
                <w:b/>
                <w:bCs/>
                <w:sz w:val="24"/>
                <w:szCs w:val="24"/>
              </w:rPr>
              <w:t>CAPSAT-R efficacy numerical scores</w:t>
            </w:r>
          </w:p>
        </w:tc>
        <w:tc>
          <w:tcPr>
            <w:tcW w:w="1985" w:type="dxa"/>
            <w:shd w:val="clear" w:color="auto" w:fill="auto"/>
          </w:tcPr>
          <w:p w14:paraId="265BF22C"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Pearson Correlation</w:t>
            </w:r>
          </w:p>
        </w:tc>
        <w:tc>
          <w:tcPr>
            <w:tcW w:w="1559" w:type="dxa"/>
            <w:shd w:val="clear" w:color="auto" w:fill="auto"/>
          </w:tcPr>
          <w:p w14:paraId="3066407A"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.08</w:t>
            </w:r>
          </w:p>
        </w:tc>
      </w:tr>
      <w:tr w:rsidR="00D173CF" w:rsidRPr="00E21894" w14:paraId="1A2A867F" w14:textId="77777777" w:rsidTr="00EB0272">
        <w:trPr>
          <w:cantSplit/>
          <w:jc w:val="center"/>
        </w:trPr>
        <w:tc>
          <w:tcPr>
            <w:tcW w:w="2405" w:type="dxa"/>
            <w:shd w:val="clear" w:color="auto" w:fill="auto"/>
          </w:tcPr>
          <w:p w14:paraId="4F057273" w14:textId="77777777" w:rsidR="00D173CF" w:rsidRPr="00E21894" w:rsidRDefault="00D173CF" w:rsidP="00EB0272">
            <w:pPr>
              <w:autoSpaceDE w:val="0"/>
              <w:autoSpaceDN w:val="0"/>
              <w:adjustRightInd w:val="0"/>
              <w:spacing w:after="0" w:line="240" w:lineRule="auto"/>
              <w:jc w:val="both"/>
              <w:rPr>
                <w:rFonts w:ascii="Arial" w:hAnsi="Arial" w:cs="Arial"/>
                <w:b/>
                <w:bCs/>
                <w:sz w:val="24"/>
                <w:szCs w:val="24"/>
              </w:rPr>
            </w:pPr>
          </w:p>
        </w:tc>
        <w:tc>
          <w:tcPr>
            <w:tcW w:w="1985" w:type="dxa"/>
            <w:shd w:val="clear" w:color="auto" w:fill="auto"/>
          </w:tcPr>
          <w:p w14:paraId="1F0484B7"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Sig. (2-tailed)</w:t>
            </w:r>
          </w:p>
        </w:tc>
        <w:tc>
          <w:tcPr>
            <w:tcW w:w="1559" w:type="dxa"/>
            <w:shd w:val="clear" w:color="auto" w:fill="auto"/>
          </w:tcPr>
          <w:p w14:paraId="0B641948" w14:textId="77777777" w:rsidR="00D173CF" w:rsidRPr="00E21894" w:rsidRDefault="00D173CF" w:rsidP="00EB0272">
            <w:pPr>
              <w:autoSpaceDE w:val="0"/>
              <w:autoSpaceDN w:val="0"/>
              <w:adjustRightInd w:val="0"/>
              <w:spacing w:after="0" w:line="240" w:lineRule="auto"/>
              <w:ind w:left="60" w:right="60"/>
              <w:jc w:val="both"/>
              <w:rPr>
                <w:rFonts w:ascii="Arial" w:hAnsi="Arial" w:cs="Arial"/>
                <w:sz w:val="24"/>
                <w:szCs w:val="24"/>
              </w:rPr>
            </w:pPr>
            <w:r w:rsidRPr="00E21894">
              <w:rPr>
                <w:rFonts w:ascii="Arial" w:hAnsi="Arial" w:cs="Arial"/>
                <w:sz w:val="24"/>
                <w:szCs w:val="24"/>
              </w:rPr>
              <w:t>.66</w:t>
            </w:r>
          </w:p>
        </w:tc>
      </w:tr>
    </w:tbl>
    <w:p w14:paraId="3A453AF0" w14:textId="77777777" w:rsidR="00C242FA" w:rsidRDefault="00C242FA" w:rsidP="00D173CF">
      <w:pPr>
        <w:spacing w:line="240" w:lineRule="auto"/>
        <w:rPr>
          <w:rFonts w:ascii="Arial" w:hAnsi="Arial" w:cs="Arial"/>
          <w:b/>
          <w:bCs/>
          <w:sz w:val="24"/>
          <w:szCs w:val="24"/>
        </w:rPr>
      </w:pPr>
    </w:p>
    <w:p w14:paraId="78CBE7FD" w14:textId="77777777" w:rsidR="00D173CF" w:rsidRPr="00E21894" w:rsidRDefault="00D173CF" w:rsidP="00D173CF">
      <w:pPr>
        <w:spacing w:line="240" w:lineRule="auto"/>
        <w:rPr>
          <w:rFonts w:ascii="Arial" w:hAnsi="Arial" w:cs="Arial"/>
          <w:b/>
          <w:bCs/>
          <w:sz w:val="24"/>
          <w:szCs w:val="24"/>
        </w:rPr>
      </w:pPr>
      <w:r>
        <w:rPr>
          <w:rFonts w:ascii="Arial" w:hAnsi="Arial" w:cs="Arial"/>
          <w:b/>
          <w:bCs/>
          <w:sz w:val="24"/>
          <w:szCs w:val="24"/>
        </w:rPr>
        <w:t>DISCUSSION</w:t>
      </w:r>
    </w:p>
    <w:p w14:paraId="418FC90D" w14:textId="77777777" w:rsidR="00D173CF" w:rsidRPr="00AB3369" w:rsidRDefault="00D173CF" w:rsidP="00D173CF">
      <w:pPr>
        <w:spacing w:line="240" w:lineRule="auto"/>
        <w:rPr>
          <w:rFonts w:ascii="Arial" w:hAnsi="Arial" w:cs="Arial"/>
          <w:b/>
          <w:bCs/>
          <w:iCs/>
          <w:color w:val="000000" w:themeColor="text1"/>
          <w:sz w:val="24"/>
          <w:szCs w:val="24"/>
        </w:rPr>
      </w:pPr>
      <w:r w:rsidRPr="00AB3369">
        <w:rPr>
          <w:rFonts w:ascii="Arial" w:hAnsi="Arial" w:cs="Arial"/>
          <w:b/>
          <w:bCs/>
          <w:iCs/>
          <w:color w:val="000000" w:themeColor="text1"/>
          <w:sz w:val="24"/>
          <w:szCs w:val="24"/>
        </w:rPr>
        <w:t>Pre-admission academic (cognitive) data and final degree classifications</w:t>
      </w:r>
    </w:p>
    <w:p w14:paraId="4420C02E" w14:textId="77777777" w:rsidR="00D173CF" w:rsidRPr="00E21894" w:rsidRDefault="00D173CF" w:rsidP="00D173CF">
      <w:pPr>
        <w:spacing w:line="240" w:lineRule="auto"/>
        <w:rPr>
          <w:rFonts w:ascii="Arial" w:hAnsi="Arial" w:cs="Arial"/>
          <w:color w:val="000000" w:themeColor="text1"/>
          <w:sz w:val="24"/>
          <w:szCs w:val="24"/>
        </w:rPr>
      </w:pPr>
      <w:r w:rsidRPr="00E21894">
        <w:rPr>
          <w:rFonts w:ascii="Arial" w:hAnsi="Arial" w:cs="Arial"/>
          <w:color w:val="000000" w:themeColor="text1"/>
          <w:sz w:val="24"/>
          <w:szCs w:val="24"/>
        </w:rPr>
        <w:t xml:space="preserve">While no predictive relationships between UCAS tariff points and final degree classifications were found in this study, further exploration of those students considered ‘outliers’ at either end of the tariff spectrum were explored. </w:t>
      </w:r>
    </w:p>
    <w:p w14:paraId="377970FD" w14:textId="42D992EC" w:rsidR="00D173CF" w:rsidRPr="00800626" w:rsidRDefault="00D173CF" w:rsidP="00D173CF">
      <w:pPr>
        <w:pStyle w:val="ListParagraph"/>
        <w:numPr>
          <w:ilvl w:val="0"/>
          <w:numId w:val="8"/>
        </w:numPr>
        <w:spacing w:line="240" w:lineRule="auto"/>
        <w:rPr>
          <w:rFonts w:ascii="Arial" w:hAnsi="Arial" w:cs="Arial"/>
          <w:color w:val="000000" w:themeColor="text1"/>
          <w:sz w:val="24"/>
          <w:szCs w:val="24"/>
        </w:rPr>
      </w:pPr>
      <w:r w:rsidRPr="00800626">
        <w:rPr>
          <w:rFonts w:ascii="Arial" w:hAnsi="Arial" w:cs="Arial"/>
          <w:b/>
          <w:bCs/>
          <w:iCs/>
          <w:color w:val="000000" w:themeColor="text1"/>
          <w:sz w:val="24"/>
          <w:szCs w:val="24"/>
        </w:rPr>
        <w:t xml:space="preserve">Candidates not meeting the minimum UCAS tariff of 320 points. </w:t>
      </w:r>
      <w:r w:rsidRPr="00800626">
        <w:rPr>
          <w:rFonts w:ascii="Arial" w:hAnsi="Arial" w:cs="Arial"/>
          <w:color w:val="000000" w:themeColor="text1"/>
          <w:sz w:val="24"/>
          <w:szCs w:val="24"/>
        </w:rPr>
        <w:t>Three candidates entered the program with a tariff of 300 points but met the minimum requirements</w:t>
      </w:r>
      <w:r w:rsidR="00AC16E5">
        <w:rPr>
          <w:rFonts w:ascii="Arial" w:hAnsi="Arial" w:cs="Arial"/>
          <w:color w:val="000000" w:themeColor="text1"/>
          <w:sz w:val="24"/>
          <w:szCs w:val="24"/>
        </w:rPr>
        <w:t xml:space="preserve"> of the non-cognitive criteria </w:t>
      </w:r>
      <w:r w:rsidRPr="00800626">
        <w:rPr>
          <w:rFonts w:ascii="Arial" w:hAnsi="Arial" w:cs="Arial"/>
          <w:color w:val="000000" w:themeColor="text1"/>
          <w:sz w:val="24"/>
          <w:szCs w:val="24"/>
        </w:rPr>
        <w:t xml:space="preserve">for the reflective essay and CAPSAT-R </w:t>
      </w:r>
      <w:r w:rsidRPr="00800626">
        <w:rPr>
          <w:rFonts w:ascii="Arial" w:hAnsi="Arial" w:cs="Arial"/>
          <w:color w:val="000000" w:themeColor="text1"/>
          <w:sz w:val="24"/>
          <w:szCs w:val="24"/>
        </w:rPr>
        <w:fldChar w:fldCharType="begin" w:fldLock="1"/>
      </w:r>
      <w:r w:rsidRPr="00800626">
        <w:rPr>
          <w:rFonts w:ascii="Arial" w:hAnsi="Arial" w:cs="Arial"/>
          <w:color w:val="000000" w:themeColor="text1"/>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2016)","plainTextFormattedCitation":"(Psych Tests AIM, 2016)","previouslyFormattedCitation":"(Psych Tests AIM, 2016)"},"properties":{"noteIndex":0},"schema":"https://github.com/citation-style-language/schema/raw/master/csl-citation.json"}</w:instrText>
      </w:r>
      <w:r w:rsidRPr="00800626">
        <w:rPr>
          <w:rFonts w:ascii="Arial" w:hAnsi="Arial" w:cs="Arial"/>
          <w:color w:val="000000" w:themeColor="text1"/>
          <w:sz w:val="24"/>
          <w:szCs w:val="24"/>
        </w:rPr>
        <w:fldChar w:fldCharType="separate"/>
      </w:r>
      <w:r w:rsidRPr="00800626">
        <w:rPr>
          <w:rFonts w:ascii="Arial" w:hAnsi="Arial" w:cs="Arial"/>
          <w:noProof/>
          <w:color w:val="000000" w:themeColor="text1"/>
          <w:sz w:val="24"/>
          <w:szCs w:val="24"/>
        </w:rPr>
        <w:t>(Psych Tests AIM, 2016)</w:t>
      </w:r>
      <w:r w:rsidRPr="00800626">
        <w:rPr>
          <w:rFonts w:ascii="Arial" w:hAnsi="Arial" w:cs="Arial"/>
          <w:color w:val="000000" w:themeColor="text1"/>
          <w:sz w:val="24"/>
          <w:szCs w:val="24"/>
        </w:rPr>
        <w:fldChar w:fldCharType="end"/>
      </w:r>
      <w:r w:rsidRPr="00800626">
        <w:rPr>
          <w:rFonts w:ascii="Arial" w:hAnsi="Arial" w:cs="Arial"/>
          <w:color w:val="000000" w:themeColor="text1"/>
          <w:sz w:val="24"/>
          <w:szCs w:val="24"/>
        </w:rPr>
        <w:t xml:space="preserve"> assessment.</w:t>
      </w:r>
    </w:p>
    <w:p w14:paraId="48F0704D" w14:textId="58209AE1" w:rsidR="00D173CF" w:rsidRPr="00800626" w:rsidRDefault="00D173CF" w:rsidP="00D173CF">
      <w:pPr>
        <w:pStyle w:val="ListParagraph"/>
        <w:numPr>
          <w:ilvl w:val="0"/>
          <w:numId w:val="8"/>
        </w:numPr>
        <w:spacing w:line="240" w:lineRule="auto"/>
        <w:rPr>
          <w:rFonts w:ascii="Arial" w:hAnsi="Arial" w:cs="Arial"/>
          <w:bCs/>
          <w:iCs/>
          <w:color w:val="000000" w:themeColor="text1"/>
          <w:sz w:val="24"/>
          <w:szCs w:val="24"/>
        </w:rPr>
      </w:pPr>
      <w:r w:rsidRPr="00800626">
        <w:rPr>
          <w:rFonts w:ascii="Arial" w:hAnsi="Arial" w:cs="Arial"/>
          <w:b/>
          <w:bCs/>
          <w:iCs/>
          <w:color w:val="000000" w:themeColor="text1"/>
          <w:sz w:val="24"/>
          <w:szCs w:val="24"/>
        </w:rPr>
        <w:t xml:space="preserve">Candidates entering with UCAS tariff of 400 points or more. </w:t>
      </w:r>
      <w:r w:rsidRPr="00800626">
        <w:rPr>
          <w:rFonts w:ascii="Arial" w:hAnsi="Arial" w:cs="Arial"/>
          <w:color w:val="000000" w:themeColor="text1"/>
          <w:sz w:val="24"/>
          <w:szCs w:val="24"/>
        </w:rPr>
        <w:t>Fifteen candidates entered the program with a</w:t>
      </w:r>
      <w:r w:rsidR="009F2335">
        <w:rPr>
          <w:rFonts w:ascii="Arial" w:hAnsi="Arial" w:cs="Arial"/>
          <w:color w:val="000000" w:themeColor="text1"/>
          <w:sz w:val="24"/>
          <w:szCs w:val="24"/>
        </w:rPr>
        <w:t xml:space="preserve"> tariff of 400 points or more (seven with 400; eight</w:t>
      </w:r>
      <w:r w:rsidRPr="00800626">
        <w:rPr>
          <w:rFonts w:ascii="Arial" w:hAnsi="Arial" w:cs="Arial"/>
          <w:color w:val="000000" w:themeColor="text1"/>
          <w:sz w:val="24"/>
          <w:szCs w:val="24"/>
        </w:rPr>
        <w:t xml:space="preserve"> with 420) and met all other minimum requirements for non-cognitive assessments. The exception being one candidate who scored 58% for the reflective essay and is subsequently discussed in </w:t>
      </w:r>
      <w:r w:rsidR="009F2335" w:rsidRPr="00800626">
        <w:rPr>
          <w:rFonts w:ascii="Arial" w:hAnsi="Arial" w:cs="Arial"/>
          <w:color w:val="000000" w:themeColor="text1"/>
          <w:sz w:val="24"/>
          <w:szCs w:val="24"/>
        </w:rPr>
        <w:t>detail</w:t>
      </w:r>
      <w:r w:rsidRPr="00800626">
        <w:rPr>
          <w:rFonts w:ascii="Arial" w:hAnsi="Arial" w:cs="Arial"/>
          <w:color w:val="000000" w:themeColor="text1"/>
          <w:sz w:val="24"/>
          <w:szCs w:val="24"/>
        </w:rPr>
        <w:t xml:space="preserve"> in the ‘</w:t>
      </w:r>
      <w:r w:rsidRPr="00800626">
        <w:rPr>
          <w:rFonts w:ascii="Arial" w:hAnsi="Arial" w:cs="Arial"/>
          <w:bCs/>
          <w:iCs/>
          <w:color w:val="000000" w:themeColor="text1"/>
          <w:sz w:val="24"/>
          <w:szCs w:val="24"/>
        </w:rPr>
        <w:t xml:space="preserve">pre-admission personal and professional (non-cognitive) data and final degree classifications’ section. </w:t>
      </w:r>
    </w:p>
    <w:p w14:paraId="4B11245F" w14:textId="77777777" w:rsidR="00D173CF" w:rsidRPr="0024288C" w:rsidRDefault="00D173CF" w:rsidP="00D173CF">
      <w:pPr>
        <w:spacing w:line="240" w:lineRule="auto"/>
        <w:rPr>
          <w:rFonts w:ascii="Arial" w:hAnsi="Arial" w:cs="Arial"/>
          <w:color w:val="000000" w:themeColor="text1"/>
          <w:sz w:val="24"/>
          <w:szCs w:val="24"/>
        </w:rPr>
      </w:pPr>
    </w:p>
    <w:p w14:paraId="6BAD27A7" w14:textId="66D32D86" w:rsidR="00D173CF" w:rsidRPr="00E21894" w:rsidRDefault="00D173CF" w:rsidP="00D173CF">
      <w:pPr>
        <w:spacing w:line="240" w:lineRule="auto"/>
        <w:rPr>
          <w:rFonts w:ascii="Arial" w:hAnsi="Arial" w:cs="Arial"/>
          <w:color w:val="FF0000"/>
          <w:sz w:val="24"/>
          <w:szCs w:val="24"/>
        </w:rPr>
      </w:pPr>
      <w:r w:rsidRPr="00E21894">
        <w:rPr>
          <w:rFonts w:ascii="Arial" w:hAnsi="Arial" w:cs="Arial"/>
          <w:color w:val="000000" w:themeColor="text1"/>
          <w:sz w:val="24"/>
          <w:szCs w:val="24"/>
        </w:rPr>
        <w:t>With these details plotted into a bar chart</w:t>
      </w:r>
      <w:r w:rsidR="007D7018">
        <w:rPr>
          <w:rFonts w:ascii="Arial" w:hAnsi="Arial" w:cs="Arial"/>
          <w:color w:val="000000" w:themeColor="text1"/>
          <w:sz w:val="24"/>
          <w:szCs w:val="24"/>
        </w:rPr>
        <w:t xml:space="preserve"> in figure 2</w:t>
      </w:r>
      <w:r w:rsidRPr="00E21894">
        <w:rPr>
          <w:rFonts w:ascii="Arial" w:hAnsi="Arial" w:cs="Arial"/>
          <w:color w:val="000000" w:themeColor="text1"/>
          <w:sz w:val="24"/>
          <w:szCs w:val="24"/>
        </w:rPr>
        <w:t xml:space="preserve">, it is clear to see how </w:t>
      </w:r>
      <w:r w:rsidR="00DD463A">
        <w:rPr>
          <w:rFonts w:ascii="Arial" w:hAnsi="Arial" w:cs="Arial"/>
          <w:color w:val="000000" w:themeColor="text1"/>
          <w:sz w:val="24"/>
          <w:szCs w:val="24"/>
        </w:rPr>
        <w:t xml:space="preserve">the </w:t>
      </w:r>
      <w:r w:rsidRPr="00E21894">
        <w:rPr>
          <w:rFonts w:ascii="Arial" w:hAnsi="Arial" w:cs="Arial"/>
          <w:color w:val="000000" w:themeColor="text1"/>
          <w:sz w:val="24"/>
          <w:szCs w:val="24"/>
        </w:rPr>
        <w:t xml:space="preserve">UCAS tariff for these candidates cannot be </w:t>
      </w:r>
      <w:r>
        <w:rPr>
          <w:rFonts w:ascii="Arial" w:hAnsi="Arial" w:cs="Arial"/>
          <w:color w:val="000000" w:themeColor="text1"/>
          <w:sz w:val="24"/>
          <w:szCs w:val="24"/>
        </w:rPr>
        <w:t>taken</w:t>
      </w:r>
      <w:r w:rsidRPr="00E21894">
        <w:rPr>
          <w:rFonts w:ascii="Arial" w:hAnsi="Arial" w:cs="Arial"/>
          <w:color w:val="000000" w:themeColor="text1"/>
          <w:sz w:val="24"/>
          <w:szCs w:val="24"/>
        </w:rPr>
        <w:t xml:space="preserve"> as a predictor of degree success. The three candidates with 300 points achieved 1</w:t>
      </w:r>
      <w:r w:rsidRPr="00E21894">
        <w:rPr>
          <w:rFonts w:ascii="Arial" w:hAnsi="Arial" w:cs="Arial"/>
          <w:color w:val="000000" w:themeColor="text1"/>
          <w:sz w:val="24"/>
          <w:szCs w:val="24"/>
          <w:vertAlign w:val="superscript"/>
        </w:rPr>
        <w:t>st</w:t>
      </w:r>
      <w:r w:rsidRPr="00E21894">
        <w:rPr>
          <w:rFonts w:ascii="Arial" w:hAnsi="Arial" w:cs="Arial"/>
          <w:color w:val="000000" w:themeColor="text1"/>
          <w:sz w:val="24"/>
          <w:szCs w:val="24"/>
        </w:rPr>
        <w:t xml:space="preserve"> Class (</w:t>
      </w:r>
      <w:r w:rsidRPr="00E21894">
        <w:rPr>
          <w:rFonts w:ascii="Arial" w:hAnsi="Arial" w:cs="Arial"/>
          <w:i/>
          <w:iCs/>
          <w:color w:val="000000" w:themeColor="text1"/>
          <w:sz w:val="24"/>
          <w:szCs w:val="24"/>
        </w:rPr>
        <w:t xml:space="preserve">n = </w:t>
      </w:r>
      <w:r w:rsidRPr="00E21894">
        <w:rPr>
          <w:rFonts w:ascii="Arial" w:hAnsi="Arial" w:cs="Arial"/>
          <w:color w:val="000000" w:themeColor="text1"/>
          <w:sz w:val="24"/>
          <w:szCs w:val="24"/>
        </w:rPr>
        <w:t>1) and 2</w:t>
      </w:r>
      <w:r w:rsidRPr="00E21894">
        <w:rPr>
          <w:rFonts w:ascii="Arial" w:hAnsi="Arial" w:cs="Arial"/>
          <w:color w:val="000000" w:themeColor="text1"/>
          <w:sz w:val="24"/>
          <w:szCs w:val="24"/>
          <w:vertAlign w:val="superscript"/>
        </w:rPr>
        <w:t>nd</w:t>
      </w:r>
      <w:r w:rsidRPr="00E21894">
        <w:rPr>
          <w:rFonts w:ascii="Arial" w:hAnsi="Arial" w:cs="Arial"/>
          <w:color w:val="000000" w:themeColor="text1"/>
          <w:sz w:val="24"/>
          <w:szCs w:val="24"/>
        </w:rPr>
        <w:t xml:space="preserve"> Class (upper) (</w:t>
      </w:r>
      <w:r w:rsidRPr="00E21894">
        <w:rPr>
          <w:rFonts w:ascii="Arial" w:hAnsi="Arial" w:cs="Arial"/>
          <w:i/>
          <w:iCs/>
          <w:color w:val="000000" w:themeColor="text1"/>
          <w:sz w:val="24"/>
          <w:szCs w:val="24"/>
        </w:rPr>
        <w:t xml:space="preserve">n = </w:t>
      </w:r>
      <w:r w:rsidRPr="00E21894">
        <w:rPr>
          <w:rFonts w:ascii="Arial" w:hAnsi="Arial" w:cs="Arial"/>
          <w:color w:val="000000" w:themeColor="text1"/>
          <w:sz w:val="24"/>
          <w:szCs w:val="24"/>
        </w:rPr>
        <w:t>2) degrees. Conversely, just one of the eight students with 420 points earned a 1</w:t>
      </w:r>
      <w:r w:rsidRPr="00E21894">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Class, with two of the seven</w:t>
      </w:r>
      <w:r w:rsidRPr="00E21894">
        <w:rPr>
          <w:rFonts w:ascii="Arial" w:hAnsi="Arial" w:cs="Arial"/>
          <w:color w:val="000000" w:themeColor="text1"/>
          <w:sz w:val="24"/>
          <w:szCs w:val="24"/>
        </w:rPr>
        <w:t xml:space="preserve"> candidates with 400 points achiev</w:t>
      </w:r>
      <w:r>
        <w:rPr>
          <w:rFonts w:ascii="Arial" w:hAnsi="Arial" w:cs="Arial"/>
          <w:color w:val="000000" w:themeColor="text1"/>
          <w:sz w:val="24"/>
          <w:szCs w:val="24"/>
        </w:rPr>
        <w:t>ing</w:t>
      </w:r>
      <w:r w:rsidRPr="00E21894">
        <w:rPr>
          <w:rFonts w:ascii="Arial" w:hAnsi="Arial" w:cs="Arial"/>
          <w:color w:val="000000" w:themeColor="text1"/>
          <w:sz w:val="24"/>
          <w:szCs w:val="24"/>
        </w:rPr>
        <w:t xml:space="preserve"> at this level</w:t>
      </w:r>
      <w:r>
        <w:rPr>
          <w:rFonts w:ascii="Arial" w:hAnsi="Arial" w:cs="Arial"/>
          <w:color w:val="000000" w:themeColor="text1"/>
          <w:sz w:val="24"/>
          <w:szCs w:val="24"/>
        </w:rPr>
        <w:t xml:space="preserve"> (two of the three candidates scoring 320 points earned 1</w:t>
      </w:r>
      <w:r w:rsidRPr="00BA57A6">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Class degrees)</w:t>
      </w:r>
      <w:r w:rsidRPr="00E21894">
        <w:rPr>
          <w:rFonts w:ascii="Arial" w:hAnsi="Arial" w:cs="Arial"/>
          <w:color w:val="000000" w:themeColor="text1"/>
          <w:sz w:val="24"/>
          <w:szCs w:val="24"/>
        </w:rPr>
        <w:t>. While the largest percentage of 2</w:t>
      </w:r>
      <w:r w:rsidRPr="00E21894">
        <w:rPr>
          <w:rFonts w:ascii="Arial" w:hAnsi="Arial" w:cs="Arial"/>
          <w:color w:val="000000" w:themeColor="text1"/>
          <w:sz w:val="24"/>
          <w:szCs w:val="24"/>
          <w:vertAlign w:val="superscript"/>
        </w:rPr>
        <w:t xml:space="preserve">nd </w:t>
      </w:r>
      <w:r w:rsidRPr="00E21894">
        <w:rPr>
          <w:rFonts w:ascii="Arial" w:hAnsi="Arial" w:cs="Arial"/>
          <w:color w:val="000000" w:themeColor="text1"/>
          <w:sz w:val="24"/>
          <w:szCs w:val="24"/>
        </w:rPr>
        <w:t>Class (upper) degrees were awarded to those with 420 points (</w:t>
      </w:r>
      <w:r w:rsidRPr="00E21894">
        <w:rPr>
          <w:rFonts w:ascii="Arial" w:hAnsi="Arial" w:cs="Arial"/>
          <w:i/>
          <w:iCs/>
          <w:color w:val="000000" w:themeColor="text1"/>
          <w:sz w:val="24"/>
          <w:szCs w:val="24"/>
        </w:rPr>
        <w:t xml:space="preserve">n </w:t>
      </w:r>
      <w:r w:rsidRPr="00E21894">
        <w:rPr>
          <w:rFonts w:ascii="Arial" w:hAnsi="Arial" w:cs="Arial"/>
          <w:color w:val="000000" w:themeColor="text1"/>
          <w:sz w:val="24"/>
          <w:szCs w:val="24"/>
        </w:rPr>
        <w:t>= 5; 18.5%), the only 3</w:t>
      </w:r>
      <w:r w:rsidRPr="00E21894">
        <w:rPr>
          <w:rFonts w:ascii="Arial" w:hAnsi="Arial" w:cs="Arial"/>
          <w:color w:val="000000" w:themeColor="text1"/>
          <w:sz w:val="24"/>
          <w:szCs w:val="24"/>
          <w:vertAlign w:val="superscript"/>
        </w:rPr>
        <w:t>rd</w:t>
      </w:r>
      <w:r w:rsidRPr="00E21894">
        <w:rPr>
          <w:rFonts w:ascii="Arial" w:hAnsi="Arial" w:cs="Arial"/>
          <w:color w:val="000000" w:themeColor="text1"/>
          <w:sz w:val="24"/>
          <w:szCs w:val="24"/>
        </w:rPr>
        <w:t xml:space="preserve"> Class degree awarded was to a candidate with a tariff of 400 points. </w:t>
      </w:r>
    </w:p>
    <w:p w14:paraId="6CD71505" w14:textId="77777777" w:rsidR="00D173CF" w:rsidRPr="00E21894" w:rsidRDefault="00D173CF" w:rsidP="00D173CF">
      <w:pPr>
        <w:spacing w:line="240" w:lineRule="auto"/>
        <w:rPr>
          <w:rFonts w:ascii="Arial" w:hAnsi="Arial" w:cs="Arial"/>
          <w:color w:val="000000" w:themeColor="text1"/>
          <w:sz w:val="24"/>
          <w:szCs w:val="24"/>
        </w:rPr>
      </w:pPr>
    </w:p>
    <w:p w14:paraId="124E5BA1" w14:textId="77777777" w:rsidR="00D173CF" w:rsidRPr="00E21894" w:rsidRDefault="00D173CF" w:rsidP="00D173CF">
      <w:pPr>
        <w:spacing w:line="240" w:lineRule="auto"/>
        <w:rPr>
          <w:rFonts w:ascii="Arial" w:hAnsi="Arial" w:cs="Arial"/>
          <w:color w:val="000000" w:themeColor="text1"/>
          <w:sz w:val="24"/>
          <w:szCs w:val="24"/>
        </w:rPr>
      </w:pPr>
      <w:r w:rsidRPr="00E21894">
        <w:rPr>
          <w:rFonts w:ascii="Arial" w:hAnsi="Arial" w:cs="Arial"/>
          <w:noProof/>
          <w:color w:val="000000" w:themeColor="text1"/>
          <w:sz w:val="24"/>
          <w:szCs w:val="24"/>
        </w:rPr>
        <w:drawing>
          <wp:inline distT="0" distB="0" distL="0" distR="0" wp14:anchorId="21FE1303" wp14:editId="1B331857">
            <wp:extent cx="6648450" cy="29051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1DD7DF" w14:textId="7A8D545F" w:rsidR="00D173CF" w:rsidRDefault="00D173CF" w:rsidP="00D173CF">
      <w:pPr>
        <w:spacing w:line="240" w:lineRule="auto"/>
        <w:rPr>
          <w:rFonts w:ascii="Arial" w:hAnsi="Arial" w:cs="Arial"/>
          <w:bCs/>
          <w:i/>
          <w:iCs/>
          <w:color w:val="000000" w:themeColor="text1"/>
          <w:sz w:val="24"/>
          <w:szCs w:val="24"/>
        </w:rPr>
      </w:pPr>
      <w:r w:rsidRPr="0024288C">
        <w:rPr>
          <w:rFonts w:ascii="Arial" w:hAnsi="Arial" w:cs="Arial"/>
          <w:bCs/>
          <w:i/>
          <w:iCs/>
          <w:color w:val="000000" w:themeColor="text1"/>
          <w:sz w:val="24"/>
          <w:szCs w:val="24"/>
        </w:rPr>
        <w:t xml:space="preserve">Figure </w:t>
      </w:r>
      <w:r w:rsidR="007D7018">
        <w:rPr>
          <w:rFonts w:ascii="Arial" w:hAnsi="Arial" w:cs="Arial"/>
          <w:bCs/>
          <w:i/>
          <w:iCs/>
          <w:color w:val="000000" w:themeColor="text1"/>
          <w:sz w:val="24"/>
          <w:szCs w:val="24"/>
        </w:rPr>
        <w:t>2</w:t>
      </w:r>
      <w:r w:rsidRPr="0024288C">
        <w:rPr>
          <w:rFonts w:ascii="Arial" w:hAnsi="Arial" w:cs="Arial"/>
          <w:bCs/>
          <w:i/>
          <w:iCs/>
          <w:color w:val="000000" w:themeColor="text1"/>
          <w:sz w:val="24"/>
          <w:szCs w:val="24"/>
        </w:rPr>
        <w:t>: UCAS tariff points and final degree classifications awarded to a cohort of undergraduate occupational therapy students (n = 27)</w:t>
      </w:r>
    </w:p>
    <w:p w14:paraId="0CF2CC7A" w14:textId="77777777" w:rsidR="00C242FA" w:rsidRDefault="00C242FA" w:rsidP="00D173CF">
      <w:pPr>
        <w:spacing w:line="240" w:lineRule="auto"/>
        <w:rPr>
          <w:rFonts w:ascii="Arial" w:hAnsi="Arial" w:cs="Arial"/>
          <w:color w:val="000000" w:themeColor="text1"/>
          <w:sz w:val="24"/>
          <w:szCs w:val="24"/>
        </w:rPr>
      </w:pPr>
    </w:p>
    <w:p w14:paraId="216FE3FE" w14:textId="06D4CAC2" w:rsidR="00D173CF" w:rsidRDefault="00D173CF" w:rsidP="00D173CF">
      <w:pPr>
        <w:spacing w:line="240" w:lineRule="auto"/>
        <w:rPr>
          <w:rFonts w:ascii="Arial" w:hAnsi="Arial" w:cs="Arial"/>
          <w:color w:val="000000" w:themeColor="text1"/>
          <w:sz w:val="24"/>
          <w:szCs w:val="24"/>
        </w:rPr>
      </w:pPr>
      <w:r>
        <w:rPr>
          <w:rFonts w:ascii="Arial" w:hAnsi="Arial" w:cs="Arial"/>
          <w:color w:val="000000" w:themeColor="text1"/>
          <w:sz w:val="24"/>
          <w:szCs w:val="24"/>
        </w:rPr>
        <w:t>The results of this study support the OT specific research before it that found no significant correlations between pre-a</w:t>
      </w:r>
      <w:r w:rsidR="00DD463A">
        <w:rPr>
          <w:rFonts w:ascii="Arial" w:hAnsi="Arial" w:cs="Arial"/>
          <w:color w:val="000000" w:themeColor="text1"/>
          <w:sz w:val="24"/>
          <w:szCs w:val="24"/>
        </w:rPr>
        <w:t>dmission qualifications and fin</w:t>
      </w:r>
      <w:r>
        <w:rPr>
          <w:rFonts w:ascii="Arial" w:hAnsi="Arial" w:cs="Arial"/>
          <w:color w:val="000000" w:themeColor="text1"/>
          <w:sz w:val="24"/>
          <w:szCs w:val="24"/>
        </w:rPr>
        <w:t xml:space="preserve">al degree outcomes for undergraduate occupational therapy students </w:t>
      </w:r>
      <w:r>
        <w:rPr>
          <w:rFonts w:ascii="Arial" w:hAnsi="Arial" w:cs="Arial"/>
          <w:color w:val="000000" w:themeColor="text1"/>
          <w:sz w:val="24"/>
          <w:szCs w:val="24"/>
        </w:rPr>
        <w:fldChar w:fldCharType="begin" w:fldLock="1"/>
      </w:r>
      <w:r>
        <w:rPr>
          <w:rFonts w:ascii="Arial" w:hAnsi="Arial" w:cs="Arial"/>
          <w:color w:val="000000" w:themeColor="text1"/>
          <w:sz w:val="24"/>
          <w:szCs w:val="24"/>
        </w:rPr>
        <w:instrText>ADDIN CSL_CITATION {"citationItems":[{"id":"ITEM-1","itemData":{"DOI":"10.1177/000841749005700509","ISSN":"19119828","abstract":"This paper investigates the relationship of previous academic performance and selection interview results to the academic and fieldwork performance of students during four years of study in Occupational Therapy. Only students who met the basic academic requirements of the occupational therapy department were included. Half of the students who were admitted were selected on the basis of highest academic grades and half were selected on the basis of highest interview scores. At the end of the academic program evaluations indicated no significant difference beween the two groups in terms of academic performance. Over the four years those students who were selected by high interview scores showed more improvement in fieldwork performance than students admitted only on the basis of previous academic grades. Students who had some previous university experience exhibited significantly greater improvement in fieldwork performance than those admitted directly from high school. © 1990, Canadian Association of Occupational Therapists (CAOT). All rights reserved.","author":[{"dropping-particle":"","family":"Posthuma","given":"Barbara","non-dropping-particle":"","parse-names":false,"suffix":""},{"dropping-particle":"","family":"Noh","given":"Samuel","non-dropping-particle":"","parse-names":false,"suffix":""}],"container-title":"Canadian Journal of Occupational Therapy","id":"ITEM-1","issue":"5","issued":{"date-parts":[["1990"]]},"page":"285-291","title":"Interview Scores and Academic Grades as Selection Criteria for Admission to an Occupational Therapy Program","type":"article-journal","volume":"57"},"uris":["http://www.mendeley.com/documents/?uuid=975c3c41-f453-4f89-afb1-a4e1922609aa"]},{"id":"ITEM-2","itemData":{"DOI":"10.1177/030802268604900904","ISSN":"0308-0226","author":[{"dropping-particle":"","family":"Tyldesley","given":"Barbara","non-dropping-particle":"","parse-names":false,"suffix":""}],"container-title":"British Journal of Occupational Therapy","id":"ITEM-2","issue":"9","issued":{"date-parts":[["1986"]]},"page":"285-287","title":"Biological Sciences in Occupational Therapy Education: A Review Carried Out at One Occupational Therapy School","type":"article-journal","volume":"49"},"uris":["http://www.mendeley.com/documents/?uuid=46809b34-3470-4467-bbbf-c7a643cac95e"]},{"id":"ITEM-3","itemData":{"DOI":"10.1177/030802260006300706","ISSN":"14776006","abstract":"This paper examines the relationships between the entry qualifications and the fieldwork score, academic score and final degree score of a group of 168 occupational therapy and physiotherapy students. The data were gathered from spreadsheets showing the results of students' practical and written assignments and their final degree score computed from these. Details of entry qualifications were obtained from students' personal files. Statistical analyses were carried out on the data obtained to support or refute hypotheses generated by the literature search. It was found that the physiotherapy students with A-levels had higher average scores on entry than the occupational therapy students but that, over the 3 years of their degree, this discrepancy disappeared and there was no significant difference in either fieldwork score or final degree score between the two sets of students. A statistically significant difference was, however, found between the final academic scores of physiotherapy students entering with qualifications other than A-levels, mostly BTEC, and those with A-levels. The results suggest that entry qualifications are poor predictors of both fieldwork and academic outcomes and support the School of Occupational Therapy and Physiotherapy at the University of East Anglia in its policy of a flexible approach to entry requirements; however, careful monitoring should be continued.","author":[{"dropping-particle":"","family":"Howard","given":"L.","non-dropping-particle":"","parse-names":false,"suffix":""},{"dropping-particle":"","family":"Jerosch-Herold","given":"C.","non-dropping-particle":"","parse-names":false,"suffix":""}],"container-title":"British Journal of Occupational Therapy","id":"ITEM-3","issue":"7","issued":{"date-parts":[["2000"]]},"page":"329-334","title":"Can entry qualifications be used to predict fieldwork and academic outcomes in occupational therapy and physiotherapy students?","type":"article-journal","volume":"63"},"uris":["http://www.mendeley.com/documents/?uuid=a6bf75ae-cbc8-4407-96a9-1ef38fad8a27"]},{"id":"ITEM-4","itemData":{"DOI":"10.1177/030802269806100601","ISSN":"14776006","abstract":"There are different entry qualification routes to an honours degree course in occupational therapy. These differences, coupled with the considerable age-range of applicants, mean that students commence their courses from widely different starting points, which may have a bearing on their academic career. This study examined some chosen starting points briefly and, by retrospective analysis of 47 student progress files, looked at how students fared over their university careers. In particular, it examined whether certain pre-entry factors were associated with good degree results. A secondary focus was the relevance of A-level biology as an entrance criterion. The results indicated that students coming into occupational therapy via both traditional and non-traditional routes did equally well and that A-level biology was not associated with degree performance.","author":[{"dropping-particle":"","family":"Howard","given":"Lynne M.","non-dropping-particle":"","parse-names":false,"suffix":""},{"dropping-particle":"","family":"Watson","given":"Martin J.","non-dropping-particle":"","parse-names":false,"suffix":""}],"container-title":"British Journal of Occupational Therapy","id":"ITEM-4","issue":"6","issued":{"date-parts":[["1998"]]},"page":"244-248","title":"A Degree in Occupational Therapy: How do Traditional and Non-Traditional Entry Routes Compare?","type":"article-journal","volume":"61"},"uris":["http://www.mendeley.com/documents/?uuid=b597a021-dbe6-4aed-9ce5-74e99279fd15"]}],"mendeley":{"formattedCitation":"(L. Howard &amp; Jerosch-Herold, 2000; L. M. Howard &amp; Watson, 1998; B. Posthuma &amp; Noh, 1990; Tyldesley, 1986)","manualFormatting":"(Howard &amp; Jerosch-Herold, 2000; Howard &amp; Watson, 1998; Posthuma &amp; Noh, 1990; Tyldesley, 1986)","plainTextFormattedCitation":"(L. Howard &amp; Jerosch-Herold, 2000; L. M. Howard &amp; Watson, 1998; B. Posthuma &amp; Noh, 1990; Tyldesley, 1986)","previouslyFormattedCitation":"(L. Howard &amp; Jerosch-Herold, 2000; L. M. Howard &amp; Watson, 1998; B. Posthuma &amp; Noh, 1990; Tyldesley, 1986)"},"properties":{"noteIndex":0},"schema":"https://github.com/citation-style-language/schema/raw/master/csl-citation.json"}</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w:t>
      </w:r>
      <w:r w:rsidRPr="00B40CF9">
        <w:rPr>
          <w:rFonts w:ascii="Arial" w:hAnsi="Arial" w:cs="Arial"/>
          <w:noProof/>
          <w:color w:val="000000" w:themeColor="text1"/>
          <w:sz w:val="24"/>
          <w:szCs w:val="24"/>
        </w:rPr>
        <w:t>Howar</w:t>
      </w:r>
      <w:r>
        <w:rPr>
          <w:rFonts w:ascii="Arial" w:hAnsi="Arial" w:cs="Arial"/>
          <w:noProof/>
          <w:color w:val="000000" w:themeColor="text1"/>
          <w:sz w:val="24"/>
          <w:szCs w:val="24"/>
        </w:rPr>
        <w:t>d &amp; Jerosch-Herold, 2000; Howard &amp; Watson, 1998;</w:t>
      </w:r>
      <w:r w:rsidRPr="00B40CF9">
        <w:rPr>
          <w:rFonts w:ascii="Arial" w:hAnsi="Arial" w:cs="Arial"/>
          <w:noProof/>
          <w:color w:val="000000" w:themeColor="text1"/>
          <w:sz w:val="24"/>
          <w:szCs w:val="24"/>
        </w:rPr>
        <w:t xml:space="preserve"> Posthuma &amp; Noh, 1990; Tyldesley, 1986)</w:t>
      </w:r>
      <w:r>
        <w:rPr>
          <w:rFonts w:ascii="Arial" w:hAnsi="Arial" w:cs="Arial"/>
          <w:color w:val="000000" w:themeColor="text1"/>
          <w:sz w:val="24"/>
          <w:szCs w:val="24"/>
        </w:rPr>
        <w:fldChar w:fldCharType="end"/>
      </w:r>
      <w:r w:rsidRPr="00E21894">
        <w:rPr>
          <w:rFonts w:ascii="Arial" w:hAnsi="Arial" w:cs="Arial"/>
          <w:color w:val="000000" w:themeColor="text1"/>
          <w:sz w:val="24"/>
          <w:szCs w:val="24"/>
        </w:rPr>
        <w:t>.</w:t>
      </w:r>
      <w:r>
        <w:rPr>
          <w:rFonts w:ascii="Arial" w:hAnsi="Arial" w:cs="Arial"/>
          <w:color w:val="000000" w:themeColor="text1"/>
          <w:sz w:val="24"/>
          <w:szCs w:val="24"/>
        </w:rPr>
        <w:t xml:space="preserve"> It is wo</w:t>
      </w:r>
      <w:r w:rsidR="00DD463A">
        <w:rPr>
          <w:rFonts w:ascii="Arial" w:hAnsi="Arial" w:cs="Arial"/>
          <w:color w:val="000000" w:themeColor="text1"/>
          <w:sz w:val="24"/>
          <w:szCs w:val="24"/>
        </w:rPr>
        <w:t xml:space="preserve">rth noting however, that the </w:t>
      </w:r>
      <w:r>
        <w:rPr>
          <w:rFonts w:ascii="Arial" w:hAnsi="Arial" w:cs="Arial"/>
          <w:color w:val="000000" w:themeColor="text1"/>
          <w:sz w:val="24"/>
          <w:szCs w:val="24"/>
        </w:rPr>
        <w:t xml:space="preserve">cumulative evidence </w:t>
      </w:r>
      <w:r w:rsidR="00DD463A">
        <w:rPr>
          <w:rFonts w:ascii="Arial" w:hAnsi="Arial" w:cs="Arial"/>
          <w:color w:val="000000" w:themeColor="text1"/>
          <w:sz w:val="24"/>
          <w:szCs w:val="24"/>
        </w:rPr>
        <w:t xml:space="preserve">from these studies </w:t>
      </w:r>
      <w:r>
        <w:rPr>
          <w:rFonts w:ascii="Arial" w:hAnsi="Arial" w:cs="Arial"/>
          <w:color w:val="000000" w:themeColor="text1"/>
          <w:sz w:val="24"/>
          <w:szCs w:val="24"/>
        </w:rPr>
        <w:t xml:space="preserve">relates to students enrolled onto baccalaureate degrees. When the evidence is considered for those students entering OT training with a first degree, the correlation between pre-admission qualifications and graduate success is far more positive </w:t>
      </w:r>
      <w:r>
        <w:rPr>
          <w:rFonts w:ascii="Arial" w:hAnsi="Arial" w:cs="Arial"/>
          <w:color w:val="000000" w:themeColor="text1"/>
          <w:sz w:val="24"/>
          <w:szCs w:val="24"/>
        </w:rPr>
        <w:fldChar w:fldCharType="begin" w:fldLock="1"/>
      </w:r>
      <w:r>
        <w:rPr>
          <w:rFonts w:ascii="Arial" w:hAnsi="Arial" w:cs="Arial"/>
          <w:color w:val="000000" w:themeColor="text1"/>
          <w:sz w:val="24"/>
          <w:szCs w:val="24"/>
        </w:rPr>
        <w:instrText xml:space="preserve">ADDIN CSL_CITATION {"citationItems":[{"id":"ITEM-1","itemData":{"DOI":"10.1177/030802260406701004","ISSN":"14776006","abstract":"This article presents a research study that investigated age as a predictor of higher academic outcome in a sample of 425 recent honours; graduates from 8 out of 19 (42%) occupational therapy schools in England and Wales. The initial analysis of the data showed that age was related to academic performance, but this relationship was much weaker when the qualifications used to gain entry to occupational therapy education were added to the statistical analysis. The data were strongly influenced by the superior academic performance of the students who had a previous degree on entry to occupational therapy education. When these degree-level entrants were removed from the age analysis, the academic performance of the remaining mature students did not differ significantly from that of the younger students, thus removing the effect of age that was initially seen in the data. This result indicates that entry qualifications, in particular a previous degree, have a positive predictive effect on the academic performance of students in occupational therapy education. This finding has implications for those planning new occupational therapy programmes and for admissions tutors in existing programmes.","author":[{"dropping-particle":"","family":"Shanahan","given":"Margaret M.","non-dropping-particle":"","parse-names":false,"suffix":""}],"container-title":"British Journal of Occupational Therapy","id":"ITEM-1","issue":"10","issued":{"date-parts":[["2004"]]},"page":"439-446","title":"Does age at entry have an impact on academic performance in occupational therapy education?","type":"article-journal","volume":"67"},"uris":["http://www.mendeley.com/documents/?uuid=17e98a99-9fe5-4861-99ee-ae47445b5ba9"]},{"id":"ITEM-2","itemData":{"author":[{"dropping-particle":"","family":"Katz","given":"G","non-dropping-particle":"","parse-names":false,"suffix":""},{"dropping-particle":"","family":"Mosey","given":"A","non-dropping-particle":"","parse-names":false,"suffix":""}],"container-title":"The American Journal of Occupational Therapy","id":"ITEM-2","issue":"12","issued":{"date-parts":[["1980"]]},"page":"794-800","title":"Fieldwork performance, academic grades, and pre-selection criteria of Occupational Therapy students","type":"article-journal","volume":"34"},"uris":["http://www.mendeley.com/documents/?uuid=a16e704d-636f-4567-8439-51cebe4c6b69"]},{"id":"ITEM-3","itemData":{"author":[{"dropping-particle":"","family":"Lysaght","given":"Rosemary","non-dropping-particle":"","parse-names":false,"suffix":""},{"dropping-particle":"","family":"Donnelly","given":"Catherine","non-dropping-particle":"","parse-names":false,"suffix":""},{"dropping-particle":"","family":"Villeneuve","given":"Michelle","non-dropping-particle":"","parse-names":false,"suffix":""}],"container-title":"Canadian Journal of Occupational Therapy","id":"ITEM-3","issue":"1","issued":{"date-parts":[["2009"]]},"page":"38-47","title":"Factors predicting appicant outcomes in occupational education","type":"article-journal","volume":"76"},"uris":["http://www.mendeley.com/documents/?uuid=d0691da8-ce4e-4dd2-93ce-3fc0d8de72aa"]},{"id":"ITEM-4","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Education","id":"ITEM-4","issue":"3","issued":{"date-parts":[["2018"]]},"title":"Admission Requirements and Practices in Entry-Level Occupational Therapy Programs","type":"article-journal","volume":"2"},"uris":["http://www.mendeley.com/documents/?uuid=88d18a5f-0f1b-4ea3-a67a-db3fff7e568a"]},{"id":"ITEM-5","itemData":{"author":[{"dropping-particle":"","family":"Kirchner","given":"Grace L","non-dropping-particle":"","parse-names":false,"suffix":""},{"dropping-particle":"","family":"Holm","given":"Margo B","non-dropping-particle":"","parse-names":false,"suffix":""}],"container-title":"American Journal of Occupational Therapy","id":"ITEM-5","issue":"9","issued":{"date-parts":[["1997"]]},"page":"775 - 779","title":"Prediction of academic and clinical performance of occupational therapy students in an entry-level Master's program","type":"article-journal","volume":"51"},"uris":["http://www.mendeley.com/documents/?uuid=9c4ce04e-fef0-4ae7-839b-f86aa9f7af88"]},{"id":"ITEM-6","itemData":{"DOI":"10.1300/j003v13n01_01","ISSN":"07380577","PMID":"23941119","abstract":"The relationships among clinical outcomes, academic success, and predictors used to screen applicants for entrance into a Master in Occupational Therapy Program (MOT) were examined. The dependent variables were grade point average in occupational therapy courses (OT-GPA), client therapy outcomes at the clinic, and ratings of MOT students by Level II Fieldwork supervisors. Predictor variables included undergraduate GPA, scores on the Graduate Record Examination (GRE), and an essay. Both undergraduate GPA and scores on the GRE were found to predict OT-GPA. </w:instrText>
      </w:r>
      <w:r w:rsidRPr="001339EB">
        <w:rPr>
          <w:rFonts w:ascii="Arial" w:hAnsi="Arial" w:cs="Arial"/>
          <w:color w:val="000000" w:themeColor="text1"/>
          <w:sz w:val="24"/>
          <w:szCs w:val="24"/>
          <w:lang w:val="de-DE"/>
        </w:rPr>
        <w:instrText>The analytical section of the GRE was also positively correlated with fieldworlk supervisors ratings of students.","author":[{"dropping-particle":"","family":"Kirchner","given":"Grace L.","non-dropping-particle":"","parse-names":false,"suffix":""},{"dropping-particle":"","family":"Stone","given":"Ronald G.","non-dropping-particle":"","parse-names":false,"suffix":""},{"dropping-particle":"","family":"Holm","given":"Margo B.","non-dropping-particle":"","parse-names":false,"suffix":""}],"container-title":"Occupational Therapy in Health Care","id":"ITEM-6","issue":"1","issued":{"date-parts":[["2001"]]},"page":"1-10","title":"Use of admission criteria to predict performance of students in an entry-level master's program on fieldwork placements and in academic courses","type":"article-journal","volume":"13"},"uris":["http://www.mendeley.com/documents/?uuid=b9e2ddc7-7a27-496a-9e9d-82e2dce412be"]}],"mendeley":{"formattedCitation":"(Bowyer et al., 2018; Katz &amp; Mosey, 1980; Kirchner &amp; Holm, 1997; Kirchner et al., 2001; Lysaght et al., 2009; Shanahan, 2004)","plainTextFormattedCitation":"(Bowyer et al., 2018; Katz &amp; Mosey, 1980; Kirchner &amp; Holm, 1997; Kirchner et al., 2001; Lysaght et al., 2009; Shanahan, 2004)","previouslyFormattedCitation":"(Bowyer et al., 2018; Katz &amp; Mosey, 1980; Kirchner &amp; Holm, 1997; Kirchner et al., 2001; Lysaght et al., 2009; Shanahan, 2004)"},"properties":{"noteIndex":0},"schema":"https://github.com/citation-style-language/schema/raw/master/csl-citation.json"}</w:instrText>
      </w:r>
      <w:r>
        <w:rPr>
          <w:rFonts w:ascii="Arial" w:hAnsi="Arial" w:cs="Arial"/>
          <w:color w:val="000000" w:themeColor="text1"/>
          <w:sz w:val="24"/>
          <w:szCs w:val="24"/>
        </w:rPr>
        <w:fldChar w:fldCharType="separate"/>
      </w:r>
      <w:r w:rsidRPr="00E90CBE">
        <w:rPr>
          <w:rFonts w:ascii="Arial" w:hAnsi="Arial" w:cs="Arial"/>
          <w:noProof/>
          <w:color w:val="000000" w:themeColor="text1"/>
          <w:sz w:val="24"/>
          <w:szCs w:val="24"/>
          <w:lang w:val="de-DE"/>
        </w:rPr>
        <w:t>(Bowyer et al., 2018; Katz &amp; Mosey, 1980; Kirchner &amp; Holm, 1997; Kirchner et al., 2001; Lysaght et al., 2009; Shanahan, 2004)</w:t>
      </w:r>
      <w:r>
        <w:rPr>
          <w:rFonts w:ascii="Arial" w:hAnsi="Arial" w:cs="Arial"/>
          <w:color w:val="000000" w:themeColor="text1"/>
          <w:sz w:val="24"/>
          <w:szCs w:val="24"/>
        </w:rPr>
        <w:fldChar w:fldCharType="end"/>
      </w:r>
      <w:r>
        <w:rPr>
          <w:rFonts w:ascii="Arial" w:hAnsi="Arial" w:cs="Arial"/>
          <w:color w:val="000000" w:themeColor="text1"/>
          <w:sz w:val="24"/>
          <w:szCs w:val="24"/>
          <w:lang w:val="de-DE"/>
        </w:rPr>
        <w:t xml:space="preserve">. </w:t>
      </w:r>
      <w:r w:rsidRPr="006C003E">
        <w:rPr>
          <w:rFonts w:ascii="Arial" w:hAnsi="Arial" w:cs="Arial"/>
          <w:color w:val="000000" w:themeColor="text1"/>
          <w:sz w:val="24"/>
          <w:szCs w:val="24"/>
        </w:rPr>
        <w:t>Seven students with a previous degree (</w:t>
      </w:r>
      <w:r w:rsidRPr="006C003E">
        <w:rPr>
          <w:rFonts w:ascii="Arial" w:hAnsi="Arial" w:cs="Arial"/>
          <w:i/>
          <w:iCs/>
          <w:color w:val="000000" w:themeColor="text1"/>
          <w:sz w:val="24"/>
          <w:szCs w:val="24"/>
        </w:rPr>
        <w:t>n=</w:t>
      </w:r>
      <w:r w:rsidRPr="006C003E">
        <w:rPr>
          <w:rFonts w:ascii="Arial" w:hAnsi="Arial" w:cs="Arial"/>
          <w:color w:val="000000" w:themeColor="text1"/>
          <w:sz w:val="24"/>
          <w:szCs w:val="24"/>
        </w:rPr>
        <w:t xml:space="preserve">5 BSc and </w:t>
      </w:r>
      <w:r w:rsidRPr="006C003E">
        <w:rPr>
          <w:rFonts w:ascii="Arial" w:hAnsi="Arial" w:cs="Arial"/>
          <w:i/>
          <w:iCs/>
          <w:color w:val="000000" w:themeColor="text1"/>
          <w:sz w:val="24"/>
          <w:szCs w:val="24"/>
        </w:rPr>
        <w:t>n=</w:t>
      </w:r>
      <w:r>
        <w:rPr>
          <w:rFonts w:ascii="Arial" w:hAnsi="Arial" w:cs="Arial"/>
          <w:color w:val="000000" w:themeColor="text1"/>
          <w:sz w:val="24"/>
          <w:szCs w:val="24"/>
        </w:rPr>
        <w:t xml:space="preserve">2 MSc) were excluded from this study. Inclusion of these candidates may have offered opportunity to extend previous research that found students over 21 years with a previous degree, do better academically than their peers </w:t>
      </w:r>
      <w:r>
        <w:rPr>
          <w:rFonts w:ascii="Arial" w:hAnsi="Arial" w:cs="Arial"/>
          <w:color w:val="000000" w:themeColor="text1"/>
          <w:sz w:val="24"/>
          <w:szCs w:val="24"/>
        </w:rPr>
        <w:fldChar w:fldCharType="begin" w:fldLock="1"/>
      </w:r>
      <w:r>
        <w:rPr>
          <w:rFonts w:ascii="Arial" w:hAnsi="Arial" w:cs="Arial"/>
          <w:color w:val="000000" w:themeColor="text1"/>
          <w:sz w:val="24"/>
          <w:szCs w:val="24"/>
        </w:rPr>
        <w:instrText>ADDIN CSL_CITATION {"citationItems":[{"id":"ITEM-1","itemData":{"DOI":"10.1177/030802260406701004","ISSN":"14776006","abstract":"This article presents a research study that investigated age as a predictor of higher academic outcome in a sample of 425 recent honours; graduates from 8 out of 19 (42%) occupational therapy schools in England and Wales. The initial analysis of the data showed that age was related to academic performance, but this relationship was much weaker when the qualifications used to gain entry to occupational therapy education were added to the statistical analysis. The data were strongly influenced by the superior academic performance of the students who had a previous degree on entry to occupational therapy education. When these degree-level entrants were removed from the age analysis, the academic performance of the remaining mature students did not differ significantly from that of the younger students, thus removing the effect of age that was initially seen in the data. This result indicates that entry qualifications, in particular a previous degree, have a positive predictive effect on the academic performance of students in occupational therapy education. This finding has implications for those planning new occupational therapy programmes and for admissions tutors in existing programmes.","author":[{"dropping-particle":"","family":"Shanahan","given":"Margaret M.","non-dropping-particle":"","parse-names":false,"suffix":""}],"container-title":"British Journal of Occupational Therapy","id":"ITEM-1","issue":"10","issued":{"date-parts":[["2004"]]},"page":"439-446","title":"Does age at entry have an impact on academic performance in occupational therapy education?","type":"article-journal","volume":"67"},"uris":["http://www.mendeley.com/documents/?uuid=17e98a99-9fe5-4861-99ee-ae47445b5ba9"]}],"mendeley":{"formattedCitation":"(Shanahan, 2004)","plainTextFormattedCitation":"(Shanahan, 2004)","previouslyFormattedCitation":"(Shanahan, 2004)"},"properties":{"noteIndex":0},"schema":"https://github.com/citation-style-language/schema/raw/master/csl-citation.json"}</w:instrText>
      </w:r>
      <w:r>
        <w:rPr>
          <w:rFonts w:ascii="Arial" w:hAnsi="Arial" w:cs="Arial"/>
          <w:color w:val="000000" w:themeColor="text1"/>
          <w:sz w:val="24"/>
          <w:szCs w:val="24"/>
        </w:rPr>
        <w:fldChar w:fldCharType="separate"/>
      </w:r>
      <w:r w:rsidRPr="006C003E">
        <w:rPr>
          <w:rFonts w:ascii="Arial" w:hAnsi="Arial" w:cs="Arial"/>
          <w:noProof/>
          <w:color w:val="000000" w:themeColor="text1"/>
          <w:sz w:val="24"/>
          <w:szCs w:val="24"/>
        </w:rPr>
        <w:t>(Shanahan, 2004)</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p>
    <w:p w14:paraId="7263EA06" w14:textId="77777777" w:rsidR="00077386" w:rsidRPr="00AB3369" w:rsidRDefault="00077386" w:rsidP="00D173CF">
      <w:pPr>
        <w:spacing w:line="240" w:lineRule="auto"/>
        <w:rPr>
          <w:rFonts w:ascii="Arial" w:hAnsi="Arial" w:cs="Arial"/>
          <w:iCs/>
          <w:color w:val="000000" w:themeColor="text1"/>
          <w:sz w:val="24"/>
          <w:szCs w:val="24"/>
        </w:rPr>
      </w:pPr>
    </w:p>
    <w:p w14:paraId="3F6F78BD" w14:textId="77777777" w:rsidR="00D173CF" w:rsidRPr="00AB3369" w:rsidRDefault="00D173CF" w:rsidP="00D173CF">
      <w:pPr>
        <w:spacing w:line="240" w:lineRule="auto"/>
        <w:rPr>
          <w:rFonts w:ascii="Arial" w:hAnsi="Arial" w:cs="Arial"/>
          <w:b/>
          <w:bCs/>
          <w:iCs/>
          <w:color w:val="000000" w:themeColor="text1"/>
          <w:sz w:val="24"/>
          <w:szCs w:val="24"/>
        </w:rPr>
      </w:pPr>
      <w:r w:rsidRPr="00AB3369">
        <w:rPr>
          <w:rFonts w:ascii="Arial" w:hAnsi="Arial" w:cs="Arial"/>
          <w:b/>
          <w:bCs/>
          <w:iCs/>
          <w:color w:val="000000" w:themeColor="text1"/>
          <w:sz w:val="24"/>
          <w:szCs w:val="24"/>
        </w:rPr>
        <w:t>Pre-admission professional (non-cognitive) data and final degree classifications</w:t>
      </w:r>
    </w:p>
    <w:p w14:paraId="3277C985" w14:textId="6B8CD8E0" w:rsidR="00D173CF" w:rsidRDefault="00D173CF" w:rsidP="0038356F">
      <w:pPr>
        <w:spacing w:line="240" w:lineRule="auto"/>
        <w:rPr>
          <w:rFonts w:ascii="Arial" w:hAnsi="Arial" w:cs="Arial"/>
          <w:color w:val="000000" w:themeColor="text1"/>
          <w:sz w:val="24"/>
          <w:szCs w:val="24"/>
        </w:rPr>
      </w:pPr>
      <w:r>
        <w:rPr>
          <w:rFonts w:ascii="Arial" w:hAnsi="Arial" w:cs="Arial"/>
          <w:color w:val="000000" w:themeColor="text1"/>
          <w:sz w:val="24"/>
          <w:szCs w:val="24"/>
        </w:rPr>
        <w:t>As with the cognitive data,</w:t>
      </w:r>
      <w:r w:rsidRPr="00E21894">
        <w:rPr>
          <w:rFonts w:ascii="Arial" w:hAnsi="Arial" w:cs="Arial"/>
          <w:color w:val="000000" w:themeColor="text1"/>
          <w:sz w:val="24"/>
          <w:szCs w:val="24"/>
        </w:rPr>
        <w:t xml:space="preserve"> exploration of those candidates who </w:t>
      </w:r>
      <w:r w:rsidR="0038356F">
        <w:rPr>
          <w:rFonts w:ascii="Arial" w:hAnsi="Arial" w:cs="Arial"/>
          <w:color w:val="000000" w:themeColor="text1"/>
          <w:sz w:val="24"/>
          <w:szCs w:val="24"/>
        </w:rPr>
        <w:t>might</w:t>
      </w:r>
      <w:r w:rsidRPr="00E21894">
        <w:rPr>
          <w:rFonts w:ascii="Arial" w:hAnsi="Arial" w:cs="Arial"/>
          <w:color w:val="000000" w:themeColor="text1"/>
          <w:sz w:val="24"/>
          <w:szCs w:val="24"/>
        </w:rPr>
        <w:t xml:space="preserve"> have been rejected due to scores below the program’s accepted minimum in the CAPSAT-R </w:t>
      </w:r>
      <w:r w:rsidRPr="00E21894">
        <w:rPr>
          <w:rFonts w:ascii="Arial" w:hAnsi="Arial" w:cs="Arial"/>
          <w:color w:val="000000" w:themeColor="text1"/>
          <w:sz w:val="24"/>
          <w:szCs w:val="24"/>
        </w:rPr>
        <w:fldChar w:fldCharType="begin" w:fldLock="1"/>
      </w:r>
      <w:r w:rsidRPr="00E21894">
        <w:rPr>
          <w:rFonts w:ascii="Arial" w:hAnsi="Arial" w:cs="Arial"/>
          <w:color w:val="000000" w:themeColor="text1"/>
          <w:sz w:val="24"/>
          <w:szCs w:val="24"/>
        </w:rPr>
        <w:instrText>ADDIN CSL_CITATION {"citationItems":[{"id":"ITEM-1","itemData":{"author":[{"dropping-particle":"","family":"Psych Tests AIM","given":"","non-dropping-particle":"","parse-names":false,"suffix":""}],"id":"ITEM-1","issued":{"date-parts":[["2016"]]},"title":"Creativity and Problem-Solving Aptitude Test (CAPSAT-R)","type":"report"},"uris":["http://www.mendeley.com/documents/?uuid=fe32e90d-b37c-41ca-b81f-7c7e3b756fcd"]}],"mendeley":{"formattedCitation":"(Psych Tests AIM, 2016)","plainTextFormattedCitation":"(Psych Tests AIM, 2016)","previouslyFormattedCitation":"(Psych Tests AIM, 2016)"},"properties":{"noteIndex":0},"schema":"https://github.com/citation-style-language/schema/raw/master/csl-citation.json"}</w:instrText>
      </w:r>
      <w:r w:rsidRPr="00E21894">
        <w:rPr>
          <w:rFonts w:ascii="Arial" w:hAnsi="Arial" w:cs="Arial"/>
          <w:color w:val="000000" w:themeColor="text1"/>
          <w:sz w:val="24"/>
          <w:szCs w:val="24"/>
        </w:rPr>
        <w:fldChar w:fldCharType="separate"/>
      </w:r>
      <w:r w:rsidRPr="00E21894">
        <w:rPr>
          <w:rFonts w:ascii="Arial" w:hAnsi="Arial" w:cs="Arial"/>
          <w:noProof/>
          <w:color w:val="000000" w:themeColor="text1"/>
          <w:sz w:val="24"/>
          <w:szCs w:val="24"/>
        </w:rPr>
        <w:t>(Psych Tests AIM, 2016)</w:t>
      </w:r>
      <w:r w:rsidRPr="00E21894">
        <w:rPr>
          <w:rFonts w:ascii="Arial" w:hAnsi="Arial" w:cs="Arial"/>
          <w:color w:val="000000" w:themeColor="text1"/>
          <w:sz w:val="24"/>
          <w:szCs w:val="24"/>
        </w:rPr>
        <w:fldChar w:fldCharType="end"/>
      </w:r>
      <w:r w:rsidRPr="00E21894">
        <w:rPr>
          <w:rFonts w:ascii="Arial" w:hAnsi="Arial" w:cs="Arial"/>
          <w:color w:val="000000" w:themeColor="text1"/>
          <w:sz w:val="24"/>
          <w:szCs w:val="24"/>
        </w:rPr>
        <w:t xml:space="preserve"> categories of flexibility and creativity, and reflective essay received closer inspection. Of the six candidates that scored below the minimum standard, two were weaker in both the reflective essay (60% and 58%) and the psychometric assessment for flexibility (64% and 68%), graduating with a 2</w:t>
      </w:r>
      <w:r w:rsidRPr="00E21894">
        <w:rPr>
          <w:rFonts w:ascii="Arial" w:hAnsi="Arial" w:cs="Arial"/>
          <w:color w:val="000000" w:themeColor="text1"/>
          <w:sz w:val="24"/>
          <w:szCs w:val="24"/>
          <w:vertAlign w:val="superscript"/>
        </w:rPr>
        <w:t>nd</w:t>
      </w:r>
      <w:r w:rsidRPr="00E21894">
        <w:rPr>
          <w:rFonts w:ascii="Arial" w:hAnsi="Arial" w:cs="Arial"/>
          <w:color w:val="000000" w:themeColor="text1"/>
          <w:sz w:val="24"/>
          <w:szCs w:val="24"/>
        </w:rPr>
        <w:t xml:space="preserve"> Class (upper) and 2</w:t>
      </w:r>
      <w:r w:rsidRPr="00E21894">
        <w:rPr>
          <w:rFonts w:ascii="Arial" w:hAnsi="Arial" w:cs="Arial"/>
          <w:color w:val="000000" w:themeColor="text1"/>
          <w:sz w:val="24"/>
          <w:szCs w:val="24"/>
          <w:vertAlign w:val="superscript"/>
        </w:rPr>
        <w:t>nd</w:t>
      </w:r>
      <w:r w:rsidRPr="00E21894">
        <w:rPr>
          <w:rFonts w:ascii="Arial" w:hAnsi="Arial" w:cs="Arial"/>
          <w:color w:val="000000" w:themeColor="text1"/>
          <w:sz w:val="24"/>
          <w:szCs w:val="24"/>
        </w:rPr>
        <w:t xml:space="preserve"> Class (lower) respectively. Two of the four remaining candidates both scored 68% in flexibility and both received a 2</w:t>
      </w:r>
      <w:r w:rsidRPr="00E21894">
        <w:rPr>
          <w:rFonts w:ascii="Arial" w:hAnsi="Arial" w:cs="Arial"/>
          <w:color w:val="000000" w:themeColor="text1"/>
          <w:sz w:val="24"/>
          <w:szCs w:val="24"/>
          <w:vertAlign w:val="superscript"/>
        </w:rPr>
        <w:t>nd</w:t>
      </w:r>
      <w:r w:rsidRPr="00E21894">
        <w:rPr>
          <w:rFonts w:ascii="Arial" w:hAnsi="Arial" w:cs="Arial"/>
          <w:color w:val="000000" w:themeColor="text1"/>
          <w:sz w:val="24"/>
          <w:szCs w:val="24"/>
        </w:rPr>
        <w:t xml:space="preserve"> Class (upper). The remaining two candidates scored 68% and 63% for flexibility and 62% and 69% for creativity but achieved a 2</w:t>
      </w:r>
      <w:r w:rsidRPr="00E21894">
        <w:rPr>
          <w:rFonts w:ascii="Arial" w:hAnsi="Arial" w:cs="Arial"/>
          <w:color w:val="000000" w:themeColor="text1"/>
          <w:sz w:val="24"/>
          <w:szCs w:val="24"/>
          <w:vertAlign w:val="superscript"/>
        </w:rPr>
        <w:t>nd</w:t>
      </w:r>
      <w:r w:rsidRPr="00E21894">
        <w:rPr>
          <w:rFonts w:ascii="Arial" w:hAnsi="Arial" w:cs="Arial"/>
          <w:color w:val="000000" w:themeColor="text1"/>
          <w:sz w:val="24"/>
          <w:szCs w:val="24"/>
        </w:rPr>
        <w:t xml:space="preserve"> Class (upper) and 1</w:t>
      </w:r>
      <w:r w:rsidRPr="00E21894">
        <w:rPr>
          <w:rFonts w:ascii="Arial" w:hAnsi="Arial" w:cs="Arial"/>
          <w:color w:val="000000" w:themeColor="text1"/>
          <w:sz w:val="24"/>
          <w:szCs w:val="24"/>
          <w:vertAlign w:val="superscript"/>
        </w:rPr>
        <w:t>st</w:t>
      </w:r>
      <w:r w:rsidRPr="00E21894">
        <w:rPr>
          <w:rFonts w:ascii="Arial" w:hAnsi="Arial" w:cs="Arial"/>
          <w:color w:val="000000" w:themeColor="text1"/>
          <w:sz w:val="24"/>
          <w:szCs w:val="24"/>
        </w:rPr>
        <w:t xml:space="preserve"> Class award respectively.</w:t>
      </w:r>
      <w:r>
        <w:rPr>
          <w:rFonts w:ascii="Arial" w:hAnsi="Arial" w:cs="Arial"/>
          <w:color w:val="000000" w:themeColor="text1"/>
          <w:sz w:val="24"/>
          <w:szCs w:val="24"/>
        </w:rPr>
        <w:t xml:space="preserve"> H</w:t>
      </w:r>
      <w:r w:rsidRPr="00E21894">
        <w:rPr>
          <w:rFonts w:ascii="Arial" w:hAnsi="Arial" w:cs="Arial"/>
          <w:color w:val="000000" w:themeColor="text1"/>
          <w:sz w:val="24"/>
          <w:szCs w:val="24"/>
        </w:rPr>
        <w:t xml:space="preserve">aving found no significant links between </w:t>
      </w:r>
      <w:r>
        <w:rPr>
          <w:rFonts w:ascii="Arial" w:hAnsi="Arial" w:cs="Arial"/>
          <w:color w:val="000000" w:themeColor="text1"/>
          <w:sz w:val="24"/>
          <w:szCs w:val="24"/>
        </w:rPr>
        <w:t>reflective essay and psychometric scores</w:t>
      </w:r>
      <w:r w:rsidRPr="00E21894">
        <w:rPr>
          <w:rFonts w:ascii="Arial" w:hAnsi="Arial" w:cs="Arial"/>
          <w:color w:val="000000" w:themeColor="text1"/>
          <w:sz w:val="24"/>
          <w:szCs w:val="24"/>
        </w:rPr>
        <w:t xml:space="preserve"> and graduation </w:t>
      </w:r>
      <w:r>
        <w:rPr>
          <w:rFonts w:ascii="Arial" w:hAnsi="Arial" w:cs="Arial"/>
          <w:color w:val="000000" w:themeColor="text1"/>
          <w:sz w:val="24"/>
          <w:szCs w:val="24"/>
        </w:rPr>
        <w:t>data for the sample population, r</w:t>
      </w:r>
      <w:r w:rsidRPr="00E21894">
        <w:rPr>
          <w:rFonts w:ascii="Arial" w:hAnsi="Arial" w:cs="Arial"/>
          <w:color w:val="000000" w:themeColor="text1"/>
          <w:sz w:val="24"/>
          <w:szCs w:val="24"/>
        </w:rPr>
        <w:t>esults of this study support the argument t</w:t>
      </w:r>
      <w:r>
        <w:rPr>
          <w:rFonts w:ascii="Arial" w:hAnsi="Arial" w:cs="Arial"/>
          <w:color w:val="000000" w:themeColor="text1"/>
          <w:sz w:val="24"/>
          <w:szCs w:val="24"/>
        </w:rPr>
        <w:t>hat assessments such as essays [</w:t>
      </w:r>
      <w:r w:rsidRPr="00E21894">
        <w:rPr>
          <w:rFonts w:ascii="Arial" w:hAnsi="Arial" w:cs="Arial"/>
          <w:color w:val="000000" w:themeColor="text1"/>
          <w:sz w:val="24"/>
          <w:szCs w:val="24"/>
        </w:rPr>
        <w:t>personal statements and interviews</w:t>
      </w:r>
      <w:r>
        <w:rPr>
          <w:rFonts w:ascii="Arial" w:hAnsi="Arial" w:cs="Arial"/>
          <w:color w:val="000000" w:themeColor="text1"/>
          <w:sz w:val="24"/>
          <w:szCs w:val="24"/>
        </w:rPr>
        <w:t>]</w:t>
      </w:r>
      <w:r w:rsidRPr="00E21894">
        <w:rPr>
          <w:rFonts w:ascii="Arial" w:hAnsi="Arial" w:cs="Arial"/>
          <w:color w:val="000000" w:themeColor="text1"/>
          <w:sz w:val="24"/>
          <w:szCs w:val="24"/>
        </w:rPr>
        <w:t xml:space="preserve"> are not significant predictors of final degree outcomes </w:t>
      </w:r>
      <w:r w:rsidRPr="00E21894">
        <w:rPr>
          <w:rFonts w:ascii="Arial" w:hAnsi="Arial" w:cs="Arial"/>
          <w:color w:val="000000" w:themeColor="text1"/>
          <w:sz w:val="24"/>
          <w:szCs w:val="24"/>
        </w:rPr>
        <w:fldChar w:fldCharType="begin" w:fldLock="1"/>
      </w:r>
      <w:r w:rsidRPr="00E21894">
        <w:rPr>
          <w:rFonts w:ascii="Arial" w:hAnsi="Arial" w:cs="Arial"/>
          <w:color w:val="000000" w:themeColor="text1"/>
          <w:sz w:val="24"/>
          <w:szCs w:val="24"/>
        </w:rPr>
        <w:instrText>ADDIN CSL_CITATION {"citationItems":[{"id":"ITEM-1","itemData":{"DOI":"10.1016/j.nedt.2010.10.015","ISSN":"02606917","abstract":"The judicious selection of nursing school applicants is important, and universities are increasingly incorporating non-academic criteria into their admission processes. We undertook a retrospective, correlational study of the predictive utility of an admissions process for nursing students' \"in-program\" success. The sample consisted of all 249 students admitted to a Canadian accelerated baccalaureate nursing program over a four-year study period. The students' arithmetic mean grade for six nursing courses (both theoretical and clinical) and their final grade point average (GPA) at graduation were the outcome measures of student success. The predictor variables included the applicants' demographic characteristics (e.g., age, gender, ethnic minority status, and previous educational attainment), their supplemental application materials and interview scores (assessing non-academic criteria), and their admission GPA. Linear regression was conducted on the outcome measures to determine whether the selection tools added information over that obtained through the use of admission GPA in predicting success. Although their admission GPAs were consistently predictive of the students' success, neither the supplemental application nor the interview scores had predictive utility. The variables consistently predictive of student success were age, ethnic minority status, and admission GPA, accounting for 26% of the variance in the selected nursing grades and 36% of the variance in GPA at graduation. The results provided little evidence to justify using the selective admissions tools. © 2010 Elsevier Ltd.","author":[{"dropping-particle":"","family":"Timer","given":"Jennifer E.","non-dropping-particle":"","parse-names":false,"suffix":""},{"dropping-particle":"","family":"Clauson","given":"Marion I.","non-dropping-particle":"","parse-names":false,"suffix":""}],"container-title":"Nurse Education Today","id":"ITEM-1","issue":"6","issued":{"date-parts":[["2011"]]},"page":"601-606","publisher":"Elsevier Ltd","title":"The use of selective admissions tools to predict students' success in an advanced standing baccalaureate nursing program","type":"article-journal","volume":"31"},"uris":["http://www.mendeley.com/documents/?uuid=1a663238-fe37-4cdc-9450-8d87cb7b9151"]}],"mendeley":{"formattedCitation":"(Timer &amp; Clauson, 2011)","plainTextFormattedCitation":"(Timer &amp; Clauson, 2011)","previouslyFormattedCitation":"(Timer &amp; Clauson, 2011)"},"properties":{"noteIndex":0},"schema":"https://github.com/citation-style-language/schema/raw/master/csl-citation.json"}</w:instrText>
      </w:r>
      <w:r w:rsidRPr="00E21894">
        <w:rPr>
          <w:rFonts w:ascii="Arial" w:hAnsi="Arial" w:cs="Arial"/>
          <w:color w:val="000000" w:themeColor="text1"/>
          <w:sz w:val="24"/>
          <w:szCs w:val="24"/>
        </w:rPr>
        <w:fldChar w:fldCharType="separate"/>
      </w:r>
      <w:r w:rsidRPr="00E21894">
        <w:rPr>
          <w:rFonts w:ascii="Arial" w:hAnsi="Arial" w:cs="Arial"/>
          <w:noProof/>
          <w:color w:val="000000" w:themeColor="text1"/>
          <w:sz w:val="24"/>
          <w:szCs w:val="24"/>
        </w:rPr>
        <w:t>(Timer &amp; Clauson, 2011)</w:t>
      </w:r>
      <w:r w:rsidRPr="00E21894">
        <w:rPr>
          <w:rFonts w:ascii="Arial" w:hAnsi="Arial" w:cs="Arial"/>
          <w:color w:val="000000" w:themeColor="text1"/>
          <w:sz w:val="24"/>
          <w:szCs w:val="24"/>
        </w:rPr>
        <w:fldChar w:fldCharType="end"/>
      </w:r>
      <w:r w:rsidRPr="00E21894">
        <w:rPr>
          <w:rFonts w:ascii="Arial" w:hAnsi="Arial" w:cs="Arial"/>
          <w:color w:val="000000" w:themeColor="text1"/>
          <w:sz w:val="24"/>
          <w:szCs w:val="24"/>
        </w:rPr>
        <w:t xml:space="preserve">. </w:t>
      </w:r>
    </w:p>
    <w:p w14:paraId="387ACB82" w14:textId="77777777" w:rsidR="00D173CF" w:rsidRDefault="00D173CF" w:rsidP="00D173CF">
      <w:pPr>
        <w:spacing w:line="240" w:lineRule="auto"/>
        <w:rPr>
          <w:rFonts w:ascii="Arial" w:hAnsi="Arial" w:cs="Arial"/>
          <w:color w:val="000000" w:themeColor="text1"/>
          <w:sz w:val="24"/>
          <w:szCs w:val="24"/>
        </w:rPr>
      </w:pPr>
    </w:p>
    <w:p w14:paraId="59DE0C0C" w14:textId="2339D842" w:rsidR="00D173CF" w:rsidRDefault="00D173CF" w:rsidP="00D173CF">
      <w:pPr>
        <w:spacing w:line="240" w:lineRule="auto"/>
        <w:rPr>
          <w:rFonts w:ascii="Arial" w:hAnsi="Arial" w:cs="Arial"/>
          <w:color w:val="000000" w:themeColor="text1"/>
          <w:sz w:val="24"/>
          <w:szCs w:val="24"/>
        </w:rPr>
      </w:pPr>
      <w:r>
        <w:rPr>
          <w:rFonts w:ascii="Arial" w:hAnsi="Arial" w:cs="Arial"/>
          <w:color w:val="000000" w:themeColor="text1"/>
          <w:sz w:val="24"/>
          <w:szCs w:val="24"/>
        </w:rPr>
        <w:t>Across cognitive and non-cognitive assessment scores, this s</w:t>
      </w:r>
      <w:r w:rsidR="003A469B">
        <w:rPr>
          <w:rFonts w:ascii="Arial" w:hAnsi="Arial" w:cs="Arial"/>
          <w:color w:val="000000" w:themeColor="text1"/>
          <w:sz w:val="24"/>
          <w:szCs w:val="24"/>
        </w:rPr>
        <w:t xml:space="preserve">tudy has highlighted </w:t>
      </w:r>
      <w:r w:rsidRPr="00E21894">
        <w:rPr>
          <w:rFonts w:ascii="Arial" w:hAnsi="Arial" w:cs="Arial"/>
          <w:color w:val="000000" w:themeColor="text1"/>
          <w:sz w:val="24"/>
          <w:szCs w:val="24"/>
        </w:rPr>
        <w:t xml:space="preserve">nine candidates </w:t>
      </w:r>
      <w:r>
        <w:rPr>
          <w:rFonts w:ascii="Arial" w:hAnsi="Arial" w:cs="Arial"/>
          <w:color w:val="000000" w:themeColor="text1"/>
          <w:sz w:val="24"/>
          <w:szCs w:val="24"/>
        </w:rPr>
        <w:t xml:space="preserve">who </w:t>
      </w:r>
      <w:r w:rsidRPr="00E21894">
        <w:rPr>
          <w:rFonts w:ascii="Arial" w:hAnsi="Arial" w:cs="Arial"/>
          <w:color w:val="000000" w:themeColor="text1"/>
          <w:sz w:val="24"/>
          <w:szCs w:val="24"/>
        </w:rPr>
        <w:t>did not meet the minimum standards considered acceptable for admission</w:t>
      </w:r>
      <w:r>
        <w:rPr>
          <w:rFonts w:ascii="Arial" w:hAnsi="Arial" w:cs="Arial"/>
          <w:color w:val="000000" w:themeColor="text1"/>
          <w:sz w:val="24"/>
          <w:szCs w:val="24"/>
        </w:rPr>
        <w:t>. Despite this, all nine were admitted and subsequently graduated.</w:t>
      </w:r>
      <w:r w:rsidRPr="00E21894">
        <w:rPr>
          <w:rFonts w:ascii="Arial" w:hAnsi="Arial" w:cs="Arial"/>
          <w:color w:val="000000" w:themeColor="text1"/>
          <w:sz w:val="24"/>
          <w:szCs w:val="24"/>
        </w:rPr>
        <w:t xml:space="preserve"> </w:t>
      </w:r>
      <w:r>
        <w:rPr>
          <w:rFonts w:ascii="Arial" w:hAnsi="Arial" w:cs="Arial"/>
          <w:color w:val="000000" w:themeColor="text1"/>
          <w:sz w:val="24"/>
          <w:szCs w:val="24"/>
        </w:rPr>
        <w:t>Had this not happened, the u</w:t>
      </w:r>
      <w:r w:rsidRPr="00E21894">
        <w:rPr>
          <w:rFonts w:ascii="Arial" w:hAnsi="Arial" w:cs="Arial"/>
          <w:color w:val="000000" w:themeColor="text1"/>
          <w:sz w:val="24"/>
          <w:szCs w:val="24"/>
        </w:rPr>
        <w:t>niversity and the pr</w:t>
      </w:r>
      <w:r>
        <w:rPr>
          <w:rFonts w:ascii="Arial" w:hAnsi="Arial" w:cs="Arial"/>
          <w:color w:val="000000" w:themeColor="text1"/>
          <w:sz w:val="24"/>
          <w:szCs w:val="24"/>
        </w:rPr>
        <w:t>ofession of OT</w:t>
      </w:r>
      <w:r w:rsidRPr="00E21894">
        <w:rPr>
          <w:rFonts w:ascii="Arial" w:hAnsi="Arial" w:cs="Arial"/>
          <w:color w:val="000000" w:themeColor="text1"/>
          <w:sz w:val="24"/>
          <w:szCs w:val="24"/>
        </w:rPr>
        <w:t xml:space="preserve"> could have potentially lost nine graduates who achieved a 1</w:t>
      </w:r>
      <w:r w:rsidRPr="00E21894">
        <w:rPr>
          <w:rFonts w:ascii="Arial" w:hAnsi="Arial" w:cs="Arial"/>
          <w:color w:val="000000" w:themeColor="text1"/>
          <w:sz w:val="24"/>
          <w:szCs w:val="24"/>
          <w:vertAlign w:val="superscript"/>
        </w:rPr>
        <w:t>st</w:t>
      </w:r>
      <w:r w:rsidRPr="00E21894">
        <w:rPr>
          <w:rFonts w:ascii="Arial" w:hAnsi="Arial" w:cs="Arial"/>
          <w:color w:val="000000" w:themeColor="text1"/>
          <w:sz w:val="24"/>
          <w:szCs w:val="24"/>
        </w:rPr>
        <w:t xml:space="preserve"> Class (</w:t>
      </w:r>
      <w:r w:rsidR="009F2335">
        <w:rPr>
          <w:rFonts w:ascii="Arial" w:hAnsi="Arial" w:cs="Arial"/>
          <w:i/>
          <w:iCs/>
          <w:color w:val="000000" w:themeColor="text1"/>
          <w:sz w:val="24"/>
          <w:szCs w:val="24"/>
        </w:rPr>
        <w:t>n=2),</w:t>
      </w:r>
      <w:r w:rsidRPr="00E21894">
        <w:rPr>
          <w:rFonts w:ascii="Arial" w:hAnsi="Arial" w:cs="Arial"/>
          <w:i/>
          <w:iCs/>
          <w:color w:val="000000" w:themeColor="text1"/>
          <w:sz w:val="24"/>
          <w:szCs w:val="24"/>
        </w:rPr>
        <w:t xml:space="preserve"> </w:t>
      </w:r>
      <w:r w:rsidRPr="00E21894">
        <w:rPr>
          <w:rFonts w:ascii="Arial" w:hAnsi="Arial" w:cs="Arial"/>
          <w:color w:val="000000" w:themeColor="text1"/>
          <w:sz w:val="24"/>
          <w:szCs w:val="24"/>
        </w:rPr>
        <w:t>2</w:t>
      </w:r>
      <w:r w:rsidRPr="00E21894">
        <w:rPr>
          <w:rFonts w:ascii="Arial" w:hAnsi="Arial" w:cs="Arial"/>
          <w:color w:val="000000" w:themeColor="text1"/>
          <w:sz w:val="24"/>
          <w:szCs w:val="24"/>
          <w:vertAlign w:val="superscript"/>
        </w:rPr>
        <w:t>nd</w:t>
      </w:r>
      <w:r w:rsidRPr="00E21894">
        <w:rPr>
          <w:rFonts w:ascii="Arial" w:hAnsi="Arial" w:cs="Arial"/>
          <w:color w:val="000000" w:themeColor="text1"/>
          <w:sz w:val="24"/>
          <w:szCs w:val="24"/>
        </w:rPr>
        <w:t xml:space="preserve"> Class (upper) (</w:t>
      </w:r>
      <w:r w:rsidRPr="00E21894">
        <w:rPr>
          <w:rFonts w:ascii="Arial" w:hAnsi="Arial" w:cs="Arial"/>
          <w:i/>
          <w:iCs/>
          <w:color w:val="000000" w:themeColor="text1"/>
          <w:sz w:val="24"/>
          <w:szCs w:val="24"/>
        </w:rPr>
        <w:t>n=</w:t>
      </w:r>
      <w:r w:rsidRPr="00E21894">
        <w:rPr>
          <w:rFonts w:ascii="Arial" w:hAnsi="Arial" w:cs="Arial"/>
          <w:color w:val="000000" w:themeColor="text1"/>
          <w:sz w:val="24"/>
          <w:szCs w:val="24"/>
        </w:rPr>
        <w:t>6) and 2</w:t>
      </w:r>
      <w:r w:rsidRPr="00E21894">
        <w:rPr>
          <w:rFonts w:ascii="Arial" w:hAnsi="Arial" w:cs="Arial"/>
          <w:color w:val="000000" w:themeColor="text1"/>
          <w:sz w:val="24"/>
          <w:szCs w:val="24"/>
          <w:vertAlign w:val="superscript"/>
        </w:rPr>
        <w:t>nd</w:t>
      </w:r>
      <w:r w:rsidRPr="00E21894">
        <w:rPr>
          <w:rFonts w:ascii="Arial" w:hAnsi="Arial" w:cs="Arial"/>
          <w:color w:val="000000" w:themeColor="text1"/>
          <w:sz w:val="24"/>
          <w:szCs w:val="24"/>
        </w:rPr>
        <w:t xml:space="preserve"> Class (lower) (</w:t>
      </w:r>
      <w:r w:rsidRPr="00E21894">
        <w:rPr>
          <w:rFonts w:ascii="Arial" w:hAnsi="Arial" w:cs="Arial"/>
          <w:i/>
          <w:iCs/>
          <w:color w:val="000000" w:themeColor="text1"/>
          <w:sz w:val="24"/>
          <w:szCs w:val="24"/>
        </w:rPr>
        <w:t>n=</w:t>
      </w:r>
      <w:r w:rsidRPr="00E21894">
        <w:rPr>
          <w:rFonts w:ascii="Arial" w:hAnsi="Arial" w:cs="Arial"/>
          <w:color w:val="000000" w:themeColor="text1"/>
          <w:sz w:val="24"/>
          <w:szCs w:val="24"/>
        </w:rPr>
        <w:t>1) degree classification.</w:t>
      </w:r>
      <w:r>
        <w:rPr>
          <w:rFonts w:ascii="Arial" w:hAnsi="Arial" w:cs="Arial"/>
          <w:color w:val="000000" w:themeColor="text1"/>
          <w:sz w:val="24"/>
          <w:szCs w:val="24"/>
        </w:rPr>
        <w:t xml:space="preserve"> </w:t>
      </w:r>
    </w:p>
    <w:p w14:paraId="36810FB0" w14:textId="77777777" w:rsidR="00D173CF" w:rsidRDefault="00D173CF" w:rsidP="00D173CF">
      <w:pPr>
        <w:spacing w:line="240" w:lineRule="auto"/>
        <w:rPr>
          <w:rFonts w:ascii="Arial" w:hAnsi="Arial" w:cs="Arial"/>
          <w:color w:val="000000" w:themeColor="text1"/>
          <w:sz w:val="24"/>
          <w:szCs w:val="24"/>
        </w:rPr>
      </w:pPr>
    </w:p>
    <w:p w14:paraId="104398EC" w14:textId="77777777" w:rsidR="00D173CF" w:rsidRDefault="00D173CF" w:rsidP="00D173CF">
      <w:pPr>
        <w:spacing w:line="240" w:lineRule="auto"/>
        <w:rPr>
          <w:rFonts w:ascii="Arial" w:hAnsi="Arial" w:cs="Arial"/>
          <w:b/>
          <w:color w:val="000000" w:themeColor="text1"/>
          <w:sz w:val="24"/>
          <w:szCs w:val="24"/>
        </w:rPr>
      </w:pPr>
      <w:r w:rsidRPr="00AB3369">
        <w:rPr>
          <w:rFonts w:ascii="Arial" w:hAnsi="Arial" w:cs="Arial"/>
          <w:b/>
          <w:color w:val="000000" w:themeColor="text1"/>
          <w:sz w:val="24"/>
          <w:szCs w:val="24"/>
        </w:rPr>
        <w:t>LIMITATIONS</w:t>
      </w:r>
    </w:p>
    <w:p w14:paraId="0C4E623D" w14:textId="11B5575D" w:rsidR="00D173CF" w:rsidRDefault="00D173CF" w:rsidP="00D173CF">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The limitations of this small-scale pilot include potential issues related to data collection at selection and admission to the program. As data was entered by others it could have led to data-entry error, selective recording or unreliability </w:t>
      </w:r>
      <w:r>
        <w:rPr>
          <w:rFonts w:ascii="Arial" w:hAnsi="Arial" w:cs="Arial"/>
          <w:bCs/>
          <w:color w:val="000000" w:themeColor="text1"/>
          <w:sz w:val="24"/>
          <w:szCs w:val="24"/>
        </w:rPr>
        <w:fldChar w:fldCharType="begin" w:fldLock="1"/>
      </w:r>
      <w:r>
        <w:rPr>
          <w:rFonts w:ascii="Arial" w:hAnsi="Arial" w:cs="Arial"/>
          <w:bCs/>
          <w:color w:val="000000" w:themeColor="text1"/>
          <w:sz w:val="24"/>
          <w:szCs w:val="24"/>
        </w:rPr>
        <w:instrText>ADDIN CSL_CITATION {"citationItems":[{"id":"ITEM-1","itemData":{"author":[{"dropping-particle":"","family":"Lee","given":"Raymond M","non-dropping-particle":"","parse-names":false,"suffix":""}],"id":"ITEM-1","issued":{"date-parts":[["2000"]]},"publisher":"Open University Press","publisher-place":"Buckingham","title":"Unobtrusive Methods in Social Research","type":"book"},"uris":["http://www.mendeley.com/documents/?uuid=110a1d52-7a8a-4070-b831-2c073b3e1915"]},{"id":"ITEM-2","itemData":{"author":[{"dropping-particle":"","family":"Sechrest","given":"Lee","non-dropping-particle":"","parse-names":false,"suffix":""},{"dropping-particle":"","family":"Phillips","given":"Melinda","non-dropping-particle":"","parse-names":false,"suffix":""}],"container-title":"New Directions For Methodology of Behavioural Science: Unobtrusive Measurement Today","editor":[{"dropping-particle":"","family":"Sechrest","given":"Lee","non-dropping-particle":"","parse-names":false,"suffix":""}],"id":"ITEM-2","issued":{"date-parts":[["1979"]]},"publisher":"Josey-Bass Publishers","publisher-place":"Chicago","title":"Unobtrusive Measures: An Overview","type":"chapter"},"uris":["http://www.mendeley.com/documents/?uuid=5d8c0ca8-3ca8-4d84-b2b8-d59ec18351ed"]}],"mendeley":{"formattedCitation":"(Lee, 2000; Sechrest &amp; Phillips, 1979)","plainTextFormattedCitation":"(Lee, 2000; Sechrest &amp; Phillips, 1979)","previouslyFormattedCitation":"(Lee, 2000; Sechrest &amp; Phillips, 1979)"},"properties":{"noteIndex":0},"schema":"https://github.com/citation-style-language/schema/raw/master/csl-citation.json"}</w:instrText>
      </w:r>
      <w:r>
        <w:rPr>
          <w:rFonts w:ascii="Arial" w:hAnsi="Arial" w:cs="Arial"/>
          <w:bCs/>
          <w:color w:val="000000" w:themeColor="text1"/>
          <w:sz w:val="24"/>
          <w:szCs w:val="24"/>
        </w:rPr>
        <w:fldChar w:fldCharType="separate"/>
      </w:r>
      <w:r w:rsidRPr="00476518">
        <w:rPr>
          <w:rFonts w:ascii="Arial" w:hAnsi="Arial" w:cs="Arial"/>
          <w:bCs/>
          <w:noProof/>
          <w:color w:val="000000" w:themeColor="text1"/>
          <w:sz w:val="24"/>
          <w:szCs w:val="24"/>
        </w:rPr>
        <w:t>(Lee,</w:t>
      </w:r>
      <w:r w:rsidR="0038356F">
        <w:rPr>
          <w:rFonts w:ascii="Arial" w:hAnsi="Arial" w:cs="Arial"/>
          <w:bCs/>
          <w:noProof/>
          <w:color w:val="000000" w:themeColor="text1"/>
          <w:sz w:val="24"/>
          <w:szCs w:val="24"/>
        </w:rPr>
        <w:t xml:space="preserve"> 2000</w:t>
      </w:r>
      <w:r w:rsidRPr="00476518">
        <w:rPr>
          <w:rFonts w:ascii="Arial" w:hAnsi="Arial" w:cs="Arial"/>
          <w:bCs/>
          <w:noProof/>
          <w:color w:val="000000" w:themeColor="text1"/>
          <w:sz w:val="24"/>
          <w:szCs w:val="24"/>
        </w:rPr>
        <w:t>)</w:t>
      </w:r>
      <w:r>
        <w:rPr>
          <w:rFonts w:ascii="Arial" w:hAnsi="Arial" w:cs="Arial"/>
          <w:bCs/>
          <w:color w:val="000000" w:themeColor="text1"/>
          <w:sz w:val="24"/>
          <w:szCs w:val="24"/>
        </w:rPr>
        <w:fldChar w:fldCharType="end"/>
      </w:r>
      <w:r>
        <w:rPr>
          <w:rFonts w:ascii="Arial" w:hAnsi="Arial" w:cs="Arial"/>
          <w:bCs/>
          <w:color w:val="000000" w:themeColor="text1"/>
          <w:sz w:val="24"/>
          <w:szCs w:val="24"/>
        </w:rPr>
        <w:t>. Equally, due to the unobtrusive nature of the research, all data was cleaned of demographics including age, gender, residential information, pre-admission qualification school/ college, previous work experience/ employment histo</w:t>
      </w:r>
      <w:r w:rsidR="0038356F">
        <w:rPr>
          <w:rFonts w:ascii="Arial" w:hAnsi="Arial" w:cs="Arial"/>
          <w:bCs/>
          <w:color w:val="000000" w:themeColor="text1"/>
          <w:sz w:val="24"/>
          <w:szCs w:val="24"/>
        </w:rPr>
        <w:t>ry and nationality. All</w:t>
      </w:r>
      <w:r>
        <w:rPr>
          <w:rFonts w:ascii="Arial" w:hAnsi="Arial" w:cs="Arial"/>
          <w:bCs/>
          <w:color w:val="000000" w:themeColor="text1"/>
          <w:sz w:val="24"/>
          <w:szCs w:val="24"/>
        </w:rPr>
        <w:t xml:space="preserve"> variables may have been useful in terms of exploring potential relationships between admission data and final degree results, while also offering interesting comparisons amongst the sample. For example, school leavers versus mature students aged 21+; male versus female; residential areas and school(s)/ college(s) considered to have low participation rates of University graduates versus higher rated areas; UK versus international students.</w:t>
      </w:r>
    </w:p>
    <w:p w14:paraId="361B8318" w14:textId="77777777" w:rsidR="00D173CF" w:rsidRDefault="00D173CF" w:rsidP="00D173CF">
      <w:pPr>
        <w:spacing w:line="240" w:lineRule="auto"/>
        <w:rPr>
          <w:rFonts w:ascii="Arial" w:hAnsi="Arial" w:cs="Arial"/>
          <w:bCs/>
          <w:color w:val="000000" w:themeColor="text1"/>
          <w:sz w:val="24"/>
          <w:szCs w:val="24"/>
        </w:rPr>
      </w:pPr>
    </w:p>
    <w:p w14:paraId="58810DC1" w14:textId="4E6C4499" w:rsidR="00D173CF" w:rsidRDefault="00D173CF" w:rsidP="00D173CF">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Data analysis was limited to quantitative methods of a statistical nature. In addition to the admissions criteria stipulated within this article, all candidates engage with an OT (clinician, lecturer and/ or researcher) in a semi-structured interview. Questions relate to why candidates have chosen OT over another healthcare profession, their understanding of the broad role and scope of OT, the values they perceive as essential to the role of OT, examples of observing such values in practice and how they can evidence their alignment with the stated values. Exploration of this data may have offered the opportunity to uncover qualitative thematic analysis and support the quantitative data in relation to the skills, qualities and/ or values required of OT graduates. If themes were </w:t>
      </w:r>
      <w:r w:rsidR="009F2335">
        <w:rPr>
          <w:rFonts w:ascii="Arial" w:hAnsi="Arial" w:cs="Arial"/>
          <w:bCs/>
          <w:color w:val="000000" w:themeColor="text1"/>
          <w:sz w:val="24"/>
          <w:szCs w:val="24"/>
        </w:rPr>
        <w:t>uncovered,</w:t>
      </w:r>
      <w:r>
        <w:rPr>
          <w:rFonts w:ascii="Arial" w:hAnsi="Arial" w:cs="Arial"/>
          <w:bCs/>
          <w:color w:val="000000" w:themeColor="text1"/>
          <w:sz w:val="24"/>
          <w:szCs w:val="24"/>
        </w:rPr>
        <w:t xml:space="preserve"> it would have been informative to seek possible relation</w:t>
      </w:r>
      <w:r w:rsidR="003A469B">
        <w:rPr>
          <w:rFonts w:ascii="Arial" w:hAnsi="Arial" w:cs="Arial"/>
          <w:bCs/>
          <w:color w:val="000000" w:themeColor="text1"/>
          <w:sz w:val="24"/>
          <w:szCs w:val="24"/>
        </w:rPr>
        <w:t>ships with final degree results and ascertain if or how results from the semi-structured interview influenced decisions related to acceptance or rejection from the program.</w:t>
      </w:r>
    </w:p>
    <w:p w14:paraId="69F97D60" w14:textId="77777777" w:rsidR="00D173CF" w:rsidRDefault="00D173CF" w:rsidP="00D173CF">
      <w:pPr>
        <w:spacing w:line="240" w:lineRule="auto"/>
        <w:rPr>
          <w:rFonts w:ascii="Arial" w:hAnsi="Arial" w:cs="Arial"/>
          <w:bCs/>
          <w:color w:val="000000" w:themeColor="text1"/>
          <w:sz w:val="24"/>
          <w:szCs w:val="24"/>
        </w:rPr>
      </w:pPr>
    </w:p>
    <w:p w14:paraId="234BCB08" w14:textId="245A3207" w:rsidR="00D173CF" w:rsidRDefault="00D173CF" w:rsidP="00D173CF">
      <w:pPr>
        <w:spacing w:line="240" w:lineRule="auto"/>
        <w:rPr>
          <w:rFonts w:ascii="Arial" w:hAnsi="Arial" w:cs="Arial"/>
          <w:bCs/>
          <w:sz w:val="24"/>
          <w:szCs w:val="24"/>
        </w:rPr>
      </w:pPr>
      <w:r>
        <w:rPr>
          <w:rFonts w:ascii="Arial" w:hAnsi="Arial" w:cs="Arial"/>
          <w:bCs/>
          <w:sz w:val="24"/>
          <w:szCs w:val="24"/>
        </w:rPr>
        <w:t xml:space="preserve">This study has focused on the academic (cognitive) success of OT students at graduation. However, the profession requires graduates who can perform both academically and professionally in practice, education and research. It would therefore have been interesting to explore if correlation(s) exist between pre-admission assessment scores and the cohort’s fieldwork performance (4 fieldwork experiences over a 3-year period, totalling 1,000 hours) </w:t>
      </w:r>
      <w:r w:rsidR="009F2335">
        <w:rPr>
          <w:rFonts w:ascii="Arial" w:hAnsi="Arial" w:cs="Arial"/>
          <w:bCs/>
          <w:sz w:val="24"/>
          <w:szCs w:val="24"/>
        </w:rPr>
        <w:t>to</w:t>
      </w:r>
      <w:r>
        <w:rPr>
          <w:rFonts w:ascii="Arial" w:hAnsi="Arial" w:cs="Arial"/>
          <w:bCs/>
          <w:sz w:val="24"/>
          <w:szCs w:val="24"/>
        </w:rPr>
        <w:t xml:space="preserve"> examine both the academic and professional outcomes of the program.</w:t>
      </w:r>
    </w:p>
    <w:p w14:paraId="2DB8AEC0" w14:textId="77777777" w:rsidR="00D173CF" w:rsidRPr="00D65D6C" w:rsidRDefault="00D173CF" w:rsidP="00D173CF">
      <w:pPr>
        <w:spacing w:line="240" w:lineRule="auto"/>
        <w:rPr>
          <w:rFonts w:ascii="Arial" w:hAnsi="Arial" w:cs="Arial"/>
          <w:bCs/>
          <w:sz w:val="24"/>
          <w:szCs w:val="24"/>
        </w:rPr>
      </w:pPr>
    </w:p>
    <w:p w14:paraId="2114C21C" w14:textId="033F53CF" w:rsidR="00D173CF" w:rsidRDefault="00D173CF" w:rsidP="00D173CF">
      <w:pPr>
        <w:spacing w:line="240" w:lineRule="auto"/>
        <w:rPr>
          <w:rFonts w:ascii="Arial" w:hAnsi="Arial" w:cs="Arial"/>
          <w:bCs/>
          <w:color w:val="000000" w:themeColor="text1"/>
          <w:sz w:val="24"/>
          <w:szCs w:val="24"/>
        </w:rPr>
      </w:pPr>
      <w:r>
        <w:rPr>
          <w:rFonts w:ascii="Arial" w:hAnsi="Arial" w:cs="Arial"/>
          <w:bCs/>
          <w:color w:val="000000" w:themeColor="text1"/>
          <w:sz w:val="24"/>
          <w:szCs w:val="24"/>
        </w:rPr>
        <w:t>As a result of the small sample size (reduced from 44 to 27 due to the exclus</w:t>
      </w:r>
      <w:r w:rsidR="004E2730">
        <w:rPr>
          <w:rFonts w:ascii="Arial" w:hAnsi="Arial" w:cs="Arial"/>
          <w:bCs/>
          <w:color w:val="000000" w:themeColor="text1"/>
          <w:sz w:val="24"/>
          <w:szCs w:val="24"/>
        </w:rPr>
        <w:t>ion criteria applied) from one u</w:t>
      </w:r>
      <w:r>
        <w:rPr>
          <w:rFonts w:ascii="Arial" w:hAnsi="Arial" w:cs="Arial"/>
          <w:bCs/>
          <w:color w:val="000000" w:themeColor="text1"/>
          <w:sz w:val="24"/>
          <w:szCs w:val="24"/>
        </w:rPr>
        <w:t xml:space="preserve">niversity in the UK, the results of this study cannot be considered </w:t>
      </w:r>
      <w:r w:rsidR="0038356F">
        <w:rPr>
          <w:rFonts w:ascii="Arial" w:hAnsi="Arial" w:cs="Arial"/>
          <w:bCs/>
          <w:color w:val="000000" w:themeColor="text1"/>
          <w:sz w:val="24"/>
          <w:szCs w:val="24"/>
        </w:rPr>
        <w:t xml:space="preserve">generalizable </w:t>
      </w:r>
      <w:r>
        <w:rPr>
          <w:rFonts w:ascii="Arial" w:hAnsi="Arial" w:cs="Arial"/>
          <w:bCs/>
          <w:color w:val="000000" w:themeColor="text1"/>
          <w:sz w:val="24"/>
          <w:szCs w:val="24"/>
        </w:rPr>
        <w:t>to a wider sample of undergraduate occupational therapy students in the UK or internationally. Similarly, it was not possible to compare this study’s pre-entry qualification tariff and final degree results with national figures from the 35 UK Universiti</w:t>
      </w:r>
      <w:r w:rsidR="00F87397">
        <w:rPr>
          <w:rFonts w:ascii="Arial" w:hAnsi="Arial" w:cs="Arial"/>
          <w:bCs/>
          <w:color w:val="000000" w:themeColor="text1"/>
          <w:sz w:val="24"/>
          <w:szCs w:val="24"/>
        </w:rPr>
        <w:t>es that offer BSc and MSc</w:t>
      </w:r>
      <w:r>
        <w:rPr>
          <w:rFonts w:ascii="Arial" w:hAnsi="Arial" w:cs="Arial"/>
          <w:bCs/>
          <w:color w:val="000000" w:themeColor="text1"/>
          <w:sz w:val="24"/>
          <w:szCs w:val="24"/>
        </w:rPr>
        <w:t xml:space="preserve"> OT programs.</w:t>
      </w:r>
    </w:p>
    <w:p w14:paraId="3EBE005E" w14:textId="77777777" w:rsidR="0054248D" w:rsidRDefault="0054248D" w:rsidP="00D173CF">
      <w:pPr>
        <w:spacing w:line="240" w:lineRule="auto"/>
        <w:rPr>
          <w:rFonts w:ascii="Arial" w:hAnsi="Arial" w:cs="Arial"/>
          <w:bCs/>
          <w:color w:val="000000" w:themeColor="text1"/>
          <w:sz w:val="24"/>
          <w:szCs w:val="24"/>
        </w:rPr>
      </w:pPr>
    </w:p>
    <w:p w14:paraId="2D683017" w14:textId="19E6C1E1" w:rsidR="00D47524" w:rsidRPr="00EC15F7" w:rsidRDefault="00506162" w:rsidP="00EC15F7">
      <w:pPr>
        <w:spacing w:line="240" w:lineRule="auto"/>
        <w:rPr>
          <w:rFonts w:ascii="Arial" w:hAnsi="Arial" w:cs="Arial"/>
          <w:bCs/>
          <w:color w:val="000000" w:themeColor="text1"/>
          <w:sz w:val="24"/>
          <w:szCs w:val="24"/>
        </w:rPr>
      </w:pPr>
      <w:r>
        <w:rPr>
          <w:rFonts w:ascii="Arial" w:hAnsi="Arial" w:cs="Arial"/>
          <w:bCs/>
          <w:color w:val="000000" w:themeColor="text1"/>
          <w:sz w:val="24"/>
          <w:szCs w:val="24"/>
        </w:rPr>
        <w:t>Perhaps</w:t>
      </w:r>
      <w:r w:rsidR="0054248D">
        <w:rPr>
          <w:rFonts w:ascii="Arial" w:hAnsi="Arial" w:cs="Arial"/>
          <w:bCs/>
          <w:color w:val="000000" w:themeColor="text1"/>
          <w:sz w:val="24"/>
          <w:szCs w:val="24"/>
        </w:rPr>
        <w:t xml:space="preserve"> the most significant limitation of this study relates to the internal decisions made by the OT admissions team regarding the minimum entry criteria for academic (cognitive) and professional (non-cognitive) skills assessed at selection to the</w:t>
      </w:r>
      <w:r>
        <w:rPr>
          <w:rFonts w:ascii="Arial" w:hAnsi="Arial" w:cs="Arial"/>
          <w:bCs/>
          <w:color w:val="000000" w:themeColor="text1"/>
          <w:sz w:val="24"/>
          <w:szCs w:val="24"/>
        </w:rPr>
        <w:t xml:space="preserve"> specified</w:t>
      </w:r>
      <w:r w:rsidR="0054248D">
        <w:rPr>
          <w:rFonts w:ascii="Arial" w:hAnsi="Arial" w:cs="Arial"/>
          <w:bCs/>
          <w:color w:val="000000" w:themeColor="text1"/>
          <w:sz w:val="24"/>
          <w:szCs w:val="24"/>
        </w:rPr>
        <w:t xml:space="preserve"> OT program. </w:t>
      </w:r>
      <w:r w:rsidR="00E712F8">
        <w:rPr>
          <w:rFonts w:ascii="Arial" w:hAnsi="Arial" w:cs="Arial"/>
          <w:bCs/>
          <w:color w:val="000000" w:themeColor="text1"/>
          <w:sz w:val="24"/>
          <w:szCs w:val="24"/>
        </w:rPr>
        <w:t>In the absence of standardised</w:t>
      </w:r>
      <w:r w:rsidR="0054248D">
        <w:rPr>
          <w:rFonts w:ascii="Arial" w:hAnsi="Arial" w:cs="Arial"/>
          <w:bCs/>
          <w:color w:val="000000" w:themeColor="text1"/>
          <w:sz w:val="24"/>
          <w:szCs w:val="24"/>
        </w:rPr>
        <w:t xml:space="preserve"> criteria</w:t>
      </w:r>
      <w:r w:rsidR="00E712F8">
        <w:rPr>
          <w:rFonts w:ascii="Arial" w:hAnsi="Arial" w:cs="Arial"/>
          <w:bCs/>
          <w:color w:val="000000" w:themeColor="text1"/>
          <w:sz w:val="24"/>
          <w:szCs w:val="24"/>
        </w:rPr>
        <w:t xml:space="preserve"> within and across education providers</w:t>
      </w:r>
      <w:r w:rsidR="0054248D">
        <w:rPr>
          <w:rFonts w:ascii="Arial" w:hAnsi="Arial" w:cs="Arial"/>
          <w:bCs/>
          <w:color w:val="000000" w:themeColor="text1"/>
          <w:sz w:val="24"/>
          <w:szCs w:val="24"/>
        </w:rPr>
        <w:t xml:space="preserve">, </w:t>
      </w:r>
      <w:r w:rsidR="00E712F8">
        <w:rPr>
          <w:rFonts w:ascii="Arial" w:hAnsi="Arial" w:cs="Arial"/>
          <w:bCs/>
          <w:color w:val="000000" w:themeColor="text1"/>
          <w:sz w:val="24"/>
          <w:szCs w:val="24"/>
        </w:rPr>
        <w:t>the selection of assessments and their associated mi</w:t>
      </w:r>
      <w:r w:rsidR="00EC15F7">
        <w:rPr>
          <w:rFonts w:ascii="Arial" w:hAnsi="Arial" w:cs="Arial"/>
          <w:bCs/>
          <w:color w:val="000000" w:themeColor="text1"/>
          <w:sz w:val="24"/>
          <w:szCs w:val="24"/>
        </w:rPr>
        <w:t>nimum</w:t>
      </w:r>
      <w:r w:rsidR="00E712F8">
        <w:rPr>
          <w:rFonts w:ascii="Arial" w:hAnsi="Arial" w:cs="Arial"/>
          <w:bCs/>
          <w:color w:val="000000" w:themeColor="text1"/>
          <w:sz w:val="24"/>
          <w:szCs w:val="24"/>
        </w:rPr>
        <w:t xml:space="preserve"> scores </w:t>
      </w:r>
      <w:r w:rsidR="0054248D">
        <w:rPr>
          <w:rFonts w:ascii="Arial" w:hAnsi="Arial" w:cs="Arial"/>
          <w:bCs/>
          <w:color w:val="000000" w:themeColor="text1"/>
          <w:sz w:val="24"/>
          <w:szCs w:val="24"/>
        </w:rPr>
        <w:t xml:space="preserve">were based on the shared experience and tacit knowledge of the </w:t>
      </w:r>
      <w:r w:rsidR="00EC15F7">
        <w:rPr>
          <w:rFonts w:ascii="Arial" w:hAnsi="Arial" w:cs="Arial"/>
          <w:bCs/>
          <w:color w:val="000000" w:themeColor="text1"/>
          <w:sz w:val="24"/>
          <w:szCs w:val="24"/>
        </w:rPr>
        <w:t xml:space="preserve">admitting </w:t>
      </w:r>
      <w:r w:rsidR="0054248D">
        <w:rPr>
          <w:rFonts w:ascii="Arial" w:hAnsi="Arial" w:cs="Arial"/>
          <w:bCs/>
          <w:color w:val="000000" w:themeColor="text1"/>
          <w:sz w:val="24"/>
          <w:szCs w:val="24"/>
        </w:rPr>
        <w:t>team</w:t>
      </w:r>
      <w:r w:rsidR="00E712F8" w:rsidRPr="00E712F8">
        <w:rPr>
          <w:rFonts w:ascii="Arial" w:hAnsi="Arial" w:cs="Arial"/>
          <w:bCs/>
          <w:color w:val="000000" w:themeColor="text1"/>
          <w:sz w:val="24"/>
          <w:szCs w:val="24"/>
        </w:rPr>
        <w:t>.</w:t>
      </w:r>
      <w:r w:rsidR="00EC15F7">
        <w:rPr>
          <w:rFonts w:ascii="Arial" w:hAnsi="Arial" w:cs="Arial"/>
          <w:bCs/>
          <w:color w:val="000000" w:themeColor="text1"/>
          <w:sz w:val="24"/>
          <w:szCs w:val="24"/>
        </w:rPr>
        <w:t xml:space="preserve"> This combined expertise led to t</w:t>
      </w:r>
      <w:r w:rsidR="009F7E1A">
        <w:rPr>
          <w:rFonts w:ascii="Arial" w:hAnsi="Arial" w:cs="Arial"/>
          <w:bCs/>
          <w:color w:val="000000" w:themeColor="text1"/>
          <w:sz w:val="24"/>
          <w:szCs w:val="24"/>
        </w:rPr>
        <w:t>he admission and graduation of nine</w:t>
      </w:r>
      <w:r w:rsidR="00EC15F7">
        <w:rPr>
          <w:rFonts w:ascii="Arial" w:hAnsi="Arial" w:cs="Arial"/>
          <w:bCs/>
          <w:color w:val="000000" w:themeColor="text1"/>
          <w:sz w:val="24"/>
          <w:szCs w:val="24"/>
        </w:rPr>
        <w:t xml:space="preserve"> candidates </w:t>
      </w:r>
      <w:r w:rsidR="009F7E1A">
        <w:rPr>
          <w:rFonts w:ascii="Arial" w:hAnsi="Arial" w:cs="Arial"/>
          <w:bCs/>
          <w:color w:val="000000" w:themeColor="text1"/>
          <w:sz w:val="24"/>
          <w:szCs w:val="24"/>
        </w:rPr>
        <w:t>who ordinarily may</w:t>
      </w:r>
      <w:r w:rsidR="00EC15F7">
        <w:rPr>
          <w:rFonts w:ascii="Arial" w:hAnsi="Arial" w:cs="Arial"/>
          <w:bCs/>
          <w:color w:val="000000" w:themeColor="text1"/>
          <w:sz w:val="24"/>
          <w:szCs w:val="24"/>
        </w:rPr>
        <w:t xml:space="preserve"> have been rejected from the program. This raises the question that i</w:t>
      </w:r>
      <w:r w:rsidR="00D47524" w:rsidRPr="00E712F8">
        <w:rPr>
          <w:rFonts w:ascii="Arial" w:hAnsi="Arial" w:cs="Arial"/>
          <w:sz w:val="24"/>
          <w:szCs w:val="24"/>
        </w:rPr>
        <w:t>f</w:t>
      </w:r>
      <w:r w:rsidR="00D47524">
        <w:rPr>
          <w:rFonts w:ascii="Arial" w:hAnsi="Arial" w:cs="Arial"/>
          <w:sz w:val="24"/>
          <w:szCs w:val="24"/>
        </w:rPr>
        <w:t xml:space="preserve"> as</w:t>
      </w:r>
      <w:r w:rsidR="00D47524" w:rsidRPr="00E712F8">
        <w:rPr>
          <w:rFonts w:ascii="Arial" w:hAnsi="Arial" w:cs="Arial"/>
          <w:sz w:val="24"/>
          <w:szCs w:val="24"/>
        </w:rPr>
        <w:t xml:space="preserve"> occupational therapy admissions tutors</w:t>
      </w:r>
      <w:r w:rsidR="00356FB2">
        <w:rPr>
          <w:rFonts w:ascii="Arial" w:hAnsi="Arial" w:cs="Arial"/>
          <w:sz w:val="24"/>
          <w:szCs w:val="24"/>
        </w:rPr>
        <w:t>,</w:t>
      </w:r>
      <w:r w:rsidR="00D47524" w:rsidRPr="00E712F8">
        <w:rPr>
          <w:rFonts w:ascii="Arial" w:hAnsi="Arial" w:cs="Arial"/>
          <w:sz w:val="24"/>
          <w:szCs w:val="24"/>
        </w:rPr>
        <w:t xml:space="preserve"> </w:t>
      </w:r>
      <w:r w:rsidR="00D47524">
        <w:rPr>
          <w:rFonts w:ascii="Arial" w:hAnsi="Arial" w:cs="Arial"/>
          <w:sz w:val="24"/>
          <w:szCs w:val="24"/>
        </w:rPr>
        <w:t xml:space="preserve">we </w:t>
      </w:r>
      <w:r w:rsidR="00D47524" w:rsidRPr="00E712F8">
        <w:rPr>
          <w:rFonts w:ascii="Arial" w:hAnsi="Arial" w:cs="Arial"/>
          <w:sz w:val="24"/>
          <w:szCs w:val="24"/>
        </w:rPr>
        <w:t xml:space="preserve">do not have </w:t>
      </w:r>
      <w:r w:rsidR="00D47524">
        <w:rPr>
          <w:rFonts w:ascii="Arial" w:hAnsi="Arial" w:cs="Arial"/>
          <w:sz w:val="24"/>
          <w:szCs w:val="24"/>
        </w:rPr>
        <w:t xml:space="preserve">access to </w:t>
      </w:r>
      <w:r w:rsidR="00D47524" w:rsidRPr="00E712F8">
        <w:rPr>
          <w:rFonts w:ascii="Arial" w:hAnsi="Arial" w:cs="Arial"/>
          <w:sz w:val="24"/>
          <w:szCs w:val="24"/>
        </w:rPr>
        <w:t xml:space="preserve">robust assessment </w:t>
      </w:r>
      <w:r w:rsidR="00356FB2">
        <w:rPr>
          <w:rFonts w:ascii="Arial" w:hAnsi="Arial" w:cs="Arial"/>
          <w:sz w:val="24"/>
          <w:szCs w:val="24"/>
        </w:rPr>
        <w:t>measures</w:t>
      </w:r>
      <w:r w:rsidR="00D47524" w:rsidRPr="00E712F8">
        <w:rPr>
          <w:rFonts w:ascii="Arial" w:hAnsi="Arial" w:cs="Arial"/>
          <w:sz w:val="24"/>
          <w:szCs w:val="24"/>
        </w:rPr>
        <w:t xml:space="preserve"> based on best practice</w:t>
      </w:r>
      <w:r w:rsidR="00356FB2">
        <w:rPr>
          <w:rFonts w:ascii="Arial" w:hAnsi="Arial" w:cs="Arial"/>
          <w:sz w:val="24"/>
          <w:szCs w:val="24"/>
        </w:rPr>
        <w:t>,</w:t>
      </w:r>
      <w:r w:rsidR="00D47524" w:rsidRPr="00E712F8">
        <w:rPr>
          <w:rFonts w:ascii="Arial" w:hAnsi="Arial" w:cs="Arial"/>
          <w:sz w:val="24"/>
          <w:szCs w:val="24"/>
        </w:rPr>
        <w:t xml:space="preserve"> </w:t>
      </w:r>
      <w:r w:rsidR="00D47524">
        <w:rPr>
          <w:rFonts w:ascii="Arial" w:hAnsi="Arial" w:cs="Arial"/>
          <w:sz w:val="24"/>
          <w:szCs w:val="24"/>
        </w:rPr>
        <w:t>how can we be certain</w:t>
      </w:r>
      <w:r w:rsidR="00D47524" w:rsidRPr="00E712F8">
        <w:rPr>
          <w:rFonts w:ascii="Arial" w:hAnsi="Arial" w:cs="Arial"/>
          <w:sz w:val="24"/>
          <w:szCs w:val="24"/>
        </w:rPr>
        <w:t xml:space="preserve"> we are </w:t>
      </w:r>
      <w:r w:rsidR="009F7E1A">
        <w:rPr>
          <w:rFonts w:ascii="Arial" w:hAnsi="Arial" w:cs="Arial"/>
          <w:sz w:val="24"/>
          <w:szCs w:val="24"/>
        </w:rPr>
        <w:t>not missing opportunities to attract and recruit</w:t>
      </w:r>
      <w:r w:rsidR="00D47524" w:rsidRPr="00E712F8">
        <w:rPr>
          <w:rFonts w:ascii="Arial" w:hAnsi="Arial" w:cs="Arial"/>
          <w:sz w:val="24"/>
          <w:szCs w:val="24"/>
        </w:rPr>
        <w:t xml:space="preserve"> the best candidates who will possess the core skills and values required to graduate as </w:t>
      </w:r>
      <w:r w:rsidR="00D47524">
        <w:rPr>
          <w:rFonts w:ascii="Arial" w:hAnsi="Arial" w:cs="Arial"/>
          <w:sz w:val="24"/>
          <w:szCs w:val="24"/>
        </w:rPr>
        <w:t>occupational t</w:t>
      </w:r>
      <w:r w:rsidR="00D47524" w:rsidRPr="00E712F8">
        <w:rPr>
          <w:rFonts w:ascii="Arial" w:hAnsi="Arial" w:cs="Arial"/>
          <w:sz w:val="24"/>
          <w:szCs w:val="24"/>
        </w:rPr>
        <w:t>herapist</w:t>
      </w:r>
      <w:r w:rsidR="00D47524">
        <w:rPr>
          <w:rFonts w:ascii="Arial" w:hAnsi="Arial" w:cs="Arial"/>
          <w:sz w:val="24"/>
          <w:szCs w:val="24"/>
        </w:rPr>
        <w:t>s</w:t>
      </w:r>
      <w:r w:rsidR="00D47524" w:rsidRPr="00E712F8">
        <w:rPr>
          <w:rFonts w:ascii="Arial" w:hAnsi="Arial" w:cs="Arial"/>
          <w:sz w:val="24"/>
          <w:szCs w:val="24"/>
        </w:rPr>
        <w:t xml:space="preserve"> and contribute to the development and progress</w:t>
      </w:r>
      <w:r w:rsidR="00D47524">
        <w:rPr>
          <w:rFonts w:ascii="Arial" w:hAnsi="Arial" w:cs="Arial"/>
          <w:sz w:val="24"/>
          <w:szCs w:val="24"/>
        </w:rPr>
        <w:t xml:space="preserve">ion of the OT </w:t>
      </w:r>
      <w:r w:rsidR="00D47524" w:rsidRPr="00E712F8">
        <w:rPr>
          <w:rFonts w:ascii="Arial" w:hAnsi="Arial" w:cs="Arial"/>
          <w:sz w:val="24"/>
          <w:szCs w:val="24"/>
        </w:rPr>
        <w:t>profession across clinical, ed</w:t>
      </w:r>
      <w:r w:rsidR="00D47524">
        <w:rPr>
          <w:rFonts w:ascii="Arial" w:hAnsi="Arial" w:cs="Arial"/>
          <w:sz w:val="24"/>
          <w:szCs w:val="24"/>
        </w:rPr>
        <w:t>ucational and research contexts?</w:t>
      </w:r>
    </w:p>
    <w:p w14:paraId="32ACB134" w14:textId="77777777" w:rsidR="00D47524" w:rsidRDefault="00D47524" w:rsidP="00506162">
      <w:pPr>
        <w:spacing w:line="240" w:lineRule="auto"/>
        <w:rPr>
          <w:rFonts w:ascii="Arial" w:hAnsi="Arial" w:cs="Arial"/>
          <w:sz w:val="24"/>
          <w:szCs w:val="24"/>
        </w:rPr>
      </w:pPr>
    </w:p>
    <w:p w14:paraId="5ACDE8A4" w14:textId="243EBADD" w:rsidR="00506162" w:rsidRPr="004B1C58" w:rsidRDefault="00506162" w:rsidP="00506162">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As the author is a member of the RCOT Admissions Tutors forum (open to OT tutors with responsibility for admissions at all UK Universities), </w:t>
      </w:r>
      <w:r w:rsidR="00A161E8">
        <w:rPr>
          <w:rFonts w:ascii="Arial" w:hAnsi="Arial" w:cs="Arial"/>
          <w:bCs/>
          <w:color w:val="000000" w:themeColor="text1"/>
          <w:sz w:val="24"/>
          <w:szCs w:val="24"/>
        </w:rPr>
        <w:t xml:space="preserve">some of </w:t>
      </w:r>
      <w:r>
        <w:rPr>
          <w:rFonts w:ascii="Arial" w:hAnsi="Arial" w:cs="Arial"/>
          <w:bCs/>
          <w:color w:val="000000" w:themeColor="text1"/>
          <w:sz w:val="24"/>
          <w:szCs w:val="24"/>
        </w:rPr>
        <w:t xml:space="preserve">these limitations may be addressed in future research, ethical application and approval pending.  </w:t>
      </w:r>
    </w:p>
    <w:p w14:paraId="0866EAD5" w14:textId="77777777" w:rsidR="00D173CF" w:rsidRPr="00E21894" w:rsidRDefault="00D173CF" w:rsidP="00D173CF">
      <w:pPr>
        <w:spacing w:line="240" w:lineRule="auto"/>
        <w:rPr>
          <w:rFonts w:ascii="Arial" w:hAnsi="Arial" w:cs="Arial"/>
          <w:b/>
          <w:bCs/>
          <w:sz w:val="24"/>
          <w:szCs w:val="24"/>
        </w:rPr>
      </w:pPr>
    </w:p>
    <w:p w14:paraId="6F4BB409" w14:textId="77777777" w:rsidR="00D173CF" w:rsidRDefault="00D173CF" w:rsidP="00D173CF">
      <w:pPr>
        <w:spacing w:line="240" w:lineRule="auto"/>
        <w:rPr>
          <w:rFonts w:ascii="Arial" w:hAnsi="Arial" w:cs="Arial"/>
          <w:b/>
          <w:bCs/>
          <w:sz w:val="24"/>
          <w:szCs w:val="24"/>
        </w:rPr>
      </w:pPr>
      <w:r>
        <w:rPr>
          <w:rFonts w:ascii="Arial" w:hAnsi="Arial" w:cs="Arial"/>
          <w:b/>
          <w:bCs/>
          <w:sz w:val="24"/>
          <w:szCs w:val="24"/>
        </w:rPr>
        <w:t>IMPLICATIONS FOR OT</w:t>
      </w:r>
    </w:p>
    <w:p w14:paraId="4646AFC7" w14:textId="25B79E64" w:rsidR="00D173CF" w:rsidRDefault="00D173CF" w:rsidP="00164ADB">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OT programs have an ethical duty to ensure they make appropriate and accurate decisions, </w:t>
      </w:r>
      <w:r w:rsidR="00164ADB">
        <w:rPr>
          <w:rFonts w:ascii="Arial" w:hAnsi="Arial" w:cs="Arial"/>
          <w:color w:val="000000" w:themeColor="text1"/>
          <w:sz w:val="24"/>
          <w:szCs w:val="24"/>
        </w:rPr>
        <w:t>selecting the best students who</w:t>
      </w:r>
      <w:r>
        <w:rPr>
          <w:rFonts w:ascii="Arial" w:hAnsi="Arial" w:cs="Arial"/>
          <w:color w:val="000000" w:themeColor="text1"/>
          <w:sz w:val="24"/>
          <w:szCs w:val="24"/>
        </w:rPr>
        <w:t xml:space="preserve"> will be successful academically and professionally, progressing to graduation and </w:t>
      </w:r>
      <w:r w:rsidR="00164ADB">
        <w:rPr>
          <w:rFonts w:ascii="Arial" w:hAnsi="Arial" w:cs="Arial"/>
          <w:color w:val="000000" w:themeColor="text1"/>
          <w:sz w:val="24"/>
          <w:szCs w:val="24"/>
        </w:rPr>
        <w:t>contributing</w:t>
      </w:r>
      <w:r>
        <w:rPr>
          <w:rFonts w:ascii="Arial" w:hAnsi="Arial" w:cs="Arial"/>
          <w:color w:val="000000" w:themeColor="text1"/>
          <w:sz w:val="24"/>
          <w:szCs w:val="24"/>
        </w:rPr>
        <w:t xml:space="preserve"> to the development and continuation of the OT profession </w:t>
      </w:r>
      <w:r>
        <w:rPr>
          <w:rFonts w:ascii="Arial" w:hAnsi="Arial" w:cs="Arial"/>
          <w:color w:val="000000" w:themeColor="text1"/>
          <w:sz w:val="24"/>
          <w:szCs w:val="24"/>
        </w:rPr>
        <w:fldChar w:fldCharType="begin" w:fldLock="1"/>
      </w:r>
      <w:r>
        <w:rPr>
          <w:rFonts w:ascii="Arial" w:hAnsi="Arial" w:cs="Arial"/>
          <w:color w:val="000000" w:themeColor="text1"/>
          <w:sz w:val="24"/>
          <w:szCs w:val="24"/>
        </w:rPr>
        <w:instrText>ADDIN CSL_CITATION {"citationItems":[{"id":"ITEM-1","itemData":{"DOI":"10.1046/j.1365-2923.2004.01776.x","ISSN":"03080110","PMID":"14996341","abstract":"CONTEXT: Although health sciences programmes continue to value non-cognitive variables such as interpersonal skills and professionalism, it is not clear that current admissions tools like the personal interview are capable of assessing ability in these domains. Hypothesising that many of the problems with the personal interview might be explained, at least in part, by it being yet another measurement tool that is plagued by context specificity, we have attempted to develop a multiple sample approach to the personal interview. METHODS: A group of 117 applicants to the undergraduate MD programme at McMaster University participated in a multiple mini-interview (MMI), consisting of 10 short objective structured clinical examination (OSCE)-style stations, in which they were presented with scenarios that required them to discuss a health-related issue (e.g. the use of placebos) with an interviewer, interact with a standardised confederate while an examiner observed the interpersonal skills displayed, or answer traditional interview questions. RESULTS: The reliability of the MMI was observed to be 0.65. Furthermore, the hypothesis that context specificity might reduce the validity of traditional interviews was supported by the finding that the variance component attributable to candidate-station interaction was greater than that attributable to candidate. Both applicants and examiners were positive about the experience and the potential for this protocol. DISCUSSION: The principles used in developing this new admissions instrument, the flexibility inherent in the multiple mini-interview, and its feasibility and cost-effectiveness are discussed.","author":[{"dropping-particle":"","family":"Eva","given":"Kevin W.","non-dropping-particle":"","parse-names":false,"suffix":""},{"dropping-particle":"","family":"Rosenfeld","given":"Jack","non-dropping-particle":"","parse-names":false,"suffix":""},{"dropping-particle":"","family":"Reiter","given":"Harold I.","non-dropping-particle":"","parse-names":false,"suffix":""},{"dropping-particle":"","family":"Norman","given":"Geoffrey R.","non-dropping-particle":"","parse-names":false,"suffix":""}],"container-title":"Medical Education","id":"ITEM-1","issue":"3","issued":{"date-parts":[["2004"]]},"page":"314-326","title":"An admissions OSCE: The multiple mini-interview","type":"article-journal","volume":"38"},"uris":["http://www.mendeley.com/documents/?uuid=857aeed7-13dc-4a7b-a867-a3914445313f"]},{"id":"ITEM-2","itemData":{"DOI":"10.26681/jote.2017.010107","ISSN":"2573-1378","abstract":"We describe results of an experimental investigation into the orientation state of liquid crystalline solutions of poly(benzy1 glutamate) under shear flow and how the microscopic structure relates to the macroscopic mechanical rheological behavior. The technique of flow birefringence was used to study the degree of molecular orientation. A spectrographic flow birefringence apparatus is described that eliminates ambiguities associated with multiple orders of retardation in birefringence measurements. The birefringence observed in textured solutions under shear flow is always less than that measured in quiescent, defect-free monodomains of the solutions. At low shear rates, the birefringence is roughly constant and in the range of 5343% of that observed in a monodomain; there is no evidence of a low-orientation, \" piled polydomain \" structure. At high shear rates, the birefringence is again roughly constant and around 90% of the monodomain value. The transition between low-and high-orientation states as a function of shear rate is closely correlated with changes in sign of the first normal stress difference of these Solutions, leading us to identify it as a manifestation of a transition between regimes of director tumbling at low shear rates and flow alignment at high shear rates. These observations are compared qualitatively and quantatively with predictions of the nonlinear Doi molecular model for textureleas samples [Laraon, R. G. Macromolecules 1990,23,3983] and the linear Larson and Doi tumbling polydomain model for textured samples [Laraon, R. G.; Doi, M. J. Rheol. 1991,35,539]. An accompanying paper considers transient flow phenomena at low shear rates.","author":[{"dropping-particle":"","family":"Li","given":"Kitsum","non-dropping-particle":"","parse-names":false,"suffix":""},{"dropping-particle":"","family":"Wilbarger","given":"Julia","non-dropping-particle":"","parse-names":false,"suffix":""},{"dropping-particle":"","family":"Louis","given":"Shad","non-dropping-particle":"St.","parse-names":false,"suffix":""}],"container-title":"Journal of Occupational Therapy Education","id":"ITEM-2","issue":"1","issued":{"date-parts":[["2017"]]},"title":"An Innovative Behavioral Interview for Pre-admission Selection of Occupational Therapy Students","type":"article-journal","volume":"1"},"uris":["http://www.mendeley.com/documents/?uuid=5b95c02d-97fc-431e-9eaa-e94063d4eed5"]}],"mendeley":{"formattedCitation":"(Eva et al., 2004; Li et al., 2017)","plainTextFormattedCitation":"(Eva et al., 2004; Li et al., 2017)","previouslyFormattedCitation":"(Eva et al., 2004; Li et al., 2017)"},"properties":{"noteIndex":0},"schema":"https://github.com/citation-style-language/schema/raw/master/csl-citation.json"}</w:instrText>
      </w:r>
      <w:r>
        <w:rPr>
          <w:rFonts w:ascii="Arial" w:hAnsi="Arial" w:cs="Arial"/>
          <w:color w:val="000000" w:themeColor="text1"/>
          <w:sz w:val="24"/>
          <w:szCs w:val="24"/>
        </w:rPr>
        <w:fldChar w:fldCharType="separate"/>
      </w:r>
      <w:r w:rsidRPr="00407FFE">
        <w:rPr>
          <w:rFonts w:ascii="Arial" w:hAnsi="Arial" w:cs="Arial"/>
          <w:noProof/>
          <w:color w:val="000000" w:themeColor="text1"/>
          <w:sz w:val="24"/>
          <w:szCs w:val="24"/>
        </w:rPr>
        <w:t>(Eva et al., 2004; Li et al., 2017)</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This paper </w:t>
      </w:r>
      <w:r w:rsidR="00164ADB">
        <w:rPr>
          <w:rFonts w:ascii="Arial" w:hAnsi="Arial" w:cs="Arial"/>
          <w:color w:val="000000" w:themeColor="text1"/>
          <w:sz w:val="24"/>
          <w:szCs w:val="24"/>
        </w:rPr>
        <w:t xml:space="preserve">has </w:t>
      </w:r>
      <w:r>
        <w:rPr>
          <w:rFonts w:ascii="Arial" w:hAnsi="Arial" w:cs="Arial"/>
          <w:color w:val="000000" w:themeColor="text1"/>
          <w:sz w:val="24"/>
          <w:szCs w:val="24"/>
        </w:rPr>
        <w:t xml:space="preserve">explored the evidence around what assessments, measurement and recording tools are considered effective in predicting graduation success for OT students, while presenting </w:t>
      </w:r>
      <w:r w:rsidR="00164ADB">
        <w:rPr>
          <w:rFonts w:ascii="Arial" w:hAnsi="Arial" w:cs="Arial"/>
          <w:color w:val="000000" w:themeColor="text1"/>
          <w:sz w:val="24"/>
          <w:szCs w:val="24"/>
        </w:rPr>
        <w:t xml:space="preserve">specific </w:t>
      </w:r>
      <w:r>
        <w:rPr>
          <w:rFonts w:ascii="Arial" w:hAnsi="Arial" w:cs="Arial"/>
          <w:color w:val="000000" w:themeColor="text1"/>
          <w:sz w:val="24"/>
          <w:szCs w:val="24"/>
        </w:rPr>
        <w:t>data from one cohort of UK OT stude</w:t>
      </w:r>
      <w:r w:rsidR="00164ADB">
        <w:rPr>
          <w:rFonts w:ascii="Arial" w:hAnsi="Arial" w:cs="Arial"/>
          <w:color w:val="000000" w:themeColor="text1"/>
          <w:sz w:val="24"/>
          <w:szCs w:val="24"/>
        </w:rPr>
        <w:t>nts</w:t>
      </w:r>
      <w:r>
        <w:rPr>
          <w:rFonts w:ascii="Arial" w:hAnsi="Arial" w:cs="Arial"/>
          <w:color w:val="000000" w:themeColor="text1"/>
          <w:sz w:val="24"/>
          <w:szCs w:val="24"/>
        </w:rPr>
        <w:t>. A review of the literature</w:t>
      </w:r>
      <w:r w:rsidRPr="00E21894">
        <w:rPr>
          <w:rFonts w:ascii="Arial" w:hAnsi="Arial" w:cs="Arial"/>
          <w:color w:val="000000" w:themeColor="text1"/>
          <w:sz w:val="24"/>
          <w:szCs w:val="24"/>
        </w:rPr>
        <w:t xml:space="preserve"> </w:t>
      </w:r>
      <w:r>
        <w:rPr>
          <w:rFonts w:ascii="Arial" w:hAnsi="Arial" w:cs="Arial"/>
          <w:color w:val="000000" w:themeColor="text1"/>
          <w:sz w:val="24"/>
          <w:szCs w:val="24"/>
        </w:rPr>
        <w:t xml:space="preserve">demonstrated a </w:t>
      </w:r>
      <w:r w:rsidRPr="00E21894">
        <w:rPr>
          <w:rFonts w:ascii="Arial" w:hAnsi="Arial" w:cs="Arial"/>
          <w:color w:val="000000" w:themeColor="text1"/>
          <w:sz w:val="24"/>
          <w:szCs w:val="24"/>
        </w:rPr>
        <w:t>general consensus that both cognitive and non-cognitive qualities and skills of those entering the healthcare professions</w:t>
      </w:r>
      <w:r>
        <w:rPr>
          <w:rFonts w:ascii="Arial" w:hAnsi="Arial" w:cs="Arial"/>
          <w:color w:val="000000" w:themeColor="text1"/>
          <w:sz w:val="24"/>
          <w:szCs w:val="24"/>
        </w:rPr>
        <w:t>, including OT,</w:t>
      </w:r>
      <w:r w:rsidRPr="00E21894">
        <w:rPr>
          <w:rFonts w:ascii="Arial" w:hAnsi="Arial" w:cs="Arial"/>
          <w:color w:val="000000" w:themeColor="text1"/>
          <w:sz w:val="24"/>
          <w:szCs w:val="24"/>
        </w:rPr>
        <w:t xml:space="preserve"> </w:t>
      </w:r>
      <w:r>
        <w:rPr>
          <w:rFonts w:ascii="Arial" w:hAnsi="Arial" w:cs="Arial"/>
          <w:color w:val="000000" w:themeColor="text1"/>
          <w:sz w:val="24"/>
          <w:szCs w:val="24"/>
        </w:rPr>
        <w:t xml:space="preserve">should be assessed at selection </w:t>
      </w:r>
      <w:r>
        <w:rPr>
          <w:rFonts w:ascii="Arial" w:hAnsi="Arial" w:cs="Arial"/>
          <w:color w:val="000000" w:themeColor="text1"/>
          <w:sz w:val="24"/>
          <w:szCs w:val="24"/>
        </w:rPr>
        <w:fldChar w:fldCharType="begin" w:fldLock="1"/>
      </w:r>
      <w:r>
        <w:rPr>
          <w:rFonts w:ascii="Arial" w:hAnsi="Arial" w:cs="Arial"/>
          <w:color w:val="000000" w:themeColor="text1"/>
          <w:sz w:val="24"/>
          <w:szCs w:val="24"/>
        </w:rPr>
        <w:instrText>ADDIN CSL_CITATION {"citationItems":[{"id":"ITEM-1","itemData":{"DOI":"10.1023/A:1011489618208","ISBN":"1382-4996","ISSN":"13824996","PMID":"11435766","abstract":"160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Education","id":"ITEM-1","issued":{"date-parts":[["2001"]]},"page":"159–175","title":"Pre-admission academic grades","type":"article-journal","volume":"6"},"uris":["http://www.mendeley.com/documents/?uuid=d9db22ae-6f60-4204-9833-acc40b090bd6"]}],"mendeley":{"formattedCitation":"(Salvatori, 2001)","plainTextFormattedCitation":"(Salvatori, 2001)","previouslyFormattedCitation":"(Salvatori, 2001)"},"properties":{"noteIndex":0},"schema":"https://github.com/citation-style-language/schema/raw/master/csl-citation.json"}</w:instrText>
      </w:r>
      <w:r>
        <w:rPr>
          <w:rFonts w:ascii="Arial" w:hAnsi="Arial" w:cs="Arial"/>
          <w:color w:val="000000" w:themeColor="text1"/>
          <w:sz w:val="24"/>
          <w:szCs w:val="24"/>
        </w:rPr>
        <w:fldChar w:fldCharType="separate"/>
      </w:r>
      <w:r w:rsidRPr="00297945">
        <w:rPr>
          <w:rFonts w:ascii="Arial" w:hAnsi="Arial" w:cs="Arial"/>
          <w:noProof/>
          <w:color w:val="000000" w:themeColor="text1"/>
          <w:sz w:val="24"/>
          <w:szCs w:val="24"/>
        </w:rPr>
        <w:t>(Salvatori, 2001)</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Evidence to support pre-academic qualifications as a cognitive assessment of graduation success is stronger for those students entering OT training with a previous degree </w:t>
      </w:r>
      <w:r>
        <w:rPr>
          <w:rFonts w:ascii="Arial" w:hAnsi="Arial" w:cs="Arial"/>
          <w:color w:val="000000" w:themeColor="text1"/>
          <w:sz w:val="24"/>
          <w:szCs w:val="24"/>
        </w:rPr>
        <w:fldChar w:fldCharType="begin" w:fldLock="1"/>
      </w:r>
      <w:r>
        <w:rPr>
          <w:rFonts w:ascii="Arial" w:hAnsi="Arial" w:cs="Arial"/>
          <w:color w:val="000000" w:themeColor="text1"/>
          <w:sz w:val="24"/>
          <w:szCs w:val="24"/>
        </w:rPr>
        <w:instrText>ADDIN CSL_CITATION {"citationItems":[{"id":"ITEM-1","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Education","id":"ITEM-1","issue":"3","issued":{"date-parts":[["2018"]]},"title":"Admission Requirements and Practices in Entry-Level Occupational Therapy Programs","type":"article-journal","volume":"2"},"uris":["http://www.mendeley.com/documents/?uuid=88d18a5f-0f1b-4ea3-a67a-db3fff7e568a"]},{"id":"ITEM-2","itemData":{"author":[{"dropping-particle":"","family":"Katz","given":"G","non-dropping-particle":"","parse-names":false,"suffix":""},{"dropping-particle":"","family":"Mosey","given":"A","non-dropping-particle":"","parse-names":false,"suffix":""}],"container-title":"The American Journal of Occupational Therapy","id":"ITEM-2","issue":"12","issued":{"date-parts":[["1980"]]},"page":"794-800","title":"Fieldwork performance, academic grades, and pre-selection criteria of Occupational Therapy students","type":"article-journal","volume":"34"},"uris":["http://www.mendeley.com/documents/?uuid=a16e704d-636f-4567-8439-51cebe4c6b69"]},{"id":"ITEM-3","itemData":{"author":[{"dropping-particle":"","family":"Kirchner","given":"Grace L","non-dropping-particle":"","parse-names":false,"suffix":""},{"dropping-particle":"","family":"Holm","given":"Margo B","non-dropping-particle":"","parse-names":false,"suffix":""}],"container-title":"American Journal of Occupational Therapy","id":"ITEM-3","issue":"9","issued":{"date-parts":[["1997"]]},"page":"775 - 779","title":"Prediction of academic and clinical performance of occupational therapy students in an entry-level Master's program","type":"article-journal","volume":"51"},"uris":["http://www.mendeley.com/documents/?uuid=9c4ce04e-fef0-4ae7-839b-f86aa9f7af88"]},{"id":"ITEM-4","itemData":{"DOI":"10.1300/j003v13n01_01","ISSN":"07380577","PMID":"23941119","abstract":"The relationships among clinical outcomes, academic success, and predictors used to screen applicants for entrance into a Master in Occupational Therapy Program (MOT) were examined. The dependent variables were grade point average in occupational therapy courses (OT-GPA), client therapy outcomes at the clinic, and ratings of MOT students by Level II Fieldwork supervisors. Predictor variables included undergraduate GPA, scores on the Graduate Record Examination (GRE), and an essay. Both undergraduate GPA and scores on the GRE were found to predict OT-GPA. The analytical section of the GRE was also positively correlated with fieldworlk supervisors ratings of students.","author":[{"dropping-particle":"","family":"Kirchner","given":"Grace L.","non-dropping-particle":"","parse-names":false,"suffix":""},{"dropping-particle":"","family":"Stone","given":"Ronald G.","non-dropping-particle":"","parse-names":false,"suffix":""},{"dropping-particle":"","family":"Holm","given":"Margo B.","non-dropping-particle":"","parse-names":false,"suffix":""}],"container-title":"Occupational Therapy in Health Care","id":"ITEM-4","issue":"1","issued":{"date-parts":[["2001"]]},"page":"1-10","title":"Use of admission criteria to predict performance of students in an entry-level master's program on fieldwork placements and in academic courses","type":"article-journal","volume":"13"},"uris":["http://www.mendeley.com/documents/?uuid=b9e2ddc7-7a27-496a-9e9d-82e2dce412be"]},{"id":"ITEM-5","itemData":{"author":[{"dropping-particle":"","family":"Lysaght","given":"Rosemary","non-dropping-particle":"","parse-names":false,"suffix":""},{"dropping-particle":"","family":"Donnelly","given":"Catherine","non-dropping-particle":"","parse-names":false,"suffix":""},{"dropping-particle":"","family":"Villeneuve","given":"Michelle","non-dropping-particle":"","parse-names":false,"suffix":""}],"container-title":"Canadian Journal of Occupational Therapy","id":"ITEM-5","issue":"1","issued":{"date-parts":[["2009"]]},"page":"38-47","title":"Factors predicting appicant outcomes in occupational education","type":"article-journal","volume":"76"},"uris":["http://www.mendeley.com/documents/?uuid=d0691da8-ce4e-4dd2-93ce-3fc0d8de72aa"]},{"id":"ITEM-6","itemData":{"DOI":"10.1177/030802260406701004","ISSN":"14776006","abstract":"This article presents a research study that investigated age as a predictor of higher academic outcome in a sample of 425 recent honours; graduates from 8 out of 19 (42%) occupational therapy schools in England and Wales. The initial analysis of the data showed that age was related to academic performance, but this relationship was much weaker when the qualifications used to gain entry to occupational therapy education were added to the statistical analysis. The data were strongly influenced by the superior academic performance of the students who had a previous degree on entry to occupational therapy education. When these degree-level entrants were removed from the age analysis, the academic performance of the remaining mature students did not differ significantly from that of the younger students, thus removing the effect of age that was initially seen in the data. This result indicates that entry qualifications, in particular a previous degree, have a positive predictive effect on the academic performance of students in occupational therapy education. This finding has implications for those planning new occupational therapy programmes and for admissions tutors in existing programmes.","author":[{"dropping-particle":"","family":"Shanahan","given":"Margaret M.","non-dropping-particle":"","parse-names":false,"suffix":""}],"container-title":"British Journal of Occupational Therapy","id":"ITEM-6","issue":"10","issued":{"date-parts":[["2004"]]},"page":"439-446","title":"Does age at entry have an impact on academic performance in occupational therapy education?","type":"article-journal","volume":"67"},"uris":["http://www.mendeley.com/documents/?uuid=17e98a99-9fe5-4861-99ee-ae47445b5ba9"]}],"mendeley":{"formattedCitation":"(Bowyer et al., 2018; Katz &amp; Mosey, 1980; Kirchner &amp; Holm, 1997; Kirchner et al., 2001; Lysaght et al., 2009; Shanahan, 2004)","plainTextFormattedCitation":"(Bowyer et al., 2018; Katz &amp; Mosey, 1980; Kirchner &amp; Holm, 1997; Kirchner et al., 2001; Lysaght et al., 2009; Shanahan, 2004)","previouslyFormattedCitation":"(Bowyer et al., 2018; Katz &amp; Mosey, 1980; Kirchner &amp; Holm, 1997; Kirchner et al., 2001; Lysaght et al., 2009; Shanahan, 2004)"},"properties":{"noteIndex":0},"schema":"https://github.com/citation-style-language/schema/raw/master/csl-citation.json"}</w:instrText>
      </w:r>
      <w:r>
        <w:rPr>
          <w:rFonts w:ascii="Arial" w:hAnsi="Arial" w:cs="Arial"/>
          <w:color w:val="000000" w:themeColor="text1"/>
          <w:sz w:val="24"/>
          <w:szCs w:val="24"/>
        </w:rPr>
        <w:fldChar w:fldCharType="separate"/>
      </w:r>
      <w:r w:rsidRPr="00297945">
        <w:rPr>
          <w:rFonts w:ascii="Arial" w:hAnsi="Arial" w:cs="Arial"/>
          <w:noProof/>
          <w:color w:val="000000" w:themeColor="text1"/>
          <w:sz w:val="24"/>
          <w:szCs w:val="24"/>
        </w:rPr>
        <w:t>(Bowyer et al., 2018; Katz &amp; Mosey, 1980; Kirchner &amp; Holm, 1997; Kirchner et al., 2001; Lysaght et al., 2009; Shanahan, 2004)</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as opposed to those from a high-school background </w:t>
      </w:r>
      <w:r>
        <w:rPr>
          <w:rFonts w:ascii="Arial" w:hAnsi="Arial" w:cs="Arial"/>
          <w:color w:val="000000" w:themeColor="text1"/>
          <w:sz w:val="24"/>
          <w:szCs w:val="24"/>
        </w:rPr>
        <w:fldChar w:fldCharType="begin" w:fldLock="1"/>
      </w:r>
      <w:r>
        <w:rPr>
          <w:rFonts w:ascii="Arial" w:hAnsi="Arial" w:cs="Arial"/>
          <w:color w:val="000000" w:themeColor="text1"/>
          <w:sz w:val="24"/>
          <w:szCs w:val="24"/>
        </w:rPr>
        <w:instrText>ADDIN CSL_CITATION {"citationItems":[{"id":"ITEM-1","itemData":{"DOI":"10.1177/030802260006300706","ISSN":"14776006","abstract":"This paper examines the relationships between the entry qualifications and the fieldwork score, academic score and final degree score of a group of 168 occupational therapy and physiotherapy students. The data were gathered from spreadsheets showing the results of students' practical and written assignments and their final degree score computed from these. Details of entry qualifications were obtained from students' personal files. Statistical analyses were carried out on the data obtained to support or refute hypotheses generated by the literature search. It was found that the physiotherapy students with A-levels had higher average scores on entry than the occupational therapy students but that, over the 3 years of their degree, this discrepancy disappeared and there was no significant difference in either fieldwork score or final degree score between the two sets of students. A statistically significant difference was, however, found between the final academic scores of physiotherapy students entering with qualifications other than A-levels, mostly BTEC, and those with A-levels. The results suggest that entry qualifications are poor predictors of both fieldwork and academic outcomes and support the School of Occupational Therapy and Physiotherapy at the University of East Anglia in its policy of a flexible approach to entry requirements; however, careful monitoring should be continued.","author":[{"dropping-particle":"","family":"Howard","given":"L.","non-dropping-particle":"","parse-names":false,"suffix":""},{"dropping-particle":"","family":"Jerosch-Herold","given":"C.","non-dropping-particle":"","parse-names":false,"suffix":""}],"container-title":"British Journal of Occupational Therapy","id":"ITEM-1","issue":"7","issued":{"date-parts":[["2000"]]},"page":"329-334","title":"Can entry qualifications be used to predict fieldwork and academic outcomes in occupational therapy and physiotherapy students?","type":"article-journal","volume":"63"},"uris":["http://www.mendeley.com/documents/?uuid=a6bf75ae-cbc8-4407-96a9-1ef38fad8a27"]},{"id":"ITEM-2","itemData":{"DOI":"10.1177/030802269806100601","ISSN":"14776006","abstract":"There are different entry qualification routes to an honours degree course in occupational therapy. These differences, coupled with the considerable age-range of applicants, mean that students commence their courses from widely different starting points, which may have a bearing on their academic career. This study examined some chosen starting points briefly and, by retrospective analysis of 47 student progress files, looked at how students fared over their university careers. In particular, it examined whether certain pre-entry factors were associated with good degree results. A secondary focus was the relevance of A-level biology as an entrance criterion. The results indicated that students coming into occupational therapy via both traditional and non-traditional routes did equally well and that A-level biology was not associated with degree performance.","author":[{"dropping-particle":"","family":"Howard","given":"Lynne M.","non-dropping-particle":"","parse-names":false,"suffix":""},{"dropping-particle":"","family":"Watson","given":"Martin J.","non-dropping-particle":"","parse-names":false,"suffix":""}],"container-title":"British Journal of Occupational Therapy","id":"ITEM-2","issue":"6","issued":{"date-parts":[["1998"]]},"page":"244-248","title":"A Degree in Occupational Therapy: How do Traditional and Non-Traditional Entry Routes Compare?","type":"article-journal","volume":"61"},"uris":["http://www.mendeley.com/documents/?uuid=b597a021-dbe6-4aed-9ce5-74e99279fd15"]},{"id":"ITEM-3","itemData":{"author":[{"dropping-particle":"","family":"Posthuma","given":"Barbara W","non-dropping-particle":"","parse-names":false,"suffix":""},{"dropping-particle":"","family":"Sommerfreund","given":"Joy","non-dropping-particle":"","parse-names":false,"suffix":""}],"container-title":"The American Journal of Occupational Therapy","id":"ITEM-3","issue":"7","issued":{"date-parts":[["1985"]]},"page":"441-445","title":"Examination of selection criteria for a program in occupational therapy","type":"article-journal","volume":"39"},"uris":["http://www.mendeley.com/documents/?uuid=796f45b8-896c-4a5c-8f95-2c927f08e047"]},{"id":"ITEM-4","itemData":{"DOI":"10.1177/000841749005700509","ISSN":"19119828","abstract":"This paper investigates the relationship of previous academic performance and selection interview results to the academic and fieldwork performance of students during four years of study in Occupational Therapy. Only students who met the basic academic requirements of the occupational therapy department were included. Half of the students who were admitted were selected on the basis of highest academic grades and half were selected on the basis of highest interview scores. At the end of the academic program evaluations indicated no significant difference beween the two groups in terms of academic performance. Over the four years those students who were selected by high interview scores showed more improvement in fieldwork performance than students admitted only on the basis of previous academic grades. Students who had some previous university experience exhibited significantly greater improvement in fieldwork performance than those admitted directly from high school. © 1990, Canadian Association of Occupational Therapists (CAOT). All rights reserved.","author":[{"dropping-particle":"","family":"Posthuma","given":"Barbara","non-dropping-particle":"","parse-names":false,"suffix":""},{"dropping-particle":"","family":"Noh","given":"Samuel","non-dropping-particle":"","parse-names":false,"suffix":""}],"container-title":"Canadian Journal of Occupational Therapy","id":"ITEM-4","issue":"5","issued":{"date-parts":[["1990"]]},"page":"285-291","title":"Interview Scores and Academic Grades as Selection Criteria for Admission to an Occupational Therapy Program","type":"article-journal","volume":"57"},"uris":["http://www.mendeley.com/documents/?uuid=975c3c41-f453-4f89-afb1-a4e1922609aa"]}],"mendeley":{"formattedCitation":"(L. Howard &amp; Jerosch-Herold, 2000; L. M. Howard &amp; Watson, 1998; B. Posthuma &amp; Noh, 1990; B. W. Posthuma &amp; Sommerfreund, 1985)","manualFormatting":"(Howard &amp; Jerosch-Herold, 2000; Howard &amp; Watson, 1998; Posthuma &amp; Noh, 1990; Posthuma &amp; Sommerfreund, 1985)","plainTextFormattedCitation":"(L. Howard &amp; Jerosch-Herold, 2000; L. M. Howard &amp; Watson, 1998; B. Posthuma &amp; Noh, 1990; B. W. Posthuma &amp; Sommerfreund, 1985)","previouslyFormattedCitation":"(L. Howard &amp; Jerosch-Herold, 2000; L. M. Howard &amp; Watson, 1998; B. Posthuma &amp; Noh, 1990; B. W. Posthuma &amp; Sommerfreund, 1985)"},"properties":{"noteIndex":0},"schema":"https://github.com/citation-style-language/schema/raw/master/csl-citation.json"}</w:instrText>
      </w:r>
      <w:r>
        <w:rPr>
          <w:rFonts w:ascii="Arial" w:hAnsi="Arial" w:cs="Arial"/>
          <w:color w:val="000000" w:themeColor="text1"/>
          <w:sz w:val="24"/>
          <w:szCs w:val="24"/>
        </w:rPr>
        <w:fldChar w:fldCharType="separate"/>
      </w:r>
      <w:r>
        <w:rPr>
          <w:rFonts w:ascii="Arial" w:hAnsi="Arial" w:cs="Arial"/>
          <w:noProof/>
          <w:color w:val="000000" w:themeColor="text1"/>
          <w:sz w:val="24"/>
          <w:szCs w:val="24"/>
        </w:rPr>
        <w:t>(</w:t>
      </w:r>
      <w:r w:rsidRPr="00297945">
        <w:rPr>
          <w:rFonts w:ascii="Arial" w:hAnsi="Arial" w:cs="Arial"/>
          <w:noProof/>
          <w:color w:val="000000" w:themeColor="text1"/>
          <w:sz w:val="24"/>
          <w:szCs w:val="24"/>
        </w:rPr>
        <w:t xml:space="preserve">Howard &amp; Jerosch-Herold, 2000; </w:t>
      </w:r>
      <w:r>
        <w:rPr>
          <w:rFonts w:ascii="Arial" w:hAnsi="Arial" w:cs="Arial"/>
          <w:noProof/>
          <w:color w:val="000000" w:themeColor="text1"/>
          <w:sz w:val="24"/>
          <w:szCs w:val="24"/>
        </w:rPr>
        <w:t>Howard &amp; Watson, 1998; Posthuma &amp; Noh, 1990;</w:t>
      </w:r>
      <w:r w:rsidRPr="00297945">
        <w:rPr>
          <w:rFonts w:ascii="Arial" w:hAnsi="Arial" w:cs="Arial"/>
          <w:noProof/>
          <w:color w:val="000000" w:themeColor="text1"/>
          <w:sz w:val="24"/>
          <w:szCs w:val="24"/>
        </w:rPr>
        <w:t xml:space="preserve"> Posthuma &amp; Sommerfreund, 1985)</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with results from this study adding further evidence in support of this. </w:t>
      </w:r>
    </w:p>
    <w:p w14:paraId="20D24C52" w14:textId="77777777" w:rsidR="00D173CF" w:rsidRDefault="00D173CF" w:rsidP="00D173CF">
      <w:pPr>
        <w:spacing w:line="240" w:lineRule="auto"/>
        <w:rPr>
          <w:rFonts w:ascii="Arial" w:hAnsi="Arial" w:cs="Arial"/>
          <w:color w:val="000000" w:themeColor="text1"/>
          <w:sz w:val="24"/>
          <w:szCs w:val="24"/>
        </w:rPr>
      </w:pPr>
    </w:p>
    <w:p w14:paraId="3EC6B643" w14:textId="0731E2E3" w:rsidR="00D173CF" w:rsidRDefault="00D173CF" w:rsidP="00164ADB">
      <w:pPr>
        <w:spacing w:line="240" w:lineRule="auto"/>
        <w:rPr>
          <w:rFonts w:ascii="Arial" w:hAnsi="Arial" w:cs="Arial"/>
          <w:sz w:val="24"/>
          <w:szCs w:val="24"/>
        </w:rPr>
      </w:pPr>
      <w:r>
        <w:rPr>
          <w:rFonts w:ascii="Arial" w:hAnsi="Arial" w:cs="Arial"/>
          <w:sz w:val="24"/>
          <w:szCs w:val="24"/>
        </w:rPr>
        <w:t xml:space="preserve">The complex debate around what, and how, non-cognitive skills should be assessed at selection continues. </w:t>
      </w:r>
      <w:r>
        <w:rPr>
          <w:rFonts w:ascii="Arial" w:hAnsi="Arial" w:cs="Arial"/>
          <w:color w:val="000000" w:themeColor="text1"/>
          <w:sz w:val="24"/>
          <w:szCs w:val="24"/>
        </w:rPr>
        <w:t>A</w:t>
      </w:r>
      <w:r w:rsidRPr="00316AE7">
        <w:rPr>
          <w:rFonts w:ascii="Arial" w:hAnsi="Arial" w:cs="Arial"/>
          <w:color w:val="000000" w:themeColor="text1"/>
          <w:sz w:val="24"/>
          <w:szCs w:val="24"/>
        </w:rPr>
        <w:t xml:space="preserve">ssessments of emotional intelligence, communication, </w:t>
      </w:r>
      <w:r>
        <w:rPr>
          <w:rFonts w:ascii="Arial" w:hAnsi="Arial" w:cs="Arial"/>
          <w:color w:val="000000" w:themeColor="text1"/>
          <w:sz w:val="24"/>
          <w:szCs w:val="24"/>
        </w:rPr>
        <w:t xml:space="preserve">and </w:t>
      </w:r>
      <w:r w:rsidRPr="00316AE7">
        <w:rPr>
          <w:rFonts w:ascii="Arial" w:hAnsi="Arial" w:cs="Arial"/>
          <w:color w:val="000000" w:themeColor="text1"/>
          <w:sz w:val="24"/>
          <w:szCs w:val="24"/>
        </w:rPr>
        <w:t>sel</w:t>
      </w:r>
      <w:r>
        <w:rPr>
          <w:rFonts w:ascii="Arial" w:hAnsi="Arial" w:cs="Arial"/>
          <w:color w:val="000000" w:themeColor="text1"/>
          <w:sz w:val="24"/>
          <w:szCs w:val="24"/>
        </w:rPr>
        <w:t>f-confidence</w:t>
      </w:r>
      <w:r w:rsidRPr="00316AE7">
        <w:rPr>
          <w:rFonts w:ascii="Arial" w:hAnsi="Arial" w:cs="Arial"/>
          <w:color w:val="000000" w:themeColor="text1"/>
          <w:sz w:val="24"/>
          <w:szCs w:val="24"/>
        </w:rPr>
        <w:t xml:space="preserve"> lack</w:t>
      </w:r>
      <w:r>
        <w:rPr>
          <w:rFonts w:ascii="Arial" w:hAnsi="Arial" w:cs="Arial"/>
          <w:color w:val="000000" w:themeColor="text1"/>
          <w:sz w:val="24"/>
          <w:szCs w:val="24"/>
        </w:rPr>
        <w:t xml:space="preserve"> validity and reliability, with </w:t>
      </w:r>
      <w:r w:rsidRPr="00316AE7">
        <w:rPr>
          <w:rFonts w:ascii="Arial" w:hAnsi="Arial" w:cs="Arial"/>
          <w:color w:val="000000" w:themeColor="text1"/>
          <w:sz w:val="24"/>
          <w:szCs w:val="24"/>
        </w:rPr>
        <w:t>evidence suggesting they do not correlate with graduate success in the same way</w:t>
      </w:r>
      <w:r>
        <w:rPr>
          <w:rFonts w:ascii="Arial" w:hAnsi="Arial" w:cs="Arial"/>
          <w:color w:val="000000" w:themeColor="text1"/>
          <w:sz w:val="24"/>
          <w:szCs w:val="24"/>
        </w:rPr>
        <w:t xml:space="preserve"> that</w:t>
      </w:r>
      <w:r w:rsidRPr="00316AE7">
        <w:rPr>
          <w:rFonts w:ascii="Arial" w:hAnsi="Arial" w:cs="Arial"/>
          <w:color w:val="000000" w:themeColor="text1"/>
          <w:sz w:val="24"/>
          <w:szCs w:val="24"/>
        </w:rPr>
        <w:t xml:space="preserve"> academic assessments do </w:t>
      </w:r>
      <w:r w:rsidRPr="00316AE7">
        <w:rPr>
          <w:rFonts w:ascii="Arial" w:hAnsi="Arial" w:cs="Arial"/>
          <w:color w:val="000000" w:themeColor="text1"/>
          <w:sz w:val="24"/>
          <w:szCs w:val="24"/>
        </w:rPr>
        <w:fldChar w:fldCharType="begin" w:fldLock="1"/>
      </w:r>
      <w:r w:rsidRPr="00316AE7">
        <w:rPr>
          <w:rFonts w:ascii="Arial" w:hAnsi="Arial" w:cs="Arial"/>
          <w:color w:val="000000" w:themeColor="text1"/>
          <w:sz w:val="24"/>
          <w:szCs w:val="24"/>
        </w:rPr>
        <w:instrText>ADDIN CSL_CITATION {"citationItems":[{"id":"ITEM-1","itemData":{"DOI":"10.1023/A:1011489618208","ISBN":"1382-4996","ISSN":"13824996","PMID":"11435766","abstract":"160 PENNY SALVATORI fair, and humane \" (Dietrich, 1981, p. 226). Hansen and Pozehl (1995) suggest that economic implications are important to consider in terms of the efficient use of faculty and other academic resources. The need to use reliable and valid selection tools and to evaluate the admission process is clear. It is interesting to note that in a survey of 451 of 848 allied health programs in the United States, Dietrich and Crowley (1982) reported that there was little consistency regarding admis-sions criteria and selection procedures and, furthermore, that few programs were conducting any kind of evaluation of the admission process. Similarly, Johnson and Edwards (1991) in their survey of medical schools in the United States, reported that 98% of the respondents were using interviews in the selection process but only one-fifth were evaluating their effectiveness in terms of predicting success. The purpose of this paper is to review the health professions literature on the reliability and validity of both cognitive and non-cognitive measures used to select students to health profession education programs. Pre-admission academic grades, aptitude tests, interviews, written submissions, and letters of reference serve as the focus for this review, with particular attention to their inter-rater reliability as selection tools and their predictive validity in terms of academic and clinical performance. The paper concludes with an overall summary of the evidence and recommendations for future research. A computerized search of Medline (1991 to 1999) and the Cumulative Index to Nursing and Allied Health Literature/CINAHL (1982 to 1999) databases using the subject of school admission criteria yielded a total of 866 entries. Articles were selected for review on the basis of their relevance to the pre-admission variables listed above (as determined by title or abstract), local. accessibility, and availability in the English language. A few additional articles from earlier years were retrieved and reviewed because they were cited often by others. Numerous articles dealing with minority student issues were excluded given the particular focus of this paper. A total of 83 articles were reviewed for this paper. Although most of the research has been done in the field of medical education, literature from other disciplines such as nursing, physiotherapy, occupational therapy, respiratory care, medical imaging, and midwifery have been included in this review.","author":[{"dropping-particle":"","family":"Salvatori","given":"P.","non-dropping-particle":"","parse-names":false,"suffix":""}],"container-title":"Advances in Health Sciences Education","id":"ITEM-1","issued":{"date-parts":[["2001"]]},"page":"159–175","title":"Pre-admission academic grades","type":"article-journal","volume":"6"},"uris":["http://www.mendeley.com/documents/?uuid=d9db22ae-6f60-4204-9833-acc40b090bd6"]},{"id":"ITEM-2","itemData":{"DOI":"10.1016/S0191-8869(99)00250-0","ISSN":"01918869","abstract":"Emotional intelligence has become a fashionable topic in the popular press, and has been heralded as an effective predictor of successful performance. However, little empirical evidence has borne out these claims. The present study was conducted in order to determine the relationship of emotional intelligence, cognitive ability, and personality with academic achievement. Emotional intelligence was assessed using the EQ-i (total EQ-i score and five EQ-i composite factor scores). Both cognitive ability and personality (in terms of extraversion and self control) were significantly associated with academic achievement. None of the EQ-i factor scores, nor the total EQ-i score, was significantly related to academic achievement. © 2000 Elsevier Science Ltd. All rights reserved.","author":[{"dropping-particle":"","family":"Newsome","given":"Shaun","non-dropping-particle":"","parse-names":false,"suffix":""},{"dropping-particle":"","family":"Day","given":"Arla L.","non-dropping-particle":"","parse-names":false,"suffix":""},{"dropping-particle":"","family":"Catano","given":"Victor M.","non-dropping-particle":"","parse-names":false,"suffix":""}],"container-title":"Personality and Individual Differences","id":"ITEM-2","issue":"6","issued":{"date-parts":[["2000"]]},"page":"1005-1016","title":"Assessing the predictive validity of emotional intelligence","type":"article-journal","volume":"29"},"uris":["http://www.mendeley.com/documents/?uuid=02d40012-8497-4c46-a92e-43a5f31e42d9"]},{"id":"ITEM-3","itemData":{"DOI":"10.1016/j.nedt.2010.10.015","ISSN":"02606917","abstract":"The judicious selection of nursing school applicants is important, and universities are increasingly incorporating non-academic criteria into their admission processes. We undertook a retrospective, correlational study of the predictive utility of an admissions process for nursing students' \"in-program\" success. The sample consisted of all 249 students admitted to a Canadian accelerated baccalaureate nursing program over a four-year study period. The students' arithmetic mean grade for six nursing courses (both theoretical and clinical) and their final grade point average (GPA) at graduation were the outcome measures of student success. The predictor variables included the applicants' demographic characteristics (e.g., age, gender, ethnic minority status, and previous educational attainment), their supplemental application materials and interview scores (assessing non-academic criteria), and their admission GPA. Linear regression was conducted on the outcome measures to determine whether the selection tools added information over that obtained through the use of admission GPA in predicting success. Although their admission GPAs were consistently predictive of the students' success, neither the supplemental application nor the interview scores had predictive utility. The variables consistently predictive of student success were age, ethnic minority status, and admission GPA, accounting for 26% of the variance in the selected nursing grades and 36% of the variance in GPA at graduation. The results provided little evidence to justify using the selective admissions tools. © 2010 Elsevier Ltd.","author":[{"dropping-particle":"","family":"Timer","given":"Jennifer E.","non-dropping-particle":"","parse-names":false,"suffix":""},{"dropping-particle":"","family":"Clauson","given":"Marion I.","non-dropping-particle":"","parse-names":false,"suffix":""}],"container-title":"Nurse Education Today","id":"ITEM-3","issue":"6","issued":{"date-parts":[["2011"]]},"page":"601-606","publisher":"Elsevier Ltd","title":"The use of selective admissions tools to predict students' success in an advanced standing baccalaureate nursing program","type":"article-journal","volume":"31"},"uris":["http://www.mendeley.com/documents/?uuid=1a663238-fe37-4cdc-9450-8d87cb7b9151"]},{"id":"ITEM-4","itemData":{"author":[{"dropping-particle":"","family":"Posthuma","given":"Barbara W","non-dropping-particle":"","parse-names":false,"suffix":""},{"dropping-particle":"","family":"Sommerfreund","given":"Joy","non-dropping-particle":"","parse-names":false,"suffix":""}],"container-title":"The American Journal of Occupational Therapy","id":"ITEM-4","issue":"7","issued":{"date-parts":[["1985"]]},"page":"441-445","title":"Examination of selection criteria for a program in occupational therapy","type":"article-journal","volume":"39"},"uris":["http://www.mendeley.com/documents/?uuid=796f45b8-896c-4a5c-8f95-2c927f08e047"]}],"mendeley":{"formattedCitation":"(Newsome, Day, &amp; Catano, 2000; B. W. Posthuma &amp; Sommerfreund, 1985; Salvatori, 2001; Timer &amp; Clauson, 2011)","manualFormatting":"(Newsome, Day, &amp; Catano, 2000; Posthuma &amp; Sommerfreund, 1985; Salvatori, 2001; Timer &amp; Clauson, 2011)","plainTextFormattedCitation":"(Newsome, Day, &amp; Catano, 2000; B. W. Posthuma &amp; Sommerfreund, 1985; Salvatori, 2001; Timer &amp; Clauson, 2011)","previouslyFormattedCitation":"(Newsome, Day, &amp; Catano, 2000; B. W. Posthuma &amp; Sommerfreund, 1985; Salvatori, 2001; Timer &amp; Clauson, 2011)"},"properties":{"noteIndex":0},"schema":"https://github.com/citation-style-language/schema/raw/master/csl-citation.json"}</w:instrText>
      </w:r>
      <w:r w:rsidRPr="00316AE7">
        <w:rPr>
          <w:rFonts w:ascii="Arial" w:hAnsi="Arial" w:cs="Arial"/>
          <w:color w:val="000000" w:themeColor="text1"/>
          <w:sz w:val="24"/>
          <w:szCs w:val="24"/>
        </w:rPr>
        <w:fldChar w:fldCharType="separate"/>
      </w:r>
      <w:r w:rsidRPr="00316AE7">
        <w:rPr>
          <w:rFonts w:ascii="Arial" w:hAnsi="Arial" w:cs="Arial"/>
          <w:noProof/>
          <w:color w:val="000000" w:themeColor="text1"/>
          <w:sz w:val="24"/>
          <w:szCs w:val="24"/>
        </w:rPr>
        <w:t>(Newsome, Day, &amp; Catano, 2000; Posthuma &amp; Sommerfreund, 1985; Salvatori, 2001; Timer &amp; Clauson, 2011)</w:t>
      </w:r>
      <w:r w:rsidRPr="00316AE7">
        <w:rPr>
          <w:rFonts w:ascii="Arial" w:hAnsi="Arial" w:cs="Arial"/>
          <w:color w:val="000000" w:themeColor="text1"/>
          <w:sz w:val="24"/>
          <w:szCs w:val="24"/>
        </w:rPr>
        <w:fldChar w:fldCharType="end"/>
      </w:r>
      <w:r w:rsidRPr="00316AE7">
        <w:rPr>
          <w:rFonts w:ascii="Arial" w:hAnsi="Arial" w:cs="Arial"/>
          <w:color w:val="000000" w:themeColor="text1"/>
          <w:sz w:val="24"/>
          <w:szCs w:val="24"/>
        </w:rPr>
        <w:t>.</w:t>
      </w:r>
      <w:r>
        <w:rPr>
          <w:rFonts w:ascii="Arial" w:hAnsi="Arial" w:cs="Arial"/>
          <w:sz w:val="24"/>
          <w:szCs w:val="24"/>
        </w:rPr>
        <w:t xml:space="preserve"> Despite a lack of evidence to support traditional interviews, they have historically been used as a tool to determine entry into OT education </w:t>
      </w:r>
      <w:r>
        <w:rPr>
          <w:rFonts w:ascii="Arial" w:hAnsi="Arial" w:cs="Arial"/>
          <w:sz w:val="24"/>
          <w:szCs w:val="24"/>
        </w:rPr>
        <w:fldChar w:fldCharType="begin" w:fldLock="1"/>
      </w:r>
      <w:r>
        <w:rPr>
          <w:rFonts w:ascii="Arial" w:hAnsi="Arial" w:cs="Arial"/>
          <w:sz w:val="24"/>
          <w:szCs w:val="24"/>
        </w:rPr>
        <w:instrText xml:space="preserve">ADDIN CSL_CITATION {"citationItems":[{"id":"ITEM-1","itemData":{"author":[{"dropping-particle":"","family":"Posthuma","given":"Barbara W","non-dropping-particle":"","parse-names":false,"suffix":""},{"dropping-particle":"","family":"Sommerfreund","given":"Joy","non-dropping-particle":"","parse-names":false,"suffix":""}],"container-title":"The American Journal of Occupational Therapy","id":"ITEM-1","issue":"7","issued":{"date-parts":[["1985"]]},"page":"441-445","title":"Examination of selection criteria for a program in occupational therapy","type":"article-journal","volume":"39"},"uris":["http://www.mendeley.com/documents/?uuid=796f45b8-896c-4a5c-8f95-2c927f08e047"]},{"id":"ITEM-2","itemData":{"DOI":"10.1177/000841749005700509","ISSN":"19119828","abstract":"This paper investigates the relationship of previous academic performance and selection interview results to the academic and fieldwork performance of students during four years of study in Occupational Therapy. Only students who met the basic academic requirements of the occupational therapy department were included. Half of the students who were admitted were selected on the basis of highest academic grades and half were selected on the basis of highest interview scores. At the end of the academic program evaluations indicated no significant difference beween the two groups in terms of academic performance. Over the four years those students who were selected by high interview scores showed more improvement in fieldwork performance than students admitted only on the basis of previous academic grades. Students who had some previous university experience exhibited significantly greater improvement in fieldwork performance than those admitted directly from high school. © 1990, Canadian Association of Occupational Therapists (CAOT). All rights reserved.","author":[{"dropping-particle":"","family":"Posthuma","given":"Barbara","non-dropping-particle":"","parse-names":false,"suffix":""},{"dropping-particle":"","family":"Noh","given":"Samuel","non-dropping-particle":"","parse-names":false,"suffix":""}],"container-title":"Canadian Journal of Occupational Therapy","id":"ITEM-2","issue":"5","issued":{"date-parts":[["1990"]]},"page":"285-291","title":"Interview Scores and Academic Grades as Selection Criteria for Admission to an Occupational Therapy Program","type":"article-journal","volume":"57"},"uris":["http://www.mendeley.com/documents/?uuid=975c3c41-f453-4f89-afb1-a4e1922609aa"]},{"id":"ITEM-3","itemData":{"DOI":"10.5014/ajot.52.7.592","ISSN":"02729490","author":[{"dropping-particle":"","family":"Agho","given":"Augustine O.","non-dropping-particle":"","parse-names":false,"suffix":""},{"dropping-particle":"","family":"Mosley","given":"Barbara W.","non-dropping-particle":"","parse-names":false,"suffix":""},{"dropping-particle":"","family":"Smith-Paul","given":"Bobbie","non-dropping-particle":"","parse-names":false,"suffix":""}],"container-title":"American Journal of Occupational Therapy","id":"ITEM-3","issue":"7","issued":{"date-parts":[["1998"]]},"page":"592-594","title":"Use of the Interview in Selecting Students for Occupational Therapy Programs","type":"article-journal","volume":"52"},"uris":["http://www.mendeley.com/documents/?uuid=1cbe8409-aba2-4cd2-bb43-b51a6819dc7b"]},{"id":"ITEM-4","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Education","id":"ITEM-4","issue":"3","issued":{"date-parts":[["2018"]]},"title":"Admission Requirements and Practices in Entry-Level Occupational Therapy Programs","type":"article-journal","volume":"2"},"uris":["http://www.mendeley.com/documents/?uuid=88d18a5f-0f1b-4ea3-a67a-db3fff7e568a"]},{"id":"ITEM-5","itemData":{"ISSN":"1945404X","PMID":"24598901","abstract":"Many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w:instrText>
      </w:r>
      <w:r w:rsidRPr="001339EB">
        <w:rPr>
          <w:rFonts w:ascii="Arial" w:hAnsi="Arial" w:cs="Arial"/>
          <w:sz w:val="24"/>
          <w:szCs w:val="24"/>
          <w:lang w:val="fr-FR"/>
        </w:rPr>
        <w:instrText>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Health","id":"ITEM-5","issue":"1","issued":{"date-parts":[["2014"]]},"page":"57-61","title":"Use of multiple mini-interviews for occupational therapy admissions","type":"article-journal","volume":"43"},"uris":["http://www.mendeley.com/documents/?uuid=e231a303-d122-4bcd-8924-377f45f73afa"]}],"mendeley":{"formattedCitation":"(Agho et al., 1998; Bowyer et al., 2018; Grice, 2014; B. Posthuma &amp; Noh, 1990; B. W. Posthuma &amp; Sommerfreund, 1985)","manualFormatting":"(Agho et al., 1998; Bowyer et al., 2018; Grice, 2014; Posthuma &amp; Noh, 1990; Posthuma &amp; Sommerfreund, 1985)","plainTextFormattedCitation":"(Agho et al., 1998; Bowyer et al., 2018; Grice, 2014; B. Posthuma &amp; Noh, 1990; B. W. Posthuma &amp; Sommerfreund, 1985)","previouslyFormattedCitation":"(Agho et al., 1998; Bowyer et al., 2018; Grice, 2014; B. Posthuma &amp; Noh, 1990; B. W. Posthuma &amp; Sommerfreund, 1985)"},"properties":{"noteIndex":0},"schema":"https://github.com/citation-style-language/schema/raw/master/csl-citation.json"}</w:instrText>
      </w:r>
      <w:r>
        <w:rPr>
          <w:rFonts w:ascii="Arial" w:hAnsi="Arial" w:cs="Arial"/>
          <w:sz w:val="24"/>
          <w:szCs w:val="24"/>
        </w:rPr>
        <w:fldChar w:fldCharType="separate"/>
      </w:r>
      <w:r w:rsidRPr="00304BAB">
        <w:rPr>
          <w:rFonts w:ascii="Arial" w:hAnsi="Arial" w:cs="Arial"/>
          <w:noProof/>
          <w:sz w:val="24"/>
          <w:szCs w:val="24"/>
          <w:lang w:val="fr-FR"/>
        </w:rPr>
        <w:t>(Agho et al., 1998; Bowyer et al., 2018; Grice, 2014; Posthuma &amp; Noh, 1990; Posthuma &amp; Sommerfreund, 1985)</w:t>
      </w:r>
      <w:r>
        <w:rPr>
          <w:rFonts w:ascii="Arial" w:hAnsi="Arial" w:cs="Arial"/>
          <w:sz w:val="24"/>
          <w:szCs w:val="24"/>
        </w:rPr>
        <w:fldChar w:fldCharType="end"/>
      </w:r>
      <w:r w:rsidRPr="00304BAB">
        <w:rPr>
          <w:rFonts w:ascii="Arial" w:hAnsi="Arial" w:cs="Arial"/>
          <w:sz w:val="24"/>
          <w:szCs w:val="24"/>
          <w:lang w:val="fr-FR"/>
        </w:rPr>
        <w:t xml:space="preserve">. </w:t>
      </w:r>
      <w:r>
        <w:rPr>
          <w:rFonts w:ascii="Arial" w:hAnsi="Arial" w:cs="Arial"/>
          <w:sz w:val="24"/>
          <w:szCs w:val="24"/>
        </w:rPr>
        <w:t>More recently, there has been</w:t>
      </w:r>
      <w:r w:rsidRPr="00304BAB">
        <w:rPr>
          <w:rFonts w:ascii="Arial" w:hAnsi="Arial" w:cs="Arial"/>
          <w:sz w:val="24"/>
          <w:szCs w:val="24"/>
        </w:rPr>
        <w:t xml:space="preserve"> an emergence of alternatives to the traditional interview such as the MMI and BI</w:t>
      </w:r>
      <w:r>
        <w:rPr>
          <w:rFonts w:ascii="Arial" w:hAnsi="Arial" w:cs="Arial"/>
          <w:sz w:val="24"/>
          <w:szCs w:val="24"/>
        </w:rPr>
        <w:t>, both of</w:t>
      </w:r>
      <w:r w:rsidR="00164ADB">
        <w:rPr>
          <w:rFonts w:ascii="Arial" w:hAnsi="Arial" w:cs="Arial"/>
          <w:sz w:val="24"/>
          <w:szCs w:val="24"/>
        </w:rPr>
        <w:t xml:space="preserve"> which have produced</w:t>
      </w:r>
      <w:r>
        <w:rPr>
          <w:rFonts w:ascii="Arial" w:hAnsi="Arial" w:cs="Arial"/>
          <w:sz w:val="24"/>
          <w:szCs w:val="24"/>
        </w:rPr>
        <w:t xml:space="preserve"> links between admission and graduation outcomes </w:t>
      </w:r>
      <w:r>
        <w:rPr>
          <w:rFonts w:ascii="Arial" w:hAnsi="Arial" w:cs="Arial"/>
          <w:sz w:val="24"/>
          <w:szCs w:val="24"/>
        </w:rPr>
        <w:fldChar w:fldCharType="begin" w:fldLock="1"/>
      </w:r>
      <w:r>
        <w:rPr>
          <w:rFonts w:ascii="Arial" w:hAnsi="Arial" w:cs="Arial"/>
          <w:sz w:val="24"/>
          <w:szCs w:val="24"/>
        </w:rPr>
        <w:instrText>ADDIN CSL_CITATION {"citationItems":[{"id":"ITEM-1","itemData":{"ISSN":"1945404X","PMID":"24598901","abstract":"Many occupational therapy education programs use face-to-face interviewing as part of the admissions process. As programs and the applicant pool size have grown, interviewing in the traditional way has become labor intensive. Recent surveys show that in the U.S., about 99% of medical programs use the interview for admissions, as do 81% of physical therapy and 63% of occupational therapy programs. Most health science professions, including occupational therapy, value noncognitive traits such as integrity, empathy, ethical judgment, and professionalism. It has been found that traditional interviews do not really assess these noncognitive skills and traits that are desired. Instead, they are actually biased and may be influenced more by feelings of \"like and dislike\" than the candidate's actual abilities. It has been shown that the use of objective structured clinical examination-style stations provide greater reliability and validity than the traditional interview and are able to assess different noncognitive attributes. One such process involves the use of multiple miniinterviews (MMI), and evidence supporting its use for admission to medical school was first established in studies at McMaster University. Other disciplines have taken an interest in this process, including nursing and physician assistant programs, and have found the same results. This article discusses the evidence found in these studies and our experience in using the MMI process for admissions to an entry-level occupational therapy program. © 2014 Association of Schools of Allied Health Professions, Wash., DC.","author":[{"dropping-particle":"","family":"Grice","given":"Kimatha Oxford","non-dropping-particle":"","parse-names":false,"suffix":""}],"container-title":"Journal of Allied Health","id":"ITEM-1","issue":"1","issued":{"date-parts":[["2014"]]},"page":"57-61","title":"Use of multiple mini-interviews for occupational therapy admissions","type":"article-journal","volume":"43"},"uris":["http://www.mendeley.com/documents/?uuid=e231a303-d122-4bcd-8924-377f45f73afa"]},{"id":"ITEM-2","itemData":{"DOI":"10.26681/jote.2017.010107","ISSN":"2573-1378","abstract":"We describe results of an experimental investigation into the orientation state of liquid crystalline solutions of poly(benzy1 glutamate) under shear flow and how the microscopic structure relates to the macroscopic mechanical rheological behavior. The technique of flow birefringence was used to study the degree of molecular orientation. A spectrographic flow birefringence apparatus is described that eliminates ambiguities associated with multiple orders of retardation in birefringence measurements. The birefringence observed in textured solutions under shear flow is always less than that measured in quiescent, defect-free monodomains of the solutions. At low shear rates, the birefringence is roughly constant and in the range of 5343% of that observed in a monodomain; there is no evidence of a low-orientation, \" piled polydomain \" structure. At high shear rates, the birefringence is again roughly constant and around 90% of the monodomain value. The transition between low-and high-orientation states as a function of shear rate is closely correlated with changes in sign of the first normal stress difference of these Solutions, leading us to identify it as a manifestation of a transition between regimes of director tumbling at low shear rates and flow alignment at high shear rates. These observations are compared qualitatively and quantatively with predictions of the nonlinear Doi molecular model for textureleas samples [Laraon, R. G. Macromolecules 1990,23,3983] and the linear Larson and Doi tumbling polydomain model for textured samples [Laraon, R. G.; Doi, M. J. Rheol. 1991,35,539]. An accompanying paper considers transient flow phenomena at low shear rates.","author":[{"dropping-particle":"","family":"Li","given":"Kitsum","non-dropping-particle":"","parse-names":false,"suffix":""},{"dropping-particle":"","family":"Wilbarger","given":"Julia","non-dropping-particle":"","parse-names":false,"suffix":""},{"dropping-particle":"","family":"Louis","given":"Shad","non-dropping-particle":"St.","parse-names":false,"suffix":""}],"container-title":"Journal of Occupational Therapy Education","id":"ITEM-2","issue":"1","issued":{"date-parts":[["2017"]]},"title":"An Innovative Behavioral Interview for Pre-admission Selection of Occupational Therapy Students","type":"article-journal","volume":"1"},"uris":["http://www.mendeley.com/documents/?uuid=5b95c02d-97fc-431e-9eaa-e94063d4eed5"]}],"mendeley":{"formattedCitation":"(Grice, 2014; Li et al., 2017)","plainTextFormattedCitation":"(Grice, 2014; Li et al., 2017)","previouslyFormattedCitation":"(Grice, 2014; Li et al., 2017)"},"properties":{"noteIndex":0},"schema":"https://github.com/citation-style-language/schema/raw/master/csl-citation.json"}</w:instrText>
      </w:r>
      <w:r>
        <w:rPr>
          <w:rFonts w:ascii="Arial" w:hAnsi="Arial" w:cs="Arial"/>
          <w:sz w:val="24"/>
          <w:szCs w:val="24"/>
        </w:rPr>
        <w:fldChar w:fldCharType="separate"/>
      </w:r>
      <w:r w:rsidRPr="006C0770">
        <w:rPr>
          <w:rFonts w:ascii="Arial" w:hAnsi="Arial" w:cs="Arial"/>
          <w:noProof/>
          <w:sz w:val="24"/>
          <w:szCs w:val="24"/>
        </w:rPr>
        <w:t>(Grice, 2014; Li et al., 2017)</w:t>
      </w:r>
      <w:r>
        <w:rPr>
          <w:rFonts w:ascii="Arial" w:hAnsi="Arial" w:cs="Arial"/>
          <w:sz w:val="24"/>
          <w:szCs w:val="24"/>
        </w:rPr>
        <w:fldChar w:fldCharType="end"/>
      </w:r>
      <w:r w:rsidRPr="006C0770">
        <w:rPr>
          <w:rFonts w:ascii="Arial" w:hAnsi="Arial" w:cs="Arial"/>
          <w:sz w:val="24"/>
          <w:szCs w:val="24"/>
        </w:rPr>
        <w:t xml:space="preserve">. </w:t>
      </w:r>
      <w:r>
        <w:rPr>
          <w:rFonts w:ascii="Arial" w:hAnsi="Arial" w:cs="Arial"/>
          <w:sz w:val="24"/>
          <w:szCs w:val="24"/>
        </w:rPr>
        <w:t>Having found no correlation between non-cognitive assessment scores</w:t>
      </w:r>
      <w:r w:rsidR="00164ADB">
        <w:rPr>
          <w:rFonts w:ascii="Arial" w:hAnsi="Arial" w:cs="Arial"/>
          <w:sz w:val="24"/>
          <w:szCs w:val="24"/>
        </w:rPr>
        <w:t>,</w:t>
      </w:r>
      <w:r>
        <w:rPr>
          <w:rFonts w:ascii="Arial" w:hAnsi="Arial" w:cs="Arial"/>
          <w:sz w:val="24"/>
          <w:szCs w:val="24"/>
        </w:rPr>
        <w:t xml:space="preserve"> </w:t>
      </w:r>
      <w:r w:rsidR="00164ADB">
        <w:rPr>
          <w:rFonts w:ascii="Arial" w:hAnsi="Arial" w:cs="Arial"/>
          <w:sz w:val="24"/>
          <w:szCs w:val="24"/>
        </w:rPr>
        <w:t>which measure professional skills</w:t>
      </w:r>
      <w:r>
        <w:rPr>
          <w:rFonts w:ascii="Arial" w:hAnsi="Arial" w:cs="Arial"/>
          <w:sz w:val="24"/>
          <w:szCs w:val="24"/>
        </w:rPr>
        <w:t xml:space="preserve"> </w:t>
      </w:r>
      <w:r w:rsidR="00164ADB">
        <w:rPr>
          <w:rFonts w:ascii="Arial" w:hAnsi="Arial" w:cs="Arial"/>
          <w:sz w:val="24"/>
          <w:szCs w:val="24"/>
        </w:rPr>
        <w:t xml:space="preserve">the </w:t>
      </w:r>
      <w:r>
        <w:rPr>
          <w:rFonts w:ascii="Arial" w:hAnsi="Arial" w:cs="Arial"/>
          <w:sz w:val="24"/>
          <w:szCs w:val="24"/>
        </w:rPr>
        <w:t>r</w:t>
      </w:r>
      <w:r w:rsidRPr="006C0770">
        <w:rPr>
          <w:rFonts w:ascii="Arial" w:hAnsi="Arial" w:cs="Arial"/>
          <w:sz w:val="24"/>
          <w:szCs w:val="24"/>
        </w:rPr>
        <w:t xml:space="preserve">esults of this study add weight to the call </w:t>
      </w:r>
      <w:r w:rsidR="00164ADB">
        <w:rPr>
          <w:rFonts w:ascii="Arial" w:hAnsi="Arial" w:cs="Arial"/>
          <w:sz w:val="24"/>
          <w:szCs w:val="24"/>
        </w:rPr>
        <w:t>for OT admissions tutors</w:t>
      </w:r>
      <w:r>
        <w:rPr>
          <w:rFonts w:ascii="Arial" w:hAnsi="Arial" w:cs="Arial"/>
          <w:sz w:val="24"/>
          <w:szCs w:val="24"/>
        </w:rPr>
        <w:t xml:space="preserve"> to consider MMIs and BIs as a potentially effective part of admissions criteria </w:t>
      </w:r>
      <w:r>
        <w:rPr>
          <w:rFonts w:ascii="Arial" w:hAnsi="Arial" w:cs="Arial"/>
          <w:sz w:val="24"/>
          <w:szCs w:val="24"/>
        </w:rPr>
        <w:fldChar w:fldCharType="begin" w:fldLock="1"/>
      </w:r>
      <w:r>
        <w:rPr>
          <w:rFonts w:ascii="Arial" w:hAnsi="Arial" w:cs="Arial"/>
          <w:sz w:val="24"/>
          <w:szCs w:val="24"/>
        </w:rPr>
        <w:instrText>ADDIN CSL_CITATION {"citationItems":[{"id":"ITEM-1","itemData":{"DOI":"10.26681/jote.2018.020301","ISSN":"2573-1378","author":[{"dropping-particle":"","family":"Bowyer","given":"Patricia","non-dropping-particle":"","parse-names":false,"suffix":""},{"dropping-particle":"","family":"Tiongco","given":"Cynthia","non-dropping-particle":"","parse-names":false,"suffix":""},{"dropping-particle":"","family":"Rubio","given":"L. Kaye","non-dropping-particle":"","parse-names":false,"suffix":""},{"dropping-particle":"","family":"Liu","given":"Judy","non-dropping-particle":"","parse-names":false,"suffix":""},{"dropping-particle":"","family":"Whisner","given":"Sandra M","non-dropping-particle":"","parse-names":false,"suffix":""}],"container-title":"Journal of Occupational Therapy Education","id":"ITEM-1","issue":"3","issued":{"date-parts":[["2018"]]},"title":"Admission Requirements and Practices in Entry-Level Occupational Therapy Programs","type":"article-journal","volume":"2"},"uris":["http://www.mendeley.com/documents/?uuid=88d18a5f-0f1b-4ea3-a67a-db3fff7e568a"]}],"mendeley":{"formattedCitation":"(Bowyer et al., 2018)","plainTextFormattedCitation":"(Bowyer et al., 2018)","previouslyFormattedCitation":"(Bowyer et al., 2018)"},"properties":{"noteIndex":0},"schema":"https://github.com/citation-style-language/schema/raw/master/csl-citation.json"}</w:instrText>
      </w:r>
      <w:r>
        <w:rPr>
          <w:rFonts w:ascii="Arial" w:hAnsi="Arial" w:cs="Arial"/>
          <w:sz w:val="24"/>
          <w:szCs w:val="24"/>
        </w:rPr>
        <w:fldChar w:fldCharType="separate"/>
      </w:r>
      <w:r w:rsidRPr="006C0770">
        <w:rPr>
          <w:rFonts w:ascii="Arial" w:hAnsi="Arial" w:cs="Arial"/>
          <w:noProof/>
          <w:sz w:val="24"/>
          <w:szCs w:val="24"/>
        </w:rPr>
        <w:t>(Bowyer et al., 2018)</w:t>
      </w:r>
      <w:r>
        <w:rPr>
          <w:rFonts w:ascii="Arial" w:hAnsi="Arial" w:cs="Arial"/>
          <w:sz w:val="24"/>
          <w:szCs w:val="24"/>
        </w:rPr>
        <w:fldChar w:fldCharType="end"/>
      </w:r>
      <w:r>
        <w:rPr>
          <w:rFonts w:ascii="Arial" w:hAnsi="Arial" w:cs="Arial"/>
          <w:sz w:val="24"/>
          <w:szCs w:val="24"/>
        </w:rPr>
        <w:t>.</w:t>
      </w:r>
    </w:p>
    <w:p w14:paraId="0CC7B109" w14:textId="77777777" w:rsidR="00D47524" w:rsidRDefault="00D47524" w:rsidP="00D173CF">
      <w:pPr>
        <w:spacing w:line="240" w:lineRule="auto"/>
        <w:rPr>
          <w:rFonts w:ascii="Arial" w:hAnsi="Arial" w:cs="Arial"/>
          <w:color w:val="000000" w:themeColor="text1"/>
          <w:sz w:val="24"/>
          <w:szCs w:val="24"/>
        </w:rPr>
      </w:pPr>
    </w:p>
    <w:p w14:paraId="3D239F54" w14:textId="29A06CBB" w:rsidR="00C72F36" w:rsidRPr="00C72F36" w:rsidRDefault="00C72F36" w:rsidP="00C72F36">
      <w:pPr>
        <w:spacing w:line="240" w:lineRule="auto"/>
        <w:rPr>
          <w:rFonts w:ascii="Arial" w:hAnsi="Arial" w:cs="Arial"/>
          <w:b/>
          <w:bCs/>
          <w:color w:val="000000" w:themeColor="text1"/>
          <w:sz w:val="24"/>
          <w:szCs w:val="24"/>
        </w:rPr>
      </w:pPr>
      <w:r w:rsidRPr="00C033E3">
        <w:rPr>
          <w:rFonts w:ascii="Arial" w:hAnsi="Arial" w:cs="Arial"/>
          <w:b/>
          <w:bCs/>
          <w:color w:val="000000" w:themeColor="text1"/>
          <w:sz w:val="24"/>
          <w:szCs w:val="24"/>
        </w:rPr>
        <w:t>CONCLUSION</w:t>
      </w:r>
    </w:p>
    <w:p w14:paraId="2071AE51" w14:textId="3E8C0DF3" w:rsidR="00506162" w:rsidRDefault="00C72F36" w:rsidP="00356FB2">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This paper </w:t>
      </w:r>
      <w:r w:rsidR="00164ADB">
        <w:rPr>
          <w:rFonts w:ascii="Arial" w:hAnsi="Arial" w:cs="Arial"/>
          <w:color w:val="000000" w:themeColor="text1"/>
          <w:sz w:val="24"/>
          <w:szCs w:val="24"/>
        </w:rPr>
        <w:t>has explored the</w:t>
      </w:r>
      <w:r>
        <w:rPr>
          <w:rFonts w:ascii="Arial" w:hAnsi="Arial" w:cs="Arial"/>
          <w:color w:val="000000" w:themeColor="text1"/>
          <w:sz w:val="24"/>
          <w:szCs w:val="24"/>
        </w:rPr>
        <w:t xml:space="preserve"> relationships between pre-entry academic (</w:t>
      </w:r>
      <w:r w:rsidR="00164ADB">
        <w:rPr>
          <w:rFonts w:ascii="Arial" w:hAnsi="Arial" w:cs="Arial"/>
          <w:color w:val="000000" w:themeColor="text1"/>
          <w:sz w:val="24"/>
          <w:szCs w:val="24"/>
        </w:rPr>
        <w:t>cognitive), professional (non-cognitive) skills,</w:t>
      </w:r>
      <w:r>
        <w:rPr>
          <w:rFonts w:ascii="Arial" w:hAnsi="Arial" w:cs="Arial"/>
          <w:color w:val="000000" w:themeColor="text1"/>
          <w:sz w:val="24"/>
          <w:szCs w:val="24"/>
        </w:rPr>
        <w:t xml:space="preserve"> and graduat</w:t>
      </w:r>
      <w:r w:rsidR="00F87397">
        <w:rPr>
          <w:rFonts w:ascii="Arial" w:hAnsi="Arial" w:cs="Arial"/>
          <w:color w:val="000000" w:themeColor="text1"/>
          <w:sz w:val="24"/>
          <w:szCs w:val="24"/>
        </w:rPr>
        <w:t xml:space="preserve">ion results in </w:t>
      </w:r>
      <w:r>
        <w:rPr>
          <w:rFonts w:ascii="Arial" w:hAnsi="Arial" w:cs="Arial"/>
          <w:color w:val="000000" w:themeColor="text1"/>
          <w:sz w:val="24"/>
          <w:szCs w:val="24"/>
        </w:rPr>
        <w:t>occupational therapy students. While no relationships were found amongst this small sample population, a</w:t>
      </w:r>
      <w:r w:rsidR="00D173CF" w:rsidRPr="00D173CF">
        <w:rPr>
          <w:rFonts w:ascii="Arial" w:hAnsi="Arial" w:cs="Arial"/>
          <w:color w:val="000000" w:themeColor="text1"/>
          <w:sz w:val="24"/>
          <w:szCs w:val="24"/>
        </w:rPr>
        <w:t xml:space="preserve">n unexpected finding of this study was the data related to the nine </w:t>
      </w:r>
      <w:r w:rsidR="00356FB2">
        <w:rPr>
          <w:rFonts w:ascii="Arial" w:hAnsi="Arial" w:cs="Arial"/>
          <w:color w:val="000000" w:themeColor="text1"/>
          <w:sz w:val="24"/>
          <w:szCs w:val="24"/>
        </w:rPr>
        <w:t>candidates who did not meet the</w:t>
      </w:r>
      <w:r w:rsidR="00D173CF" w:rsidRPr="00D173CF">
        <w:rPr>
          <w:rFonts w:ascii="Arial" w:hAnsi="Arial" w:cs="Arial"/>
          <w:color w:val="000000" w:themeColor="text1"/>
          <w:sz w:val="24"/>
          <w:szCs w:val="24"/>
        </w:rPr>
        <w:t xml:space="preserve"> minimum cognitive and/ or non-cognitive admissions criteria for the program but </w:t>
      </w:r>
      <w:r>
        <w:rPr>
          <w:rFonts w:ascii="Arial" w:hAnsi="Arial" w:cs="Arial"/>
          <w:color w:val="000000" w:themeColor="text1"/>
          <w:sz w:val="24"/>
          <w:szCs w:val="24"/>
        </w:rPr>
        <w:t xml:space="preserve">whom </w:t>
      </w:r>
      <w:r w:rsidR="00D173CF" w:rsidRPr="00D173CF">
        <w:rPr>
          <w:rFonts w:ascii="Arial" w:hAnsi="Arial" w:cs="Arial"/>
          <w:color w:val="000000" w:themeColor="text1"/>
          <w:sz w:val="24"/>
          <w:szCs w:val="24"/>
        </w:rPr>
        <w:t xml:space="preserve">were admitted. All nine candidates went on to graduate with a range of degree classifications. Had these candidates </w:t>
      </w:r>
      <w:r w:rsidR="00164ADB">
        <w:rPr>
          <w:rFonts w:ascii="Arial" w:hAnsi="Arial" w:cs="Arial"/>
          <w:color w:val="000000" w:themeColor="text1"/>
          <w:sz w:val="24"/>
          <w:szCs w:val="24"/>
        </w:rPr>
        <w:t>not been admitted</w:t>
      </w:r>
      <w:r w:rsidR="00D173CF" w:rsidRPr="00D173CF">
        <w:rPr>
          <w:rFonts w:ascii="Arial" w:hAnsi="Arial" w:cs="Arial"/>
          <w:color w:val="000000" w:themeColor="text1"/>
          <w:sz w:val="24"/>
          <w:szCs w:val="24"/>
        </w:rPr>
        <w:t xml:space="preserve"> at selection, this would have resulted in</w:t>
      </w:r>
      <w:r w:rsidR="00571680">
        <w:rPr>
          <w:rFonts w:ascii="Arial" w:hAnsi="Arial" w:cs="Arial"/>
          <w:color w:val="000000" w:themeColor="text1"/>
          <w:sz w:val="24"/>
          <w:szCs w:val="24"/>
        </w:rPr>
        <w:t xml:space="preserve"> the potential</w:t>
      </w:r>
      <w:r w:rsidR="00D173CF" w:rsidRPr="00D173CF">
        <w:rPr>
          <w:rFonts w:ascii="Arial" w:hAnsi="Arial" w:cs="Arial"/>
          <w:color w:val="000000" w:themeColor="text1"/>
          <w:sz w:val="24"/>
          <w:szCs w:val="24"/>
        </w:rPr>
        <w:t xml:space="preserve"> loss of nine </w:t>
      </w:r>
      <w:r w:rsidR="00571680">
        <w:rPr>
          <w:rFonts w:ascii="Arial" w:hAnsi="Arial" w:cs="Arial"/>
          <w:color w:val="000000" w:themeColor="text1"/>
          <w:sz w:val="24"/>
          <w:szCs w:val="24"/>
        </w:rPr>
        <w:t>graduates to the university and</w:t>
      </w:r>
      <w:r w:rsidR="00506162">
        <w:rPr>
          <w:rFonts w:ascii="Arial" w:hAnsi="Arial" w:cs="Arial"/>
          <w:color w:val="000000" w:themeColor="text1"/>
          <w:sz w:val="24"/>
          <w:szCs w:val="24"/>
        </w:rPr>
        <w:t xml:space="preserve"> </w:t>
      </w:r>
      <w:r w:rsidR="00D173CF" w:rsidRPr="00D173CF">
        <w:rPr>
          <w:rFonts w:ascii="Arial" w:hAnsi="Arial" w:cs="Arial"/>
          <w:color w:val="000000" w:themeColor="text1"/>
          <w:sz w:val="24"/>
          <w:szCs w:val="24"/>
        </w:rPr>
        <w:t>the OT profession in general. Equally, not all students who entered the program having exceeded academic and non-academic expectation progressed with the same impressive results at the</w:t>
      </w:r>
      <w:r>
        <w:rPr>
          <w:rFonts w:ascii="Arial" w:hAnsi="Arial" w:cs="Arial"/>
          <w:color w:val="000000" w:themeColor="text1"/>
          <w:sz w:val="24"/>
          <w:szCs w:val="24"/>
        </w:rPr>
        <w:t xml:space="preserve"> point of graduation. </w:t>
      </w:r>
    </w:p>
    <w:p w14:paraId="5E852B00" w14:textId="77777777" w:rsidR="00506162" w:rsidRDefault="00506162" w:rsidP="00506162">
      <w:pPr>
        <w:spacing w:line="240" w:lineRule="auto"/>
        <w:rPr>
          <w:rFonts w:ascii="Arial" w:hAnsi="Arial" w:cs="Arial"/>
          <w:color w:val="000000" w:themeColor="text1"/>
          <w:sz w:val="24"/>
          <w:szCs w:val="24"/>
        </w:rPr>
      </w:pPr>
    </w:p>
    <w:p w14:paraId="542A1987" w14:textId="3BC3AEC9" w:rsidR="00A161E8" w:rsidRPr="00571680" w:rsidRDefault="00C72F36" w:rsidP="00571680">
      <w:pPr>
        <w:spacing w:line="240" w:lineRule="auto"/>
        <w:rPr>
          <w:rFonts w:ascii="Arial" w:hAnsi="Arial" w:cs="Arial"/>
          <w:bCs/>
          <w:color w:val="000000" w:themeColor="text1"/>
          <w:sz w:val="24"/>
          <w:szCs w:val="24"/>
        </w:rPr>
      </w:pPr>
      <w:r>
        <w:rPr>
          <w:rFonts w:ascii="Arial" w:hAnsi="Arial" w:cs="Arial"/>
          <w:color w:val="000000" w:themeColor="text1"/>
          <w:sz w:val="24"/>
          <w:szCs w:val="24"/>
        </w:rPr>
        <w:t>This study</w:t>
      </w:r>
      <w:r w:rsidR="00642915">
        <w:rPr>
          <w:rFonts w:ascii="Arial" w:hAnsi="Arial" w:cs="Arial"/>
          <w:color w:val="000000" w:themeColor="text1"/>
          <w:sz w:val="24"/>
          <w:szCs w:val="24"/>
        </w:rPr>
        <w:t xml:space="preserve"> has </w:t>
      </w:r>
      <w:r w:rsidR="00356FB2">
        <w:rPr>
          <w:rFonts w:ascii="Arial" w:hAnsi="Arial" w:cs="Arial"/>
          <w:color w:val="000000" w:themeColor="text1"/>
          <w:sz w:val="24"/>
          <w:szCs w:val="24"/>
        </w:rPr>
        <w:t xml:space="preserve">demonstrated how </w:t>
      </w:r>
      <w:r w:rsidR="00D173CF" w:rsidRPr="00D173CF">
        <w:rPr>
          <w:rFonts w:ascii="Arial" w:hAnsi="Arial" w:cs="Arial"/>
          <w:color w:val="000000" w:themeColor="text1"/>
          <w:sz w:val="24"/>
          <w:szCs w:val="24"/>
        </w:rPr>
        <w:t>pre-entry data is not necessarily a predictor of final de</w:t>
      </w:r>
      <w:r w:rsidR="00356FB2">
        <w:rPr>
          <w:rFonts w:ascii="Arial" w:hAnsi="Arial" w:cs="Arial"/>
          <w:color w:val="000000" w:themeColor="text1"/>
          <w:sz w:val="24"/>
          <w:szCs w:val="24"/>
        </w:rPr>
        <w:t xml:space="preserve">gree attainment, </w:t>
      </w:r>
      <w:r w:rsidR="00571680">
        <w:rPr>
          <w:rFonts w:ascii="Arial" w:hAnsi="Arial" w:cs="Arial"/>
          <w:color w:val="000000" w:themeColor="text1"/>
          <w:sz w:val="24"/>
          <w:szCs w:val="24"/>
        </w:rPr>
        <w:t xml:space="preserve">thus </w:t>
      </w:r>
      <w:r w:rsidR="00356FB2">
        <w:rPr>
          <w:rFonts w:ascii="Arial" w:hAnsi="Arial" w:cs="Arial"/>
          <w:color w:val="000000" w:themeColor="text1"/>
          <w:sz w:val="24"/>
          <w:szCs w:val="24"/>
        </w:rPr>
        <w:t>indicating the need for further research</w:t>
      </w:r>
      <w:r w:rsidR="00642915">
        <w:rPr>
          <w:rFonts w:ascii="Arial" w:hAnsi="Arial" w:cs="Arial"/>
          <w:color w:val="000000" w:themeColor="text1"/>
          <w:sz w:val="24"/>
          <w:szCs w:val="24"/>
        </w:rPr>
        <w:t xml:space="preserve">. </w:t>
      </w:r>
      <w:r w:rsidR="00D173CF" w:rsidRPr="00D173CF">
        <w:rPr>
          <w:rFonts w:ascii="Arial" w:hAnsi="Arial" w:cs="Arial"/>
          <w:color w:val="000000" w:themeColor="text1"/>
          <w:sz w:val="24"/>
          <w:szCs w:val="24"/>
        </w:rPr>
        <w:t>This includes consideratio</w:t>
      </w:r>
      <w:r w:rsidR="00356FB2">
        <w:rPr>
          <w:rFonts w:ascii="Arial" w:hAnsi="Arial" w:cs="Arial"/>
          <w:color w:val="000000" w:themeColor="text1"/>
          <w:sz w:val="24"/>
          <w:szCs w:val="24"/>
        </w:rPr>
        <w:t xml:space="preserve">n of what other variables (i.e. </w:t>
      </w:r>
      <w:r w:rsidR="00D173CF" w:rsidRPr="00D173CF">
        <w:rPr>
          <w:rFonts w:ascii="Arial" w:hAnsi="Arial" w:cs="Arial"/>
          <w:color w:val="000000" w:themeColor="text1"/>
          <w:sz w:val="24"/>
          <w:szCs w:val="24"/>
        </w:rPr>
        <w:t xml:space="preserve">psychological </w:t>
      </w:r>
      <w:r w:rsidR="00356FB2">
        <w:rPr>
          <w:rFonts w:ascii="Arial" w:hAnsi="Arial" w:cs="Arial"/>
          <w:color w:val="000000" w:themeColor="text1"/>
          <w:sz w:val="24"/>
          <w:szCs w:val="24"/>
        </w:rPr>
        <w:t>well-being; motivation</w:t>
      </w:r>
      <w:r w:rsidR="00A5211F">
        <w:rPr>
          <w:rFonts w:ascii="Arial" w:hAnsi="Arial" w:cs="Arial"/>
          <w:color w:val="000000" w:themeColor="text1"/>
          <w:sz w:val="24"/>
          <w:szCs w:val="24"/>
        </w:rPr>
        <w:t>; teaching and learning o</w:t>
      </w:r>
      <w:r w:rsidR="00356FB2">
        <w:rPr>
          <w:rFonts w:ascii="Arial" w:hAnsi="Arial" w:cs="Arial"/>
          <w:color w:val="000000" w:themeColor="text1"/>
          <w:sz w:val="24"/>
          <w:szCs w:val="24"/>
        </w:rPr>
        <w:t>pportunities</w:t>
      </w:r>
      <w:r w:rsidR="00D173CF" w:rsidRPr="00D173CF">
        <w:rPr>
          <w:rFonts w:ascii="Arial" w:hAnsi="Arial" w:cs="Arial"/>
          <w:color w:val="000000" w:themeColor="text1"/>
          <w:sz w:val="24"/>
          <w:szCs w:val="24"/>
        </w:rPr>
        <w:t xml:space="preserve">) </w:t>
      </w:r>
      <w:r w:rsidR="00642915">
        <w:rPr>
          <w:rFonts w:ascii="Arial" w:hAnsi="Arial" w:cs="Arial"/>
          <w:color w:val="000000" w:themeColor="text1"/>
          <w:sz w:val="24"/>
          <w:szCs w:val="24"/>
        </w:rPr>
        <w:t xml:space="preserve">may have an </w:t>
      </w:r>
      <w:r w:rsidR="00D173CF" w:rsidRPr="00D173CF">
        <w:rPr>
          <w:rFonts w:ascii="Arial" w:hAnsi="Arial" w:cs="Arial"/>
          <w:color w:val="000000" w:themeColor="text1"/>
          <w:sz w:val="24"/>
          <w:szCs w:val="24"/>
        </w:rPr>
        <w:t xml:space="preserve">impact upon a student’s journey and degree classification </w:t>
      </w:r>
      <w:r w:rsidR="00D173CF" w:rsidRPr="00D173CF">
        <w:rPr>
          <w:rFonts w:ascii="Arial" w:hAnsi="Arial" w:cs="Arial"/>
          <w:color w:val="000000" w:themeColor="text1"/>
          <w:sz w:val="24"/>
          <w:szCs w:val="24"/>
        </w:rPr>
        <w:fldChar w:fldCharType="begin" w:fldLock="1"/>
      </w:r>
      <w:r w:rsidR="00D173CF" w:rsidRPr="00D173CF">
        <w:rPr>
          <w:rFonts w:ascii="Arial" w:hAnsi="Arial" w:cs="Arial"/>
          <w:color w:val="000000" w:themeColor="text1"/>
          <w:sz w:val="24"/>
          <w:szCs w:val="24"/>
        </w:rPr>
        <w:instrText>ADDIN CSL_CITATION {"citationItems":[{"id":"ITEM-1","itemData":{"DOI":"10.7899/jce-14-26","ISSN":"1042-5055","abstract":"OBJECTIVE: We explored if any predictors of success could be identified from end-of-year grades in a chiropractic master's program and whether these grades could predict final-year grade performance and year-on-year performance. METHODS: End-of-year average grades and module grades for a single cohort of students covering all academic results for years 1-4 of the 2013 graduating class were used for this analysis. Analysis consisted of within-year correlations of module grades with end-of-year average grades, linear regression models for continuous data, and logistic regression models for predicting final degree classifications. RESULTS: In year 1, 140 students were enrolled; 85.7% of students completed the program 4 years later. End-of-year average grades for years 1-3 were correlated (Pearson r values ranging from .75 to .87), but the end-of-year grades for years 1-3 were poorly correlated with clinic internship performance. In linear regression, several modules were predictive of end-of-year average grades for each year. For year 1, logistic regression showed that the modules Physiology and Pharmacology and Investigative Imaging were predictive of year 1 performance (odds ratio [OR] = 1.15 and 0.9, respectively). In year 3, the modules Anatomy and Histopathology 3 and Problem Solving were predictors of the difference between a pass/merit or distinction final degree classification (OR = 1.06 and 1.12, respectively). CONCLUSION: Early academic performance is weakly correlated with final-year clinic internship performance. The modules of Anatomy and Histopathology year 3 and Problem Solving year 3 emerged more consistently than other modules as being associated with final-year classifications.","author":[{"dropping-particle":"","family":"Dewhurst","given":"Philip","non-dropping-particle":"","parse-names":false,"suffix":""},{"dropping-particle":"","family":"Rix","given":"Jacqueline","non-dropping-particle":"","parse-names":false,"suffix":""},{"dropping-particle":"","family":"Newell","given":"David","non-dropping-particle":"","parse-names":false,"suffix":""}],"container-title":"Journal of Chiropractic Education","id":"ITEM-1","issue":"1","issued":{"date-parts":[["2015"]]},"page":"14-19","title":"Influence of year-on-year performance on final degree classification in a chiropractic master's degree program","type":"article-journal","volume":"30"},"uris":["http://www.mendeley.com/documents/?uuid=39f8308d-99cb-482a-b03d-c59a274b3de4"]}],"mendeley":{"formattedCitation":"(Dewhurst et al., 2015)","plainTextFormattedCitation":"(Dewhurst et al., 2015)","previouslyFormattedCitation":"(Dewhurst et al., 2015)"},"properties":{"noteIndex":0},"schema":"https://github.com/citation-style-language/schema/raw/master/csl-citation.json"}</w:instrText>
      </w:r>
      <w:r w:rsidR="00D173CF" w:rsidRPr="00D173CF">
        <w:rPr>
          <w:rFonts w:ascii="Arial" w:hAnsi="Arial" w:cs="Arial"/>
          <w:color w:val="000000" w:themeColor="text1"/>
          <w:sz w:val="24"/>
          <w:szCs w:val="24"/>
        </w:rPr>
        <w:fldChar w:fldCharType="separate"/>
      </w:r>
      <w:r w:rsidR="00D173CF" w:rsidRPr="00D173CF">
        <w:rPr>
          <w:rFonts w:ascii="Arial" w:hAnsi="Arial" w:cs="Arial"/>
          <w:noProof/>
          <w:color w:val="000000" w:themeColor="text1"/>
          <w:sz w:val="24"/>
          <w:szCs w:val="24"/>
        </w:rPr>
        <w:t>(Dewhurst et al., 2015)</w:t>
      </w:r>
      <w:r w:rsidR="00D173CF" w:rsidRPr="00D173CF">
        <w:rPr>
          <w:rFonts w:ascii="Arial" w:hAnsi="Arial" w:cs="Arial"/>
          <w:color w:val="000000" w:themeColor="text1"/>
          <w:sz w:val="24"/>
          <w:szCs w:val="24"/>
        </w:rPr>
        <w:fldChar w:fldCharType="end"/>
      </w:r>
      <w:r w:rsidR="00D173CF" w:rsidRPr="00D173CF">
        <w:rPr>
          <w:rFonts w:ascii="Arial" w:hAnsi="Arial" w:cs="Arial"/>
          <w:color w:val="000000" w:themeColor="text1"/>
          <w:sz w:val="24"/>
          <w:szCs w:val="24"/>
        </w:rPr>
        <w:t xml:space="preserve"> and how such</w:t>
      </w:r>
      <w:r w:rsidR="00356FB2">
        <w:rPr>
          <w:rFonts w:ascii="Arial" w:hAnsi="Arial" w:cs="Arial"/>
          <w:color w:val="000000" w:themeColor="text1"/>
          <w:sz w:val="24"/>
          <w:szCs w:val="24"/>
        </w:rPr>
        <w:t xml:space="preserve"> variables might be </w:t>
      </w:r>
      <w:r w:rsidR="00D173CF" w:rsidRPr="00D173CF">
        <w:rPr>
          <w:rFonts w:ascii="Arial" w:hAnsi="Arial" w:cs="Arial"/>
          <w:color w:val="000000" w:themeColor="text1"/>
          <w:sz w:val="24"/>
          <w:szCs w:val="24"/>
        </w:rPr>
        <w:t xml:space="preserve">measured at </w:t>
      </w:r>
      <w:r w:rsidR="00571680">
        <w:rPr>
          <w:rFonts w:ascii="Arial" w:hAnsi="Arial" w:cs="Arial"/>
          <w:color w:val="000000" w:themeColor="text1"/>
          <w:sz w:val="24"/>
          <w:szCs w:val="24"/>
        </w:rPr>
        <w:t>the point of OT education selection, duration and</w:t>
      </w:r>
      <w:r w:rsidR="00356FB2">
        <w:rPr>
          <w:rFonts w:ascii="Arial" w:hAnsi="Arial" w:cs="Arial"/>
          <w:color w:val="000000" w:themeColor="text1"/>
          <w:sz w:val="24"/>
          <w:szCs w:val="24"/>
        </w:rPr>
        <w:t xml:space="preserve"> </w:t>
      </w:r>
      <w:r w:rsidR="00D173CF" w:rsidRPr="00D173CF">
        <w:rPr>
          <w:rFonts w:ascii="Arial" w:hAnsi="Arial" w:cs="Arial"/>
          <w:color w:val="000000" w:themeColor="text1"/>
          <w:sz w:val="24"/>
          <w:szCs w:val="24"/>
        </w:rPr>
        <w:t xml:space="preserve">completion. </w:t>
      </w:r>
      <w:r w:rsidR="004E2730">
        <w:rPr>
          <w:rFonts w:ascii="Arial" w:hAnsi="Arial" w:cs="Arial"/>
          <w:sz w:val="24"/>
          <w:szCs w:val="24"/>
        </w:rPr>
        <w:t>T</w:t>
      </w:r>
      <w:r w:rsidR="00571680">
        <w:rPr>
          <w:rFonts w:ascii="Arial" w:hAnsi="Arial" w:cs="Arial"/>
          <w:sz w:val="24"/>
          <w:szCs w:val="24"/>
        </w:rPr>
        <w:t xml:space="preserve">here is also a </w:t>
      </w:r>
      <w:r w:rsidR="004E2730">
        <w:rPr>
          <w:rFonts w:ascii="Arial" w:hAnsi="Arial" w:cs="Arial"/>
          <w:sz w:val="24"/>
          <w:szCs w:val="24"/>
        </w:rPr>
        <w:t>requirement for research to e</w:t>
      </w:r>
      <w:r w:rsidR="00571680">
        <w:rPr>
          <w:rFonts w:ascii="Arial" w:hAnsi="Arial" w:cs="Arial"/>
          <w:sz w:val="24"/>
          <w:szCs w:val="24"/>
        </w:rPr>
        <w:t>xplore</w:t>
      </w:r>
      <w:r w:rsidR="004E2730">
        <w:rPr>
          <w:rFonts w:ascii="Arial" w:hAnsi="Arial" w:cs="Arial"/>
          <w:sz w:val="24"/>
          <w:szCs w:val="24"/>
        </w:rPr>
        <w:t xml:space="preserve"> the identified </w:t>
      </w:r>
      <w:r w:rsidR="004E2730" w:rsidRPr="00E712F8">
        <w:rPr>
          <w:rFonts w:ascii="Arial" w:hAnsi="Arial" w:cs="Arial"/>
          <w:sz w:val="24"/>
          <w:szCs w:val="24"/>
        </w:rPr>
        <w:t>areas of uncertainty</w:t>
      </w:r>
      <w:r w:rsidR="004E2730">
        <w:rPr>
          <w:rFonts w:ascii="Arial" w:hAnsi="Arial" w:cs="Arial"/>
          <w:sz w:val="24"/>
          <w:szCs w:val="24"/>
        </w:rPr>
        <w:t xml:space="preserve"> related to</w:t>
      </w:r>
      <w:r w:rsidR="00356FB2">
        <w:rPr>
          <w:rFonts w:ascii="Arial" w:hAnsi="Arial" w:cs="Arial"/>
          <w:sz w:val="24"/>
          <w:szCs w:val="24"/>
        </w:rPr>
        <w:t xml:space="preserve"> the </w:t>
      </w:r>
      <w:r w:rsidR="00A161E8">
        <w:rPr>
          <w:rFonts w:ascii="Arial" w:hAnsi="Arial" w:cs="Arial"/>
          <w:sz w:val="24"/>
          <w:szCs w:val="24"/>
        </w:rPr>
        <w:t xml:space="preserve">robust </w:t>
      </w:r>
      <w:r w:rsidR="00356FB2">
        <w:rPr>
          <w:rFonts w:ascii="Arial" w:hAnsi="Arial" w:cs="Arial"/>
          <w:sz w:val="24"/>
          <w:szCs w:val="24"/>
        </w:rPr>
        <w:t>assessment</w:t>
      </w:r>
      <w:r w:rsidR="004E2730">
        <w:rPr>
          <w:rFonts w:ascii="Arial" w:hAnsi="Arial" w:cs="Arial"/>
          <w:sz w:val="24"/>
          <w:szCs w:val="24"/>
        </w:rPr>
        <w:t xml:space="preserve"> and recording of academic and professional skills at selection </w:t>
      </w:r>
      <w:r w:rsidR="004E2730" w:rsidRPr="00E712F8">
        <w:rPr>
          <w:rFonts w:ascii="Arial" w:hAnsi="Arial" w:cs="Arial"/>
          <w:sz w:val="24"/>
          <w:szCs w:val="24"/>
        </w:rPr>
        <w:t xml:space="preserve">and </w:t>
      </w:r>
      <w:r w:rsidR="004E2730">
        <w:rPr>
          <w:rFonts w:ascii="Arial" w:hAnsi="Arial" w:cs="Arial"/>
          <w:sz w:val="24"/>
          <w:szCs w:val="24"/>
        </w:rPr>
        <w:t xml:space="preserve">to </w:t>
      </w:r>
      <w:r w:rsidR="004E2730" w:rsidRPr="00E712F8">
        <w:rPr>
          <w:rFonts w:ascii="Arial" w:hAnsi="Arial" w:cs="Arial"/>
          <w:sz w:val="24"/>
          <w:szCs w:val="24"/>
        </w:rPr>
        <w:t xml:space="preserve">develop a streamlined, evidence-based framework </w:t>
      </w:r>
      <w:r w:rsidR="004E2730">
        <w:rPr>
          <w:rFonts w:ascii="Arial" w:hAnsi="Arial" w:cs="Arial"/>
          <w:sz w:val="24"/>
          <w:szCs w:val="24"/>
        </w:rPr>
        <w:t xml:space="preserve">upon which to base </w:t>
      </w:r>
      <w:r w:rsidR="00571680">
        <w:rPr>
          <w:rFonts w:ascii="Arial" w:hAnsi="Arial" w:cs="Arial"/>
          <w:sz w:val="24"/>
          <w:szCs w:val="24"/>
        </w:rPr>
        <w:t xml:space="preserve">recruitment decisions. The aim being to </w:t>
      </w:r>
      <w:r w:rsidR="004E2730">
        <w:rPr>
          <w:rFonts w:ascii="Arial" w:hAnsi="Arial" w:cs="Arial"/>
          <w:sz w:val="24"/>
          <w:szCs w:val="24"/>
        </w:rPr>
        <w:t>increas</w:t>
      </w:r>
      <w:r w:rsidR="00571680">
        <w:rPr>
          <w:rFonts w:ascii="Arial" w:hAnsi="Arial" w:cs="Arial"/>
          <w:sz w:val="24"/>
          <w:szCs w:val="24"/>
        </w:rPr>
        <w:t xml:space="preserve">e </w:t>
      </w:r>
      <w:r w:rsidR="004E2730" w:rsidRPr="00E712F8">
        <w:rPr>
          <w:rFonts w:ascii="Arial" w:hAnsi="Arial" w:cs="Arial"/>
          <w:sz w:val="24"/>
          <w:szCs w:val="24"/>
        </w:rPr>
        <w:t>confidence i</w:t>
      </w:r>
      <w:r w:rsidR="00571680">
        <w:rPr>
          <w:rFonts w:ascii="Arial" w:hAnsi="Arial" w:cs="Arial"/>
          <w:sz w:val="24"/>
          <w:szCs w:val="24"/>
        </w:rPr>
        <w:t xml:space="preserve">n the selection and admission </w:t>
      </w:r>
      <w:r w:rsidR="004E2730" w:rsidRPr="00E712F8">
        <w:rPr>
          <w:rFonts w:ascii="Arial" w:hAnsi="Arial" w:cs="Arial"/>
          <w:sz w:val="24"/>
          <w:szCs w:val="24"/>
        </w:rPr>
        <w:t xml:space="preserve">process across the broad landscape of educational </w:t>
      </w:r>
      <w:r w:rsidR="00571680">
        <w:rPr>
          <w:rFonts w:ascii="Arial" w:hAnsi="Arial" w:cs="Arial"/>
          <w:sz w:val="24"/>
          <w:szCs w:val="24"/>
        </w:rPr>
        <w:t xml:space="preserve">OT </w:t>
      </w:r>
      <w:r w:rsidR="004E2730" w:rsidRPr="00E712F8">
        <w:rPr>
          <w:rFonts w:ascii="Arial" w:hAnsi="Arial" w:cs="Arial"/>
          <w:sz w:val="24"/>
          <w:szCs w:val="24"/>
        </w:rPr>
        <w:t>provision.</w:t>
      </w:r>
    </w:p>
    <w:p w14:paraId="2E0BC161" w14:textId="77777777" w:rsidR="00D173CF" w:rsidRDefault="00D173CF" w:rsidP="00D173CF">
      <w:pPr>
        <w:spacing w:line="240" w:lineRule="auto"/>
        <w:rPr>
          <w:rFonts w:ascii="Arial" w:hAnsi="Arial" w:cs="Arial"/>
          <w:b/>
          <w:bCs/>
          <w:sz w:val="24"/>
          <w:szCs w:val="24"/>
        </w:rPr>
      </w:pPr>
      <w:r>
        <w:rPr>
          <w:rFonts w:ascii="Arial" w:hAnsi="Arial" w:cs="Arial"/>
          <w:b/>
          <w:bCs/>
          <w:sz w:val="24"/>
          <w:szCs w:val="24"/>
        </w:rPr>
        <w:t>REFERENCES</w:t>
      </w:r>
    </w:p>
    <w:p w14:paraId="14066854" w14:textId="77777777" w:rsidR="00D173CF" w:rsidRDefault="00D173CF" w:rsidP="00D173CF">
      <w:pPr>
        <w:tabs>
          <w:tab w:val="left" w:pos="1560"/>
        </w:tabs>
        <w:spacing w:line="240" w:lineRule="auto"/>
        <w:rPr>
          <w:rFonts w:ascii="Arial" w:hAnsi="Arial" w:cs="Arial"/>
          <w:color w:val="FF0000"/>
          <w:sz w:val="24"/>
          <w:szCs w:val="24"/>
        </w:rPr>
      </w:pPr>
    </w:p>
    <w:p w14:paraId="75688B48" w14:textId="5A3C20E3" w:rsidR="00AD6724" w:rsidRPr="00AD6724" w:rsidRDefault="00D173CF" w:rsidP="00AD6724">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sz w:val="24"/>
          <w:szCs w:val="24"/>
        </w:rPr>
        <w:fldChar w:fldCharType="begin" w:fldLock="1"/>
      </w:r>
      <w:r>
        <w:rPr>
          <w:rFonts w:ascii="Arial" w:hAnsi="Arial" w:cs="Arial"/>
          <w:sz w:val="24"/>
          <w:szCs w:val="24"/>
        </w:rPr>
        <w:instrText xml:space="preserve">ADDIN Mendeley Bibliography CSL_BIBLIOGRAPHY </w:instrText>
      </w:r>
      <w:r>
        <w:rPr>
          <w:rFonts w:ascii="Arial" w:hAnsi="Arial" w:cs="Arial"/>
          <w:sz w:val="24"/>
          <w:szCs w:val="24"/>
        </w:rPr>
        <w:fldChar w:fldCharType="separate"/>
      </w:r>
      <w:r w:rsidR="00AD6724" w:rsidRPr="00AD6724">
        <w:rPr>
          <w:rFonts w:ascii="Arial" w:hAnsi="Arial" w:cs="Arial"/>
          <w:noProof/>
          <w:sz w:val="24"/>
          <w:szCs w:val="24"/>
        </w:rPr>
        <w:t xml:space="preserve">Agho, A. O., Mosley, B. W., &amp; Smith-Paul, B. (1998). Use of the Interview in Selecting Students for Occupational Therapy Programs. </w:t>
      </w:r>
      <w:r w:rsidR="00AD6724" w:rsidRPr="00AD6724">
        <w:rPr>
          <w:rFonts w:ascii="Arial" w:hAnsi="Arial" w:cs="Arial"/>
          <w:i/>
          <w:iCs/>
          <w:noProof/>
          <w:sz w:val="24"/>
          <w:szCs w:val="24"/>
        </w:rPr>
        <w:t>American Journal of Occupational Therapy</w:t>
      </w:r>
      <w:r w:rsidR="00AD6724" w:rsidRPr="00AD6724">
        <w:rPr>
          <w:rFonts w:ascii="Arial" w:hAnsi="Arial" w:cs="Arial"/>
          <w:noProof/>
          <w:sz w:val="24"/>
          <w:szCs w:val="24"/>
        </w:rPr>
        <w:t xml:space="preserve">, </w:t>
      </w:r>
      <w:r w:rsidR="00AD6724" w:rsidRPr="00AD6724">
        <w:rPr>
          <w:rFonts w:ascii="Arial" w:hAnsi="Arial" w:cs="Arial"/>
          <w:i/>
          <w:iCs/>
          <w:noProof/>
          <w:sz w:val="24"/>
          <w:szCs w:val="24"/>
        </w:rPr>
        <w:t>52</w:t>
      </w:r>
      <w:r w:rsidR="00AD6724" w:rsidRPr="00AD6724">
        <w:rPr>
          <w:rFonts w:ascii="Arial" w:hAnsi="Arial" w:cs="Arial"/>
          <w:noProof/>
          <w:sz w:val="24"/>
          <w:szCs w:val="24"/>
        </w:rPr>
        <w:t>(7), 592–594. https://doi.org/10.5014/ajot.52.7.592</w:t>
      </w:r>
    </w:p>
    <w:p w14:paraId="46B4514D"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Aguilar, A., &amp; Stupans, I. (2012). Exploring professionalism: The professional values of Australian occupational therapists. </w:t>
      </w:r>
      <w:r w:rsidRPr="00AD6724">
        <w:rPr>
          <w:rFonts w:ascii="Arial" w:hAnsi="Arial" w:cs="Arial"/>
          <w:i/>
          <w:iCs/>
          <w:noProof/>
          <w:sz w:val="24"/>
          <w:szCs w:val="24"/>
        </w:rPr>
        <w:t>Australian Occupational Therapy Journal</w:t>
      </w:r>
      <w:r w:rsidRPr="00AD6724">
        <w:rPr>
          <w:rFonts w:ascii="Arial" w:hAnsi="Arial" w:cs="Arial"/>
          <w:noProof/>
          <w:sz w:val="24"/>
          <w:szCs w:val="24"/>
        </w:rPr>
        <w:t xml:space="preserve">, </w:t>
      </w:r>
      <w:r w:rsidRPr="00AD6724">
        <w:rPr>
          <w:rFonts w:ascii="Arial" w:hAnsi="Arial" w:cs="Arial"/>
          <w:i/>
          <w:iCs/>
          <w:noProof/>
          <w:sz w:val="24"/>
          <w:szCs w:val="24"/>
        </w:rPr>
        <w:t>59</w:t>
      </w:r>
      <w:r w:rsidRPr="00AD6724">
        <w:rPr>
          <w:rFonts w:ascii="Arial" w:hAnsi="Arial" w:cs="Arial"/>
          <w:noProof/>
          <w:sz w:val="24"/>
          <w:szCs w:val="24"/>
        </w:rPr>
        <w:t>, 209–217. https://doi.org/10.1111/j.1440-1630.2012.00996.x</w:t>
      </w:r>
    </w:p>
    <w:p w14:paraId="0E9FD277"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Aguilar, A., Stupans, I., Scutter, S., &amp; King, S. (2013). Towards a definition of professionalism in Australian occupational therapy: Using the Delphi technique to obtain consensus on essential values and behaviours. </w:t>
      </w:r>
      <w:r w:rsidRPr="00AD6724">
        <w:rPr>
          <w:rFonts w:ascii="Arial" w:hAnsi="Arial" w:cs="Arial"/>
          <w:i/>
          <w:iCs/>
          <w:noProof/>
          <w:sz w:val="24"/>
          <w:szCs w:val="24"/>
        </w:rPr>
        <w:t>Australian Occupational Therapy Journal</w:t>
      </w:r>
      <w:r w:rsidRPr="00AD6724">
        <w:rPr>
          <w:rFonts w:ascii="Arial" w:hAnsi="Arial" w:cs="Arial"/>
          <w:noProof/>
          <w:sz w:val="24"/>
          <w:szCs w:val="24"/>
        </w:rPr>
        <w:t xml:space="preserve">, </w:t>
      </w:r>
      <w:r w:rsidRPr="00AD6724">
        <w:rPr>
          <w:rFonts w:ascii="Arial" w:hAnsi="Arial" w:cs="Arial"/>
          <w:i/>
          <w:iCs/>
          <w:noProof/>
          <w:sz w:val="24"/>
          <w:szCs w:val="24"/>
        </w:rPr>
        <w:t>60</w:t>
      </w:r>
      <w:r w:rsidRPr="00AD6724">
        <w:rPr>
          <w:rFonts w:ascii="Arial" w:hAnsi="Arial" w:cs="Arial"/>
          <w:noProof/>
          <w:sz w:val="24"/>
          <w:szCs w:val="24"/>
        </w:rPr>
        <w:t>(3), 206–216. https://doi.org/10.1111/1440-1630.12017</w:t>
      </w:r>
    </w:p>
    <w:p w14:paraId="23B629C8"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Birch, D. M., &amp; Rienties, B. (2014). Effectiveness of UK and international A-level assessment in predicting performance in engineering. </w:t>
      </w:r>
      <w:r w:rsidRPr="00AD6724">
        <w:rPr>
          <w:rFonts w:ascii="Arial" w:hAnsi="Arial" w:cs="Arial"/>
          <w:i/>
          <w:iCs/>
          <w:noProof/>
          <w:sz w:val="24"/>
          <w:szCs w:val="24"/>
        </w:rPr>
        <w:t>Innovations in Education and Teaching International</w:t>
      </w:r>
      <w:r w:rsidRPr="00AD6724">
        <w:rPr>
          <w:rFonts w:ascii="Arial" w:hAnsi="Arial" w:cs="Arial"/>
          <w:noProof/>
          <w:sz w:val="24"/>
          <w:szCs w:val="24"/>
        </w:rPr>
        <w:t xml:space="preserve">, </w:t>
      </w:r>
      <w:r w:rsidRPr="00AD6724">
        <w:rPr>
          <w:rFonts w:ascii="Arial" w:hAnsi="Arial" w:cs="Arial"/>
          <w:i/>
          <w:iCs/>
          <w:noProof/>
          <w:sz w:val="24"/>
          <w:szCs w:val="24"/>
        </w:rPr>
        <w:t>51</w:t>
      </w:r>
      <w:r w:rsidRPr="00AD6724">
        <w:rPr>
          <w:rFonts w:ascii="Arial" w:hAnsi="Arial" w:cs="Arial"/>
          <w:noProof/>
          <w:sz w:val="24"/>
          <w:szCs w:val="24"/>
        </w:rPr>
        <w:t>(6), 642–652. https://doi.org/10.1080/14703297.2013.796722</w:t>
      </w:r>
    </w:p>
    <w:p w14:paraId="1E6DB420"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Bossers, A, Kernaghan, J, Hodgins, L, Merla, L, O’Connor, C, Van Kessel, M. (1999). Defining and developing professionalism. </w:t>
      </w:r>
      <w:r w:rsidRPr="00AD6724">
        <w:rPr>
          <w:rFonts w:ascii="Arial" w:hAnsi="Arial" w:cs="Arial"/>
          <w:i/>
          <w:iCs/>
          <w:noProof/>
          <w:sz w:val="24"/>
          <w:szCs w:val="24"/>
        </w:rPr>
        <w:t>Canadian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9</w:t>
      </w:r>
      <w:r w:rsidRPr="00AD6724">
        <w:rPr>
          <w:rFonts w:ascii="Arial" w:hAnsi="Arial" w:cs="Arial"/>
          <w:noProof/>
          <w:sz w:val="24"/>
          <w:szCs w:val="24"/>
        </w:rPr>
        <w:t>(3), 116–121.</w:t>
      </w:r>
    </w:p>
    <w:p w14:paraId="71A3FAA0"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Bowyer, P., Tiongco, C., Rubio, L. K., Liu, J., &amp; Whisner, S. M. (2018). Admission Requirements and Practices in Entry-Level Occupational Therapy Programs. </w:t>
      </w:r>
      <w:r w:rsidRPr="00AD6724">
        <w:rPr>
          <w:rFonts w:ascii="Arial" w:hAnsi="Arial" w:cs="Arial"/>
          <w:i/>
          <w:iCs/>
          <w:noProof/>
          <w:sz w:val="24"/>
          <w:szCs w:val="24"/>
        </w:rPr>
        <w:t>Journal of Occupational Therapy Education</w:t>
      </w:r>
      <w:r w:rsidRPr="00AD6724">
        <w:rPr>
          <w:rFonts w:ascii="Arial" w:hAnsi="Arial" w:cs="Arial"/>
          <w:noProof/>
          <w:sz w:val="24"/>
          <w:szCs w:val="24"/>
        </w:rPr>
        <w:t xml:space="preserve">, </w:t>
      </w:r>
      <w:r w:rsidRPr="00AD6724">
        <w:rPr>
          <w:rFonts w:ascii="Arial" w:hAnsi="Arial" w:cs="Arial"/>
          <w:i/>
          <w:iCs/>
          <w:noProof/>
          <w:sz w:val="24"/>
          <w:szCs w:val="24"/>
        </w:rPr>
        <w:t>2</w:t>
      </w:r>
      <w:r w:rsidRPr="00AD6724">
        <w:rPr>
          <w:rFonts w:ascii="Arial" w:hAnsi="Arial" w:cs="Arial"/>
          <w:noProof/>
          <w:sz w:val="24"/>
          <w:szCs w:val="24"/>
        </w:rPr>
        <w:t>(3). https://doi.org/10.26681/jote.2018.020301</w:t>
      </w:r>
    </w:p>
    <w:p w14:paraId="3AD2C582"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Bryman, A. (2016). </w:t>
      </w:r>
      <w:r w:rsidRPr="00AD6724">
        <w:rPr>
          <w:rFonts w:ascii="Arial" w:hAnsi="Arial" w:cs="Arial"/>
          <w:i/>
          <w:iCs/>
          <w:noProof/>
          <w:sz w:val="24"/>
          <w:szCs w:val="24"/>
        </w:rPr>
        <w:t>Social Research Methods</w:t>
      </w:r>
      <w:r w:rsidRPr="00AD6724">
        <w:rPr>
          <w:rFonts w:ascii="Arial" w:hAnsi="Arial" w:cs="Arial"/>
          <w:noProof/>
          <w:sz w:val="24"/>
          <w:szCs w:val="24"/>
        </w:rPr>
        <w:t xml:space="preserve"> (Fifth Edit). Oxford: Oxford University Press.</w:t>
      </w:r>
    </w:p>
    <w:p w14:paraId="42EFEFF5"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Burles, M. C., &amp; Bally, J. M. G. (2018). Ethical, Practical, and Methodological Considerations for Unobtrusive Qualitative Research About Personal Narratives Shared on the Internet. </w:t>
      </w:r>
      <w:r w:rsidRPr="00AD6724">
        <w:rPr>
          <w:rFonts w:ascii="Arial" w:hAnsi="Arial" w:cs="Arial"/>
          <w:i/>
          <w:iCs/>
          <w:noProof/>
          <w:sz w:val="24"/>
          <w:szCs w:val="24"/>
        </w:rPr>
        <w:t>International Journal of Qualitative Methods</w:t>
      </w:r>
      <w:r w:rsidRPr="00AD6724">
        <w:rPr>
          <w:rFonts w:ascii="Arial" w:hAnsi="Arial" w:cs="Arial"/>
          <w:noProof/>
          <w:sz w:val="24"/>
          <w:szCs w:val="24"/>
        </w:rPr>
        <w:t xml:space="preserve">, </w:t>
      </w:r>
      <w:r w:rsidRPr="00AD6724">
        <w:rPr>
          <w:rFonts w:ascii="Arial" w:hAnsi="Arial" w:cs="Arial"/>
          <w:i/>
          <w:iCs/>
          <w:noProof/>
          <w:sz w:val="24"/>
          <w:szCs w:val="24"/>
        </w:rPr>
        <w:t>17</w:t>
      </w:r>
      <w:r w:rsidRPr="00AD6724">
        <w:rPr>
          <w:rFonts w:ascii="Arial" w:hAnsi="Arial" w:cs="Arial"/>
          <w:noProof/>
          <w:sz w:val="24"/>
          <w:szCs w:val="24"/>
        </w:rPr>
        <w:t>(1), 1–9. https://doi.org/10.1177/1609406918788203</w:t>
      </w:r>
    </w:p>
    <w:p w14:paraId="09D55AC8"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Chapman, K. (1996). Entry qualifications, degree results and value-added in UK universities. </w:t>
      </w:r>
      <w:r w:rsidRPr="00AD6724">
        <w:rPr>
          <w:rFonts w:ascii="Arial" w:hAnsi="Arial" w:cs="Arial"/>
          <w:i/>
          <w:iCs/>
          <w:noProof/>
          <w:sz w:val="24"/>
          <w:szCs w:val="24"/>
        </w:rPr>
        <w:t>Oxford Review of Education</w:t>
      </w:r>
      <w:r w:rsidRPr="00AD6724">
        <w:rPr>
          <w:rFonts w:ascii="Arial" w:hAnsi="Arial" w:cs="Arial"/>
          <w:noProof/>
          <w:sz w:val="24"/>
          <w:szCs w:val="24"/>
        </w:rPr>
        <w:t xml:space="preserve">, </w:t>
      </w:r>
      <w:r w:rsidRPr="00AD6724">
        <w:rPr>
          <w:rFonts w:ascii="Arial" w:hAnsi="Arial" w:cs="Arial"/>
          <w:i/>
          <w:iCs/>
          <w:noProof/>
          <w:sz w:val="24"/>
          <w:szCs w:val="24"/>
        </w:rPr>
        <w:t>22</w:t>
      </w:r>
      <w:r w:rsidRPr="00AD6724">
        <w:rPr>
          <w:rFonts w:ascii="Arial" w:hAnsi="Arial" w:cs="Arial"/>
          <w:noProof/>
          <w:sz w:val="24"/>
          <w:szCs w:val="24"/>
        </w:rPr>
        <w:t>(3), 251–264.</w:t>
      </w:r>
    </w:p>
    <w:p w14:paraId="590856CA"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College of Occupational Therapists. (2007). </w:t>
      </w:r>
      <w:r w:rsidRPr="00AD6724">
        <w:rPr>
          <w:rFonts w:ascii="Arial" w:hAnsi="Arial" w:cs="Arial"/>
          <w:i/>
          <w:iCs/>
          <w:noProof/>
          <w:sz w:val="24"/>
          <w:szCs w:val="24"/>
        </w:rPr>
        <w:t>Professional Standards for Occupational Therapy Practice</w:t>
      </w:r>
      <w:r w:rsidRPr="00AD6724">
        <w:rPr>
          <w:rFonts w:ascii="Arial" w:hAnsi="Arial" w:cs="Arial"/>
          <w:noProof/>
          <w:sz w:val="24"/>
          <w:szCs w:val="24"/>
        </w:rPr>
        <w:t xml:space="preserve">. </w:t>
      </w:r>
      <w:r w:rsidRPr="00AD6724">
        <w:rPr>
          <w:rFonts w:ascii="Arial" w:hAnsi="Arial" w:cs="Arial"/>
          <w:i/>
          <w:iCs/>
          <w:noProof/>
          <w:sz w:val="24"/>
          <w:szCs w:val="24"/>
        </w:rPr>
        <w:t>Higher Education</w:t>
      </w:r>
      <w:r w:rsidRPr="00AD6724">
        <w:rPr>
          <w:rFonts w:ascii="Arial" w:hAnsi="Arial" w:cs="Arial"/>
          <w:noProof/>
          <w:sz w:val="24"/>
          <w:szCs w:val="24"/>
        </w:rPr>
        <w:t>.</w:t>
      </w:r>
    </w:p>
    <w:p w14:paraId="2FF65CB3"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College of Occupational Therapists. (2014a). </w:t>
      </w:r>
      <w:r w:rsidRPr="00AD6724">
        <w:rPr>
          <w:rFonts w:ascii="Arial" w:hAnsi="Arial" w:cs="Arial"/>
          <w:i/>
          <w:iCs/>
          <w:noProof/>
          <w:sz w:val="24"/>
          <w:szCs w:val="24"/>
        </w:rPr>
        <w:t>College of Occupational Therapists ’ learning and development standards for pre-registration education</w:t>
      </w:r>
      <w:r w:rsidRPr="00AD6724">
        <w:rPr>
          <w:rFonts w:ascii="Arial" w:hAnsi="Arial" w:cs="Arial"/>
          <w:noProof/>
          <w:sz w:val="24"/>
          <w:szCs w:val="24"/>
        </w:rPr>
        <w:t>.</w:t>
      </w:r>
    </w:p>
    <w:p w14:paraId="194F0649"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College of Occupational Therapists. (2014b). Report of the Annual Monitoring of Accredited Pre-Registration Programmes Academic Year 2014 / 15.</w:t>
      </w:r>
    </w:p>
    <w:p w14:paraId="07B0EE66"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College of Occupational Therapists. (2015). </w:t>
      </w:r>
      <w:r w:rsidRPr="00AD6724">
        <w:rPr>
          <w:rFonts w:ascii="Arial" w:hAnsi="Arial" w:cs="Arial"/>
          <w:i/>
          <w:iCs/>
          <w:noProof/>
          <w:sz w:val="24"/>
          <w:szCs w:val="24"/>
        </w:rPr>
        <w:t>Code of Ethics and Professional Conduct</w:t>
      </w:r>
      <w:r w:rsidRPr="00AD6724">
        <w:rPr>
          <w:rFonts w:ascii="Arial" w:hAnsi="Arial" w:cs="Arial"/>
          <w:noProof/>
          <w:sz w:val="24"/>
          <w:szCs w:val="24"/>
        </w:rPr>
        <w:t xml:space="preserve">. </w:t>
      </w:r>
      <w:r w:rsidRPr="00AD6724">
        <w:rPr>
          <w:rFonts w:ascii="Arial" w:hAnsi="Arial" w:cs="Arial"/>
          <w:i/>
          <w:iCs/>
          <w:noProof/>
          <w:sz w:val="24"/>
          <w:szCs w:val="24"/>
        </w:rPr>
        <w:t>College of Occupational Therapists Document</w:t>
      </w:r>
      <w:r w:rsidRPr="00AD6724">
        <w:rPr>
          <w:rFonts w:ascii="Arial" w:hAnsi="Arial" w:cs="Arial"/>
          <w:noProof/>
          <w:sz w:val="24"/>
          <w:szCs w:val="24"/>
        </w:rPr>
        <w:t>. https://doi.org/https://doi.org/10.1016/j.ijproman.2015.06.008</w:t>
      </w:r>
    </w:p>
    <w:p w14:paraId="29B6644C"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College of Occupational Therapists. (2016). </w:t>
      </w:r>
      <w:r w:rsidRPr="00AD6724">
        <w:rPr>
          <w:rFonts w:ascii="Arial" w:hAnsi="Arial" w:cs="Arial"/>
          <w:i/>
          <w:iCs/>
          <w:noProof/>
          <w:sz w:val="24"/>
          <w:szCs w:val="24"/>
        </w:rPr>
        <w:t>Entry level occupational therapy core knowledge and practice skills</w:t>
      </w:r>
      <w:r w:rsidRPr="00AD6724">
        <w:rPr>
          <w:rFonts w:ascii="Arial" w:hAnsi="Arial" w:cs="Arial"/>
          <w:noProof/>
          <w:sz w:val="24"/>
          <w:szCs w:val="24"/>
        </w:rPr>
        <w:t>.</w:t>
      </w:r>
    </w:p>
    <w:p w14:paraId="553275A6"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Dewhurst, P., Rix, J., &amp; Newell, D. (2015). Influence of year-on-year performance on final degree classification in a chiropractic master’s degree program. </w:t>
      </w:r>
      <w:r w:rsidRPr="00AD6724">
        <w:rPr>
          <w:rFonts w:ascii="Arial" w:hAnsi="Arial" w:cs="Arial"/>
          <w:i/>
          <w:iCs/>
          <w:noProof/>
          <w:sz w:val="24"/>
          <w:szCs w:val="24"/>
        </w:rPr>
        <w:t>Journal of Chiropractic Education</w:t>
      </w:r>
      <w:r w:rsidRPr="00AD6724">
        <w:rPr>
          <w:rFonts w:ascii="Arial" w:hAnsi="Arial" w:cs="Arial"/>
          <w:noProof/>
          <w:sz w:val="24"/>
          <w:szCs w:val="24"/>
        </w:rPr>
        <w:t xml:space="preserve">, </w:t>
      </w:r>
      <w:r w:rsidRPr="00AD6724">
        <w:rPr>
          <w:rFonts w:ascii="Arial" w:hAnsi="Arial" w:cs="Arial"/>
          <w:i/>
          <w:iCs/>
          <w:noProof/>
          <w:sz w:val="24"/>
          <w:szCs w:val="24"/>
        </w:rPr>
        <w:t>30</w:t>
      </w:r>
      <w:r w:rsidRPr="00AD6724">
        <w:rPr>
          <w:rFonts w:ascii="Arial" w:hAnsi="Arial" w:cs="Arial"/>
          <w:noProof/>
          <w:sz w:val="24"/>
          <w:szCs w:val="24"/>
        </w:rPr>
        <w:t>(1), 14–19. https://doi.org/10.7899/jce-14-26</w:t>
      </w:r>
    </w:p>
    <w:p w14:paraId="0BD84A6F"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Edwards, H., Best, D., &amp; Rose, M. (2005). Understanding clinical knowledge and developing clinical expertise. In M. Rose &amp; D. Best (Eds.), </w:t>
      </w:r>
      <w:r w:rsidRPr="00AD6724">
        <w:rPr>
          <w:rFonts w:ascii="Arial" w:hAnsi="Arial" w:cs="Arial"/>
          <w:i/>
          <w:iCs/>
          <w:noProof/>
          <w:sz w:val="24"/>
          <w:szCs w:val="24"/>
        </w:rPr>
        <w:t>Transforming Practice Through Clinical Education, Professional Supervision and Mentoring.</w:t>
      </w:r>
      <w:r w:rsidRPr="00AD6724">
        <w:rPr>
          <w:rFonts w:ascii="Arial" w:hAnsi="Arial" w:cs="Arial"/>
          <w:noProof/>
          <w:sz w:val="24"/>
          <w:szCs w:val="24"/>
        </w:rPr>
        <w:t xml:space="preserve"> (pp. 89–100). Elsevier Churchill Livingstone.</w:t>
      </w:r>
    </w:p>
    <w:p w14:paraId="03AC31BC"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Eva, K. W., Rosenfeld, J., Reiter, H. I., &amp; Norman, G. R. (2004). An admissions OSCE: The multiple mini-interview. </w:t>
      </w:r>
      <w:r w:rsidRPr="00AD6724">
        <w:rPr>
          <w:rFonts w:ascii="Arial" w:hAnsi="Arial" w:cs="Arial"/>
          <w:i/>
          <w:iCs/>
          <w:noProof/>
          <w:sz w:val="24"/>
          <w:szCs w:val="24"/>
        </w:rPr>
        <w:t>Medical Education</w:t>
      </w:r>
      <w:r w:rsidRPr="00AD6724">
        <w:rPr>
          <w:rFonts w:ascii="Arial" w:hAnsi="Arial" w:cs="Arial"/>
          <w:noProof/>
          <w:sz w:val="24"/>
          <w:szCs w:val="24"/>
        </w:rPr>
        <w:t xml:space="preserve">, </w:t>
      </w:r>
      <w:r w:rsidRPr="00AD6724">
        <w:rPr>
          <w:rFonts w:ascii="Arial" w:hAnsi="Arial" w:cs="Arial"/>
          <w:i/>
          <w:iCs/>
          <w:noProof/>
          <w:sz w:val="24"/>
          <w:szCs w:val="24"/>
        </w:rPr>
        <w:t>38</w:t>
      </w:r>
      <w:r w:rsidRPr="00AD6724">
        <w:rPr>
          <w:rFonts w:ascii="Arial" w:hAnsi="Arial" w:cs="Arial"/>
          <w:noProof/>
          <w:sz w:val="24"/>
          <w:szCs w:val="24"/>
        </w:rPr>
        <w:t>(3), 314–326. https://doi.org/10.1046/j.1365-2923.2004.01776.x</w:t>
      </w:r>
    </w:p>
    <w:p w14:paraId="7FFCAF9E"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Field, A. (2018). </w:t>
      </w:r>
      <w:r w:rsidRPr="00AD6724">
        <w:rPr>
          <w:rFonts w:ascii="Arial" w:hAnsi="Arial" w:cs="Arial"/>
          <w:i/>
          <w:iCs/>
          <w:noProof/>
          <w:sz w:val="24"/>
          <w:szCs w:val="24"/>
        </w:rPr>
        <w:t>Discovering Statistics Using IBM SPSS Statistics</w:t>
      </w:r>
      <w:r w:rsidRPr="00AD6724">
        <w:rPr>
          <w:rFonts w:ascii="Arial" w:hAnsi="Arial" w:cs="Arial"/>
          <w:noProof/>
          <w:sz w:val="24"/>
          <w:szCs w:val="24"/>
        </w:rPr>
        <w:t>. London: Sage Publications Ltd.</w:t>
      </w:r>
    </w:p>
    <w:p w14:paraId="1BEA34B1"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Grice, K. O. (2014). Use of multiple mini-interviews for occupational therapy admissions. </w:t>
      </w:r>
      <w:r w:rsidRPr="00AD6724">
        <w:rPr>
          <w:rFonts w:ascii="Arial" w:hAnsi="Arial" w:cs="Arial"/>
          <w:i/>
          <w:iCs/>
          <w:noProof/>
          <w:sz w:val="24"/>
          <w:szCs w:val="24"/>
        </w:rPr>
        <w:t>Journal of Allied Health</w:t>
      </w:r>
      <w:r w:rsidRPr="00AD6724">
        <w:rPr>
          <w:rFonts w:ascii="Arial" w:hAnsi="Arial" w:cs="Arial"/>
          <w:noProof/>
          <w:sz w:val="24"/>
          <w:szCs w:val="24"/>
        </w:rPr>
        <w:t xml:space="preserve">, </w:t>
      </w:r>
      <w:r w:rsidRPr="00AD6724">
        <w:rPr>
          <w:rFonts w:ascii="Arial" w:hAnsi="Arial" w:cs="Arial"/>
          <w:i/>
          <w:iCs/>
          <w:noProof/>
          <w:sz w:val="24"/>
          <w:szCs w:val="24"/>
        </w:rPr>
        <w:t>43</w:t>
      </w:r>
      <w:r w:rsidRPr="00AD6724">
        <w:rPr>
          <w:rFonts w:ascii="Arial" w:hAnsi="Arial" w:cs="Arial"/>
          <w:noProof/>
          <w:sz w:val="24"/>
          <w:szCs w:val="24"/>
        </w:rPr>
        <w:t>(1), 57–61.</w:t>
      </w:r>
    </w:p>
    <w:p w14:paraId="02F41A2F"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Health and Care Professions Council. (2017). </w:t>
      </w:r>
      <w:r w:rsidRPr="00AD6724">
        <w:rPr>
          <w:rFonts w:ascii="Arial" w:hAnsi="Arial" w:cs="Arial"/>
          <w:i/>
          <w:iCs/>
          <w:noProof/>
          <w:sz w:val="24"/>
          <w:szCs w:val="24"/>
        </w:rPr>
        <w:t>Standards of education and training</w:t>
      </w:r>
      <w:r w:rsidRPr="00AD6724">
        <w:rPr>
          <w:rFonts w:ascii="Arial" w:hAnsi="Arial" w:cs="Arial"/>
          <w:noProof/>
          <w:sz w:val="24"/>
          <w:szCs w:val="24"/>
        </w:rPr>
        <w:t>. Retrieved from http://www.hpc-uk.org/assets/documents/1000295EStandardsofeducationandtraining-fromSeptember2009.pdf</w:t>
      </w:r>
    </w:p>
    <w:p w14:paraId="699D332C"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Health and Care Professions Council (HCPC). (2012). </w:t>
      </w:r>
      <w:r w:rsidRPr="00AD6724">
        <w:rPr>
          <w:rFonts w:ascii="Arial" w:hAnsi="Arial" w:cs="Arial"/>
          <w:i/>
          <w:iCs/>
          <w:noProof/>
          <w:sz w:val="24"/>
          <w:szCs w:val="24"/>
        </w:rPr>
        <w:t>Standards of education and training guidance</w:t>
      </w:r>
      <w:r w:rsidRPr="00AD6724">
        <w:rPr>
          <w:rFonts w:ascii="Arial" w:hAnsi="Arial" w:cs="Arial"/>
          <w:noProof/>
          <w:sz w:val="24"/>
          <w:szCs w:val="24"/>
        </w:rPr>
        <w:t>. London. Retrieved from http://www.hcpc-uk.org/assets/documents/1000295FStandardsofeducationandtrainingguidance-fromSeptember2009.pdf</w:t>
      </w:r>
    </w:p>
    <w:p w14:paraId="4EC0FE5F"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Hinton, P., McMurray, I., &amp; Brownlow, C. (2014). </w:t>
      </w:r>
      <w:r w:rsidRPr="00AD6724">
        <w:rPr>
          <w:rFonts w:ascii="Arial" w:hAnsi="Arial" w:cs="Arial"/>
          <w:i/>
          <w:iCs/>
          <w:noProof/>
          <w:sz w:val="24"/>
          <w:szCs w:val="24"/>
        </w:rPr>
        <w:t>SPSS Explained</w:t>
      </w:r>
      <w:r w:rsidRPr="00AD6724">
        <w:rPr>
          <w:rFonts w:ascii="Arial" w:hAnsi="Arial" w:cs="Arial"/>
          <w:noProof/>
          <w:sz w:val="24"/>
          <w:szCs w:val="24"/>
        </w:rPr>
        <w:t xml:space="preserve"> (2nd Editio). East Sussex: Routledge.</w:t>
      </w:r>
    </w:p>
    <w:p w14:paraId="5CEB55C1"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0265FA">
        <w:rPr>
          <w:rFonts w:ascii="Arial" w:hAnsi="Arial" w:cs="Arial"/>
          <w:noProof/>
          <w:sz w:val="24"/>
          <w:szCs w:val="24"/>
          <w:lang w:val="it-IT"/>
        </w:rPr>
        <w:t xml:space="preserve">Hordichuk, C. J., Robinson, A. J., &amp; Sullivan, T. M. (2015). </w:t>
      </w:r>
      <w:r w:rsidRPr="00AD6724">
        <w:rPr>
          <w:rFonts w:ascii="Arial" w:hAnsi="Arial" w:cs="Arial"/>
          <w:noProof/>
          <w:sz w:val="24"/>
          <w:szCs w:val="24"/>
        </w:rPr>
        <w:t xml:space="preserve">Conceptualising professionalism in occupational therapy through a Western lens. </w:t>
      </w:r>
      <w:r w:rsidRPr="00AD6724">
        <w:rPr>
          <w:rFonts w:ascii="Arial" w:hAnsi="Arial" w:cs="Arial"/>
          <w:i/>
          <w:iCs/>
          <w:noProof/>
          <w:sz w:val="24"/>
          <w:szCs w:val="24"/>
        </w:rPr>
        <w:t>Australian Occupational Therapy Journal</w:t>
      </w:r>
      <w:r w:rsidRPr="00AD6724">
        <w:rPr>
          <w:rFonts w:ascii="Arial" w:hAnsi="Arial" w:cs="Arial"/>
          <w:noProof/>
          <w:sz w:val="24"/>
          <w:szCs w:val="24"/>
        </w:rPr>
        <w:t xml:space="preserve">, </w:t>
      </w:r>
      <w:r w:rsidRPr="00AD6724">
        <w:rPr>
          <w:rFonts w:ascii="Arial" w:hAnsi="Arial" w:cs="Arial"/>
          <w:i/>
          <w:iCs/>
          <w:noProof/>
          <w:sz w:val="24"/>
          <w:szCs w:val="24"/>
        </w:rPr>
        <w:t>62</w:t>
      </w:r>
      <w:r w:rsidRPr="00AD6724">
        <w:rPr>
          <w:rFonts w:ascii="Arial" w:hAnsi="Arial" w:cs="Arial"/>
          <w:noProof/>
          <w:sz w:val="24"/>
          <w:szCs w:val="24"/>
        </w:rPr>
        <w:t>(3), 150–159. https://doi.org/10.1111/1440-1630.12204</w:t>
      </w:r>
    </w:p>
    <w:p w14:paraId="4B45C5BF"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Howard, L., &amp; Jerosch-Herold, C. (2000). Can entry qualifications be used to predict fieldwork and academic outcomes in occupational therapy and physiotherapy students? </w:t>
      </w:r>
      <w:r w:rsidRPr="00AD6724">
        <w:rPr>
          <w:rFonts w:ascii="Arial" w:hAnsi="Arial" w:cs="Arial"/>
          <w:i/>
          <w:iCs/>
          <w:noProof/>
          <w:sz w:val="24"/>
          <w:szCs w:val="24"/>
        </w:rPr>
        <w:t>British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63</w:t>
      </w:r>
      <w:r w:rsidRPr="00AD6724">
        <w:rPr>
          <w:rFonts w:ascii="Arial" w:hAnsi="Arial" w:cs="Arial"/>
          <w:noProof/>
          <w:sz w:val="24"/>
          <w:szCs w:val="24"/>
        </w:rPr>
        <w:t>(7), 329–334. https://doi.org/10.1177/030802260006300706</w:t>
      </w:r>
    </w:p>
    <w:p w14:paraId="4EC01B29" w14:textId="77777777" w:rsid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Howard, L. M., &amp; Watson, M. J. (1998). A Degree in Occupational Therapy: How do Traditional and Non-Traditional Entry Routes Compare? </w:t>
      </w:r>
      <w:r w:rsidRPr="00AD6724">
        <w:rPr>
          <w:rFonts w:ascii="Arial" w:hAnsi="Arial" w:cs="Arial"/>
          <w:i/>
          <w:iCs/>
          <w:noProof/>
          <w:sz w:val="24"/>
          <w:szCs w:val="24"/>
        </w:rPr>
        <w:t>British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61</w:t>
      </w:r>
      <w:r w:rsidRPr="00AD6724">
        <w:rPr>
          <w:rFonts w:ascii="Arial" w:hAnsi="Arial" w:cs="Arial"/>
          <w:noProof/>
          <w:sz w:val="24"/>
          <w:szCs w:val="24"/>
        </w:rPr>
        <w:t>(6), 244–248. https://doi.org/10.1177/030802269806100601</w:t>
      </w:r>
    </w:p>
    <w:p w14:paraId="6670F300" w14:textId="77777777" w:rsidR="00A5211F" w:rsidRPr="00AD6724" w:rsidRDefault="00A5211F" w:rsidP="00AD6724">
      <w:pPr>
        <w:widowControl w:val="0"/>
        <w:autoSpaceDE w:val="0"/>
        <w:autoSpaceDN w:val="0"/>
        <w:adjustRightInd w:val="0"/>
        <w:spacing w:line="240" w:lineRule="auto"/>
        <w:ind w:left="480" w:hanging="480"/>
        <w:rPr>
          <w:rFonts w:ascii="Arial" w:hAnsi="Arial" w:cs="Arial"/>
          <w:noProof/>
          <w:sz w:val="24"/>
          <w:szCs w:val="24"/>
        </w:rPr>
      </w:pPr>
    </w:p>
    <w:p w14:paraId="3ADEC784"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Huws, N., Reddy, P., &amp; Talcott, J. (2010). Predicting University Success in Psychology: Are Subject-Specific Skills Important? </w:t>
      </w:r>
      <w:r w:rsidRPr="00AD6724">
        <w:rPr>
          <w:rFonts w:ascii="Arial" w:hAnsi="Arial" w:cs="Arial"/>
          <w:i/>
          <w:iCs/>
          <w:noProof/>
          <w:sz w:val="24"/>
          <w:szCs w:val="24"/>
        </w:rPr>
        <w:t>Psychology Learning &amp; Teaching</w:t>
      </w:r>
      <w:r w:rsidRPr="00AD6724">
        <w:rPr>
          <w:rFonts w:ascii="Arial" w:hAnsi="Arial" w:cs="Arial"/>
          <w:noProof/>
          <w:sz w:val="24"/>
          <w:szCs w:val="24"/>
        </w:rPr>
        <w:t xml:space="preserve">, </w:t>
      </w:r>
      <w:r w:rsidRPr="00AD6724">
        <w:rPr>
          <w:rFonts w:ascii="Arial" w:hAnsi="Arial" w:cs="Arial"/>
          <w:i/>
          <w:iCs/>
          <w:noProof/>
          <w:sz w:val="24"/>
          <w:szCs w:val="24"/>
        </w:rPr>
        <w:t>5</w:t>
      </w:r>
      <w:r w:rsidRPr="00AD6724">
        <w:rPr>
          <w:rFonts w:ascii="Arial" w:hAnsi="Arial" w:cs="Arial"/>
          <w:noProof/>
          <w:sz w:val="24"/>
          <w:szCs w:val="24"/>
        </w:rPr>
        <w:t>(2), 133–140. https://doi.org/10.2304/plat.2005.5.2.133</w:t>
      </w:r>
    </w:p>
    <w:p w14:paraId="0F98E1B5"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IBM Corp. (2017). IBM SPSS Statitics for Windows. New York: IBM Corp.</w:t>
      </w:r>
    </w:p>
    <w:p w14:paraId="77178C8E"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Katz, G., &amp; Mosey, A. (1980). Fieldwork performance, academic grades, and pre-selection criteria of Occupational Therapy students. </w:t>
      </w:r>
      <w:r w:rsidRPr="00AD6724">
        <w:rPr>
          <w:rFonts w:ascii="Arial" w:hAnsi="Arial" w:cs="Arial"/>
          <w:i/>
          <w:iCs/>
          <w:noProof/>
          <w:sz w:val="24"/>
          <w:szCs w:val="24"/>
        </w:rPr>
        <w:t>The American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34</w:t>
      </w:r>
      <w:r w:rsidRPr="00AD6724">
        <w:rPr>
          <w:rFonts w:ascii="Arial" w:hAnsi="Arial" w:cs="Arial"/>
          <w:noProof/>
          <w:sz w:val="24"/>
          <w:szCs w:val="24"/>
        </w:rPr>
        <w:t>(12), 794–800.</w:t>
      </w:r>
    </w:p>
    <w:p w14:paraId="5D781F71"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King, N. C., &amp; Aves, S. J. (2012). Effect of A-level subject choice and entry tariff on final degree and level 1 performance in biosciences. </w:t>
      </w:r>
      <w:r w:rsidRPr="00AD6724">
        <w:rPr>
          <w:rFonts w:ascii="Arial" w:hAnsi="Arial" w:cs="Arial"/>
          <w:i/>
          <w:iCs/>
          <w:noProof/>
          <w:sz w:val="24"/>
          <w:szCs w:val="24"/>
        </w:rPr>
        <w:t>Bioscience Education</w:t>
      </w:r>
      <w:r w:rsidRPr="00AD6724">
        <w:rPr>
          <w:rFonts w:ascii="Arial" w:hAnsi="Arial" w:cs="Arial"/>
          <w:noProof/>
          <w:sz w:val="24"/>
          <w:szCs w:val="24"/>
        </w:rPr>
        <w:t xml:space="preserve">, </w:t>
      </w:r>
      <w:r w:rsidRPr="00AD6724">
        <w:rPr>
          <w:rFonts w:ascii="Arial" w:hAnsi="Arial" w:cs="Arial"/>
          <w:i/>
          <w:iCs/>
          <w:noProof/>
          <w:sz w:val="24"/>
          <w:szCs w:val="24"/>
        </w:rPr>
        <w:t>19</w:t>
      </w:r>
      <w:r w:rsidRPr="00AD6724">
        <w:rPr>
          <w:rFonts w:ascii="Arial" w:hAnsi="Arial" w:cs="Arial"/>
          <w:noProof/>
          <w:sz w:val="24"/>
          <w:szCs w:val="24"/>
        </w:rPr>
        <w:t>. https://doi.org/10.11120/beej.2012.19000002</w:t>
      </w:r>
    </w:p>
    <w:p w14:paraId="645B15A1"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Kirchner, G. L., &amp; Holm, M. B. (1997). Prediction of academic and clinical performance of occupational therapy students in an entry-level Master’s program. </w:t>
      </w:r>
      <w:r w:rsidRPr="00AD6724">
        <w:rPr>
          <w:rFonts w:ascii="Arial" w:hAnsi="Arial" w:cs="Arial"/>
          <w:i/>
          <w:iCs/>
          <w:noProof/>
          <w:sz w:val="24"/>
          <w:szCs w:val="24"/>
        </w:rPr>
        <w:t>American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51</w:t>
      </w:r>
      <w:r w:rsidRPr="00AD6724">
        <w:rPr>
          <w:rFonts w:ascii="Arial" w:hAnsi="Arial" w:cs="Arial"/>
          <w:noProof/>
          <w:sz w:val="24"/>
          <w:szCs w:val="24"/>
        </w:rPr>
        <w:t>(9), 775–779.</w:t>
      </w:r>
    </w:p>
    <w:p w14:paraId="1559AAB1"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Kirchner, G. L., Stone, R. G., &amp; Holm, M. B. (2001). Use of admission criteria to predict performance of students in an entry-level master’s program on fieldwork placements and in academic courses. </w:t>
      </w:r>
      <w:r w:rsidRPr="00AD6724">
        <w:rPr>
          <w:rFonts w:ascii="Arial" w:hAnsi="Arial" w:cs="Arial"/>
          <w:i/>
          <w:iCs/>
          <w:noProof/>
          <w:sz w:val="24"/>
          <w:szCs w:val="24"/>
        </w:rPr>
        <w:t>Occupational Therapy in Health Care</w:t>
      </w:r>
      <w:r w:rsidRPr="00AD6724">
        <w:rPr>
          <w:rFonts w:ascii="Arial" w:hAnsi="Arial" w:cs="Arial"/>
          <w:noProof/>
          <w:sz w:val="24"/>
          <w:szCs w:val="24"/>
        </w:rPr>
        <w:t xml:space="preserve">, </w:t>
      </w:r>
      <w:r w:rsidRPr="00AD6724">
        <w:rPr>
          <w:rFonts w:ascii="Arial" w:hAnsi="Arial" w:cs="Arial"/>
          <w:i/>
          <w:iCs/>
          <w:noProof/>
          <w:sz w:val="24"/>
          <w:szCs w:val="24"/>
        </w:rPr>
        <w:t>13</w:t>
      </w:r>
      <w:r w:rsidRPr="00AD6724">
        <w:rPr>
          <w:rFonts w:ascii="Arial" w:hAnsi="Arial" w:cs="Arial"/>
          <w:noProof/>
          <w:sz w:val="24"/>
          <w:szCs w:val="24"/>
        </w:rPr>
        <w:t>(1), 1–10. https://doi.org/10.1300/j003v13n01_01</w:t>
      </w:r>
    </w:p>
    <w:p w14:paraId="2BF5FCAD"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Kreiter, C. D., &amp; Kreiter, Y. (2007). A validity generalization perspective on the ability of undergraduate GPA and the medical college admission test to predict important outcomes. </w:t>
      </w:r>
      <w:r w:rsidRPr="00AD6724">
        <w:rPr>
          <w:rFonts w:ascii="Arial" w:hAnsi="Arial" w:cs="Arial"/>
          <w:i/>
          <w:iCs/>
          <w:noProof/>
          <w:sz w:val="24"/>
          <w:szCs w:val="24"/>
        </w:rPr>
        <w:t>Teaching and Learning in Medicine</w:t>
      </w:r>
      <w:r w:rsidRPr="00AD6724">
        <w:rPr>
          <w:rFonts w:ascii="Arial" w:hAnsi="Arial" w:cs="Arial"/>
          <w:noProof/>
          <w:sz w:val="24"/>
          <w:szCs w:val="24"/>
        </w:rPr>
        <w:t xml:space="preserve">, </w:t>
      </w:r>
      <w:r w:rsidRPr="00AD6724">
        <w:rPr>
          <w:rFonts w:ascii="Arial" w:hAnsi="Arial" w:cs="Arial"/>
          <w:i/>
          <w:iCs/>
          <w:noProof/>
          <w:sz w:val="24"/>
          <w:szCs w:val="24"/>
        </w:rPr>
        <w:t>19</w:t>
      </w:r>
      <w:r w:rsidRPr="00AD6724">
        <w:rPr>
          <w:rFonts w:ascii="Arial" w:hAnsi="Arial" w:cs="Arial"/>
          <w:noProof/>
          <w:sz w:val="24"/>
          <w:szCs w:val="24"/>
        </w:rPr>
        <w:t>(2), 95–100. https://doi.org/10.1080/10401330701332094</w:t>
      </w:r>
    </w:p>
    <w:p w14:paraId="16EB516A"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Lee, R. M. (2000). </w:t>
      </w:r>
      <w:r w:rsidRPr="00AD6724">
        <w:rPr>
          <w:rFonts w:ascii="Arial" w:hAnsi="Arial" w:cs="Arial"/>
          <w:i/>
          <w:iCs/>
          <w:noProof/>
          <w:sz w:val="24"/>
          <w:szCs w:val="24"/>
        </w:rPr>
        <w:t>Unobtrusive Methods in Social Research</w:t>
      </w:r>
      <w:r w:rsidRPr="00AD6724">
        <w:rPr>
          <w:rFonts w:ascii="Arial" w:hAnsi="Arial" w:cs="Arial"/>
          <w:noProof/>
          <w:sz w:val="24"/>
          <w:szCs w:val="24"/>
        </w:rPr>
        <w:t>. Buckingham: Open University Press.</w:t>
      </w:r>
    </w:p>
    <w:p w14:paraId="5C9F1DCE"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Li, K., Wilbarger, J., &amp; St. Louis, S. (2017). An Innovative Behavioral Interview for Pre-admission Selection of Occupational Therapy Students. </w:t>
      </w:r>
      <w:r w:rsidRPr="00AD6724">
        <w:rPr>
          <w:rFonts w:ascii="Arial" w:hAnsi="Arial" w:cs="Arial"/>
          <w:i/>
          <w:iCs/>
          <w:noProof/>
          <w:sz w:val="24"/>
          <w:szCs w:val="24"/>
        </w:rPr>
        <w:t>Journal of Occupational Therapy Education</w:t>
      </w:r>
      <w:r w:rsidRPr="00AD6724">
        <w:rPr>
          <w:rFonts w:ascii="Arial" w:hAnsi="Arial" w:cs="Arial"/>
          <w:noProof/>
          <w:sz w:val="24"/>
          <w:szCs w:val="24"/>
        </w:rPr>
        <w:t xml:space="preserve">, </w:t>
      </w:r>
      <w:r w:rsidRPr="00AD6724">
        <w:rPr>
          <w:rFonts w:ascii="Arial" w:hAnsi="Arial" w:cs="Arial"/>
          <w:i/>
          <w:iCs/>
          <w:noProof/>
          <w:sz w:val="24"/>
          <w:szCs w:val="24"/>
        </w:rPr>
        <w:t>1</w:t>
      </w:r>
      <w:r w:rsidRPr="00AD6724">
        <w:rPr>
          <w:rFonts w:ascii="Arial" w:hAnsi="Arial" w:cs="Arial"/>
          <w:noProof/>
          <w:sz w:val="24"/>
          <w:szCs w:val="24"/>
        </w:rPr>
        <w:t>(1). https://doi.org/10.26681/jote.2017.010107</w:t>
      </w:r>
    </w:p>
    <w:p w14:paraId="5F4760EB"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Lucey, C., &amp; Souba, W. (2010). Perspective: The problem with the problem of professionalism. </w:t>
      </w:r>
      <w:r w:rsidRPr="00AD6724">
        <w:rPr>
          <w:rFonts w:ascii="Arial" w:hAnsi="Arial" w:cs="Arial"/>
          <w:i/>
          <w:iCs/>
          <w:noProof/>
          <w:sz w:val="24"/>
          <w:szCs w:val="24"/>
        </w:rPr>
        <w:t>Academic Medicine</w:t>
      </w:r>
      <w:r w:rsidRPr="00AD6724">
        <w:rPr>
          <w:rFonts w:ascii="Arial" w:hAnsi="Arial" w:cs="Arial"/>
          <w:noProof/>
          <w:sz w:val="24"/>
          <w:szCs w:val="24"/>
        </w:rPr>
        <w:t xml:space="preserve">, </w:t>
      </w:r>
      <w:r w:rsidRPr="00AD6724">
        <w:rPr>
          <w:rFonts w:ascii="Arial" w:hAnsi="Arial" w:cs="Arial"/>
          <w:i/>
          <w:iCs/>
          <w:noProof/>
          <w:sz w:val="24"/>
          <w:szCs w:val="24"/>
        </w:rPr>
        <w:t>85</w:t>
      </w:r>
      <w:r w:rsidRPr="00AD6724">
        <w:rPr>
          <w:rFonts w:ascii="Arial" w:hAnsi="Arial" w:cs="Arial"/>
          <w:noProof/>
          <w:sz w:val="24"/>
          <w:szCs w:val="24"/>
        </w:rPr>
        <w:t>(6), 1018–1024. https://doi.org/10.1097/ACM.0b013e3181dbe51f</w:t>
      </w:r>
    </w:p>
    <w:p w14:paraId="505E0597"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Lyons, M., Mackenzie, L., Bore, M., &amp; Powis, D. (2006). Framing a set of non-academic selection criteria for occupational therapy students: An Australian study. </w:t>
      </w:r>
      <w:r w:rsidRPr="00AD6724">
        <w:rPr>
          <w:rFonts w:ascii="Arial" w:hAnsi="Arial" w:cs="Arial"/>
          <w:i/>
          <w:iCs/>
          <w:noProof/>
          <w:sz w:val="24"/>
          <w:szCs w:val="24"/>
        </w:rPr>
        <w:t>Australian Occupational Therapy Journal</w:t>
      </w:r>
      <w:r w:rsidRPr="00AD6724">
        <w:rPr>
          <w:rFonts w:ascii="Arial" w:hAnsi="Arial" w:cs="Arial"/>
          <w:noProof/>
          <w:sz w:val="24"/>
          <w:szCs w:val="24"/>
        </w:rPr>
        <w:t xml:space="preserve">, </w:t>
      </w:r>
      <w:r w:rsidRPr="00AD6724">
        <w:rPr>
          <w:rFonts w:ascii="Arial" w:hAnsi="Arial" w:cs="Arial"/>
          <w:i/>
          <w:iCs/>
          <w:noProof/>
          <w:sz w:val="24"/>
          <w:szCs w:val="24"/>
        </w:rPr>
        <w:t>53</w:t>
      </w:r>
      <w:r w:rsidRPr="00AD6724">
        <w:rPr>
          <w:rFonts w:ascii="Arial" w:hAnsi="Arial" w:cs="Arial"/>
          <w:noProof/>
          <w:sz w:val="24"/>
          <w:szCs w:val="24"/>
        </w:rPr>
        <w:t>(4), 284–292. https://doi.org/10.1111/j.1440-1630.2006.00591.x</w:t>
      </w:r>
    </w:p>
    <w:p w14:paraId="4209531D"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Lysaght, R., Donnelly, C., &amp; Villeneuve, M. (2009). Factors predicting appicant outcomes in occupational education. </w:t>
      </w:r>
      <w:r w:rsidRPr="00AD6724">
        <w:rPr>
          <w:rFonts w:ascii="Arial" w:hAnsi="Arial" w:cs="Arial"/>
          <w:i/>
          <w:iCs/>
          <w:noProof/>
          <w:sz w:val="24"/>
          <w:szCs w:val="24"/>
        </w:rPr>
        <w:t>Canadian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76</w:t>
      </w:r>
      <w:r w:rsidRPr="00AD6724">
        <w:rPr>
          <w:rFonts w:ascii="Arial" w:hAnsi="Arial" w:cs="Arial"/>
          <w:noProof/>
          <w:sz w:val="24"/>
          <w:szCs w:val="24"/>
        </w:rPr>
        <w:t>(1), 38–47.</w:t>
      </w:r>
    </w:p>
    <w:p w14:paraId="7AC65088"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Newsome, S., Day, A. L., &amp; Catano, V. M. (2000). Assessing the predictive validity of emotional intelligence. </w:t>
      </w:r>
      <w:r w:rsidRPr="00AD6724">
        <w:rPr>
          <w:rFonts w:ascii="Arial" w:hAnsi="Arial" w:cs="Arial"/>
          <w:i/>
          <w:iCs/>
          <w:noProof/>
          <w:sz w:val="24"/>
          <w:szCs w:val="24"/>
        </w:rPr>
        <w:t>Personality and Individual Differences</w:t>
      </w:r>
      <w:r w:rsidRPr="00AD6724">
        <w:rPr>
          <w:rFonts w:ascii="Arial" w:hAnsi="Arial" w:cs="Arial"/>
          <w:noProof/>
          <w:sz w:val="24"/>
          <w:szCs w:val="24"/>
        </w:rPr>
        <w:t xml:space="preserve">, </w:t>
      </w:r>
      <w:r w:rsidRPr="00AD6724">
        <w:rPr>
          <w:rFonts w:ascii="Arial" w:hAnsi="Arial" w:cs="Arial"/>
          <w:i/>
          <w:iCs/>
          <w:noProof/>
          <w:sz w:val="24"/>
          <w:szCs w:val="24"/>
        </w:rPr>
        <w:t>29</w:t>
      </w:r>
      <w:r w:rsidRPr="00AD6724">
        <w:rPr>
          <w:rFonts w:ascii="Arial" w:hAnsi="Arial" w:cs="Arial"/>
          <w:noProof/>
          <w:sz w:val="24"/>
          <w:szCs w:val="24"/>
        </w:rPr>
        <w:t>(6), 1005–1016. https://doi.org/10.1016/S0191-8869(99)00250-0</w:t>
      </w:r>
    </w:p>
    <w:p w14:paraId="250C58CF"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Pallant, J. (2016). </w:t>
      </w:r>
      <w:r w:rsidRPr="00AD6724">
        <w:rPr>
          <w:rFonts w:ascii="Arial" w:hAnsi="Arial" w:cs="Arial"/>
          <w:i/>
          <w:iCs/>
          <w:noProof/>
          <w:sz w:val="24"/>
          <w:szCs w:val="24"/>
        </w:rPr>
        <w:t>SPSS Survival Manual</w:t>
      </w:r>
      <w:r w:rsidRPr="00AD6724">
        <w:rPr>
          <w:rFonts w:ascii="Arial" w:hAnsi="Arial" w:cs="Arial"/>
          <w:noProof/>
          <w:sz w:val="24"/>
          <w:szCs w:val="24"/>
        </w:rPr>
        <w:t xml:space="preserve"> (6th Editio). Berkshire: Open University Press.</w:t>
      </w:r>
    </w:p>
    <w:p w14:paraId="65B7CA26"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Posthuma, B., &amp; Noh, S. (1990). Interview Scores and Academic Grades as Selection Criteria for Admission to an Occupational Therapy Program. </w:t>
      </w:r>
      <w:r w:rsidRPr="00AD6724">
        <w:rPr>
          <w:rFonts w:ascii="Arial" w:hAnsi="Arial" w:cs="Arial"/>
          <w:i/>
          <w:iCs/>
          <w:noProof/>
          <w:sz w:val="24"/>
          <w:szCs w:val="24"/>
        </w:rPr>
        <w:t>Canadian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57</w:t>
      </w:r>
      <w:r w:rsidRPr="00AD6724">
        <w:rPr>
          <w:rFonts w:ascii="Arial" w:hAnsi="Arial" w:cs="Arial"/>
          <w:noProof/>
          <w:sz w:val="24"/>
          <w:szCs w:val="24"/>
        </w:rPr>
        <w:t>(5), 285–291. https://doi.org/10.1177/000841749005700509</w:t>
      </w:r>
    </w:p>
    <w:p w14:paraId="56D3028C"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Posthuma, B. W., &amp; Sommerfreund, J. (1985). Examination of selection criteria for a program in occupational therapy. </w:t>
      </w:r>
      <w:r w:rsidRPr="00AD6724">
        <w:rPr>
          <w:rFonts w:ascii="Arial" w:hAnsi="Arial" w:cs="Arial"/>
          <w:i/>
          <w:iCs/>
          <w:noProof/>
          <w:sz w:val="24"/>
          <w:szCs w:val="24"/>
        </w:rPr>
        <w:t>The American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39</w:t>
      </w:r>
      <w:r w:rsidRPr="00AD6724">
        <w:rPr>
          <w:rFonts w:ascii="Arial" w:hAnsi="Arial" w:cs="Arial"/>
          <w:noProof/>
          <w:sz w:val="24"/>
          <w:szCs w:val="24"/>
        </w:rPr>
        <w:t>(7), 441–445.</w:t>
      </w:r>
    </w:p>
    <w:p w14:paraId="7815A087"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Psych Tests AIM. (2016). </w:t>
      </w:r>
      <w:r w:rsidRPr="00AD6724">
        <w:rPr>
          <w:rFonts w:ascii="Arial" w:hAnsi="Arial" w:cs="Arial"/>
          <w:i/>
          <w:iCs/>
          <w:noProof/>
          <w:sz w:val="24"/>
          <w:szCs w:val="24"/>
        </w:rPr>
        <w:t>Creativity and Problem-Solving Aptitude Test (CAPSAT-R)</w:t>
      </w:r>
      <w:r w:rsidRPr="00AD6724">
        <w:rPr>
          <w:rFonts w:ascii="Arial" w:hAnsi="Arial" w:cs="Arial"/>
          <w:noProof/>
          <w:sz w:val="24"/>
          <w:szCs w:val="24"/>
        </w:rPr>
        <w:t>. Retrieved from http://archprofile.com/corporate/tests</w:t>
      </w:r>
    </w:p>
    <w:p w14:paraId="70BC5BEB"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Robinson, A. J., Tanchuk, C. J., &amp; Sullivan, T. M. (2012). Professionalism and occupational therapy: An exploration of faculty and students’ perspectives. </w:t>
      </w:r>
      <w:r w:rsidRPr="00AD6724">
        <w:rPr>
          <w:rFonts w:ascii="Arial" w:hAnsi="Arial" w:cs="Arial"/>
          <w:i/>
          <w:iCs/>
          <w:noProof/>
          <w:sz w:val="24"/>
          <w:szCs w:val="24"/>
        </w:rPr>
        <w:t>Canadian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79</w:t>
      </w:r>
      <w:r w:rsidRPr="00AD6724">
        <w:rPr>
          <w:rFonts w:ascii="Arial" w:hAnsi="Arial" w:cs="Arial"/>
          <w:noProof/>
          <w:sz w:val="24"/>
          <w:szCs w:val="24"/>
        </w:rPr>
        <w:t>(5), 275–284. https://doi.org/10.2182/cjot.2012.79.5.3</w:t>
      </w:r>
    </w:p>
    <w:p w14:paraId="051F3066"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Royal College of Occupational Therapists. (2019a). College of Occupational Therapists Diploma: The degree-equivalent value of the Diploma of the College of Occupational Therapists (DipCOT) is recognised by universities and higher education institutions. Retrieved January 2, 2020, from https://www.rcot.co.uk/about-us/our-history/rcot-diploma</w:t>
      </w:r>
    </w:p>
    <w:p w14:paraId="18906D6F"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Royal College of Occupational Therapists. (2019b). </w:t>
      </w:r>
      <w:r w:rsidRPr="00AD6724">
        <w:rPr>
          <w:rFonts w:ascii="Arial" w:hAnsi="Arial" w:cs="Arial"/>
          <w:i/>
          <w:iCs/>
          <w:noProof/>
          <w:sz w:val="24"/>
          <w:szCs w:val="24"/>
        </w:rPr>
        <w:t>Occupational Therapy Career Handbook</w:t>
      </w:r>
      <w:r w:rsidRPr="00AD6724">
        <w:rPr>
          <w:rFonts w:ascii="Arial" w:hAnsi="Arial" w:cs="Arial"/>
          <w:noProof/>
          <w:sz w:val="24"/>
          <w:szCs w:val="24"/>
        </w:rPr>
        <w:t>. London: Royal College of Occupational Therapists. https://doi.org/10.2105/ajph.12.5.367-a</w:t>
      </w:r>
    </w:p>
    <w:p w14:paraId="77C2ED86"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Salvatori, P. (2001). Pre-admission academic grades. </w:t>
      </w:r>
      <w:r w:rsidRPr="00AD6724">
        <w:rPr>
          <w:rFonts w:ascii="Arial" w:hAnsi="Arial" w:cs="Arial"/>
          <w:i/>
          <w:iCs/>
          <w:noProof/>
          <w:sz w:val="24"/>
          <w:szCs w:val="24"/>
        </w:rPr>
        <w:t>Advances in Health Sciences Education</w:t>
      </w:r>
      <w:r w:rsidRPr="00AD6724">
        <w:rPr>
          <w:rFonts w:ascii="Arial" w:hAnsi="Arial" w:cs="Arial"/>
          <w:noProof/>
          <w:sz w:val="24"/>
          <w:szCs w:val="24"/>
        </w:rPr>
        <w:t xml:space="preserve">, </w:t>
      </w:r>
      <w:r w:rsidRPr="00AD6724">
        <w:rPr>
          <w:rFonts w:ascii="Arial" w:hAnsi="Arial" w:cs="Arial"/>
          <w:i/>
          <w:iCs/>
          <w:noProof/>
          <w:sz w:val="24"/>
          <w:szCs w:val="24"/>
        </w:rPr>
        <w:t>6</w:t>
      </w:r>
      <w:r w:rsidRPr="00AD6724">
        <w:rPr>
          <w:rFonts w:ascii="Arial" w:hAnsi="Arial" w:cs="Arial"/>
          <w:noProof/>
          <w:sz w:val="24"/>
          <w:szCs w:val="24"/>
        </w:rPr>
        <w:t>, 159–175. https://doi.org/10.1023/A:1011489618208</w:t>
      </w:r>
    </w:p>
    <w:p w14:paraId="0C1F2259"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Scott, J. (1990). </w:t>
      </w:r>
      <w:r w:rsidRPr="00AD6724">
        <w:rPr>
          <w:rFonts w:ascii="Arial" w:hAnsi="Arial" w:cs="Arial"/>
          <w:i/>
          <w:iCs/>
          <w:noProof/>
          <w:sz w:val="24"/>
          <w:szCs w:val="24"/>
        </w:rPr>
        <w:t>A Matter of Record</w:t>
      </w:r>
      <w:r w:rsidRPr="00AD6724">
        <w:rPr>
          <w:rFonts w:ascii="Arial" w:hAnsi="Arial" w:cs="Arial"/>
          <w:noProof/>
          <w:sz w:val="24"/>
          <w:szCs w:val="24"/>
        </w:rPr>
        <w:t>. Cambridge: Polity Press in association with Basil Blackwell.</w:t>
      </w:r>
    </w:p>
    <w:p w14:paraId="21755CC4"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Sechrest, L., &amp; Phillips, M. (1979). Unobtrusive Measures: An Overview. In L. Sechrest (Ed.), </w:t>
      </w:r>
      <w:r w:rsidRPr="00AD6724">
        <w:rPr>
          <w:rFonts w:ascii="Arial" w:hAnsi="Arial" w:cs="Arial"/>
          <w:i/>
          <w:iCs/>
          <w:noProof/>
          <w:sz w:val="24"/>
          <w:szCs w:val="24"/>
        </w:rPr>
        <w:t>New Directions For Methodology of Behavioural Science: Unobtrusive Measurement Today</w:t>
      </w:r>
      <w:r w:rsidRPr="00AD6724">
        <w:rPr>
          <w:rFonts w:ascii="Arial" w:hAnsi="Arial" w:cs="Arial"/>
          <w:noProof/>
          <w:sz w:val="24"/>
          <w:szCs w:val="24"/>
        </w:rPr>
        <w:t>. Chicago: Josey-Bass Publishers.</w:t>
      </w:r>
    </w:p>
    <w:p w14:paraId="2E749A07"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Shanahan, M. M. (2004). Does age at entry have an impact on academic performance in occupational therapy education? </w:t>
      </w:r>
      <w:r w:rsidRPr="00AD6724">
        <w:rPr>
          <w:rFonts w:ascii="Arial" w:hAnsi="Arial" w:cs="Arial"/>
          <w:i/>
          <w:iCs/>
          <w:noProof/>
          <w:sz w:val="24"/>
          <w:szCs w:val="24"/>
        </w:rPr>
        <w:t>British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67</w:t>
      </w:r>
      <w:r w:rsidRPr="00AD6724">
        <w:rPr>
          <w:rFonts w:ascii="Arial" w:hAnsi="Arial" w:cs="Arial"/>
          <w:noProof/>
          <w:sz w:val="24"/>
          <w:szCs w:val="24"/>
        </w:rPr>
        <w:t>(10), 439–446. https://doi.org/10.1177/030802260406701004</w:t>
      </w:r>
    </w:p>
    <w:p w14:paraId="4A45DBAE"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Siu, E., &amp; Reiter, H. I. (2009). Overview: What’s worked and what hasn’t as a guide towards predictive Admissions tool development. </w:t>
      </w:r>
      <w:r w:rsidRPr="00AD6724">
        <w:rPr>
          <w:rFonts w:ascii="Arial" w:hAnsi="Arial" w:cs="Arial"/>
          <w:i/>
          <w:iCs/>
          <w:noProof/>
          <w:sz w:val="24"/>
          <w:szCs w:val="24"/>
        </w:rPr>
        <w:t>Advances in Health Sciences Education</w:t>
      </w:r>
      <w:r w:rsidRPr="00AD6724">
        <w:rPr>
          <w:rFonts w:ascii="Arial" w:hAnsi="Arial" w:cs="Arial"/>
          <w:noProof/>
          <w:sz w:val="24"/>
          <w:szCs w:val="24"/>
        </w:rPr>
        <w:t xml:space="preserve">, </w:t>
      </w:r>
      <w:r w:rsidRPr="00AD6724">
        <w:rPr>
          <w:rFonts w:ascii="Arial" w:hAnsi="Arial" w:cs="Arial"/>
          <w:i/>
          <w:iCs/>
          <w:noProof/>
          <w:sz w:val="24"/>
          <w:szCs w:val="24"/>
        </w:rPr>
        <w:t>14</w:t>
      </w:r>
      <w:r w:rsidRPr="00AD6724">
        <w:rPr>
          <w:rFonts w:ascii="Arial" w:hAnsi="Arial" w:cs="Arial"/>
          <w:noProof/>
          <w:sz w:val="24"/>
          <w:szCs w:val="24"/>
        </w:rPr>
        <w:t>(5), 759–775. https://doi.org/10.1007/s10459-009-9160-8</w:t>
      </w:r>
    </w:p>
    <w:p w14:paraId="75097395"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Timer, J. E., &amp; Clauson, M. I. (2011). The use of selective admissions tools to predict students’ success in an advanced standing baccalaureate nursing program. </w:t>
      </w:r>
      <w:r w:rsidRPr="00AD6724">
        <w:rPr>
          <w:rFonts w:ascii="Arial" w:hAnsi="Arial" w:cs="Arial"/>
          <w:i/>
          <w:iCs/>
          <w:noProof/>
          <w:sz w:val="24"/>
          <w:szCs w:val="24"/>
        </w:rPr>
        <w:t>Nurse Education Today</w:t>
      </w:r>
      <w:r w:rsidRPr="00AD6724">
        <w:rPr>
          <w:rFonts w:ascii="Arial" w:hAnsi="Arial" w:cs="Arial"/>
          <w:noProof/>
          <w:sz w:val="24"/>
          <w:szCs w:val="24"/>
        </w:rPr>
        <w:t xml:space="preserve">, </w:t>
      </w:r>
      <w:r w:rsidRPr="00AD6724">
        <w:rPr>
          <w:rFonts w:ascii="Arial" w:hAnsi="Arial" w:cs="Arial"/>
          <w:i/>
          <w:iCs/>
          <w:noProof/>
          <w:sz w:val="24"/>
          <w:szCs w:val="24"/>
        </w:rPr>
        <w:t>31</w:t>
      </w:r>
      <w:r w:rsidRPr="00AD6724">
        <w:rPr>
          <w:rFonts w:ascii="Arial" w:hAnsi="Arial" w:cs="Arial"/>
          <w:noProof/>
          <w:sz w:val="24"/>
          <w:szCs w:val="24"/>
        </w:rPr>
        <w:t>(6), 601–606. https://doi.org/10.1016/j.nedt.2010.10.015</w:t>
      </w:r>
    </w:p>
    <w:p w14:paraId="06A3FF03" w14:textId="77777777" w:rsid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Tyldesley, B. (1986). Biological Sciences in Occupational Therapy Education: A Review Carried Out at One Occupational Therapy School. </w:t>
      </w:r>
      <w:r w:rsidRPr="00AD6724">
        <w:rPr>
          <w:rFonts w:ascii="Arial" w:hAnsi="Arial" w:cs="Arial"/>
          <w:i/>
          <w:iCs/>
          <w:noProof/>
          <w:sz w:val="24"/>
          <w:szCs w:val="24"/>
        </w:rPr>
        <w:t>British Journal of Occupational Therapy</w:t>
      </w:r>
      <w:r w:rsidRPr="00AD6724">
        <w:rPr>
          <w:rFonts w:ascii="Arial" w:hAnsi="Arial" w:cs="Arial"/>
          <w:noProof/>
          <w:sz w:val="24"/>
          <w:szCs w:val="24"/>
        </w:rPr>
        <w:t xml:space="preserve">, </w:t>
      </w:r>
      <w:r w:rsidRPr="00AD6724">
        <w:rPr>
          <w:rFonts w:ascii="Arial" w:hAnsi="Arial" w:cs="Arial"/>
          <w:i/>
          <w:iCs/>
          <w:noProof/>
          <w:sz w:val="24"/>
          <w:szCs w:val="24"/>
        </w:rPr>
        <w:t>49</w:t>
      </w:r>
      <w:r w:rsidRPr="00AD6724">
        <w:rPr>
          <w:rFonts w:ascii="Arial" w:hAnsi="Arial" w:cs="Arial"/>
          <w:noProof/>
          <w:sz w:val="24"/>
          <w:szCs w:val="24"/>
        </w:rPr>
        <w:t>(9), 285–287. https://doi.org/10.1177/030802268604900904</w:t>
      </w:r>
    </w:p>
    <w:p w14:paraId="1627330D" w14:textId="77777777" w:rsidR="00A5211F" w:rsidRPr="00AD6724" w:rsidRDefault="00A5211F" w:rsidP="00AD6724">
      <w:pPr>
        <w:widowControl w:val="0"/>
        <w:autoSpaceDE w:val="0"/>
        <w:autoSpaceDN w:val="0"/>
        <w:adjustRightInd w:val="0"/>
        <w:spacing w:line="240" w:lineRule="auto"/>
        <w:ind w:left="480" w:hanging="480"/>
        <w:rPr>
          <w:rFonts w:ascii="Arial" w:hAnsi="Arial" w:cs="Arial"/>
          <w:noProof/>
          <w:sz w:val="24"/>
          <w:szCs w:val="24"/>
        </w:rPr>
      </w:pPr>
    </w:p>
    <w:p w14:paraId="5C7ACE82"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szCs w:val="24"/>
        </w:rPr>
      </w:pPr>
      <w:r w:rsidRPr="00AD6724">
        <w:rPr>
          <w:rFonts w:ascii="Arial" w:hAnsi="Arial" w:cs="Arial"/>
          <w:noProof/>
          <w:sz w:val="24"/>
          <w:szCs w:val="24"/>
        </w:rPr>
        <w:t xml:space="preserve">UK Standing Committee for Quality Assessment. (2018). </w:t>
      </w:r>
      <w:r w:rsidRPr="00AD6724">
        <w:rPr>
          <w:rFonts w:ascii="Arial" w:hAnsi="Arial" w:cs="Arial"/>
          <w:i/>
          <w:iCs/>
          <w:noProof/>
          <w:sz w:val="24"/>
          <w:szCs w:val="24"/>
        </w:rPr>
        <w:t>The drivers of degree classifications</w:t>
      </w:r>
      <w:r w:rsidRPr="00AD6724">
        <w:rPr>
          <w:rFonts w:ascii="Arial" w:hAnsi="Arial" w:cs="Arial"/>
          <w:noProof/>
          <w:sz w:val="24"/>
          <w:szCs w:val="24"/>
        </w:rPr>
        <w:t>. Brighton. Retrieved from https://www.universitiesuk.ac.uk/policy-and-analysis/reports/Documents/2018/drivers-of-degree-classifications.pdf</w:t>
      </w:r>
    </w:p>
    <w:p w14:paraId="6E5148CF" w14:textId="77777777" w:rsidR="00AD6724" w:rsidRPr="00AD6724" w:rsidRDefault="00AD6724" w:rsidP="00AD6724">
      <w:pPr>
        <w:widowControl w:val="0"/>
        <w:autoSpaceDE w:val="0"/>
        <w:autoSpaceDN w:val="0"/>
        <w:adjustRightInd w:val="0"/>
        <w:spacing w:line="240" w:lineRule="auto"/>
        <w:ind w:left="480" w:hanging="480"/>
        <w:rPr>
          <w:rFonts w:ascii="Arial" w:hAnsi="Arial" w:cs="Arial"/>
          <w:noProof/>
          <w:sz w:val="24"/>
        </w:rPr>
      </w:pPr>
      <w:r w:rsidRPr="000265FA">
        <w:rPr>
          <w:rFonts w:ascii="Arial" w:hAnsi="Arial" w:cs="Arial"/>
          <w:noProof/>
          <w:sz w:val="24"/>
          <w:szCs w:val="24"/>
          <w:lang w:val="de-DE"/>
        </w:rPr>
        <w:t xml:space="preserve">Webb, E., Campbell, D., Schwartz, R., &amp; Sechrest, L. (1966). </w:t>
      </w:r>
      <w:r w:rsidRPr="00AD6724">
        <w:rPr>
          <w:rFonts w:ascii="Arial" w:hAnsi="Arial" w:cs="Arial"/>
          <w:i/>
          <w:iCs/>
          <w:noProof/>
          <w:sz w:val="24"/>
          <w:szCs w:val="24"/>
        </w:rPr>
        <w:t>Uobtrusive Measures: Nonreactive Research in the Social Sciences</w:t>
      </w:r>
      <w:r w:rsidRPr="00AD6724">
        <w:rPr>
          <w:rFonts w:ascii="Arial" w:hAnsi="Arial" w:cs="Arial"/>
          <w:noProof/>
          <w:sz w:val="24"/>
          <w:szCs w:val="24"/>
        </w:rPr>
        <w:t>. Chicago: Rand McNally &amp; Company.</w:t>
      </w:r>
    </w:p>
    <w:p w14:paraId="24009F62" w14:textId="4102C2F5" w:rsidR="00797186" w:rsidRDefault="00D173CF" w:rsidP="00D173CF">
      <w:r>
        <w:rPr>
          <w:rFonts w:ascii="Arial" w:hAnsi="Arial" w:cs="Arial"/>
          <w:sz w:val="24"/>
          <w:szCs w:val="24"/>
        </w:rPr>
        <w:fldChar w:fldCharType="end"/>
      </w:r>
    </w:p>
    <w:sectPr w:rsidR="007971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A93C0" w14:textId="77777777" w:rsidR="00C572AE" w:rsidRDefault="00C572AE" w:rsidP="001C5752">
      <w:pPr>
        <w:spacing w:after="0" w:line="240" w:lineRule="auto"/>
      </w:pPr>
      <w:r>
        <w:separator/>
      </w:r>
    </w:p>
  </w:endnote>
  <w:endnote w:type="continuationSeparator" w:id="0">
    <w:p w14:paraId="106CCE0E" w14:textId="77777777" w:rsidR="00C572AE" w:rsidRDefault="00C572AE" w:rsidP="001C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0000000000000000000"/>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 Light"/>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044952"/>
      <w:docPartObj>
        <w:docPartGallery w:val="Page Numbers (Bottom of Page)"/>
        <w:docPartUnique/>
      </w:docPartObj>
    </w:sdtPr>
    <w:sdtEndPr>
      <w:rPr>
        <w:noProof/>
      </w:rPr>
    </w:sdtEndPr>
    <w:sdtContent>
      <w:p w14:paraId="05D237B5" w14:textId="2DB01451" w:rsidR="00F87397" w:rsidRDefault="00F87397">
        <w:pPr>
          <w:pStyle w:val="Footer"/>
          <w:jc w:val="center"/>
        </w:pPr>
        <w:r>
          <w:fldChar w:fldCharType="begin"/>
        </w:r>
        <w:r>
          <w:instrText xml:space="preserve"> PAGE   \* MERGEFORMAT </w:instrText>
        </w:r>
        <w:r>
          <w:fldChar w:fldCharType="separate"/>
        </w:r>
        <w:r w:rsidR="00C572AE">
          <w:rPr>
            <w:noProof/>
          </w:rPr>
          <w:t>1</w:t>
        </w:r>
        <w:r>
          <w:rPr>
            <w:noProof/>
          </w:rPr>
          <w:fldChar w:fldCharType="end"/>
        </w:r>
      </w:p>
    </w:sdtContent>
  </w:sdt>
  <w:p w14:paraId="17F9D4AC" w14:textId="77777777" w:rsidR="00F87397" w:rsidRDefault="00F8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BF81" w14:textId="77777777" w:rsidR="00C572AE" w:rsidRDefault="00C572AE" w:rsidP="001C5752">
      <w:pPr>
        <w:spacing w:after="0" w:line="240" w:lineRule="auto"/>
      </w:pPr>
      <w:r>
        <w:separator/>
      </w:r>
    </w:p>
  </w:footnote>
  <w:footnote w:type="continuationSeparator" w:id="0">
    <w:p w14:paraId="3AB3E3E3" w14:textId="77777777" w:rsidR="00C572AE" w:rsidRDefault="00C572AE" w:rsidP="001C5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E332" w14:textId="29533BA3" w:rsidR="00F87397" w:rsidRDefault="00F87397" w:rsidP="00B303F8">
    <w:pPr>
      <w:pStyle w:val="Header"/>
    </w:pPr>
  </w:p>
  <w:p w14:paraId="446B4383" w14:textId="77777777" w:rsidR="00F87397" w:rsidRDefault="00F87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24E"/>
    <w:multiLevelType w:val="hybridMultilevel"/>
    <w:tmpl w:val="F798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E19B3"/>
    <w:multiLevelType w:val="hybridMultilevel"/>
    <w:tmpl w:val="28CC7F4A"/>
    <w:lvl w:ilvl="0" w:tplc="1A6C04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43DD"/>
    <w:multiLevelType w:val="hybridMultilevel"/>
    <w:tmpl w:val="8EFC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6ED2"/>
    <w:multiLevelType w:val="hybridMultilevel"/>
    <w:tmpl w:val="3B94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509AE"/>
    <w:multiLevelType w:val="hybridMultilevel"/>
    <w:tmpl w:val="4720E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A5345"/>
    <w:multiLevelType w:val="hybridMultilevel"/>
    <w:tmpl w:val="7E783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87533"/>
    <w:multiLevelType w:val="hybridMultilevel"/>
    <w:tmpl w:val="8CAAF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245A9"/>
    <w:multiLevelType w:val="hybridMultilevel"/>
    <w:tmpl w:val="65BA1D1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13C9E"/>
    <w:multiLevelType w:val="hybridMultilevel"/>
    <w:tmpl w:val="73FCE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7FF353D"/>
    <w:multiLevelType w:val="hybridMultilevel"/>
    <w:tmpl w:val="8CECAC0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92CE0"/>
    <w:multiLevelType w:val="hybridMultilevel"/>
    <w:tmpl w:val="23FA8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E04EE"/>
    <w:multiLevelType w:val="hybridMultilevel"/>
    <w:tmpl w:val="EB58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B32F6"/>
    <w:multiLevelType w:val="hybridMultilevel"/>
    <w:tmpl w:val="3B94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D760D1"/>
    <w:multiLevelType w:val="multilevel"/>
    <w:tmpl w:val="F5F0B040"/>
    <w:lvl w:ilvl="0">
      <w:start w:val="1"/>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b w:val="0"/>
        <w:i/>
        <w:i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15:restartNumberingAfterBreak="0">
    <w:nsid w:val="3D4F40A7"/>
    <w:multiLevelType w:val="hybridMultilevel"/>
    <w:tmpl w:val="F4C0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C26BC"/>
    <w:multiLevelType w:val="hybridMultilevel"/>
    <w:tmpl w:val="3B94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22ADF"/>
    <w:multiLevelType w:val="hybridMultilevel"/>
    <w:tmpl w:val="E79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24DFD"/>
    <w:multiLevelType w:val="hybridMultilevel"/>
    <w:tmpl w:val="4C58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E35E2"/>
    <w:multiLevelType w:val="hybridMultilevel"/>
    <w:tmpl w:val="720A6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07E59"/>
    <w:multiLevelType w:val="hybridMultilevel"/>
    <w:tmpl w:val="66763B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E9C82544">
      <w:start w:val="2016"/>
      <w:numFmt w:val="bullet"/>
      <w:lvlText w:val="-"/>
      <w:lvlJc w:val="left"/>
      <w:pPr>
        <w:ind w:left="2160" w:hanging="360"/>
      </w:pPr>
      <w:rPr>
        <w:rFonts w:ascii="Times New Roman" w:eastAsiaTheme="minorEastAsia"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73C46"/>
    <w:multiLevelType w:val="hybridMultilevel"/>
    <w:tmpl w:val="30D0E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D7BC3"/>
    <w:multiLevelType w:val="hybridMultilevel"/>
    <w:tmpl w:val="195079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C23F94"/>
    <w:multiLevelType w:val="hybridMultilevel"/>
    <w:tmpl w:val="A50A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A1CB3"/>
    <w:multiLevelType w:val="multilevel"/>
    <w:tmpl w:val="9328DF8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224491"/>
    <w:multiLevelType w:val="multilevel"/>
    <w:tmpl w:val="0CD8157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8B80E27"/>
    <w:multiLevelType w:val="hybridMultilevel"/>
    <w:tmpl w:val="A7588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81D05"/>
    <w:multiLevelType w:val="hybridMultilevel"/>
    <w:tmpl w:val="0F2A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6"/>
  </w:num>
  <w:num w:numId="4">
    <w:abstractNumId w:val="8"/>
  </w:num>
  <w:num w:numId="5">
    <w:abstractNumId w:val="14"/>
  </w:num>
  <w:num w:numId="6">
    <w:abstractNumId w:val="4"/>
  </w:num>
  <w:num w:numId="7">
    <w:abstractNumId w:val="25"/>
  </w:num>
  <w:num w:numId="8">
    <w:abstractNumId w:val="1"/>
  </w:num>
  <w:num w:numId="9">
    <w:abstractNumId w:val="3"/>
  </w:num>
  <w:num w:numId="10">
    <w:abstractNumId w:val="10"/>
  </w:num>
  <w:num w:numId="11">
    <w:abstractNumId w:val="17"/>
  </w:num>
  <w:num w:numId="12">
    <w:abstractNumId w:val="6"/>
  </w:num>
  <w:num w:numId="13">
    <w:abstractNumId w:val="5"/>
  </w:num>
  <w:num w:numId="14">
    <w:abstractNumId w:val="23"/>
  </w:num>
  <w:num w:numId="15">
    <w:abstractNumId w:val="0"/>
  </w:num>
  <w:num w:numId="16">
    <w:abstractNumId w:val="22"/>
  </w:num>
  <w:num w:numId="17">
    <w:abstractNumId w:val="20"/>
  </w:num>
  <w:num w:numId="18">
    <w:abstractNumId w:val="7"/>
  </w:num>
  <w:num w:numId="19">
    <w:abstractNumId w:val="9"/>
  </w:num>
  <w:num w:numId="20">
    <w:abstractNumId w:val="12"/>
  </w:num>
  <w:num w:numId="21">
    <w:abstractNumId w:val="15"/>
  </w:num>
  <w:num w:numId="22">
    <w:abstractNumId w:val="11"/>
  </w:num>
  <w:num w:numId="23">
    <w:abstractNumId w:val="21"/>
  </w:num>
  <w:num w:numId="24">
    <w:abstractNumId w:val="2"/>
  </w:num>
  <w:num w:numId="25">
    <w:abstractNumId w:val="16"/>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CF"/>
    <w:rsid w:val="00000ED3"/>
    <w:rsid w:val="000024A7"/>
    <w:rsid w:val="000265FA"/>
    <w:rsid w:val="00077386"/>
    <w:rsid w:val="00093909"/>
    <w:rsid w:val="00164ADB"/>
    <w:rsid w:val="00167F0A"/>
    <w:rsid w:val="001732EA"/>
    <w:rsid w:val="001B6579"/>
    <w:rsid w:val="001C1A5C"/>
    <w:rsid w:val="001C5752"/>
    <w:rsid w:val="001E0483"/>
    <w:rsid w:val="001E4387"/>
    <w:rsid w:val="002600B0"/>
    <w:rsid w:val="002A1C31"/>
    <w:rsid w:val="002B2534"/>
    <w:rsid w:val="0032713A"/>
    <w:rsid w:val="003328A6"/>
    <w:rsid w:val="00350D6D"/>
    <w:rsid w:val="00356FB2"/>
    <w:rsid w:val="0038356F"/>
    <w:rsid w:val="00384187"/>
    <w:rsid w:val="003A469B"/>
    <w:rsid w:val="003C2397"/>
    <w:rsid w:val="003C2F56"/>
    <w:rsid w:val="00434C7A"/>
    <w:rsid w:val="00455B88"/>
    <w:rsid w:val="004D2C50"/>
    <w:rsid w:val="004D45E4"/>
    <w:rsid w:val="004E2730"/>
    <w:rsid w:val="005024E9"/>
    <w:rsid w:val="00506162"/>
    <w:rsid w:val="0054248D"/>
    <w:rsid w:val="005570EB"/>
    <w:rsid w:val="00561F43"/>
    <w:rsid w:val="00571680"/>
    <w:rsid w:val="00573E77"/>
    <w:rsid w:val="005B5D53"/>
    <w:rsid w:val="00614A63"/>
    <w:rsid w:val="006162BA"/>
    <w:rsid w:val="00624F2C"/>
    <w:rsid w:val="00642915"/>
    <w:rsid w:val="006C555D"/>
    <w:rsid w:val="006C6FCF"/>
    <w:rsid w:val="007331E6"/>
    <w:rsid w:val="00736D36"/>
    <w:rsid w:val="007712E2"/>
    <w:rsid w:val="007816D3"/>
    <w:rsid w:val="007870C5"/>
    <w:rsid w:val="00797186"/>
    <w:rsid w:val="007D7018"/>
    <w:rsid w:val="008269F4"/>
    <w:rsid w:val="00834E29"/>
    <w:rsid w:val="008D6B71"/>
    <w:rsid w:val="009548A0"/>
    <w:rsid w:val="0095547C"/>
    <w:rsid w:val="00976854"/>
    <w:rsid w:val="009F2335"/>
    <w:rsid w:val="009F7E1A"/>
    <w:rsid w:val="00A161E8"/>
    <w:rsid w:val="00A30889"/>
    <w:rsid w:val="00A41AF9"/>
    <w:rsid w:val="00A47FF4"/>
    <w:rsid w:val="00A5211F"/>
    <w:rsid w:val="00AC16E5"/>
    <w:rsid w:val="00AD6724"/>
    <w:rsid w:val="00B303F8"/>
    <w:rsid w:val="00B36D77"/>
    <w:rsid w:val="00B37CC4"/>
    <w:rsid w:val="00B9119A"/>
    <w:rsid w:val="00BA79C5"/>
    <w:rsid w:val="00BC1290"/>
    <w:rsid w:val="00C033E3"/>
    <w:rsid w:val="00C242FA"/>
    <w:rsid w:val="00C37B9D"/>
    <w:rsid w:val="00C572AE"/>
    <w:rsid w:val="00C72F36"/>
    <w:rsid w:val="00CA645D"/>
    <w:rsid w:val="00CD2786"/>
    <w:rsid w:val="00CE127B"/>
    <w:rsid w:val="00D173CF"/>
    <w:rsid w:val="00D320DD"/>
    <w:rsid w:val="00D47524"/>
    <w:rsid w:val="00D94707"/>
    <w:rsid w:val="00DB4AA3"/>
    <w:rsid w:val="00DD2CC1"/>
    <w:rsid w:val="00DD463A"/>
    <w:rsid w:val="00E00291"/>
    <w:rsid w:val="00E25A4A"/>
    <w:rsid w:val="00E44A3C"/>
    <w:rsid w:val="00E544DB"/>
    <w:rsid w:val="00E712F8"/>
    <w:rsid w:val="00E73588"/>
    <w:rsid w:val="00EB0272"/>
    <w:rsid w:val="00EC15F7"/>
    <w:rsid w:val="00EC6B81"/>
    <w:rsid w:val="00ED7E71"/>
    <w:rsid w:val="00F50365"/>
    <w:rsid w:val="00F57345"/>
    <w:rsid w:val="00F873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F92C"/>
  <w15:chartTrackingRefBased/>
  <w15:docId w15:val="{28F080D2-B575-4B8F-B073-0C0AA13C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C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3CF"/>
    <w:pPr>
      <w:ind w:left="720"/>
      <w:contextualSpacing/>
    </w:pPr>
  </w:style>
  <w:style w:type="table" w:styleId="TableGrid">
    <w:name w:val="Table Grid"/>
    <w:basedOn w:val="TableNormal"/>
    <w:uiPriority w:val="39"/>
    <w:rsid w:val="00D173C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CF"/>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D1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CF"/>
    <w:rPr>
      <w:rFonts w:eastAsiaTheme="minorEastAsia"/>
      <w:lang w:eastAsia="zh-CN"/>
    </w:rPr>
  </w:style>
  <w:style w:type="paragraph" w:styleId="Footer">
    <w:name w:val="footer"/>
    <w:basedOn w:val="Normal"/>
    <w:link w:val="FooterChar"/>
    <w:uiPriority w:val="99"/>
    <w:unhideWhenUsed/>
    <w:rsid w:val="00D1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CF"/>
    <w:rPr>
      <w:rFonts w:eastAsiaTheme="minorEastAsia"/>
      <w:lang w:eastAsia="zh-CN"/>
    </w:rPr>
  </w:style>
  <w:style w:type="character" w:styleId="Hyperlink">
    <w:name w:val="Hyperlink"/>
    <w:basedOn w:val="DefaultParagraphFont"/>
    <w:uiPriority w:val="99"/>
    <w:unhideWhenUsed/>
    <w:rsid w:val="00D173CF"/>
    <w:rPr>
      <w:color w:val="0563C1" w:themeColor="hyperlink"/>
      <w:u w:val="single"/>
    </w:rPr>
  </w:style>
  <w:style w:type="character" w:customStyle="1" w:styleId="UnresolvedMention">
    <w:name w:val="Unresolved Mention"/>
    <w:basedOn w:val="DefaultParagraphFont"/>
    <w:uiPriority w:val="99"/>
    <w:semiHidden/>
    <w:unhideWhenUsed/>
    <w:rsid w:val="00D173CF"/>
    <w:rPr>
      <w:color w:val="605E5C"/>
      <w:shd w:val="clear" w:color="auto" w:fill="E1DFDD"/>
    </w:rPr>
  </w:style>
  <w:style w:type="character" w:styleId="CommentReference">
    <w:name w:val="annotation reference"/>
    <w:basedOn w:val="DefaultParagraphFont"/>
    <w:uiPriority w:val="99"/>
    <w:semiHidden/>
    <w:unhideWhenUsed/>
    <w:rsid w:val="0032713A"/>
    <w:rPr>
      <w:sz w:val="16"/>
      <w:szCs w:val="16"/>
    </w:rPr>
  </w:style>
  <w:style w:type="paragraph" w:styleId="CommentText">
    <w:name w:val="annotation text"/>
    <w:basedOn w:val="Normal"/>
    <w:link w:val="CommentTextChar"/>
    <w:uiPriority w:val="99"/>
    <w:semiHidden/>
    <w:unhideWhenUsed/>
    <w:rsid w:val="0032713A"/>
    <w:pPr>
      <w:spacing w:line="240" w:lineRule="auto"/>
    </w:pPr>
    <w:rPr>
      <w:sz w:val="20"/>
      <w:szCs w:val="20"/>
    </w:rPr>
  </w:style>
  <w:style w:type="character" w:customStyle="1" w:styleId="CommentTextChar">
    <w:name w:val="Comment Text Char"/>
    <w:basedOn w:val="DefaultParagraphFont"/>
    <w:link w:val="CommentText"/>
    <w:uiPriority w:val="99"/>
    <w:semiHidden/>
    <w:rsid w:val="0032713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2713A"/>
    <w:rPr>
      <w:b/>
      <w:bCs/>
    </w:rPr>
  </w:style>
  <w:style w:type="character" w:customStyle="1" w:styleId="CommentSubjectChar">
    <w:name w:val="Comment Subject Char"/>
    <w:basedOn w:val="CommentTextChar"/>
    <w:link w:val="CommentSubject"/>
    <w:uiPriority w:val="99"/>
    <w:semiHidden/>
    <w:rsid w:val="0032713A"/>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Decision-Making</c:v>
                </c:pt>
              </c:strCache>
            </c:strRef>
          </c:tx>
          <c:spPr>
            <a:solidFill>
              <a:schemeClr val="tx1">
                <a:lumMod val="50000"/>
                <a:lumOff val="50000"/>
              </a:schemeClr>
            </a:solidFill>
            <a:ln>
              <a:noFill/>
            </a:ln>
            <a:effectLst/>
          </c:spPr>
          <c:invertIfNegative val="0"/>
          <c:cat>
            <c:strRef>
              <c:f>Sheet1!$A$2:$A$4</c:f>
              <c:strCache>
                <c:ptCount val="3"/>
                <c:pt idx="0">
                  <c:v>Limitation</c:v>
                </c:pt>
                <c:pt idx="1">
                  <c:v>Potential Strength</c:v>
                </c:pt>
                <c:pt idx="2">
                  <c:v>Strength Identified</c:v>
                </c:pt>
              </c:strCache>
            </c:strRef>
          </c:cat>
          <c:val>
            <c:numRef>
              <c:f>Sheet1!$B$2:$B$4</c:f>
              <c:numCache>
                <c:formatCode>General</c:formatCode>
                <c:ptCount val="3"/>
                <c:pt idx="0">
                  <c:v>9</c:v>
                </c:pt>
                <c:pt idx="1">
                  <c:v>15</c:v>
                </c:pt>
                <c:pt idx="2">
                  <c:v>3</c:v>
                </c:pt>
              </c:numCache>
            </c:numRef>
          </c:val>
        </c:ser>
        <c:ser>
          <c:idx val="1"/>
          <c:order val="1"/>
          <c:tx>
            <c:strRef>
              <c:f>Sheet1!$C$1</c:f>
              <c:strCache>
                <c:ptCount val="1"/>
                <c:pt idx="0">
                  <c:v>Flexibility</c:v>
                </c:pt>
              </c:strCache>
            </c:strRef>
          </c:tx>
          <c:spPr>
            <a:solidFill>
              <a:schemeClr val="tx1">
                <a:lumMod val="75000"/>
                <a:lumOff val="25000"/>
              </a:schemeClr>
            </a:solidFill>
            <a:ln>
              <a:noFill/>
            </a:ln>
            <a:effectLst/>
          </c:spPr>
          <c:invertIfNegative val="0"/>
          <c:cat>
            <c:strRef>
              <c:f>Sheet1!$A$2:$A$4</c:f>
              <c:strCache>
                <c:ptCount val="3"/>
                <c:pt idx="0">
                  <c:v>Limitation</c:v>
                </c:pt>
                <c:pt idx="1">
                  <c:v>Potential Strength</c:v>
                </c:pt>
                <c:pt idx="2">
                  <c:v>Strength Identified</c:v>
                </c:pt>
              </c:strCache>
            </c:strRef>
          </c:cat>
          <c:val>
            <c:numRef>
              <c:f>Sheet1!$C$2:$C$4</c:f>
              <c:numCache>
                <c:formatCode>General</c:formatCode>
                <c:ptCount val="3"/>
                <c:pt idx="0">
                  <c:v>0</c:v>
                </c:pt>
                <c:pt idx="1">
                  <c:v>18</c:v>
                </c:pt>
                <c:pt idx="2">
                  <c:v>9</c:v>
                </c:pt>
              </c:numCache>
            </c:numRef>
          </c:val>
        </c:ser>
        <c:ser>
          <c:idx val="2"/>
          <c:order val="2"/>
          <c:tx>
            <c:strRef>
              <c:f>Sheet1!$D$1</c:f>
              <c:strCache>
                <c:ptCount val="1"/>
                <c:pt idx="0">
                  <c:v>Creativity</c:v>
                </c:pt>
              </c:strCache>
            </c:strRef>
          </c:tx>
          <c:spPr>
            <a:solidFill>
              <a:schemeClr val="bg2">
                <a:lumMod val="75000"/>
              </a:schemeClr>
            </a:solidFill>
            <a:ln>
              <a:noFill/>
            </a:ln>
            <a:effectLst/>
          </c:spPr>
          <c:invertIfNegative val="0"/>
          <c:cat>
            <c:strRef>
              <c:f>Sheet1!$A$2:$A$4</c:f>
              <c:strCache>
                <c:ptCount val="3"/>
                <c:pt idx="0">
                  <c:v>Limitation</c:v>
                </c:pt>
                <c:pt idx="1">
                  <c:v>Potential Strength</c:v>
                </c:pt>
                <c:pt idx="2">
                  <c:v>Strength Identified</c:v>
                </c:pt>
              </c:strCache>
            </c:strRef>
          </c:cat>
          <c:val>
            <c:numRef>
              <c:f>Sheet1!$D$2:$D$4</c:f>
              <c:numCache>
                <c:formatCode>General</c:formatCode>
                <c:ptCount val="3"/>
                <c:pt idx="0">
                  <c:v>0</c:v>
                </c:pt>
                <c:pt idx="1">
                  <c:v>22</c:v>
                </c:pt>
                <c:pt idx="2">
                  <c:v>5</c:v>
                </c:pt>
              </c:numCache>
            </c:numRef>
          </c:val>
        </c:ser>
        <c:ser>
          <c:idx val="3"/>
          <c:order val="3"/>
          <c:tx>
            <c:strRef>
              <c:f>Sheet1!$E$1</c:f>
              <c:strCache>
                <c:ptCount val="1"/>
                <c:pt idx="0">
                  <c:v>Self-efficacy</c:v>
                </c:pt>
              </c:strCache>
            </c:strRef>
          </c:tx>
          <c:spPr>
            <a:solidFill>
              <a:schemeClr val="tx1"/>
            </a:solidFill>
            <a:ln>
              <a:noFill/>
            </a:ln>
            <a:effectLst/>
          </c:spPr>
          <c:invertIfNegative val="0"/>
          <c:cat>
            <c:strRef>
              <c:f>Sheet1!$A$2:$A$4</c:f>
              <c:strCache>
                <c:ptCount val="3"/>
                <c:pt idx="0">
                  <c:v>Limitation</c:v>
                </c:pt>
                <c:pt idx="1">
                  <c:v>Potential Strength</c:v>
                </c:pt>
                <c:pt idx="2">
                  <c:v>Strength Identified</c:v>
                </c:pt>
              </c:strCache>
            </c:strRef>
          </c:cat>
          <c:val>
            <c:numRef>
              <c:f>Sheet1!$E$2:$E$4</c:f>
              <c:numCache>
                <c:formatCode>General</c:formatCode>
                <c:ptCount val="3"/>
                <c:pt idx="0">
                  <c:v>2</c:v>
                </c:pt>
                <c:pt idx="1">
                  <c:v>18</c:v>
                </c:pt>
                <c:pt idx="2">
                  <c:v>7</c:v>
                </c:pt>
              </c:numCache>
            </c:numRef>
          </c:val>
        </c:ser>
        <c:dLbls>
          <c:showLegendKey val="0"/>
          <c:showVal val="0"/>
          <c:showCatName val="0"/>
          <c:showSerName val="0"/>
          <c:showPercent val="0"/>
          <c:showBubbleSize val="0"/>
        </c:dLbls>
        <c:gapWidth val="182"/>
        <c:axId val="168821248"/>
        <c:axId val="168821640"/>
      </c:barChart>
      <c:catAx>
        <c:axId val="168821248"/>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200">
                    <a:solidFill>
                      <a:sysClr val="windowText" lastClr="000000"/>
                    </a:solidFill>
                    <a:latin typeface="Arial" panose="020B0604020202020204" pitchFamily="34" charset="0"/>
                    <a:cs typeface="Arial" panose="020B0604020202020204" pitchFamily="34" charset="0"/>
                  </a:rPr>
                  <a:t>Marking</a:t>
                </a:r>
                <a:r>
                  <a:rPr lang="en-GB" sz="1200" baseline="0">
                    <a:solidFill>
                      <a:sysClr val="windowText" lastClr="000000"/>
                    </a:solidFill>
                    <a:latin typeface="Arial" panose="020B0604020202020204" pitchFamily="34" charset="0"/>
                    <a:cs typeface="Arial" panose="020B0604020202020204" pitchFamily="34" charset="0"/>
                  </a:rPr>
                  <a:t> Categories</a:t>
                </a:r>
                <a:endParaRPr lang="en-GB" sz="12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1.7706503172811354E-2"/>
              <c:y val="0.2619532927702218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821640"/>
        <c:crosses val="autoZero"/>
        <c:auto val="1"/>
        <c:lblAlgn val="ctr"/>
        <c:lblOffset val="100"/>
        <c:noMultiLvlLbl val="0"/>
      </c:catAx>
      <c:valAx>
        <c:axId val="16882164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solidFill>
                      <a:sysClr val="windowText" lastClr="000000"/>
                    </a:solidFill>
                    <a:latin typeface="Arial" panose="020B0604020202020204" pitchFamily="34" charset="0"/>
                    <a:cs typeface="Arial" panose="020B0604020202020204" pitchFamily="34" charset="0"/>
                  </a:rPr>
                  <a:t>Frequency</a:t>
                </a:r>
              </a:p>
            </c:rich>
          </c:tx>
          <c:layout>
            <c:manualLayout>
              <c:xMode val="edge"/>
              <c:yMode val="edge"/>
              <c:x val="0.44763247381580074"/>
              <c:y val="0.8141317704605106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82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1st Class</c:v>
                </c:pt>
              </c:strCache>
            </c:strRef>
          </c:tx>
          <c:spPr>
            <a:solidFill>
              <a:schemeClr val="tx1"/>
            </a:solidFill>
            <a:ln>
              <a:noFill/>
            </a:ln>
            <a:effectLst/>
          </c:spPr>
          <c:invertIfNegative val="0"/>
          <c:cat>
            <c:strRef>
              <c:f>Sheet2!$A$2:$A$9</c:f>
              <c:strCache>
                <c:ptCount val="8"/>
                <c:pt idx="0">
                  <c:v>300</c:v>
                </c:pt>
                <c:pt idx="1">
                  <c:v>320</c:v>
                </c:pt>
                <c:pt idx="2">
                  <c:v>340</c:v>
                </c:pt>
                <c:pt idx="3">
                  <c:v>360</c:v>
                </c:pt>
                <c:pt idx="4">
                  <c:v>380</c:v>
                </c:pt>
                <c:pt idx="5">
                  <c:v>400</c:v>
                </c:pt>
                <c:pt idx="6">
                  <c:v>420</c:v>
                </c:pt>
                <c:pt idx="7">
                  <c:v>Total</c:v>
                </c:pt>
              </c:strCache>
            </c:strRef>
          </c:cat>
          <c:val>
            <c:numRef>
              <c:f>Sheet2!$B$2:$B$9</c:f>
              <c:numCache>
                <c:formatCode>General</c:formatCode>
                <c:ptCount val="8"/>
                <c:pt idx="0">
                  <c:v>1</c:v>
                </c:pt>
                <c:pt idx="1">
                  <c:v>2</c:v>
                </c:pt>
                <c:pt idx="2">
                  <c:v>0</c:v>
                </c:pt>
                <c:pt idx="3">
                  <c:v>0</c:v>
                </c:pt>
                <c:pt idx="4">
                  <c:v>0</c:v>
                </c:pt>
                <c:pt idx="5">
                  <c:v>2</c:v>
                </c:pt>
                <c:pt idx="6">
                  <c:v>1</c:v>
                </c:pt>
                <c:pt idx="7">
                  <c:v>6</c:v>
                </c:pt>
              </c:numCache>
            </c:numRef>
          </c:val>
          <c:extLst xmlns:c16r2="http://schemas.microsoft.com/office/drawing/2015/06/chart">
            <c:ext xmlns:c16="http://schemas.microsoft.com/office/drawing/2014/chart" uri="{C3380CC4-5D6E-409C-BE32-E72D297353CC}">
              <c16:uniqueId val="{00000000-CE1D-4EBF-A30D-9C4E57613E3E}"/>
            </c:ext>
          </c:extLst>
        </c:ser>
        <c:ser>
          <c:idx val="1"/>
          <c:order val="1"/>
          <c:tx>
            <c:strRef>
              <c:f>Sheet2!$C$1</c:f>
              <c:strCache>
                <c:ptCount val="1"/>
                <c:pt idx="0">
                  <c:v>2nd Class (upper) </c:v>
                </c:pt>
              </c:strCache>
            </c:strRef>
          </c:tx>
          <c:spPr>
            <a:solidFill>
              <a:schemeClr val="tx1">
                <a:lumMod val="50000"/>
                <a:lumOff val="50000"/>
              </a:schemeClr>
            </a:solidFill>
            <a:ln>
              <a:noFill/>
            </a:ln>
            <a:effectLst/>
          </c:spPr>
          <c:invertIfNegative val="0"/>
          <c:cat>
            <c:strRef>
              <c:f>Sheet2!$A$2:$A$9</c:f>
              <c:strCache>
                <c:ptCount val="8"/>
                <c:pt idx="0">
                  <c:v>300</c:v>
                </c:pt>
                <c:pt idx="1">
                  <c:v>320</c:v>
                </c:pt>
                <c:pt idx="2">
                  <c:v>340</c:v>
                </c:pt>
                <c:pt idx="3">
                  <c:v>360</c:v>
                </c:pt>
                <c:pt idx="4">
                  <c:v>380</c:v>
                </c:pt>
                <c:pt idx="5">
                  <c:v>400</c:v>
                </c:pt>
                <c:pt idx="6">
                  <c:v>420</c:v>
                </c:pt>
                <c:pt idx="7">
                  <c:v>Total</c:v>
                </c:pt>
              </c:strCache>
            </c:strRef>
          </c:cat>
          <c:val>
            <c:numRef>
              <c:f>Sheet2!$C$2:$C$9</c:f>
              <c:numCache>
                <c:formatCode>General</c:formatCode>
                <c:ptCount val="8"/>
                <c:pt idx="0">
                  <c:v>2</c:v>
                </c:pt>
                <c:pt idx="1">
                  <c:v>0</c:v>
                </c:pt>
                <c:pt idx="2">
                  <c:v>2</c:v>
                </c:pt>
                <c:pt idx="3">
                  <c:v>3</c:v>
                </c:pt>
                <c:pt idx="4">
                  <c:v>1</c:v>
                </c:pt>
                <c:pt idx="5">
                  <c:v>3</c:v>
                </c:pt>
                <c:pt idx="6">
                  <c:v>5</c:v>
                </c:pt>
                <c:pt idx="7">
                  <c:v>16</c:v>
                </c:pt>
              </c:numCache>
            </c:numRef>
          </c:val>
          <c:extLst xmlns:c16r2="http://schemas.microsoft.com/office/drawing/2015/06/chart">
            <c:ext xmlns:c16="http://schemas.microsoft.com/office/drawing/2014/chart" uri="{C3380CC4-5D6E-409C-BE32-E72D297353CC}">
              <c16:uniqueId val="{00000001-CE1D-4EBF-A30D-9C4E57613E3E}"/>
            </c:ext>
          </c:extLst>
        </c:ser>
        <c:ser>
          <c:idx val="2"/>
          <c:order val="2"/>
          <c:tx>
            <c:strRef>
              <c:f>Sheet2!$D$1</c:f>
              <c:strCache>
                <c:ptCount val="1"/>
                <c:pt idx="0">
                  <c:v>2nd class (lower)</c:v>
                </c:pt>
              </c:strCache>
            </c:strRef>
          </c:tx>
          <c:spPr>
            <a:solidFill>
              <a:schemeClr val="bg2">
                <a:lumMod val="90000"/>
              </a:schemeClr>
            </a:solidFill>
            <a:ln>
              <a:noFill/>
            </a:ln>
            <a:effectLst/>
          </c:spPr>
          <c:invertIfNegative val="0"/>
          <c:cat>
            <c:strRef>
              <c:f>Sheet2!$A$2:$A$9</c:f>
              <c:strCache>
                <c:ptCount val="8"/>
                <c:pt idx="0">
                  <c:v>300</c:v>
                </c:pt>
                <c:pt idx="1">
                  <c:v>320</c:v>
                </c:pt>
                <c:pt idx="2">
                  <c:v>340</c:v>
                </c:pt>
                <c:pt idx="3">
                  <c:v>360</c:v>
                </c:pt>
                <c:pt idx="4">
                  <c:v>380</c:v>
                </c:pt>
                <c:pt idx="5">
                  <c:v>400</c:v>
                </c:pt>
                <c:pt idx="6">
                  <c:v>420</c:v>
                </c:pt>
                <c:pt idx="7">
                  <c:v>Total</c:v>
                </c:pt>
              </c:strCache>
            </c:strRef>
          </c:cat>
          <c:val>
            <c:numRef>
              <c:f>Sheet2!$D$2:$D$9</c:f>
              <c:numCache>
                <c:formatCode>General</c:formatCode>
                <c:ptCount val="8"/>
                <c:pt idx="0">
                  <c:v>0</c:v>
                </c:pt>
                <c:pt idx="1">
                  <c:v>1</c:v>
                </c:pt>
                <c:pt idx="2">
                  <c:v>0</c:v>
                </c:pt>
                <c:pt idx="3">
                  <c:v>0</c:v>
                </c:pt>
                <c:pt idx="4">
                  <c:v>0</c:v>
                </c:pt>
                <c:pt idx="5">
                  <c:v>1</c:v>
                </c:pt>
                <c:pt idx="6">
                  <c:v>2</c:v>
                </c:pt>
                <c:pt idx="7">
                  <c:v>4</c:v>
                </c:pt>
              </c:numCache>
            </c:numRef>
          </c:val>
          <c:extLst xmlns:c16r2="http://schemas.microsoft.com/office/drawing/2015/06/chart">
            <c:ext xmlns:c16="http://schemas.microsoft.com/office/drawing/2014/chart" uri="{C3380CC4-5D6E-409C-BE32-E72D297353CC}">
              <c16:uniqueId val="{00000002-CE1D-4EBF-A30D-9C4E57613E3E}"/>
            </c:ext>
          </c:extLst>
        </c:ser>
        <c:ser>
          <c:idx val="3"/>
          <c:order val="3"/>
          <c:tx>
            <c:strRef>
              <c:f>Sheet2!$E$1</c:f>
              <c:strCache>
                <c:ptCount val="1"/>
                <c:pt idx="0">
                  <c:v>3rd</c:v>
                </c:pt>
              </c:strCache>
            </c:strRef>
          </c:tx>
          <c:spPr>
            <a:solidFill>
              <a:schemeClr val="tx2">
                <a:lumMod val="50000"/>
              </a:schemeClr>
            </a:solidFill>
            <a:ln>
              <a:noFill/>
            </a:ln>
            <a:effectLst/>
          </c:spPr>
          <c:invertIfNegative val="0"/>
          <c:cat>
            <c:strRef>
              <c:f>Sheet2!$A$2:$A$9</c:f>
              <c:strCache>
                <c:ptCount val="8"/>
                <c:pt idx="0">
                  <c:v>300</c:v>
                </c:pt>
                <c:pt idx="1">
                  <c:v>320</c:v>
                </c:pt>
                <c:pt idx="2">
                  <c:v>340</c:v>
                </c:pt>
                <c:pt idx="3">
                  <c:v>360</c:v>
                </c:pt>
                <c:pt idx="4">
                  <c:v>380</c:v>
                </c:pt>
                <c:pt idx="5">
                  <c:v>400</c:v>
                </c:pt>
                <c:pt idx="6">
                  <c:v>420</c:v>
                </c:pt>
                <c:pt idx="7">
                  <c:v>Total</c:v>
                </c:pt>
              </c:strCache>
            </c:strRef>
          </c:cat>
          <c:val>
            <c:numRef>
              <c:f>Sheet2!$E$2:$E$9</c:f>
              <c:numCache>
                <c:formatCode>General</c:formatCode>
                <c:ptCount val="8"/>
                <c:pt idx="0">
                  <c:v>0</c:v>
                </c:pt>
                <c:pt idx="1">
                  <c:v>0</c:v>
                </c:pt>
                <c:pt idx="2">
                  <c:v>0</c:v>
                </c:pt>
                <c:pt idx="3">
                  <c:v>0</c:v>
                </c:pt>
                <c:pt idx="4">
                  <c:v>0</c:v>
                </c:pt>
                <c:pt idx="5">
                  <c:v>1</c:v>
                </c:pt>
                <c:pt idx="6">
                  <c:v>0</c:v>
                </c:pt>
                <c:pt idx="7">
                  <c:v>1</c:v>
                </c:pt>
              </c:numCache>
            </c:numRef>
          </c:val>
          <c:extLst xmlns:c16r2="http://schemas.microsoft.com/office/drawing/2015/06/chart">
            <c:ext xmlns:c16="http://schemas.microsoft.com/office/drawing/2014/chart" uri="{C3380CC4-5D6E-409C-BE32-E72D297353CC}">
              <c16:uniqueId val="{00000003-CE1D-4EBF-A30D-9C4E57613E3E}"/>
            </c:ext>
          </c:extLst>
        </c:ser>
        <c:dLbls>
          <c:showLegendKey val="0"/>
          <c:showVal val="0"/>
          <c:showCatName val="0"/>
          <c:showSerName val="0"/>
          <c:showPercent val="0"/>
          <c:showBubbleSize val="0"/>
        </c:dLbls>
        <c:gapWidth val="219"/>
        <c:overlap val="-27"/>
        <c:axId val="181523608"/>
        <c:axId val="181524000"/>
      </c:barChart>
      <c:catAx>
        <c:axId val="18152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524000"/>
        <c:crosses val="autoZero"/>
        <c:auto val="1"/>
        <c:lblAlgn val="ctr"/>
        <c:lblOffset val="100"/>
        <c:noMultiLvlLbl val="0"/>
      </c:catAx>
      <c:valAx>
        <c:axId val="1815240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15236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338B-1DE0-4F2C-A86D-1BDFC18E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24</Pages>
  <Words>41300</Words>
  <Characters>235410</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S.L.</dc:creator>
  <cp:keywords/>
  <dc:description/>
  <cp:lastModifiedBy>Mcginley S.L.</cp:lastModifiedBy>
  <cp:revision>13</cp:revision>
  <dcterms:created xsi:type="dcterms:W3CDTF">2020-04-14T14:10:00Z</dcterms:created>
  <dcterms:modified xsi:type="dcterms:W3CDTF">2020-04-15T00:10:00Z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d3fd70df-853c-3a32-a5d4-48c1cdcb236a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