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E2923" w14:textId="77777777" w:rsidR="0034101A" w:rsidRPr="00477FF6" w:rsidRDefault="0034101A" w:rsidP="00FE36C2">
      <w:pPr>
        <w:pStyle w:val="NoSpacing"/>
        <w:spacing w:line="276" w:lineRule="auto"/>
        <w:jc w:val="both"/>
        <w:rPr>
          <w:rFonts w:ascii="Arial" w:hAnsi="Arial" w:cs="Arial"/>
          <w:b/>
          <w:sz w:val="28"/>
          <w:szCs w:val="28"/>
          <w:lang w:val="en-US"/>
        </w:rPr>
      </w:pPr>
      <w:bookmarkStart w:id="0" w:name="_GoBack"/>
      <w:bookmarkEnd w:id="0"/>
      <w:r w:rsidRPr="00477FF6">
        <w:rPr>
          <w:rFonts w:ascii="Arial" w:hAnsi="Arial" w:cs="Arial"/>
          <w:b/>
          <w:sz w:val="28"/>
          <w:szCs w:val="28"/>
          <w:lang w:val="en-US"/>
        </w:rPr>
        <w:t>Why do hospital prescribers continue antibiotics when it is safe to stop? Results of a choice experiment survey</w:t>
      </w:r>
    </w:p>
    <w:p w14:paraId="045DA5E0" w14:textId="77777777" w:rsidR="0034101A" w:rsidRPr="00647FC2" w:rsidRDefault="0034101A" w:rsidP="00FE36C2">
      <w:pPr>
        <w:pStyle w:val="NoSpacing"/>
        <w:spacing w:line="276" w:lineRule="auto"/>
        <w:contextualSpacing/>
        <w:jc w:val="both"/>
        <w:rPr>
          <w:rStyle w:val="Emphasis"/>
          <w:rFonts w:ascii="Arial" w:hAnsi="Arial" w:cs="Arial"/>
          <w:b/>
          <w:i w:val="0"/>
          <w:iCs w:val="0"/>
          <w:sz w:val="24"/>
          <w:szCs w:val="24"/>
          <w:lang w:val="en-US"/>
        </w:rPr>
      </w:pPr>
    </w:p>
    <w:p w14:paraId="17B13FD2" w14:textId="1658EA02" w:rsidR="0034101A" w:rsidRPr="00794A31" w:rsidRDefault="0034101A" w:rsidP="00FE36C2">
      <w:pPr>
        <w:spacing w:after="0" w:line="276" w:lineRule="auto"/>
        <w:jc w:val="both"/>
        <w:rPr>
          <w:rFonts w:ascii="Arial" w:hAnsi="Arial" w:cs="Arial"/>
          <w:b/>
          <w:sz w:val="24"/>
          <w:szCs w:val="24"/>
        </w:rPr>
      </w:pPr>
      <w:r w:rsidRPr="00F931BB">
        <w:rPr>
          <w:rStyle w:val="Emphasis"/>
          <w:rFonts w:ascii="Arial" w:hAnsi="Arial" w:cs="Arial"/>
          <w:b/>
          <w:i w:val="0"/>
          <w:sz w:val="24"/>
          <w:szCs w:val="24"/>
        </w:rPr>
        <w:t xml:space="preserve">Laurence </w:t>
      </w:r>
      <w:r w:rsidRPr="00477FF6">
        <w:rPr>
          <w:rStyle w:val="Emphasis"/>
          <w:rFonts w:ascii="Arial" w:hAnsi="Arial" w:cs="Arial"/>
          <w:b/>
          <w:i w:val="0"/>
          <w:sz w:val="24"/>
          <w:szCs w:val="24"/>
        </w:rPr>
        <w:t>S.J. Roope</w:t>
      </w:r>
      <w:r w:rsidRPr="00477FF6">
        <w:rPr>
          <w:rStyle w:val="Emphasis"/>
          <w:rFonts w:ascii="Arial" w:hAnsi="Arial" w:cs="Arial"/>
          <w:b/>
          <w:i w:val="0"/>
          <w:sz w:val="24"/>
          <w:szCs w:val="24"/>
          <w:vertAlign w:val="superscript"/>
        </w:rPr>
        <w:t>1,2</w:t>
      </w:r>
      <w:r w:rsidR="00EA6842" w:rsidRPr="00477FF6">
        <w:rPr>
          <w:rStyle w:val="Emphasis"/>
          <w:rFonts w:ascii="Arial" w:hAnsi="Arial" w:cs="Arial"/>
          <w:b/>
          <w:i w:val="0"/>
          <w:sz w:val="24"/>
          <w:szCs w:val="24"/>
          <w:vertAlign w:val="superscript"/>
        </w:rPr>
        <w:t>,3</w:t>
      </w:r>
      <w:r w:rsidRPr="00794A31">
        <w:rPr>
          <w:rStyle w:val="Emphasis"/>
          <w:rFonts w:ascii="Arial" w:hAnsi="Arial" w:cs="Arial"/>
          <w:b/>
          <w:i w:val="0"/>
          <w:sz w:val="24"/>
          <w:szCs w:val="24"/>
          <w:vertAlign w:val="superscript"/>
        </w:rPr>
        <w:t>*</w:t>
      </w:r>
      <w:r w:rsidRPr="00794A31">
        <w:rPr>
          <w:rStyle w:val="Emphasis"/>
          <w:rFonts w:ascii="Arial" w:hAnsi="Arial" w:cs="Arial"/>
          <w:b/>
          <w:i w:val="0"/>
          <w:sz w:val="24"/>
          <w:szCs w:val="24"/>
        </w:rPr>
        <w:t>, James Buchanan</w:t>
      </w:r>
      <w:r w:rsidRPr="00794A31">
        <w:rPr>
          <w:rStyle w:val="Emphasis"/>
          <w:rFonts w:ascii="Arial" w:hAnsi="Arial" w:cs="Arial"/>
          <w:b/>
          <w:i w:val="0"/>
          <w:sz w:val="24"/>
          <w:szCs w:val="24"/>
          <w:vertAlign w:val="superscript"/>
        </w:rPr>
        <w:t>1,2</w:t>
      </w:r>
      <w:r w:rsidR="00EA6842" w:rsidRPr="00794A31">
        <w:rPr>
          <w:rStyle w:val="Emphasis"/>
          <w:rFonts w:ascii="Arial" w:hAnsi="Arial" w:cs="Arial"/>
          <w:b/>
          <w:i w:val="0"/>
          <w:sz w:val="24"/>
          <w:szCs w:val="24"/>
          <w:vertAlign w:val="superscript"/>
        </w:rPr>
        <w:t>,3</w:t>
      </w:r>
      <w:r w:rsidRPr="00794A31">
        <w:rPr>
          <w:rStyle w:val="Emphasis"/>
          <w:rFonts w:ascii="Arial" w:hAnsi="Arial" w:cs="Arial"/>
          <w:b/>
          <w:i w:val="0"/>
          <w:sz w:val="24"/>
          <w:szCs w:val="24"/>
        </w:rPr>
        <w:t>, Liz Morrell</w:t>
      </w:r>
      <w:r w:rsidRPr="00794A31">
        <w:rPr>
          <w:rStyle w:val="Emphasis"/>
          <w:rFonts w:ascii="Arial" w:hAnsi="Arial" w:cs="Arial"/>
          <w:b/>
          <w:i w:val="0"/>
          <w:sz w:val="24"/>
          <w:szCs w:val="24"/>
          <w:vertAlign w:val="superscript"/>
        </w:rPr>
        <w:t>1</w:t>
      </w:r>
      <w:r w:rsidRPr="00794A31">
        <w:rPr>
          <w:rStyle w:val="Emphasis"/>
          <w:rFonts w:ascii="Arial" w:hAnsi="Arial" w:cs="Arial"/>
          <w:b/>
          <w:i w:val="0"/>
          <w:sz w:val="24"/>
          <w:szCs w:val="24"/>
        </w:rPr>
        <w:t>, Koen B. Pouwels</w:t>
      </w:r>
      <w:r w:rsidRPr="00794A31">
        <w:rPr>
          <w:rStyle w:val="Emphasis"/>
          <w:rFonts w:ascii="Arial" w:hAnsi="Arial" w:cs="Arial"/>
          <w:b/>
          <w:i w:val="0"/>
          <w:sz w:val="24"/>
          <w:szCs w:val="24"/>
          <w:vertAlign w:val="superscript"/>
        </w:rPr>
        <w:t>1</w:t>
      </w:r>
      <w:r w:rsidR="00EA6842" w:rsidRPr="00794A31">
        <w:rPr>
          <w:rStyle w:val="Emphasis"/>
          <w:rFonts w:ascii="Arial" w:hAnsi="Arial" w:cs="Arial"/>
          <w:b/>
          <w:i w:val="0"/>
          <w:sz w:val="24"/>
          <w:szCs w:val="24"/>
          <w:vertAlign w:val="superscript"/>
        </w:rPr>
        <w:t>,3</w:t>
      </w:r>
      <w:r w:rsidRPr="00794A31">
        <w:rPr>
          <w:rStyle w:val="Emphasis"/>
          <w:rFonts w:ascii="Arial" w:hAnsi="Arial" w:cs="Arial"/>
          <w:b/>
          <w:i w:val="0"/>
          <w:sz w:val="24"/>
          <w:szCs w:val="24"/>
        </w:rPr>
        <w:t>, Katy Sivyer</w:t>
      </w:r>
      <w:r w:rsidR="00EA6842" w:rsidRPr="00794A31">
        <w:rPr>
          <w:rStyle w:val="Emphasis"/>
          <w:rFonts w:ascii="Arial" w:hAnsi="Arial" w:cs="Arial"/>
          <w:b/>
          <w:i w:val="0"/>
          <w:sz w:val="24"/>
          <w:szCs w:val="24"/>
          <w:vertAlign w:val="superscript"/>
        </w:rPr>
        <w:t>4</w:t>
      </w:r>
      <w:r w:rsidRPr="00794A31">
        <w:rPr>
          <w:rStyle w:val="Emphasis"/>
          <w:rFonts w:ascii="Arial" w:hAnsi="Arial" w:cs="Arial"/>
          <w:b/>
          <w:i w:val="0"/>
          <w:sz w:val="24"/>
          <w:szCs w:val="24"/>
        </w:rPr>
        <w:t>, Fiona Mowbray</w:t>
      </w:r>
      <w:r w:rsidR="00EA6842" w:rsidRPr="00794A31">
        <w:rPr>
          <w:rStyle w:val="Emphasis"/>
          <w:rFonts w:ascii="Arial" w:hAnsi="Arial" w:cs="Arial"/>
          <w:b/>
          <w:i w:val="0"/>
          <w:sz w:val="24"/>
          <w:szCs w:val="24"/>
          <w:vertAlign w:val="superscript"/>
        </w:rPr>
        <w:t>4</w:t>
      </w:r>
      <w:r w:rsidRPr="00794A31">
        <w:rPr>
          <w:rStyle w:val="Emphasis"/>
          <w:rFonts w:ascii="Arial" w:hAnsi="Arial" w:cs="Arial"/>
          <w:b/>
          <w:i w:val="0"/>
          <w:sz w:val="24"/>
          <w:szCs w:val="24"/>
        </w:rPr>
        <w:t>, Lucy Abel</w:t>
      </w:r>
      <w:r w:rsidR="00EA6842" w:rsidRPr="00794A31">
        <w:rPr>
          <w:rStyle w:val="Emphasis"/>
          <w:rFonts w:ascii="Arial" w:hAnsi="Arial" w:cs="Arial"/>
          <w:b/>
          <w:i w:val="0"/>
          <w:sz w:val="24"/>
          <w:szCs w:val="24"/>
          <w:vertAlign w:val="superscript"/>
        </w:rPr>
        <w:t>5</w:t>
      </w:r>
      <w:r w:rsidRPr="00794A31">
        <w:rPr>
          <w:rStyle w:val="Emphasis"/>
          <w:rFonts w:ascii="Arial" w:hAnsi="Arial" w:cs="Arial"/>
          <w:b/>
          <w:i w:val="0"/>
          <w:sz w:val="24"/>
          <w:szCs w:val="24"/>
        </w:rPr>
        <w:t>, Elizabeth L.A. Cross</w:t>
      </w:r>
      <w:r w:rsidR="00EA6842" w:rsidRPr="00794A31">
        <w:rPr>
          <w:rStyle w:val="Emphasis"/>
          <w:rFonts w:ascii="Arial" w:hAnsi="Arial" w:cs="Arial"/>
          <w:b/>
          <w:i w:val="0"/>
          <w:sz w:val="24"/>
          <w:szCs w:val="24"/>
          <w:vertAlign w:val="superscript"/>
        </w:rPr>
        <w:t>6</w:t>
      </w:r>
      <w:r w:rsidRPr="00794A31">
        <w:rPr>
          <w:rStyle w:val="Emphasis"/>
          <w:rFonts w:ascii="Arial" w:hAnsi="Arial" w:cs="Arial"/>
          <w:b/>
          <w:i w:val="0"/>
          <w:sz w:val="24"/>
          <w:szCs w:val="24"/>
        </w:rPr>
        <w:t>, Lucy Yardley</w:t>
      </w:r>
      <w:r w:rsidR="00EA6842" w:rsidRPr="00794A31">
        <w:rPr>
          <w:rStyle w:val="Emphasis"/>
          <w:rFonts w:ascii="Arial" w:hAnsi="Arial" w:cs="Arial"/>
          <w:b/>
          <w:i w:val="0"/>
          <w:sz w:val="24"/>
          <w:szCs w:val="24"/>
          <w:vertAlign w:val="superscript"/>
        </w:rPr>
        <w:t>4</w:t>
      </w:r>
      <w:r w:rsidRPr="00794A31">
        <w:rPr>
          <w:rStyle w:val="Emphasis"/>
          <w:rFonts w:ascii="Arial" w:hAnsi="Arial" w:cs="Arial"/>
          <w:b/>
          <w:i w:val="0"/>
          <w:sz w:val="24"/>
          <w:szCs w:val="24"/>
          <w:vertAlign w:val="superscript"/>
        </w:rPr>
        <w:t>,</w:t>
      </w:r>
      <w:r w:rsidR="00EA6842" w:rsidRPr="00794A31">
        <w:rPr>
          <w:rStyle w:val="Emphasis"/>
          <w:rFonts w:ascii="Arial" w:hAnsi="Arial" w:cs="Arial"/>
          <w:b/>
          <w:i w:val="0"/>
          <w:sz w:val="24"/>
          <w:szCs w:val="24"/>
          <w:vertAlign w:val="superscript"/>
        </w:rPr>
        <w:t>7</w:t>
      </w:r>
      <w:r w:rsidRPr="00794A31">
        <w:rPr>
          <w:rStyle w:val="Emphasis"/>
          <w:rFonts w:ascii="Arial" w:hAnsi="Arial" w:cs="Arial"/>
          <w:b/>
          <w:i w:val="0"/>
          <w:sz w:val="24"/>
          <w:szCs w:val="24"/>
        </w:rPr>
        <w:t>, Tim Peto</w:t>
      </w:r>
      <w:r w:rsidRPr="00794A31">
        <w:rPr>
          <w:rStyle w:val="Emphasis"/>
          <w:rFonts w:ascii="Arial" w:hAnsi="Arial" w:cs="Arial"/>
          <w:b/>
          <w:i w:val="0"/>
          <w:sz w:val="24"/>
          <w:szCs w:val="24"/>
          <w:vertAlign w:val="superscript"/>
        </w:rPr>
        <w:t>2,</w:t>
      </w:r>
      <w:r w:rsidR="00EA6842" w:rsidRPr="00794A31">
        <w:rPr>
          <w:rStyle w:val="Emphasis"/>
          <w:rFonts w:ascii="Arial" w:hAnsi="Arial" w:cs="Arial"/>
          <w:b/>
          <w:i w:val="0"/>
          <w:sz w:val="24"/>
          <w:szCs w:val="24"/>
          <w:vertAlign w:val="superscript"/>
        </w:rPr>
        <w:t>8</w:t>
      </w:r>
      <w:r w:rsidRPr="00794A31">
        <w:rPr>
          <w:rStyle w:val="Emphasis"/>
          <w:rFonts w:ascii="Arial" w:hAnsi="Arial" w:cs="Arial"/>
          <w:b/>
          <w:i w:val="0"/>
          <w:sz w:val="24"/>
          <w:szCs w:val="24"/>
          <w:vertAlign w:val="superscript"/>
        </w:rPr>
        <w:t>,</w:t>
      </w:r>
      <w:r w:rsidR="00EA6842" w:rsidRPr="00794A31">
        <w:rPr>
          <w:rStyle w:val="Emphasis"/>
          <w:rFonts w:ascii="Arial" w:hAnsi="Arial" w:cs="Arial"/>
          <w:b/>
          <w:i w:val="0"/>
          <w:sz w:val="24"/>
          <w:szCs w:val="24"/>
          <w:vertAlign w:val="superscript"/>
        </w:rPr>
        <w:t>9</w:t>
      </w:r>
      <w:r w:rsidRPr="00794A31">
        <w:rPr>
          <w:rStyle w:val="Emphasis"/>
          <w:rFonts w:ascii="Arial" w:hAnsi="Arial" w:cs="Arial"/>
          <w:b/>
          <w:i w:val="0"/>
          <w:sz w:val="24"/>
          <w:szCs w:val="24"/>
        </w:rPr>
        <w:t>, A. Sarah Walker</w:t>
      </w:r>
      <w:r w:rsidRPr="00794A31">
        <w:rPr>
          <w:rStyle w:val="Emphasis"/>
          <w:rFonts w:ascii="Arial" w:hAnsi="Arial" w:cs="Arial"/>
          <w:b/>
          <w:i w:val="0"/>
          <w:sz w:val="24"/>
          <w:szCs w:val="24"/>
          <w:vertAlign w:val="superscript"/>
        </w:rPr>
        <w:t>2,</w:t>
      </w:r>
      <w:r w:rsidR="00EA6842" w:rsidRPr="00794A31">
        <w:rPr>
          <w:rStyle w:val="Emphasis"/>
          <w:rFonts w:ascii="Arial" w:hAnsi="Arial" w:cs="Arial"/>
          <w:b/>
          <w:i w:val="0"/>
          <w:sz w:val="24"/>
          <w:szCs w:val="24"/>
          <w:vertAlign w:val="superscript"/>
        </w:rPr>
        <w:t>3,8</w:t>
      </w:r>
      <w:r w:rsidRPr="00794A31">
        <w:rPr>
          <w:rStyle w:val="Emphasis"/>
          <w:rFonts w:ascii="Arial" w:hAnsi="Arial" w:cs="Arial"/>
          <w:b/>
          <w:i w:val="0"/>
          <w:sz w:val="24"/>
          <w:szCs w:val="24"/>
        </w:rPr>
        <w:t>, Martin J. Llewelyn</w:t>
      </w:r>
      <w:r w:rsidR="00EA6842" w:rsidRPr="00794A31">
        <w:rPr>
          <w:rStyle w:val="Emphasis"/>
          <w:rFonts w:ascii="Arial" w:hAnsi="Arial" w:cs="Arial"/>
          <w:b/>
          <w:i w:val="0"/>
          <w:sz w:val="24"/>
          <w:szCs w:val="24"/>
          <w:vertAlign w:val="superscript"/>
        </w:rPr>
        <w:t>6</w:t>
      </w:r>
      <w:r w:rsidR="00597317" w:rsidRPr="00794A31">
        <w:rPr>
          <w:rStyle w:val="Emphasis"/>
          <w:rFonts w:ascii="Arial" w:hAnsi="Arial" w:cs="Arial"/>
          <w:b/>
          <w:i w:val="0"/>
          <w:sz w:val="24"/>
          <w:szCs w:val="24"/>
          <w:vertAlign w:val="superscript"/>
        </w:rPr>
        <w:t>,</w:t>
      </w:r>
      <w:r w:rsidR="00EA6842" w:rsidRPr="00794A31">
        <w:rPr>
          <w:rStyle w:val="Emphasis"/>
          <w:rFonts w:ascii="Arial" w:hAnsi="Arial" w:cs="Arial"/>
          <w:b/>
          <w:i w:val="0"/>
          <w:sz w:val="24"/>
          <w:szCs w:val="24"/>
          <w:vertAlign w:val="superscript"/>
        </w:rPr>
        <w:t>10</w:t>
      </w:r>
      <w:r w:rsidRPr="00794A31">
        <w:rPr>
          <w:rStyle w:val="Emphasis"/>
          <w:rFonts w:ascii="Arial" w:hAnsi="Arial" w:cs="Arial"/>
          <w:b/>
          <w:i w:val="0"/>
          <w:sz w:val="24"/>
          <w:szCs w:val="24"/>
        </w:rPr>
        <w:t xml:space="preserve"> and Sarah Wordsworth</w:t>
      </w:r>
      <w:r w:rsidRPr="00794A31">
        <w:rPr>
          <w:rStyle w:val="Emphasis"/>
          <w:rFonts w:ascii="Arial" w:hAnsi="Arial" w:cs="Arial"/>
          <w:b/>
          <w:i w:val="0"/>
          <w:sz w:val="24"/>
          <w:szCs w:val="24"/>
          <w:vertAlign w:val="superscript"/>
        </w:rPr>
        <w:t>1,2</w:t>
      </w:r>
      <w:r w:rsidRPr="00794A31">
        <w:rPr>
          <w:rStyle w:val="Emphasis"/>
          <w:rFonts w:ascii="Arial" w:hAnsi="Arial" w:cs="Arial"/>
          <w:b/>
          <w:i w:val="0"/>
          <w:sz w:val="24"/>
          <w:szCs w:val="24"/>
        </w:rPr>
        <w:t xml:space="preserve"> </w:t>
      </w:r>
    </w:p>
    <w:p w14:paraId="05EA0CAC" w14:textId="77777777" w:rsidR="0034101A" w:rsidRPr="00FD385C" w:rsidRDefault="0034101A" w:rsidP="00FE36C2">
      <w:pPr>
        <w:spacing w:after="200" w:line="276" w:lineRule="auto"/>
        <w:jc w:val="both"/>
        <w:rPr>
          <w:rFonts w:ascii="Arial" w:eastAsiaTheme="minorEastAsia" w:hAnsi="Arial" w:cs="Arial"/>
          <w:lang w:eastAsia="en-GB"/>
        </w:rPr>
      </w:pPr>
    </w:p>
    <w:p w14:paraId="100943D4" w14:textId="052A3397" w:rsidR="0034101A" w:rsidRPr="0034101A" w:rsidRDefault="0034101A" w:rsidP="00FE36C2">
      <w:pPr>
        <w:spacing w:line="276" w:lineRule="auto"/>
        <w:contextualSpacing/>
        <w:jc w:val="both"/>
        <w:rPr>
          <w:rFonts w:ascii="Arial" w:hAnsi="Arial" w:cs="Arial"/>
          <w:shd w:val="clear" w:color="auto" w:fill="FFFFFF"/>
        </w:rPr>
      </w:pPr>
      <w:r w:rsidRPr="00FD385C">
        <w:rPr>
          <w:rFonts w:ascii="Arial" w:eastAsiaTheme="minorEastAsia" w:hAnsi="Arial" w:cs="Arial"/>
          <w:lang w:eastAsia="en-GB"/>
        </w:rPr>
        <w:t>1. Health Economics Research Centre, Nuffield Department of Population Health, University of Oxford, UK</w:t>
      </w:r>
      <w:r w:rsidRPr="00FD385C">
        <w:rPr>
          <w:rFonts w:ascii="Arial" w:hAnsi="Arial" w:cs="Arial"/>
          <w:shd w:val="clear" w:color="auto" w:fill="FFFFFF"/>
        </w:rPr>
        <w:t>.</w:t>
      </w:r>
    </w:p>
    <w:p w14:paraId="70B9D163" w14:textId="23A2BDB3" w:rsidR="0034101A" w:rsidRDefault="0034101A" w:rsidP="00FE36C2">
      <w:pPr>
        <w:pStyle w:val="NoSpacing"/>
        <w:spacing w:after="240" w:line="276" w:lineRule="auto"/>
        <w:jc w:val="both"/>
        <w:rPr>
          <w:rFonts w:ascii="Arial" w:eastAsiaTheme="minorEastAsia" w:hAnsi="Arial" w:cs="Arial"/>
          <w:lang w:eastAsia="en-GB"/>
        </w:rPr>
      </w:pPr>
      <w:r>
        <w:rPr>
          <w:rFonts w:ascii="Arial" w:eastAsiaTheme="minorEastAsia" w:hAnsi="Arial" w:cs="Arial"/>
          <w:lang w:eastAsia="en-GB"/>
        </w:rPr>
        <w:t xml:space="preserve">2. </w:t>
      </w:r>
      <w:r w:rsidRPr="00932FF1">
        <w:rPr>
          <w:rFonts w:ascii="Arial" w:eastAsiaTheme="minorEastAsia" w:hAnsi="Arial" w:cs="Arial"/>
          <w:lang w:eastAsia="en-GB"/>
        </w:rPr>
        <w:t>NIHR Oxford Biomedical Research Centre, John Radcliffe Hospital, University of Oxford, UK.</w:t>
      </w:r>
    </w:p>
    <w:p w14:paraId="02E89CE7" w14:textId="40BB3CE8" w:rsidR="00EA6842" w:rsidRDefault="00EA6842" w:rsidP="00FE36C2">
      <w:pPr>
        <w:pStyle w:val="NoSpacing"/>
        <w:spacing w:after="240" w:line="276" w:lineRule="auto"/>
        <w:jc w:val="both"/>
        <w:rPr>
          <w:rFonts w:ascii="Arial" w:eastAsiaTheme="minorEastAsia" w:hAnsi="Arial" w:cs="Arial"/>
          <w:lang w:eastAsia="en-GB"/>
        </w:rPr>
      </w:pPr>
      <w:r>
        <w:rPr>
          <w:rFonts w:ascii="Arial" w:eastAsiaTheme="minorEastAsia" w:hAnsi="Arial" w:cs="Arial"/>
          <w:lang w:eastAsia="en-GB"/>
        </w:rPr>
        <w:t xml:space="preserve">3. </w:t>
      </w:r>
      <w:r w:rsidRPr="00F931BB">
        <w:rPr>
          <w:rFonts w:ascii="Arial" w:eastAsiaTheme="minorEastAsia" w:hAnsi="Arial" w:cs="Arial"/>
          <w:lang w:eastAsia="en-GB"/>
        </w:rPr>
        <w:t>NIHR Health Protection Research Unit (HPRU) in Healthcare Associated Infections and Antimicrobial Resistance at the University of Oxford in partnership with Public Health England (PHE)</w:t>
      </w:r>
      <w:r w:rsidR="00F931BB">
        <w:rPr>
          <w:rFonts w:ascii="Arial" w:eastAsiaTheme="minorEastAsia" w:hAnsi="Arial" w:cs="Arial"/>
          <w:lang w:eastAsia="en-GB"/>
        </w:rPr>
        <w:t>.</w:t>
      </w:r>
    </w:p>
    <w:p w14:paraId="0A32A8F9" w14:textId="5867E043" w:rsidR="0034101A" w:rsidRPr="00932FF1" w:rsidRDefault="00F931BB" w:rsidP="00FE36C2">
      <w:pPr>
        <w:pStyle w:val="NoSpacing"/>
        <w:spacing w:before="240" w:line="276" w:lineRule="auto"/>
        <w:contextualSpacing/>
        <w:jc w:val="both"/>
        <w:rPr>
          <w:rFonts w:ascii="Arial" w:eastAsiaTheme="minorEastAsia" w:hAnsi="Arial" w:cs="Arial"/>
          <w:lang w:eastAsia="en-GB"/>
        </w:rPr>
      </w:pPr>
      <w:r>
        <w:rPr>
          <w:rFonts w:ascii="Arial" w:eastAsiaTheme="minorEastAsia" w:hAnsi="Arial" w:cs="Arial"/>
          <w:lang w:eastAsia="en-GB"/>
        </w:rPr>
        <w:t>4</w:t>
      </w:r>
      <w:r w:rsidR="0034101A">
        <w:rPr>
          <w:rFonts w:ascii="Arial" w:eastAsiaTheme="minorEastAsia" w:hAnsi="Arial" w:cs="Arial"/>
          <w:lang w:eastAsia="en-GB"/>
        </w:rPr>
        <w:t xml:space="preserve">. </w:t>
      </w:r>
      <w:r w:rsidR="0034101A" w:rsidRPr="00955913">
        <w:rPr>
          <w:rFonts w:ascii="Arial" w:eastAsiaTheme="minorEastAsia" w:hAnsi="Arial" w:cs="Arial"/>
          <w:lang w:eastAsia="en-GB"/>
        </w:rPr>
        <w:t>Centre for Clinical and Community Applications of Health Psychology, University of Southampton, Southampton, UK</w:t>
      </w:r>
      <w:r>
        <w:rPr>
          <w:rFonts w:ascii="Arial" w:eastAsiaTheme="minorEastAsia" w:hAnsi="Arial" w:cs="Arial"/>
          <w:lang w:eastAsia="en-GB"/>
        </w:rPr>
        <w:t>.</w:t>
      </w:r>
    </w:p>
    <w:p w14:paraId="54890544" w14:textId="24135BB5" w:rsidR="0034101A" w:rsidRDefault="00F931BB" w:rsidP="00FE36C2">
      <w:pPr>
        <w:spacing w:before="100" w:beforeAutospacing="1" w:line="276" w:lineRule="auto"/>
        <w:contextualSpacing/>
        <w:jc w:val="both"/>
        <w:rPr>
          <w:rFonts w:ascii="Arial" w:eastAsiaTheme="minorEastAsia" w:hAnsi="Arial" w:cs="Arial"/>
          <w:lang w:eastAsia="en-GB"/>
        </w:rPr>
      </w:pPr>
      <w:r>
        <w:rPr>
          <w:rFonts w:ascii="Arial" w:eastAsiaTheme="minorEastAsia" w:hAnsi="Arial" w:cs="Arial"/>
          <w:lang w:eastAsia="en-GB"/>
        </w:rPr>
        <w:t>5</w:t>
      </w:r>
      <w:r w:rsidR="0034101A" w:rsidRPr="00932FF1">
        <w:rPr>
          <w:rFonts w:ascii="Arial" w:eastAsiaTheme="minorEastAsia" w:hAnsi="Arial" w:cs="Arial"/>
          <w:lang w:eastAsia="en-GB"/>
        </w:rPr>
        <w:t>. Nuffield Department of Primary Care Health Sciences, University of Oxford, UK.</w:t>
      </w:r>
    </w:p>
    <w:p w14:paraId="279BD882" w14:textId="77777777" w:rsidR="0034101A" w:rsidRPr="00932FF1" w:rsidRDefault="0034101A" w:rsidP="00FE36C2">
      <w:pPr>
        <w:spacing w:before="100" w:beforeAutospacing="1" w:line="276" w:lineRule="auto"/>
        <w:contextualSpacing/>
        <w:jc w:val="both"/>
        <w:rPr>
          <w:rFonts w:ascii="Arial" w:eastAsiaTheme="minorEastAsia" w:hAnsi="Arial" w:cs="Arial"/>
          <w:lang w:eastAsia="en-GB"/>
        </w:rPr>
      </w:pPr>
    </w:p>
    <w:p w14:paraId="11DC3B61" w14:textId="59DD8F3B" w:rsidR="0034101A" w:rsidRPr="00932FF1" w:rsidRDefault="00F931BB" w:rsidP="00FE36C2">
      <w:pPr>
        <w:jc w:val="both"/>
        <w:rPr>
          <w:rFonts w:ascii="Arial" w:eastAsiaTheme="minorEastAsia" w:hAnsi="Arial" w:cs="Arial"/>
          <w:lang w:eastAsia="en-GB"/>
        </w:rPr>
      </w:pPr>
      <w:r>
        <w:rPr>
          <w:rFonts w:ascii="Arial" w:eastAsiaTheme="minorEastAsia" w:hAnsi="Arial" w:cs="Arial"/>
          <w:lang w:eastAsia="en-GB"/>
        </w:rPr>
        <w:t>6</w:t>
      </w:r>
      <w:r w:rsidR="00A71AB9">
        <w:rPr>
          <w:rFonts w:ascii="Arial" w:eastAsiaTheme="minorEastAsia" w:hAnsi="Arial" w:cs="Arial"/>
          <w:lang w:eastAsia="en-GB"/>
        </w:rPr>
        <w:t xml:space="preserve">. </w:t>
      </w:r>
      <w:r w:rsidR="00597317" w:rsidRPr="00597317">
        <w:rPr>
          <w:rFonts w:ascii="Arial" w:eastAsiaTheme="minorEastAsia" w:hAnsi="Arial" w:cs="Arial"/>
          <w:lang w:eastAsia="en-GB"/>
        </w:rPr>
        <w:t>Department of Microbiology and Infection, Brighton and Sussex University Hospitals NHS Trust</w:t>
      </w:r>
      <w:r w:rsidR="00597317">
        <w:rPr>
          <w:rFonts w:ascii="Arial" w:eastAsiaTheme="minorEastAsia" w:hAnsi="Arial" w:cs="Arial"/>
          <w:lang w:eastAsia="en-GB"/>
        </w:rPr>
        <w:t xml:space="preserve">, </w:t>
      </w:r>
      <w:r w:rsidR="00597317" w:rsidRPr="00597317">
        <w:rPr>
          <w:rFonts w:ascii="Arial" w:eastAsiaTheme="minorEastAsia" w:hAnsi="Arial" w:cs="Arial"/>
          <w:lang w:eastAsia="en-GB"/>
        </w:rPr>
        <w:t>Eastern Road</w:t>
      </w:r>
      <w:r w:rsidR="00597317">
        <w:rPr>
          <w:rFonts w:ascii="Arial" w:eastAsiaTheme="minorEastAsia" w:hAnsi="Arial" w:cs="Arial"/>
          <w:lang w:eastAsia="en-GB"/>
        </w:rPr>
        <w:t xml:space="preserve">, </w:t>
      </w:r>
      <w:r w:rsidR="00597317" w:rsidRPr="00597317">
        <w:rPr>
          <w:rFonts w:ascii="Arial" w:eastAsiaTheme="minorEastAsia" w:hAnsi="Arial" w:cs="Arial"/>
          <w:lang w:eastAsia="en-GB"/>
        </w:rPr>
        <w:t>Brighton</w:t>
      </w:r>
      <w:r w:rsidR="00597317">
        <w:rPr>
          <w:rFonts w:ascii="Arial" w:eastAsiaTheme="minorEastAsia" w:hAnsi="Arial" w:cs="Arial"/>
          <w:lang w:eastAsia="en-GB"/>
        </w:rPr>
        <w:t>, UK</w:t>
      </w:r>
      <w:r>
        <w:rPr>
          <w:rFonts w:ascii="Arial" w:eastAsiaTheme="minorEastAsia" w:hAnsi="Arial" w:cs="Arial"/>
          <w:lang w:eastAsia="en-GB"/>
        </w:rPr>
        <w:t>.</w:t>
      </w:r>
      <w:r w:rsidR="00597317" w:rsidRPr="00597317">
        <w:rPr>
          <w:rFonts w:ascii="Arial" w:eastAsiaTheme="minorEastAsia" w:hAnsi="Arial" w:cs="Arial"/>
          <w:lang w:eastAsia="en-GB"/>
        </w:rPr>
        <w:t xml:space="preserve"> </w:t>
      </w:r>
    </w:p>
    <w:p w14:paraId="73C78E5E" w14:textId="68FAECA8" w:rsidR="0034101A" w:rsidRDefault="00F931BB" w:rsidP="00FE36C2">
      <w:pPr>
        <w:pStyle w:val="NoSpacing"/>
        <w:spacing w:before="240" w:after="240" w:line="276" w:lineRule="auto"/>
        <w:jc w:val="both"/>
        <w:rPr>
          <w:rFonts w:ascii="Arial" w:eastAsiaTheme="minorEastAsia" w:hAnsi="Arial" w:cs="Arial"/>
          <w:lang w:eastAsia="en-GB"/>
        </w:rPr>
      </w:pPr>
      <w:r>
        <w:rPr>
          <w:rFonts w:ascii="Arial" w:eastAsiaTheme="minorEastAsia" w:hAnsi="Arial" w:cs="Arial"/>
          <w:lang w:eastAsia="en-GB"/>
        </w:rPr>
        <w:t>7</w:t>
      </w:r>
      <w:r w:rsidR="0034101A">
        <w:rPr>
          <w:rFonts w:ascii="Arial" w:eastAsiaTheme="minorEastAsia" w:hAnsi="Arial" w:cs="Arial"/>
          <w:lang w:eastAsia="en-GB"/>
        </w:rPr>
        <w:t xml:space="preserve">. </w:t>
      </w:r>
      <w:r w:rsidR="0034101A" w:rsidRPr="000D1EB7">
        <w:rPr>
          <w:rFonts w:ascii="Arial" w:eastAsiaTheme="minorEastAsia" w:hAnsi="Arial" w:cs="Arial"/>
          <w:lang w:eastAsia="en-GB"/>
        </w:rPr>
        <w:t>School of Psychological Science, University of Bristol, Clifton, UK</w:t>
      </w:r>
      <w:r>
        <w:rPr>
          <w:rFonts w:ascii="Arial" w:eastAsiaTheme="minorEastAsia" w:hAnsi="Arial" w:cs="Arial"/>
          <w:lang w:eastAsia="en-GB"/>
        </w:rPr>
        <w:t>.</w:t>
      </w:r>
    </w:p>
    <w:p w14:paraId="648A511A" w14:textId="7D55E02A" w:rsidR="00AD261B" w:rsidRPr="00932FF1" w:rsidRDefault="00F931BB" w:rsidP="00FE36C2">
      <w:pPr>
        <w:pStyle w:val="NoSpacing"/>
        <w:spacing w:before="240" w:after="240" w:line="276" w:lineRule="auto"/>
        <w:jc w:val="both"/>
        <w:rPr>
          <w:rFonts w:ascii="Arial" w:eastAsiaTheme="minorEastAsia" w:hAnsi="Arial" w:cs="Arial"/>
          <w:lang w:eastAsia="en-GB"/>
        </w:rPr>
      </w:pPr>
      <w:r>
        <w:rPr>
          <w:rFonts w:ascii="Arial" w:eastAsiaTheme="minorEastAsia" w:hAnsi="Arial" w:cs="Arial"/>
          <w:lang w:eastAsia="en-GB"/>
        </w:rPr>
        <w:t>8</w:t>
      </w:r>
      <w:r w:rsidR="0034101A" w:rsidRPr="00932FF1">
        <w:rPr>
          <w:rFonts w:ascii="Arial" w:eastAsiaTheme="minorEastAsia" w:hAnsi="Arial" w:cs="Arial"/>
          <w:lang w:eastAsia="en-GB"/>
        </w:rPr>
        <w:t>. Nuffield Department of Medicine, University of Oxford, John Radcliffe Hospital, University of Oxford, UK.</w:t>
      </w:r>
    </w:p>
    <w:p w14:paraId="4096CE14" w14:textId="6285A41E" w:rsidR="0034101A" w:rsidRDefault="00F931BB" w:rsidP="00FE36C2">
      <w:pPr>
        <w:pStyle w:val="NoSpacing"/>
        <w:spacing w:after="240" w:line="276" w:lineRule="auto"/>
        <w:jc w:val="both"/>
        <w:rPr>
          <w:rFonts w:ascii="Arial" w:eastAsiaTheme="minorEastAsia" w:hAnsi="Arial" w:cs="Arial"/>
          <w:lang w:eastAsia="en-GB"/>
        </w:rPr>
      </w:pPr>
      <w:r>
        <w:rPr>
          <w:rFonts w:ascii="Arial" w:eastAsiaTheme="minorEastAsia" w:hAnsi="Arial" w:cs="Arial"/>
          <w:lang w:eastAsia="en-GB"/>
        </w:rPr>
        <w:t>9</w:t>
      </w:r>
      <w:r w:rsidR="0034101A" w:rsidRPr="00932FF1">
        <w:rPr>
          <w:rFonts w:ascii="Arial" w:eastAsiaTheme="minorEastAsia" w:hAnsi="Arial" w:cs="Arial"/>
          <w:lang w:eastAsia="en-GB"/>
        </w:rPr>
        <w:t>. Oxford University Hospitals NHS Trust, Oxford, UK.</w:t>
      </w:r>
    </w:p>
    <w:p w14:paraId="39B4A931" w14:textId="3BF5EC4A" w:rsidR="0034101A" w:rsidRPr="00932FF1" w:rsidRDefault="00F931BB" w:rsidP="00FE36C2">
      <w:pPr>
        <w:pStyle w:val="NoSpacing"/>
        <w:spacing w:line="276" w:lineRule="auto"/>
        <w:contextualSpacing/>
        <w:jc w:val="both"/>
        <w:rPr>
          <w:rFonts w:ascii="Arial" w:eastAsiaTheme="minorEastAsia" w:hAnsi="Arial" w:cs="Arial"/>
          <w:lang w:eastAsia="en-GB"/>
        </w:rPr>
      </w:pPr>
      <w:r>
        <w:rPr>
          <w:rFonts w:ascii="Arial" w:eastAsiaTheme="minorEastAsia" w:hAnsi="Arial" w:cs="Arial"/>
          <w:lang w:eastAsia="en-GB"/>
        </w:rPr>
        <w:t>10</w:t>
      </w:r>
      <w:r w:rsidR="0034101A">
        <w:rPr>
          <w:rFonts w:ascii="Arial" w:eastAsiaTheme="minorEastAsia" w:hAnsi="Arial" w:cs="Arial"/>
          <w:lang w:eastAsia="en-GB"/>
        </w:rPr>
        <w:t xml:space="preserve">. </w:t>
      </w:r>
      <w:r w:rsidR="0034101A" w:rsidRPr="004D0601">
        <w:rPr>
          <w:rFonts w:ascii="Arial" w:eastAsiaTheme="minorEastAsia" w:hAnsi="Arial" w:cs="Arial"/>
          <w:lang w:eastAsia="en-GB"/>
        </w:rPr>
        <w:t>Brighton and Sussex Medical School, Brighton, UK.</w:t>
      </w:r>
    </w:p>
    <w:p w14:paraId="76941EC2" w14:textId="77777777" w:rsidR="0034101A" w:rsidRPr="00647FC2" w:rsidRDefault="0034101A" w:rsidP="00FE36C2">
      <w:pPr>
        <w:spacing w:line="276" w:lineRule="auto"/>
        <w:jc w:val="both"/>
        <w:rPr>
          <w:rFonts w:ascii="Arial" w:hAnsi="Arial" w:cs="Arial"/>
        </w:rPr>
      </w:pPr>
    </w:p>
    <w:p w14:paraId="27448FE0" w14:textId="77777777" w:rsidR="0034101A" w:rsidRPr="00FD385C" w:rsidRDefault="0034101A" w:rsidP="00FE36C2">
      <w:pPr>
        <w:spacing w:line="276" w:lineRule="auto"/>
        <w:jc w:val="both"/>
        <w:rPr>
          <w:rFonts w:ascii="Arial" w:hAnsi="Arial" w:cs="Arial"/>
          <w:b/>
          <w:szCs w:val="24"/>
        </w:rPr>
      </w:pPr>
      <w:r w:rsidRPr="00FD385C">
        <w:rPr>
          <w:rFonts w:ascii="Arial" w:hAnsi="Arial" w:cs="Arial"/>
          <w:b/>
          <w:szCs w:val="24"/>
        </w:rPr>
        <w:t xml:space="preserve">* Correspondence to: </w:t>
      </w:r>
    </w:p>
    <w:p w14:paraId="0C504378" w14:textId="77777777" w:rsidR="0034101A" w:rsidRPr="00FD385C" w:rsidRDefault="0034101A" w:rsidP="00FE36C2">
      <w:pPr>
        <w:tabs>
          <w:tab w:val="left" w:pos="993"/>
        </w:tabs>
        <w:spacing w:line="276" w:lineRule="auto"/>
        <w:ind w:left="993" w:hanging="993"/>
        <w:jc w:val="both"/>
        <w:rPr>
          <w:rFonts w:ascii="Arial" w:hAnsi="Arial" w:cs="Arial"/>
          <w:szCs w:val="24"/>
        </w:rPr>
      </w:pPr>
      <w:r w:rsidRPr="00FD385C">
        <w:rPr>
          <w:rFonts w:ascii="Arial" w:hAnsi="Arial" w:cs="Arial"/>
        </w:rPr>
        <w:t xml:space="preserve">Name: </w:t>
      </w:r>
      <w:r w:rsidRPr="00FD385C">
        <w:rPr>
          <w:rFonts w:ascii="Arial" w:hAnsi="Arial" w:cs="Arial"/>
        </w:rPr>
        <w:tab/>
      </w:r>
      <w:r>
        <w:rPr>
          <w:rFonts w:ascii="Arial" w:hAnsi="Arial" w:cs="Arial"/>
          <w:szCs w:val="24"/>
        </w:rPr>
        <w:t>Dr Laurence Roope</w:t>
      </w:r>
      <w:r w:rsidRPr="00FD385C">
        <w:rPr>
          <w:rFonts w:ascii="Arial" w:hAnsi="Arial" w:cs="Arial"/>
          <w:szCs w:val="24"/>
        </w:rPr>
        <w:t xml:space="preserve"> </w:t>
      </w:r>
    </w:p>
    <w:p w14:paraId="7E3903D1" w14:textId="31644F50" w:rsidR="0034101A" w:rsidRPr="00FD385C" w:rsidRDefault="0034101A" w:rsidP="00FE36C2">
      <w:pPr>
        <w:tabs>
          <w:tab w:val="left" w:pos="993"/>
        </w:tabs>
        <w:spacing w:line="276" w:lineRule="auto"/>
        <w:ind w:left="993" w:hanging="993"/>
        <w:jc w:val="both"/>
        <w:rPr>
          <w:rFonts w:ascii="Arial" w:hAnsi="Arial" w:cs="Arial"/>
        </w:rPr>
      </w:pPr>
      <w:r w:rsidRPr="00FD385C">
        <w:rPr>
          <w:rFonts w:ascii="Arial" w:hAnsi="Arial" w:cs="Arial"/>
        </w:rPr>
        <w:t xml:space="preserve">Address: </w:t>
      </w:r>
      <w:r w:rsidRPr="00FD385C">
        <w:rPr>
          <w:rFonts w:ascii="Arial" w:hAnsi="Arial" w:cs="Arial"/>
        </w:rPr>
        <w:tab/>
        <w:t>Health Economics Research Centre, Nuffield Department of Population Health, University of Oxford, Old Road Campus, Headington, Oxford, OX3 7LF, UK</w:t>
      </w:r>
    </w:p>
    <w:p w14:paraId="6C547617" w14:textId="77777777" w:rsidR="0034101A" w:rsidRPr="00FD385C" w:rsidRDefault="0034101A" w:rsidP="00FE36C2">
      <w:pPr>
        <w:spacing w:after="200" w:line="276" w:lineRule="auto"/>
        <w:jc w:val="both"/>
        <w:rPr>
          <w:rStyle w:val="Hyperlink"/>
          <w:rFonts w:ascii="Arial" w:hAnsi="Arial" w:cs="Arial"/>
          <w:szCs w:val="24"/>
        </w:rPr>
      </w:pPr>
      <w:r w:rsidRPr="00FD385C">
        <w:rPr>
          <w:rFonts w:ascii="Arial" w:hAnsi="Arial" w:cs="Arial"/>
        </w:rPr>
        <w:t xml:space="preserve">Email: </w:t>
      </w:r>
      <w:hyperlink r:id="rId8" w:history="1">
        <w:r w:rsidRPr="002B2D4F">
          <w:rPr>
            <w:rStyle w:val="Hyperlink"/>
            <w:rFonts w:ascii="Arial" w:hAnsi="Arial" w:cs="Arial"/>
            <w:szCs w:val="24"/>
          </w:rPr>
          <w:t>laurence.roope@dph.ox.ac.uk</w:t>
        </w:r>
      </w:hyperlink>
    </w:p>
    <w:p w14:paraId="5A6C7A7B" w14:textId="3D238406" w:rsidR="00B01CA6" w:rsidRPr="00ED1268" w:rsidRDefault="006F37E3" w:rsidP="00FE36C2">
      <w:pPr>
        <w:spacing w:line="276" w:lineRule="auto"/>
        <w:jc w:val="both"/>
        <w:rPr>
          <w:rFonts w:ascii="Arial" w:hAnsi="Arial" w:cs="Arial"/>
        </w:rPr>
      </w:pPr>
      <w:hyperlink r:id="rId9" w:history="1">
        <w:r w:rsidR="00ED1268" w:rsidRPr="00ED1268">
          <w:rPr>
            <w:rFonts w:ascii="Arial" w:hAnsi="Arial" w:cs="Arial"/>
          </w:rPr>
          <w:t>Telephone</w:t>
        </w:r>
      </w:hyperlink>
      <w:r w:rsidR="00ED1268" w:rsidRPr="00ED1268">
        <w:rPr>
          <w:rFonts w:ascii="Arial" w:hAnsi="Arial" w:cs="Arial"/>
        </w:rPr>
        <w:t>: +44 (0)1865 617913</w:t>
      </w:r>
    </w:p>
    <w:p w14:paraId="3DB9942D" w14:textId="0E1475F8" w:rsidR="009F716D" w:rsidRDefault="0034101A" w:rsidP="00FE36C2">
      <w:pPr>
        <w:spacing w:line="276" w:lineRule="auto"/>
        <w:jc w:val="both"/>
        <w:rPr>
          <w:rFonts w:ascii="Arial" w:hAnsi="Arial" w:cs="Arial"/>
        </w:rPr>
      </w:pPr>
      <w:r w:rsidRPr="009F716D">
        <w:rPr>
          <w:rFonts w:ascii="Arial" w:hAnsi="Arial" w:cs="Arial"/>
        </w:rPr>
        <w:t xml:space="preserve">Keywords: </w:t>
      </w:r>
      <w:r>
        <w:rPr>
          <w:rFonts w:ascii="Arial" w:hAnsi="Arial" w:cs="Arial"/>
        </w:rPr>
        <w:t>Antibiotic prescribing;</w:t>
      </w:r>
      <w:r w:rsidRPr="009F716D">
        <w:rPr>
          <w:rFonts w:ascii="Arial" w:hAnsi="Arial" w:cs="Arial"/>
        </w:rPr>
        <w:t xml:space="preserve"> </w:t>
      </w:r>
      <w:r>
        <w:rPr>
          <w:rFonts w:ascii="Arial" w:hAnsi="Arial" w:cs="Arial"/>
        </w:rPr>
        <w:t>Antibiotic stewardship;</w:t>
      </w:r>
      <w:r w:rsidRPr="009F716D">
        <w:rPr>
          <w:rFonts w:ascii="Arial" w:hAnsi="Arial" w:cs="Arial"/>
        </w:rPr>
        <w:t xml:space="preserve"> </w:t>
      </w:r>
      <w:r>
        <w:rPr>
          <w:rFonts w:ascii="Arial" w:hAnsi="Arial" w:cs="Arial"/>
        </w:rPr>
        <w:t xml:space="preserve">Hospitals </w:t>
      </w:r>
    </w:p>
    <w:p w14:paraId="48A845A2" w14:textId="77777777" w:rsidR="00794A31" w:rsidRDefault="00794A31" w:rsidP="00AD261B">
      <w:pPr>
        <w:spacing w:line="276" w:lineRule="auto"/>
        <w:jc w:val="both"/>
        <w:rPr>
          <w:rFonts w:ascii="Arial" w:hAnsi="Arial" w:cs="Arial"/>
        </w:rPr>
        <w:sectPr w:rsidR="00794A31" w:rsidSect="00275310">
          <w:footerReference w:type="default" r:id="rId10"/>
          <w:pgSz w:w="11906" w:h="16838"/>
          <w:pgMar w:top="1440" w:right="1440" w:bottom="1440" w:left="1440" w:header="709" w:footer="709" w:gutter="0"/>
          <w:lnNumType w:countBy="1" w:restart="continuous"/>
          <w:cols w:space="708"/>
          <w:docGrid w:linePitch="360"/>
        </w:sectPr>
      </w:pPr>
    </w:p>
    <w:p w14:paraId="5A97115C" w14:textId="77777777" w:rsidR="006403A4" w:rsidRPr="00FB717C" w:rsidRDefault="009F716D" w:rsidP="009705DD">
      <w:pPr>
        <w:pStyle w:val="NoSpacing"/>
        <w:spacing w:line="360" w:lineRule="auto"/>
        <w:rPr>
          <w:rFonts w:ascii="Arial" w:hAnsi="Arial" w:cs="Arial"/>
          <w:b/>
        </w:rPr>
      </w:pPr>
      <w:r w:rsidRPr="00FB717C">
        <w:rPr>
          <w:rFonts w:ascii="Arial" w:hAnsi="Arial" w:cs="Arial"/>
          <w:b/>
        </w:rPr>
        <w:lastRenderedPageBreak/>
        <w:t>ABSTRACT</w:t>
      </w:r>
    </w:p>
    <w:p w14:paraId="7081CA44" w14:textId="77777777" w:rsidR="009F716D" w:rsidRPr="009F716D" w:rsidRDefault="009F716D" w:rsidP="009705DD">
      <w:pPr>
        <w:pStyle w:val="NoSpacing"/>
        <w:spacing w:line="360" w:lineRule="auto"/>
        <w:rPr>
          <w:rFonts w:ascii="Arial" w:hAnsi="Arial" w:cs="Arial"/>
          <w:u w:val="single"/>
        </w:rPr>
      </w:pPr>
    </w:p>
    <w:p w14:paraId="03436155" w14:textId="5C461221" w:rsidR="00ED1268" w:rsidRDefault="009F716D" w:rsidP="009705DD">
      <w:pPr>
        <w:pStyle w:val="NoSpacing"/>
        <w:spacing w:line="360" w:lineRule="auto"/>
        <w:jc w:val="both"/>
        <w:rPr>
          <w:rFonts w:ascii="Arial" w:hAnsi="Arial" w:cs="Arial"/>
        </w:rPr>
      </w:pPr>
      <w:r w:rsidRPr="00FB717C">
        <w:rPr>
          <w:rFonts w:ascii="Arial" w:hAnsi="Arial" w:cs="Arial"/>
          <w:b/>
        </w:rPr>
        <w:t>Background</w:t>
      </w:r>
      <w:r w:rsidR="00AF1AEC">
        <w:rPr>
          <w:rFonts w:ascii="Arial" w:hAnsi="Arial" w:cs="Arial"/>
          <w:b/>
        </w:rPr>
        <w:t>:</w:t>
      </w:r>
      <w:r w:rsidR="00FB717C">
        <w:rPr>
          <w:rFonts w:ascii="Arial" w:hAnsi="Arial" w:cs="Arial"/>
          <w:b/>
        </w:rPr>
        <w:t xml:space="preserve"> </w:t>
      </w:r>
      <w:r w:rsidR="00812A92" w:rsidRPr="00812A92">
        <w:rPr>
          <w:rFonts w:ascii="Arial" w:hAnsi="Arial" w:cs="Arial"/>
        </w:rPr>
        <w:t xml:space="preserve">Deciding whether to </w:t>
      </w:r>
      <w:r w:rsidR="00A310D9">
        <w:rPr>
          <w:rFonts w:ascii="Arial" w:hAnsi="Arial" w:cs="Arial"/>
        </w:rPr>
        <w:t>dis</w:t>
      </w:r>
      <w:r w:rsidR="00812A92" w:rsidRPr="00812A92">
        <w:rPr>
          <w:rFonts w:ascii="Arial" w:hAnsi="Arial" w:cs="Arial"/>
        </w:rPr>
        <w:t>continue antibiotics at early review is a cornerstone of hospital antimicrobial</w:t>
      </w:r>
      <w:r w:rsidR="00A55B9C">
        <w:rPr>
          <w:rFonts w:ascii="Arial" w:hAnsi="Arial" w:cs="Arial"/>
        </w:rPr>
        <w:t xml:space="preserve"> </w:t>
      </w:r>
      <w:r w:rsidR="00812A92" w:rsidRPr="00812A92">
        <w:rPr>
          <w:rFonts w:ascii="Arial" w:hAnsi="Arial" w:cs="Arial"/>
        </w:rPr>
        <w:t>stewardship practice worldwide. In England this approach is described in government guidance (“Start Smart then Focus”)</w:t>
      </w:r>
      <w:r w:rsidR="00A508A3">
        <w:rPr>
          <w:rFonts w:ascii="Arial" w:hAnsi="Arial" w:cs="Arial"/>
        </w:rPr>
        <w:t>.</w:t>
      </w:r>
      <w:r w:rsidR="00812A92" w:rsidRPr="00812A92">
        <w:rPr>
          <w:rFonts w:ascii="Arial" w:hAnsi="Arial" w:cs="Arial"/>
        </w:rPr>
        <w:t xml:space="preserve"> </w:t>
      </w:r>
      <w:r w:rsidR="00A508A3">
        <w:rPr>
          <w:rFonts w:ascii="Arial" w:hAnsi="Arial" w:cs="Arial"/>
        </w:rPr>
        <w:t>However,</w:t>
      </w:r>
      <w:r w:rsidR="00812A92" w:rsidRPr="00812A92">
        <w:rPr>
          <w:rFonts w:ascii="Arial" w:hAnsi="Arial" w:cs="Arial"/>
        </w:rPr>
        <w:t xml:space="preserve"> </w:t>
      </w:r>
      <w:r w:rsidR="0088604D">
        <w:rPr>
          <w:rFonts w:ascii="Arial" w:hAnsi="Arial" w:cs="Arial"/>
        </w:rPr>
        <w:t>&lt;</w:t>
      </w:r>
      <w:r w:rsidR="00812A92" w:rsidRPr="00812A92">
        <w:rPr>
          <w:rFonts w:ascii="Arial" w:hAnsi="Arial" w:cs="Arial"/>
        </w:rPr>
        <w:t>10% of hospital antibiotic</w:t>
      </w:r>
      <w:r w:rsidR="0044133F">
        <w:rPr>
          <w:rFonts w:ascii="Arial" w:hAnsi="Arial" w:cs="Arial"/>
        </w:rPr>
        <w:t xml:space="preserve"> </w:t>
      </w:r>
      <w:r w:rsidR="00812A92" w:rsidRPr="00812A92">
        <w:rPr>
          <w:rFonts w:ascii="Arial" w:hAnsi="Arial" w:cs="Arial"/>
        </w:rPr>
        <w:t xml:space="preserve">prescriptions are discontinued at review, despite evidence that 20-30% could be discontinued safely. </w:t>
      </w:r>
      <w:r w:rsidR="00ED1268" w:rsidRPr="00812A92">
        <w:rPr>
          <w:rFonts w:ascii="Arial" w:hAnsi="Arial" w:cs="Arial"/>
        </w:rPr>
        <w:t xml:space="preserve">We </w:t>
      </w:r>
      <w:r w:rsidR="00ED1268">
        <w:rPr>
          <w:rFonts w:ascii="Arial" w:hAnsi="Arial" w:cs="Arial"/>
        </w:rPr>
        <w:t xml:space="preserve">aimed to </w:t>
      </w:r>
      <w:r w:rsidR="00ED1268" w:rsidRPr="00812A92">
        <w:rPr>
          <w:rFonts w:ascii="Arial" w:hAnsi="Arial" w:cs="Arial"/>
        </w:rPr>
        <w:t>quantif</w:t>
      </w:r>
      <w:r w:rsidR="00ED1268">
        <w:rPr>
          <w:rFonts w:ascii="Arial" w:hAnsi="Arial" w:cs="Arial"/>
        </w:rPr>
        <w:t>y</w:t>
      </w:r>
      <w:r w:rsidR="00ED1268" w:rsidRPr="00812A92">
        <w:rPr>
          <w:rFonts w:ascii="Arial" w:hAnsi="Arial" w:cs="Arial"/>
        </w:rPr>
        <w:t xml:space="preserve"> the</w:t>
      </w:r>
      <w:r w:rsidR="00252A10">
        <w:rPr>
          <w:rFonts w:ascii="Arial" w:hAnsi="Arial" w:cs="Arial"/>
        </w:rPr>
        <w:t xml:space="preserve"> relative importance of</w:t>
      </w:r>
      <w:r w:rsidR="00ED1268" w:rsidRPr="00812A92">
        <w:rPr>
          <w:rFonts w:ascii="Arial" w:hAnsi="Arial" w:cs="Arial"/>
        </w:rPr>
        <w:t xml:space="preserve"> factors influencing prescriber decision-making at</w:t>
      </w:r>
      <w:r w:rsidR="00ED1268">
        <w:rPr>
          <w:rFonts w:ascii="Arial" w:hAnsi="Arial" w:cs="Arial"/>
        </w:rPr>
        <w:t xml:space="preserve"> </w:t>
      </w:r>
      <w:r w:rsidR="00ED1268" w:rsidRPr="00812A92">
        <w:rPr>
          <w:rFonts w:ascii="Arial" w:hAnsi="Arial" w:cs="Arial"/>
        </w:rPr>
        <w:t>review.</w:t>
      </w:r>
    </w:p>
    <w:p w14:paraId="342D28B7" w14:textId="77777777" w:rsidR="00ED1268" w:rsidRDefault="00ED1268" w:rsidP="009705DD">
      <w:pPr>
        <w:pStyle w:val="NoSpacing"/>
        <w:spacing w:line="360" w:lineRule="auto"/>
        <w:jc w:val="both"/>
        <w:rPr>
          <w:rFonts w:ascii="Arial" w:hAnsi="Arial" w:cs="Arial"/>
        </w:rPr>
      </w:pPr>
    </w:p>
    <w:p w14:paraId="14D3F70C" w14:textId="3D5EE760" w:rsidR="009F716D" w:rsidRDefault="009F716D" w:rsidP="009705DD">
      <w:pPr>
        <w:pStyle w:val="NoSpacing"/>
        <w:spacing w:line="360" w:lineRule="auto"/>
        <w:jc w:val="both"/>
        <w:rPr>
          <w:rFonts w:ascii="Arial" w:hAnsi="Arial" w:cs="Arial"/>
        </w:rPr>
      </w:pPr>
      <w:r w:rsidRPr="00FB717C">
        <w:rPr>
          <w:rFonts w:ascii="Arial" w:hAnsi="Arial" w:cs="Arial"/>
          <w:b/>
        </w:rPr>
        <w:t>Methods</w:t>
      </w:r>
      <w:r w:rsidR="00AF1AEC">
        <w:rPr>
          <w:rFonts w:ascii="Arial" w:hAnsi="Arial" w:cs="Arial"/>
          <w:b/>
        </w:rPr>
        <w:t>:</w:t>
      </w:r>
      <w:r w:rsidR="00FB717C">
        <w:rPr>
          <w:rFonts w:ascii="Arial" w:hAnsi="Arial" w:cs="Arial"/>
          <w:b/>
        </w:rPr>
        <w:t xml:space="preserve"> </w:t>
      </w:r>
      <w:r w:rsidR="00812A92" w:rsidRPr="00812A92">
        <w:rPr>
          <w:rFonts w:ascii="Arial" w:hAnsi="Arial" w:cs="Arial"/>
        </w:rPr>
        <w:t>We conducted an online choice experiment, a survey</w:t>
      </w:r>
      <w:r w:rsidR="0044133F">
        <w:rPr>
          <w:rFonts w:ascii="Arial" w:hAnsi="Arial" w:cs="Arial"/>
        </w:rPr>
        <w:t xml:space="preserve"> </w:t>
      </w:r>
      <w:r w:rsidR="00812A92" w:rsidRPr="00812A92">
        <w:rPr>
          <w:rFonts w:ascii="Arial" w:hAnsi="Arial" w:cs="Arial"/>
        </w:rPr>
        <w:t xml:space="preserve">method </w:t>
      </w:r>
      <w:r w:rsidR="00656C26">
        <w:rPr>
          <w:rFonts w:ascii="Arial" w:hAnsi="Arial" w:cs="Arial"/>
        </w:rPr>
        <w:t>to</w:t>
      </w:r>
      <w:r w:rsidR="00264864">
        <w:rPr>
          <w:rFonts w:ascii="Arial" w:hAnsi="Arial" w:cs="Arial"/>
        </w:rPr>
        <w:t xml:space="preserve"> </w:t>
      </w:r>
      <w:r w:rsidR="00812A92" w:rsidRPr="00812A92">
        <w:rPr>
          <w:rFonts w:ascii="Arial" w:hAnsi="Arial" w:cs="Arial"/>
        </w:rPr>
        <w:t xml:space="preserve">elicit preferences. Acute/general hospital prescribers in England were asked </w:t>
      </w:r>
      <w:r w:rsidR="00656C26">
        <w:rPr>
          <w:rFonts w:ascii="Arial" w:hAnsi="Arial" w:cs="Arial"/>
        </w:rPr>
        <w:t>if</w:t>
      </w:r>
      <w:r w:rsidR="00656C26" w:rsidRPr="00812A92">
        <w:rPr>
          <w:rFonts w:ascii="Arial" w:hAnsi="Arial" w:cs="Arial"/>
        </w:rPr>
        <w:t xml:space="preserve"> </w:t>
      </w:r>
      <w:r w:rsidR="00812A92" w:rsidRPr="00812A92">
        <w:rPr>
          <w:rFonts w:ascii="Arial" w:hAnsi="Arial" w:cs="Arial"/>
        </w:rPr>
        <w:t>they would continue or discontinue antibiotic</w:t>
      </w:r>
      <w:r w:rsidR="0044133F">
        <w:rPr>
          <w:rFonts w:ascii="Arial" w:hAnsi="Arial" w:cs="Arial"/>
        </w:rPr>
        <w:t xml:space="preserve"> </w:t>
      </w:r>
      <w:r w:rsidR="00812A92" w:rsidRPr="00812A92">
        <w:rPr>
          <w:rFonts w:ascii="Arial" w:hAnsi="Arial" w:cs="Arial"/>
        </w:rPr>
        <w:t>treatment in 15 hypothetical scenarios. Scenarios were described according to six attributes, including patient</w:t>
      </w:r>
      <w:r w:rsidR="00A55B9C">
        <w:rPr>
          <w:rFonts w:ascii="Arial" w:hAnsi="Arial" w:cs="Arial"/>
        </w:rPr>
        <w:t>s</w:t>
      </w:r>
      <w:r w:rsidR="00190325">
        <w:rPr>
          <w:rFonts w:ascii="Arial" w:hAnsi="Arial" w:cs="Arial"/>
        </w:rPr>
        <w:t>’</w:t>
      </w:r>
      <w:r w:rsidR="00812A92" w:rsidRPr="00812A92">
        <w:rPr>
          <w:rFonts w:ascii="Arial" w:hAnsi="Arial" w:cs="Arial"/>
        </w:rPr>
        <w:t xml:space="preserve"> presenting symptoms and whether discontinuation would conflict with local </w:t>
      </w:r>
      <w:r w:rsidR="00656C26">
        <w:rPr>
          <w:rFonts w:ascii="Arial" w:hAnsi="Arial" w:cs="Arial"/>
        </w:rPr>
        <w:t xml:space="preserve">prescribing </w:t>
      </w:r>
      <w:r w:rsidR="00812A92" w:rsidRPr="00812A92">
        <w:rPr>
          <w:rFonts w:ascii="Arial" w:hAnsi="Arial" w:cs="Arial"/>
        </w:rPr>
        <w:t>guidelines. Respondents’ choices were analysed using conditional logistic regression.</w:t>
      </w:r>
    </w:p>
    <w:p w14:paraId="15493748" w14:textId="77777777" w:rsidR="00812A92" w:rsidRPr="009F716D" w:rsidRDefault="00812A92" w:rsidP="009705DD">
      <w:pPr>
        <w:pStyle w:val="NoSpacing"/>
        <w:spacing w:line="360" w:lineRule="auto"/>
        <w:jc w:val="both"/>
        <w:rPr>
          <w:rFonts w:ascii="Arial" w:hAnsi="Arial" w:cs="Arial"/>
        </w:rPr>
      </w:pPr>
    </w:p>
    <w:p w14:paraId="0ABEE59B" w14:textId="6007B838" w:rsidR="009F716D" w:rsidRDefault="009F716D" w:rsidP="009705DD">
      <w:pPr>
        <w:pStyle w:val="NoSpacing"/>
        <w:spacing w:line="360" w:lineRule="auto"/>
        <w:jc w:val="both"/>
        <w:rPr>
          <w:rFonts w:ascii="Arial" w:hAnsi="Arial" w:cs="Arial"/>
        </w:rPr>
      </w:pPr>
      <w:r w:rsidRPr="00FB717C">
        <w:rPr>
          <w:rFonts w:ascii="Arial" w:hAnsi="Arial" w:cs="Arial"/>
          <w:b/>
        </w:rPr>
        <w:t>Results</w:t>
      </w:r>
      <w:r w:rsidR="00AF1AEC">
        <w:rPr>
          <w:rFonts w:ascii="Arial" w:hAnsi="Arial" w:cs="Arial"/>
          <w:b/>
        </w:rPr>
        <w:t>:</w:t>
      </w:r>
      <w:r w:rsidR="00FB717C">
        <w:rPr>
          <w:rFonts w:ascii="Arial" w:hAnsi="Arial" w:cs="Arial"/>
          <w:b/>
        </w:rPr>
        <w:t xml:space="preserve"> </w:t>
      </w:r>
      <w:r w:rsidR="00812A92" w:rsidRPr="00812A92">
        <w:rPr>
          <w:rFonts w:ascii="Arial" w:hAnsi="Arial" w:cs="Arial"/>
        </w:rPr>
        <w:t>100 respondents completed the survey. Respondents were more</w:t>
      </w:r>
      <w:r w:rsidR="005479C9">
        <w:rPr>
          <w:rFonts w:ascii="Arial" w:hAnsi="Arial" w:cs="Arial"/>
        </w:rPr>
        <w:t xml:space="preserve"> </w:t>
      </w:r>
      <w:r w:rsidR="00812A92" w:rsidRPr="00812A92">
        <w:rPr>
          <w:rFonts w:ascii="Arial" w:hAnsi="Arial" w:cs="Arial"/>
        </w:rPr>
        <w:t>likely to continue antibiotics when discontinuation would ‘strongly</w:t>
      </w:r>
      <w:r w:rsidR="00A55B9C">
        <w:rPr>
          <w:rFonts w:ascii="Arial" w:hAnsi="Arial" w:cs="Arial"/>
        </w:rPr>
        <w:t xml:space="preserve"> </w:t>
      </w:r>
      <w:r w:rsidR="00812A92" w:rsidRPr="00812A92">
        <w:rPr>
          <w:rFonts w:ascii="Arial" w:hAnsi="Arial" w:cs="Arial"/>
        </w:rPr>
        <w:t xml:space="preserve">conflict’ with local guidelines (average marginal effect (AME) on probability of continuing </w:t>
      </w:r>
      <w:r w:rsidR="00A55B9C">
        <w:rPr>
          <w:rFonts w:ascii="Arial" w:hAnsi="Arial" w:cs="Arial"/>
        </w:rPr>
        <w:t>+</w:t>
      </w:r>
      <w:r w:rsidR="00812A92" w:rsidRPr="00812A92">
        <w:rPr>
          <w:rFonts w:ascii="Arial" w:hAnsi="Arial" w:cs="Arial"/>
        </w:rPr>
        <w:t xml:space="preserve">0.194 (p&lt;0.001)); when presenting symptoms more clearly indicated antibiotics (AME of urinary tract infection symptoms </w:t>
      </w:r>
      <w:r w:rsidR="00A55B9C">
        <w:rPr>
          <w:rFonts w:ascii="Arial" w:hAnsi="Arial" w:cs="Arial"/>
        </w:rPr>
        <w:t>+</w:t>
      </w:r>
      <w:r w:rsidR="00812A92" w:rsidRPr="00812A92">
        <w:rPr>
          <w:rFonts w:ascii="Arial" w:hAnsi="Arial" w:cs="Arial"/>
        </w:rPr>
        <w:t xml:space="preserve">0.173 (p&lt;0.001) </w:t>
      </w:r>
      <w:r w:rsidR="00A55B9C">
        <w:rPr>
          <w:rFonts w:ascii="Arial" w:hAnsi="Arial" w:cs="Arial"/>
        </w:rPr>
        <w:t>versus</w:t>
      </w:r>
      <w:r w:rsidR="00812A92" w:rsidRPr="00812A92">
        <w:rPr>
          <w:rFonts w:ascii="Arial" w:hAnsi="Arial" w:cs="Arial"/>
        </w:rPr>
        <w:t xml:space="preserve"> unclear symptoms); and when patients had severe frailty/comorbidities (AME=</w:t>
      </w:r>
      <w:r w:rsidR="00A55B9C">
        <w:rPr>
          <w:rFonts w:ascii="Arial" w:hAnsi="Arial" w:cs="Arial"/>
        </w:rPr>
        <w:t>+</w:t>
      </w:r>
      <w:r w:rsidR="00812A92" w:rsidRPr="00812A92">
        <w:rPr>
          <w:rFonts w:ascii="Arial" w:hAnsi="Arial" w:cs="Arial"/>
        </w:rPr>
        <w:t>0.101 (p&lt;0.001)). Respondents were less</w:t>
      </w:r>
      <w:r w:rsidR="005479C9">
        <w:rPr>
          <w:rFonts w:ascii="Arial" w:hAnsi="Arial" w:cs="Arial"/>
        </w:rPr>
        <w:t xml:space="preserve"> </w:t>
      </w:r>
      <w:r w:rsidR="00812A92" w:rsidRPr="00812A92">
        <w:rPr>
          <w:rFonts w:ascii="Arial" w:hAnsi="Arial" w:cs="Arial"/>
        </w:rPr>
        <w:t>likely to continue antibiotics when under no external pressure to continue (AME=-0.101 (p&lt;0.001)). Decisions were also influenced by the</w:t>
      </w:r>
      <w:r w:rsidR="0069757C">
        <w:rPr>
          <w:rFonts w:ascii="Arial" w:hAnsi="Arial" w:cs="Arial"/>
        </w:rPr>
        <w:t xml:space="preserve"> </w:t>
      </w:r>
      <w:r w:rsidR="00812A92" w:rsidRPr="00812A92">
        <w:rPr>
          <w:rFonts w:ascii="Arial" w:hAnsi="Arial" w:cs="Arial"/>
        </w:rPr>
        <w:t xml:space="preserve">risks </w:t>
      </w:r>
      <w:r w:rsidR="00264864">
        <w:rPr>
          <w:rFonts w:ascii="Arial" w:hAnsi="Arial" w:cs="Arial"/>
        </w:rPr>
        <w:t xml:space="preserve">to patient health </w:t>
      </w:r>
      <w:r w:rsidR="00812A92" w:rsidRPr="00812A92">
        <w:rPr>
          <w:rFonts w:ascii="Arial" w:hAnsi="Arial" w:cs="Arial"/>
        </w:rPr>
        <w:t>of continuing</w:t>
      </w:r>
      <w:r w:rsidR="00264864">
        <w:rPr>
          <w:rFonts w:ascii="Arial" w:hAnsi="Arial" w:cs="Arial"/>
        </w:rPr>
        <w:t>/</w:t>
      </w:r>
      <w:r w:rsidR="00812A92" w:rsidRPr="00812A92">
        <w:rPr>
          <w:rFonts w:ascii="Arial" w:hAnsi="Arial" w:cs="Arial"/>
        </w:rPr>
        <w:t xml:space="preserve">discontinuing </w:t>
      </w:r>
      <w:r w:rsidR="00A55B9C">
        <w:rPr>
          <w:rFonts w:ascii="Arial" w:hAnsi="Arial" w:cs="Arial"/>
        </w:rPr>
        <w:t>antibiotic</w:t>
      </w:r>
      <w:r w:rsidR="00264864">
        <w:rPr>
          <w:rFonts w:ascii="Arial" w:hAnsi="Arial" w:cs="Arial"/>
        </w:rPr>
        <w:t xml:space="preserve"> treatment</w:t>
      </w:r>
      <w:r w:rsidR="00812A92" w:rsidRPr="00812A92">
        <w:rPr>
          <w:rFonts w:ascii="Arial" w:hAnsi="Arial" w:cs="Arial"/>
        </w:rPr>
        <w:t>.</w:t>
      </w:r>
    </w:p>
    <w:p w14:paraId="2A5B0FF5" w14:textId="77777777" w:rsidR="00812A92" w:rsidRPr="009F716D" w:rsidRDefault="00812A92" w:rsidP="009705DD">
      <w:pPr>
        <w:pStyle w:val="NoSpacing"/>
        <w:spacing w:line="360" w:lineRule="auto"/>
        <w:jc w:val="both"/>
        <w:rPr>
          <w:rFonts w:ascii="Arial" w:hAnsi="Arial" w:cs="Arial"/>
        </w:rPr>
      </w:pPr>
    </w:p>
    <w:p w14:paraId="7A939DD2" w14:textId="38C2BA45" w:rsidR="00E966FB" w:rsidRPr="00FB717C" w:rsidRDefault="006403A4" w:rsidP="00FB717C">
      <w:pPr>
        <w:pStyle w:val="NoSpacing"/>
        <w:spacing w:line="360" w:lineRule="auto"/>
        <w:jc w:val="both"/>
        <w:rPr>
          <w:rFonts w:ascii="Arial" w:hAnsi="Arial" w:cs="Arial"/>
        </w:rPr>
      </w:pPr>
      <w:r w:rsidRPr="00FB717C">
        <w:rPr>
          <w:rFonts w:ascii="Arial" w:hAnsi="Arial" w:cs="Arial"/>
          <w:b/>
        </w:rPr>
        <w:t>Conclusions</w:t>
      </w:r>
      <w:r w:rsidR="00AF1AEC">
        <w:rPr>
          <w:rFonts w:ascii="Arial" w:hAnsi="Arial" w:cs="Arial"/>
          <w:b/>
        </w:rPr>
        <w:t>:</w:t>
      </w:r>
      <w:r w:rsidR="00FB717C">
        <w:rPr>
          <w:rFonts w:ascii="Arial" w:hAnsi="Arial" w:cs="Arial"/>
          <w:b/>
        </w:rPr>
        <w:t xml:space="preserve"> </w:t>
      </w:r>
      <w:r w:rsidR="00812A92" w:rsidRPr="00FB717C">
        <w:rPr>
          <w:rFonts w:ascii="Arial" w:hAnsi="Arial" w:cs="Arial"/>
        </w:rPr>
        <w:t>Guidelines that conflict with antibiotic discontinuation (e.g. pre-specif</w:t>
      </w:r>
      <w:r w:rsidR="00A55B9C" w:rsidRPr="00FB717C">
        <w:rPr>
          <w:rFonts w:ascii="Arial" w:hAnsi="Arial" w:cs="Arial"/>
        </w:rPr>
        <w:t>y fixed</w:t>
      </w:r>
      <w:r w:rsidR="00812A92" w:rsidRPr="00FB717C">
        <w:rPr>
          <w:rFonts w:ascii="Arial" w:hAnsi="Arial" w:cs="Arial"/>
        </w:rPr>
        <w:t xml:space="preserve"> durations) may discourage safe discontinuation at review. </w:t>
      </w:r>
      <w:r w:rsidR="00656C26" w:rsidRPr="00FB717C">
        <w:rPr>
          <w:rFonts w:ascii="Arial" w:hAnsi="Arial" w:cs="Arial"/>
        </w:rPr>
        <w:t>In contrast, g</w:t>
      </w:r>
      <w:r w:rsidR="00812A92" w:rsidRPr="00FB717C">
        <w:rPr>
          <w:rFonts w:ascii="Arial" w:hAnsi="Arial" w:cs="Arial"/>
        </w:rPr>
        <w:t>uidelines</w:t>
      </w:r>
      <w:r w:rsidR="005479C9" w:rsidRPr="00FB717C">
        <w:rPr>
          <w:rFonts w:ascii="Arial" w:hAnsi="Arial" w:cs="Arial"/>
        </w:rPr>
        <w:t xml:space="preserve"> </w:t>
      </w:r>
      <w:r w:rsidR="00812A92" w:rsidRPr="00FB717C">
        <w:rPr>
          <w:rFonts w:ascii="Arial" w:hAnsi="Arial" w:cs="Arial"/>
        </w:rPr>
        <w:t>conditional on patient factors</w:t>
      </w:r>
      <w:r w:rsidR="00AC09CF" w:rsidRPr="00FB717C">
        <w:rPr>
          <w:rFonts w:ascii="Arial" w:hAnsi="Arial" w:cs="Arial"/>
        </w:rPr>
        <w:t>/</w:t>
      </w:r>
      <w:r w:rsidR="00812A92" w:rsidRPr="00FB717C">
        <w:rPr>
          <w:rFonts w:ascii="Arial" w:hAnsi="Arial" w:cs="Arial"/>
        </w:rPr>
        <w:t>treatment</w:t>
      </w:r>
      <w:r w:rsidR="00AC09CF" w:rsidRPr="00FB717C">
        <w:rPr>
          <w:rFonts w:ascii="Arial" w:hAnsi="Arial" w:cs="Arial"/>
        </w:rPr>
        <w:t>-</w:t>
      </w:r>
      <w:r w:rsidR="00812A92" w:rsidRPr="00FB717C">
        <w:rPr>
          <w:rFonts w:ascii="Arial" w:hAnsi="Arial" w:cs="Arial"/>
        </w:rPr>
        <w:t>response could help hospital</w:t>
      </w:r>
      <w:r w:rsidR="00A55B9C" w:rsidRPr="00FB717C">
        <w:rPr>
          <w:rFonts w:ascii="Arial" w:hAnsi="Arial" w:cs="Arial"/>
        </w:rPr>
        <w:t xml:space="preserve"> </w:t>
      </w:r>
      <w:r w:rsidR="00812A92" w:rsidRPr="00FB717C">
        <w:rPr>
          <w:rFonts w:ascii="Arial" w:hAnsi="Arial" w:cs="Arial"/>
        </w:rPr>
        <w:t xml:space="preserve">prescribers discontinue antibiotics </w:t>
      </w:r>
      <w:r w:rsidR="005479C9" w:rsidRPr="00FB717C">
        <w:rPr>
          <w:rFonts w:ascii="Arial" w:hAnsi="Arial" w:cs="Arial"/>
        </w:rPr>
        <w:t xml:space="preserve">if </w:t>
      </w:r>
      <w:r w:rsidR="00812A92" w:rsidRPr="00FB717C">
        <w:rPr>
          <w:rFonts w:ascii="Arial" w:hAnsi="Arial" w:cs="Arial"/>
        </w:rPr>
        <w:t xml:space="preserve">diagnostic information suggesting they are no longer </w:t>
      </w:r>
      <w:r w:rsidR="00656C26" w:rsidRPr="00FB717C">
        <w:rPr>
          <w:rFonts w:ascii="Arial" w:hAnsi="Arial" w:cs="Arial"/>
        </w:rPr>
        <w:t>needed is</w:t>
      </w:r>
      <w:r w:rsidR="00812A92" w:rsidRPr="00FB717C">
        <w:rPr>
          <w:rFonts w:ascii="Arial" w:hAnsi="Arial" w:cs="Arial"/>
        </w:rPr>
        <w:t xml:space="preserve"> available.</w:t>
      </w:r>
    </w:p>
    <w:p w14:paraId="07F80F9B" w14:textId="2C4B5376" w:rsidR="00EB6DD5" w:rsidRDefault="00EB6DD5">
      <w:pPr>
        <w:rPr>
          <w:rFonts w:ascii="Arial" w:hAnsi="Arial" w:cs="Arial"/>
        </w:rPr>
      </w:pPr>
      <w:r>
        <w:rPr>
          <w:rFonts w:ascii="Arial" w:hAnsi="Arial" w:cs="Arial"/>
        </w:rPr>
        <w:br w:type="page"/>
      </w:r>
    </w:p>
    <w:p w14:paraId="38177AC5" w14:textId="3689985B" w:rsidR="00E966FB" w:rsidRPr="002E227A" w:rsidRDefault="00AF1AEC" w:rsidP="00F14E14">
      <w:pPr>
        <w:spacing w:line="480" w:lineRule="auto"/>
        <w:jc w:val="both"/>
        <w:rPr>
          <w:rFonts w:ascii="Arial" w:hAnsi="Arial" w:cs="Arial"/>
          <w:b/>
        </w:rPr>
      </w:pPr>
      <w:r>
        <w:rPr>
          <w:rFonts w:ascii="Arial" w:hAnsi="Arial" w:cs="Arial"/>
          <w:b/>
        </w:rPr>
        <w:lastRenderedPageBreak/>
        <w:t>BACKGROUND</w:t>
      </w:r>
    </w:p>
    <w:p w14:paraId="0A93CE9A" w14:textId="70FB8AE7" w:rsidR="00703B73" w:rsidRDefault="0086158F" w:rsidP="00F14E14">
      <w:pPr>
        <w:pStyle w:val="NoSpacing"/>
        <w:spacing w:line="480" w:lineRule="auto"/>
        <w:jc w:val="both"/>
        <w:rPr>
          <w:rFonts w:ascii="Arial" w:hAnsi="Arial" w:cs="Arial"/>
        </w:rPr>
      </w:pPr>
      <w:r>
        <w:rPr>
          <w:rFonts w:ascii="Arial" w:hAnsi="Arial" w:cs="Arial"/>
        </w:rPr>
        <w:t>Antimicrobial resistance (AMR) is a</w:t>
      </w:r>
      <w:r w:rsidR="0043409E">
        <w:rPr>
          <w:rFonts w:ascii="Arial" w:hAnsi="Arial" w:cs="Arial"/>
        </w:rPr>
        <w:t xml:space="preserve"> growing</w:t>
      </w:r>
      <w:r>
        <w:rPr>
          <w:rFonts w:ascii="Arial" w:hAnsi="Arial" w:cs="Arial"/>
        </w:rPr>
        <w:t xml:space="preserve"> global public health problem </w:t>
      </w:r>
      <w:r w:rsidR="00A210E8">
        <w:rPr>
          <w:rFonts w:ascii="Arial" w:hAnsi="Arial" w:cs="Arial"/>
        </w:rPr>
        <w:t xml:space="preserve">that </w:t>
      </w:r>
      <w:r>
        <w:rPr>
          <w:rFonts w:ascii="Arial" w:hAnsi="Arial" w:cs="Arial"/>
        </w:rPr>
        <w:t xml:space="preserve">threatens to undermine </w:t>
      </w:r>
      <w:r w:rsidR="0043409E">
        <w:rPr>
          <w:rFonts w:ascii="Arial" w:hAnsi="Arial" w:cs="Arial"/>
        </w:rPr>
        <w:t xml:space="preserve">many advances of </w:t>
      </w:r>
      <w:r>
        <w:rPr>
          <w:rFonts w:ascii="Arial" w:hAnsi="Arial" w:cs="Arial"/>
        </w:rPr>
        <w:t>modern medicine</w:t>
      </w:r>
      <w:r w:rsidR="00AF1AEC">
        <w:rPr>
          <w:rFonts w:ascii="Arial" w:hAnsi="Arial" w:cs="Arial"/>
        </w:rPr>
        <w:t xml:space="preserve"> [1]</w:t>
      </w:r>
      <w:r>
        <w:rPr>
          <w:rFonts w:ascii="Arial" w:hAnsi="Arial" w:cs="Arial"/>
        </w:rPr>
        <w:t>.</w:t>
      </w:r>
      <w:r w:rsidR="000F3F95">
        <w:rPr>
          <w:rFonts w:ascii="Arial" w:hAnsi="Arial" w:cs="Arial"/>
        </w:rPr>
        <w:t xml:space="preserve"> </w:t>
      </w:r>
      <w:r w:rsidR="00F4064A">
        <w:rPr>
          <w:rFonts w:ascii="Arial" w:hAnsi="Arial" w:cs="Arial"/>
        </w:rPr>
        <w:t>R</w:t>
      </w:r>
      <w:r w:rsidR="00703B73">
        <w:rPr>
          <w:rFonts w:ascii="Arial" w:hAnsi="Arial" w:cs="Arial"/>
        </w:rPr>
        <w:t xml:space="preserve">educing </w:t>
      </w:r>
      <w:r w:rsidR="0043409E">
        <w:rPr>
          <w:rFonts w:ascii="Arial" w:hAnsi="Arial" w:cs="Arial"/>
        </w:rPr>
        <w:t>unnecessary antibiotic prescribing and thus</w:t>
      </w:r>
      <w:r w:rsidR="00703B73">
        <w:rPr>
          <w:rFonts w:ascii="Arial" w:hAnsi="Arial" w:cs="Arial"/>
        </w:rPr>
        <w:t xml:space="preserve"> selective pressure on bacteria to develop resistance</w:t>
      </w:r>
      <w:r w:rsidR="0043409E">
        <w:rPr>
          <w:rFonts w:ascii="Arial" w:hAnsi="Arial" w:cs="Arial"/>
        </w:rPr>
        <w:t xml:space="preserve"> is </w:t>
      </w:r>
      <w:r w:rsidR="0081764F">
        <w:rPr>
          <w:rFonts w:ascii="Arial" w:hAnsi="Arial" w:cs="Arial"/>
        </w:rPr>
        <w:t>a</w:t>
      </w:r>
      <w:r w:rsidR="0043409E">
        <w:rPr>
          <w:rFonts w:ascii="Arial" w:hAnsi="Arial" w:cs="Arial"/>
        </w:rPr>
        <w:t xml:space="preserve"> key strategy to combat AMR</w:t>
      </w:r>
      <w:r w:rsidR="00AF1AEC">
        <w:rPr>
          <w:rFonts w:ascii="Arial" w:hAnsi="Arial" w:cs="Arial"/>
        </w:rPr>
        <w:t xml:space="preserve"> [2,3]</w:t>
      </w:r>
      <w:r w:rsidR="00703B73">
        <w:rPr>
          <w:rFonts w:ascii="Arial" w:hAnsi="Arial" w:cs="Arial"/>
        </w:rPr>
        <w:t xml:space="preserve">. </w:t>
      </w:r>
    </w:p>
    <w:p w14:paraId="7AB294D2" w14:textId="77777777" w:rsidR="0047128A" w:rsidRDefault="0047128A" w:rsidP="0047128A">
      <w:pPr>
        <w:pStyle w:val="NoSpacing"/>
        <w:spacing w:line="480" w:lineRule="auto"/>
        <w:jc w:val="both"/>
        <w:rPr>
          <w:rFonts w:ascii="Arial" w:hAnsi="Arial" w:cs="Arial"/>
        </w:rPr>
      </w:pPr>
    </w:p>
    <w:p w14:paraId="028806F5" w14:textId="45A827F8" w:rsidR="007C59BC" w:rsidRDefault="000F3F95" w:rsidP="0047128A">
      <w:pPr>
        <w:pStyle w:val="NoSpacing"/>
        <w:spacing w:line="480" w:lineRule="auto"/>
        <w:jc w:val="both"/>
        <w:rPr>
          <w:rFonts w:ascii="Arial" w:hAnsi="Arial" w:cs="Arial"/>
        </w:rPr>
      </w:pPr>
      <w:r>
        <w:rPr>
          <w:rFonts w:ascii="Arial" w:hAnsi="Arial" w:cs="Arial"/>
        </w:rPr>
        <w:t>I</w:t>
      </w:r>
      <w:r w:rsidR="0086158F" w:rsidRPr="0086158F">
        <w:rPr>
          <w:rFonts w:ascii="Arial" w:hAnsi="Arial" w:cs="Arial"/>
        </w:rPr>
        <w:t>n</w:t>
      </w:r>
      <w:r w:rsidR="0081764F">
        <w:rPr>
          <w:rFonts w:ascii="Arial" w:hAnsi="Arial" w:cs="Arial"/>
        </w:rPr>
        <w:t xml:space="preserve"> the</w:t>
      </w:r>
      <w:r w:rsidR="0086158F" w:rsidRPr="0086158F">
        <w:rPr>
          <w:rFonts w:ascii="Arial" w:hAnsi="Arial" w:cs="Arial"/>
        </w:rPr>
        <w:t xml:space="preserve"> Eng</w:t>
      </w:r>
      <w:r w:rsidR="0043409E">
        <w:rPr>
          <w:rFonts w:ascii="Arial" w:hAnsi="Arial" w:cs="Arial"/>
        </w:rPr>
        <w:t>lish National Health Service (NHS)</w:t>
      </w:r>
      <w:r w:rsidR="0086158F" w:rsidRPr="0086158F">
        <w:rPr>
          <w:rFonts w:ascii="Arial" w:hAnsi="Arial" w:cs="Arial"/>
        </w:rPr>
        <w:t xml:space="preserve">, </w:t>
      </w:r>
      <w:r w:rsidR="0043409E">
        <w:rPr>
          <w:rFonts w:ascii="Arial" w:hAnsi="Arial" w:cs="Arial"/>
        </w:rPr>
        <w:t xml:space="preserve">reductions in antibiotic use have been achieved in primary care by raising the threshold </w:t>
      </w:r>
      <w:r w:rsidR="002B288D">
        <w:rPr>
          <w:rFonts w:ascii="Arial" w:hAnsi="Arial" w:cs="Arial"/>
        </w:rPr>
        <w:t>for</w:t>
      </w:r>
      <w:r w:rsidR="0043409E">
        <w:rPr>
          <w:rFonts w:ascii="Arial" w:hAnsi="Arial" w:cs="Arial"/>
        </w:rPr>
        <w:t xml:space="preserve"> start</w:t>
      </w:r>
      <w:r w:rsidR="002B288D">
        <w:rPr>
          <w:rFonts w:ascii="Arial" w:hAnsi="Arial" w:cs="Arial"/>
        </w:rPr>
        <w:t>ing</w:t>
      </w:r>
      <w:r w:rsidR="0043409E">
        <w:rPr>
          <w:rFonts w:ascii="Arial" w:hAnsi="Arial" w:cs="Arial"/>
        </w:rPr>
        <w:t xml:space="preserve"> </w:t>
      </w:r>
      <w:r w:rsidR="00877BD3">
        <w:rPr>
          <w:rFonts w:ascii="Arial" w:hAnsi="Arial" w:cs="Arial"/>
        </w:rPr>
        <w:t xml:space="preserve">patients on </w:t>
      </w:r>
      <w:r w:rsidR="0043409E">
        <w:rPr>
          <w:rFonts w:ascii="Arial" w:hAnsi="Arial" w:cs="Arial"/>
        </w:rPr>
        <w:t>antibiotics</w:t>
      </w:r>
      <w:r w:rsidR="00AF1AEC">
        <w:rPr>
          <w:rFonts w:ascii="Arial" w:hAnsi="Arial" w:cs="Arial"/>
        </w:rPr>
        <w:t xml:space="preserve"> [4,5]</w:t>
      </w:r>
      <w:r w:rsidR="0043409E">
        <w:rPr>
          <w:rFonts w:ascii="Arial" w:hAnsi="Arial" w:cs="Arial"/>
        </w:rPr>
        <w:t xml:space="preserve">. </w:t>
      </w:r>
      <w:r w:rsidR="003F4A17">
        <w:rPr>
          <w:rFonts w:ascii="Arial" w:hAnsi="Arial" w:cs="Arial"/>
        </w:rPr>
        <w:t>Given</w:t>
      </w:r>
      <w:r w:rsidR="0043409E">
        <w:rPr>
          <w:rFonts w:ascii="Arial" w:hAnsi="Arial" w:cs="Arial"/>
        </w:rPr>
        <w:t xml:space="preserve"> the need to initiate antibiotic therapy urgently in life-threatening infection, </w:t>
      </w:r>
      <w:r w:rsidR="0081764F">
        <w:rPr>
          <w:rFonts w:ascii="Arial" w:hAnsi="Arial" w:cs="Arial"/>
        </w:rPr>
        <w:t xml:space="preserve">limiting antibiotic overuse in hospitals depends on prescribers </w:t>
      </w:r>
      <w:r w:rsidR="00877BD3">
        <w:rPr>
          <w:rFonts w:ascii="Arial" w:hAnsi="Arial" w:cs="Arial"/>
        </w:rPr>
        <w:t xml:space="preserve">undertaking </w:t>
      </w:r>
      <w:r w:rsidR="008B57E2">
        <w:rPr>
          <w:rFonts w:ascii="Arial" w:hAnsi="Arial" w:cs="Arial"/>
        </w:rPr>
        <w:t>an</w:t>
      </w:r>
      <w:r w:rsidR="00877BD3">
        <w:rPr>
          <w:rFonts w:ascii="Arial" w:hAnsi="Arial" w:cs="Arial"/>
        </w:rPr>
        <w:t xml:space="preserve"> </w:t>
      </w:r>
      <w:r w:rsidR="002D6C66">
        <w:rPr>
          <w:rFonts w:ascii="Arial" w:hAnsi="Arial" w:cs="Arial"/>
        </w:rPr>
        <w:t xml:space="preserve">early </w:t>
      </w:r>
      <w:r w:rsidR="00877BD3">
        <w:rPr>
          <w:rFonts w:ascii="Arial" w:hAnsi="Arial" w:cs="Arial"/>
        </w:rPr>
        <w:t>antibiotic prescription</w:t>
      </w:r>
      <w:r w:rsidR="008B57E2">
        <w:rPr>
          <w:rFonts w:ascii="Arial" w:hAnsi="Arial" w:cs="Arial"/>
        </w:rPr>
        <w:t xml:space="preserve"> ‘review and revise’</w:t>
      </w:r>
      <w:r w:rsidR="0081764F">
        <w:rPr>
          <w:rFonts w:ascii="Arial" w:hAnsi="Arial" w:cs="Arial"/>
        </w:rPr>
        <w:t xml:space="preserve"> at around 48-72 hours</w:t>
      </w:r>
      <w:r w:rsidR="00C3653A">
        <w:rPr>
          <w:rFonts w:ascii="Arial" w:hAnsi="Arial" w:cs="Arial"/>
        </w:rPr>
        <w:t xml:space="preserve"> after a patient starts antibiotic treatment</w:t>
      </w:r>
      <w:r w:rsidR="0081764F">
        <w:rPr>
          <w:rFonts w:ascii="Arial" w:hAnsi="Arial" w:cs="Arial"/>
        </w:rPr>
        <w:t xml:space="preserve">. </w:t>
      </w:r>
      <w:r w:rsidR="00C3653A">
        <w:rPr>
          <w:rFonts w:ascii="Arial" w:hAnsi="Arial" w:cs="Arial"/>
        </w:rPr>
        <w:t>In England this approach is supported by “Start Smart then Focus” guidance</w:t>
      </w:r>
      <w:r w:rsidR="00AF1AEC">
        <w:rPr>
          <w:rFonts w:ascii="Arial" w:hAnsi="Arial" w:cs="Arial"/>
        </w:rPr>
        <w:t xml:space="preserve"> [6]</w:t>
      </w:r>
      <w:r w:rsidR="009941BF">
        <w:rPr>
          <w:rFonts w:ascii="Arial" w:hAnsi="Arial" w:cs="Arial"/>
        </w:rPr>
        <w:t>, and</w:t>
      </w:r>
      <w:r w:rsidR="00C3653A">
        <w:rPr>
          <w:rFonts w:ascii="Arial" w:hAnsi="Arial" w:cs="Arial"/>
        </w:rPr>
        <w:t xml:space="preserve"> </w:t>
      </w:r>
      <w:r w:rsidR="009941BF">
        <w:rPr>
          <w:rFonts w:ascii="Arial" w:hAnsi="Arial" w:cs="Arial"/>
        </w:rPr>
        <w:t>i</w:t>
      </w:r>
      <w:r w:rsidR="0081764F">
        <w:rPr>
          <w:rFonts w:ascii="Arial" w:hAnsi="Arial" w:cs="Arial"/>
        </w:rPr>
        <w:t xml:space="preserve">n the United States </w:t>
      </w:r>
      <w:r w:rsidR="002B288D">
        <w:rPr>
          <w:rFonts w:ascii="Arial" w:hAnsi="Arial" w:cs="Arial"/>
        </w:rPr>
        <w:t xml:space="preserve">by </w:t>
      </w:r>
      <w:r w:rsidR="0081764F">
        <w:rPr>
          <w:rFonts w:ascii="Arial" w:hAnsi="Arial" w:cs="Arial"/>
        </w:rPr>
        <w:t>“Antibiotic Time Outs”</w:t>
      </w:r>
      <w:r w:rsidR="00AF1AEC">
        <w:rPr>
          <w:rFonts w:ascii="Arial" w:hAnsi="Arial" w:cs="Arial"/>
        </w:rPr>
        <w:t xml:space="preserve"> [7]</w:t>
      </w:r>
      <w:r w:rsidR="00C3653A">
        <w:rPr>
          <w:rFonts w:ascii="Arial" w:hAnsi="Arial" w:cs="Arial"/>
        </w:rPr>
        <w:t xml:space="preserve">. </w:t>
      </w:r>
      <w:r w:rsidR="002B288D">
        <w:rPr>
          <w:rFonts w:ascii="Arial" w:hAnsi="Arial" w:cs="Arial"/>
        </w:rPr>
        <w:t>However,</w:t>
      </w:r>
      <w:r w:rsidR="0081764F">
        <w:rPr>
          <w:rFonts w:ascii="Arial" w:hAnsi="Arial" w:cs="Arial"/>
        </w:rPr>
        <w:t xml:space="preserve"> antibiotic</w:t>
      </w:r>
      <w:r w:rsidR="00877BD3">
        <w:rPr>
          <w:rFonts w:ascii="Arial" w:hAnsi="Arial" w:cs="Arial"/>
        </w:rPr>
        <w:t xml:space="preserve"> prescribing</w:t>
      </w:r>
      <w:r w:rsidR="00C3653A">
        <w:rPr>
          <w:rFonts w:ascii="Arial" w:hAnsi="Arial" w:cs="Arial"/>
        </w:rPr>
        <w:t xml:space="preserve"> </w:t>
      </w:r>
      <w:r w:rsidR="009941BF">
        <w:rPr>
          <w:rFonts w:ascii="Arial" w:hAnsi="Arial" w:cs="Arial"/>
        </w:rPr>
        <w:t>has continued to increase in NHS hospitals, both overall and in</w:t>
      </w:r>
      <w:r w:rsidR="00ED45D6">
        <w:rPr>
          <w:rFonts w:ascii="Arial" w:hAnsi="Arial" w:cs="Arial"/>
        </w:rPr>
        <w:t xml:space="preserve"> terms of</w:t>
      </w:r>
      <w:r w:rsidR="009941BF">
        <w:rPr>
          <w:rFonts w:ascii="Arial" w:hAnsi="Arial" w:cs="Arial"/>
        </w:rPr>
        <w:t xml:space="preserve"> </w:t>
      </w:r>
      <w:r w:rsidR="00ED45D6">
        <w:rPr>
          <w:rFonts w:ascii="Arial" w:hAnsi="Arial" w:cs="Arial"/>
        </w:rPr>
        <w:t>certain broad-spectrum, intravenous agents</w:t>
      </w:r>
      <w:r w:rsidR="00ED45D6" w:rsidRPr="00ED45D6">
        <w:rPr>
          <w:rFonts w:ascii="Arial" w:hAnsi="Arial" w:cs="Arial"/>
        </w:rPr>
        <w:t xml:space="preserve"> (e.g. quinolones and 3rd, 4th and 5th generation cephalosporins)</w:t>
      </w:r>
      <w:r w:rsidR="00AF1AEC">
        <w:rPr>
          <w:rFonts w:ascii="Arial" w:hAnsi="Arial" w:cs="Arial"/>
        </w:rPr>
        <w:t xml:space="preserve"> [5]</w:t>
      </w:r>
      <w:r w:rsidR="0081764F">
        <w:rPr>
          <w:rFonts w:ascii="Arial" w:hAnsi="Arial" w:cs="Arial"/>
        </w:rPr>
        <w:t xml:space="preserve">. </w:t>
      </w:r>
      <w:r w:rsidR="00C3653A">
        <w:rPr>
          <w:rFonts w:ascii="Arial" w:hAnsi="Arial" w:cs="Arial"/>
        </w:rPr>
        <w:t xml:space="preserve">Although hospitals only account for around 1/5 of total antibiotic prescribing, this increase </w:t>
      </w:r>
      <w:r w:rsidR="0081764F">
        <w:rPr>
          <w:rFonts w:ascii="Arial" w:hAnsi="Arial" w:cs="Arial"/>
        </w:rPr>
        <w:t>is a major concern</w:t>
      </w:r>
      <w:r w:rsidR="00C3653A">
        <w:rPr>
          <w:rFonts w:ascii="Arial" w:hAnsi="Arial" w:cs="Arial"/>
        </w:rPr>
        <w:t xml:space="preserve"> because </w:t>
      </w:r>
      <w:r w:rsidR="0081764F">
        <w:rPr>
          <w:rFonts w:ascii="Arial" w:hAnsi="Arial" w:cs="Arial"/>
        </w:rPr>
        <w:t xml:space="preserve">this is where most </w:t>
      </w:r>
      <w:r w:rsidR="0086158F" w:rsidRPr="0086158F">
        <w:rPr>
          <w:rFonts w:ascii="Arial" w:hAnsi="Arial" w:cs="Arial"/>
        </w:rPr>
        <w:t xml:space="preserve">broad-spectrum </w:t>
      </w:r>
      <w:r w:rsidR="0081764F">
        <w:rPr>
          <w:rFonts w:ascii="Arial" w:hAnsi="Arial" w:cs="Arial"/>
        </w:rPr>
        <w:t xml:space="preserve">agents are used. Such agents </w:t>
      </w:r>
      <w:r w:rsidR="0086158F" w:rsidRPr="0086158F">
        <w:rPr>
          <w:rFonts w:ascii="Arial" w:hAnsi="Arial" w:cs="Arial"/>
        </w:rPr>
        <w:t>have the greatest potential to drive resistance</w:t>
      </w:r>
      <w:r w:rsidR="00877BD3">
        <w:rPr>
          <w:rFonts w:ascii="Arial" w:hAnsi="Arial" w:cs="Arial"/>
        </w:rPr>
        <w:t xml:space="preserve"> and</w:t>
      </w:r>
      <w:r w:rsidR="0086158F" w:rsidRPr="0086158F">
        <w:rPr>
          <w:rFonts w:ascii="Arial" w:hAnsi="Arial" w:cs="Arial"/>
        </w:rPr>
        <w:t xml:space="preserve"> </w:t>
      </w:r>
      <w:r w:rsidR="00255F61">
        <w:rPr>
          <w:rFonts w:ascii="Arial" w:hAnsi="Arial" w:cs="Arial"/>
        </w:rPr>
        <w:t>cause</w:t>
      </w:r>
      <w:r w:rsidR="0086158F" w:rsidRPr="0086158F">
        <w:rPr>
          <w:rFonts w:ascii="Arial" w:hAnsi="Arial" w:cs="Arial"/>
        </w:rPr>
        <w:t xml:space="preserve"> adverse drug reactions</w:t>
      </w:r>
      <w:r w:rsidR="00AF1AEC">
        <w:rPr>
          <w:rFonts w:ascii="Arial" w:hAnsi="Arial" w:cs="Arial"/>
        </w:rPr>
        <w:t xml:space="preserve"> [8]</w:t>
      </w:r>
      <w:r w:rsidR="0086158F" w:rsidRPr="0086158F">
        <w:rPr>
          <w:rFonts w:ascii="Arial" w:hAnsi="Arial" w:cs="Arial"/>
        </w:rPr>
        <w:t>.</w:t>
      </w:r>
      <w:r w:rsidR="007C59BC">
        <w:rPr>
          <w:rFonts w:ascii="Arial" w:hAnsi="Arial" w:cs="Arial"/>
        </w:rPr>
        <w:t xml:space="preserve"> </w:t>
      </w:r>
    </w:p>
    <w:p w14:paraId="098067BD" w14:textId="77777777" w:rsidR="0047128A" w:rsidRDefault="0047128A" w:rsidP="0047128A">
      <w:pPr>
        <w:spacing w:line="480" w:lineRule="auto"/>
        <w:jc w:val="both"/>
        <w:rPr>
          <w:rFonts w:ascii="Arial" w:hAnsi="Arial" w:cs="Arial"/>
        </w:rPr>
      </w:pPr>
    </w:p>
    <w:p w14:paraId="251A7CF5" w14:textId="6949F96A" w:rsidR="0047128A" w:rsidRDefault="00F33D21" w:rsidP="0047128A">
      <w:pPr>
        <w:spacing w:after="0" w:line="480" w:lineRule="auto"/>
        <w:jc w:val="both"/>
        <w:rPr>
          <w:rFonts w:ascii="Arial" w:hAnsi="Arial" w:cs="Arial"/>
        </w:rPr>
      </w:pPr>
      <w:r>
        <w:rPr>
          <w:rFonts w:ascii="Arial" w:hAnsi="Arial" w:cs="Arial"/>
        </w:rPr>
        <w:t xml:space="preserve">The ability </w:t>
      </w:r>
      <w:r w:rsidR="00255F61">
        <w:rPr>
          <w:rFonts w:ascii="Arial" w:hAnsi="Arial" w:cs="Arial"/>
        </w:rPr>
        <w:t xml:space="preserve">to </w:t>
      </w:r>
      <w:r w:rsidR="008F1749">
        <w:rPr>
          <w:rFonts w:ascii="Arial" w:hAnsi="Arial" w:cs="Arial"/>
        </w:rPr>
        <w:t>‘review and revise’ antibi</w:t>
      </w:r>
      <w:r w:rsidR="003F4A17">
        <w:rPr>
          <w:rFonts w:ascii="Arial" w:hAnsi="Arial" w:cs="Arial"/>
        </w:rPr>
        <w:t>o</w:t>
      </w:r>
      <w:r w:rsidR="008F1749">
        <w:rPr>
          <w:rFonts w:ascii="Arial" w:hAnsi="Arial" w:cs="Arial"/>
        </w:rPr>
        <w:t>t</w:t>
      </w:r>
      <w:r w:rsidR="007C6230">
        <w:rPr>
          <w:rFonts w:ascii="Arial" w:hAnsi="Arial" w:cs="Arial"/>
        </w:rPr>
        <w:t>i</w:t>
      </w:r>
      <w:r w:rsidR="008F1749">
        <w:rPr>
          <w:rFonts w:ascii="Arial" w:hAnsi="Arial" w:cs="Arial"/>
        </w:rPr>
        <w:t xml:space="preserve">c prescriptions </w:t>
      </w:r>
      <w:r>
        <w:rPr>
          <w:rFonts w:ascii="Arial" w:hAnsi="Arial" w:cs="Arial"/>
        </w:rPr>
        <w:t xml:space="preserve">is a key competency for </w:t>
      </w:r>
      <w:r w:rsidR="00602579">
        <w:rPr>
          <w:rFonts w:ascii="Arial" w:hAnsi="Arial" w:cs="Arial"/>
        </w:rPr>
        <w:t xml:space="preserve">healthcare professionals who prescribe antibiotics in </w:t>
      </w:r>
      <w:r>
        <w:rPr>
          <w:rFonts w:ascii="Arial" w:hAnsi="Arial" w:cs="Arial"/>
        </w:rPr>
        <w:t>hospital</w:t>
      </w:r>
      <w:r w:rsidR="00602579">
        <w:rPr>
          <w:rFonts w:ascii="Arial" w:hAnsi="Arial" w:cs="Arial"/>
        </w:rPr>
        <w:t>s</w:t>
      </w:r>
      <w:r w:rsidR="00AF1AEC">
        <w:rPr>
          <w:rFonts w:ascii="Arial" w:hAnsi="Arial" w:cs="Arial"/>
        </w:rPr>
        <w:t xml:space="preserve"> [9]</w:t>
      </w:r>
      <w:r>
        <w:rPr>
          <w:rFonts w:ascii="Arial" w:hAnsi="Arial" w:cs="Arial"/>
        </w:rPr>
        <w:t>.</w:t>
      </w:r>
      <w:r w:rsidR="00255F61">
        <w:rPr>
          <w:rFonts w:ascii="Arial" w:hAnsi="Arial" w:cs="Arial"/>
        </w:rPr>
        <w:t xml:space="preserve"> </w:t>
      </w:r>
      <w:r w:rsidR="002B288D">
        <w:rPr>
          <w:rFonts w:ascii="Arial" w:hAnsi="Arial" w:cs="Arial"/>
        </w:rPr>
        <w:t xml:space="preserve">Prescribers may choose to change route or duration of therapy but only </w:t>
      </w:r>
      <w:r w:rsidR="00877BD3">
        <w:rPr>
          <w:rFonts w:ascii="Arial" w:hAnsi="Arial" w:cs="Arial"/>
        </w:rPr>
        <w:t>a decision to stop treatment quantit</w:t>
      </w:r>
      <w:r w:rsidR="000560AE">
        <w:rPr>
          <w:rFonts w:ascii="Arial" w:hAnsi="Arial" w:cs="Arial"/>
        </w:rPr>
        <w:t>at</w:t>
      </w:r>
      <w:r w:rsidR="00877BD3">
        <w:rPr>
          <w:rFonts w:ascii="Arial" w:hAnsi="Arial" w:cs="Arial"/>
        </w:rPr>
        <w:t>ively reduces antibiotic exposure</w:t>
      </w:r>
      <w:r w:rsidR="002B288D">
        <w:rPr>
          <w:rFonts w:ascii="Arial" w:hAnsi="Arial" w:cs="Arial"/>
        </w:rPr>
        <w:t>. In current practice</w:t>
      </w:r>
      <w:r w:rsidR="002B2AEA">
        <w:rPr>
          <w:rFonts w:ascii="Arial" w:hAnsi="Arial" w:cs="Arial"/>
        </w:rPr>
        <w:t>,</w:t>
      </w:r>
      <w:r w:rsidR="002B288D">
        <w:rPr>
          <w:rFonts w:ascii="Arial" w:hAnsi="Arial" w:cs="Arial"/>
        </w:rPr>
        <w:t xml:space="preserve"> </w:t>
      </w:r>
      <w:r w:rsidR="00877BD3">
        <w:rPr>
          <w:rFonts w:ascii="Arial" w:hAnsi="Arial" w:cs="Arial"/>
        </w:rPr>
        <w:t xml:space="preserve">prescribers frequently </w:t>
      </w:r>
      <w:r w:rsidR="002B2AEA">
        <w:rPr>
          <w:rFonts w:ascii="Arial" w:hAnsi="Arial" w:cs="Arial"/>
        </w:rPr>
        <w:t>do not</w:t>
      </w:r>
      <w:r w:rsidR="00877BD3">
        <w:rPr>
          <w:rFonts w:ascii="Arial" w:hAnsi="Arial" w:cs="Arial"/>
        </w:rPr>
        <w:t xml:space="preserve"> select this option when it would be safe to do so.</w:t>
      </w:r>
      <w:r w:rsidR="00255F61">
        <w:rPr>
          <w:rFonts w:ascii="Arial" w:hAnsi="Arial" w:cs="Arial"/>
        </w:rPr>
        <w:t xml:space="preserve"> </w:t>
      </w:r>
      <w:r w:rsidR="00877BD3">
        <w:rPr>
          <w:rFonts w:ascii="Arial" w:hAnsi="Arial" w:cs="Arial"/>
        </w:rPr>
        <w:t>For example</w:t>
      </w:r>
      <w:r w:rsidR="000728E3">
        <w:rPr>
          <w:rFonts w:ascii="Arial" w:hAnsi="Arial" w:cs="Arial"/>
        </w:rPr>
        <w:t>,</w:t>
      </w:r>
      <w:r w:rsidR="00877BD3">
        <w:rPr>
          <w:rFonts w:ascii="Arial" w:hAnsi="Arial" w:cs="Arial"/>
        </w:rPr>
        <w:t xml:space="preserve"> while up to</w:t>
      </w:r>
      <w:r w:rsidR="000007B1">
        <w:rPr>
          <w:rFonts w:ascii="Arial" w:hAnsi="Arial" w:cs="Arial"/>
        </w:rPr>
        <w:t xml:space="preserve"> </w:t>
      </w:r>
      <w:r w:rsidR="007C7FF4">
        <w:rPr>
          <w:rFonts w:ascii="Arial" w:hAnsi="Arial" w:cs="Arial"/>
        </w:rPr>
        <w:t xml:space="preserve">20-30% of </w:t>
      </w:r>
      <w:r w:rsidR="00877BD3">
        <w:rPr>
          <w:rFonts w:ascii="Arial" w:hAnsi="Arial" w:cs="Arial"/>
        </w:rPr>
        <w:t xml:space="preserve">initial </w:t>
      </w:r>
      <w:r w:rsidR="007C7FF4">
        <w:rPr>
          <w:rFonts w:ascii="Arial" w:hAnsi="Arial" w:cs="Arial"/>
        </w:rPr>
        <w:t xml:space="preserve">prescriptions </w:t>
      </w:r>
      <w:r w:rsidR="00877BD3">
        <w:rPr>
          <w:rFonts w:ascii="Arial" w:hAnsi="Arial" w:cs="Arial"/>
        </w:rPr>
        <w:t xml:space="preserve">among acute medical admissions </w:t>
      </w:r>
      <w:r w:rsidR="007C7FF4">
        <w:rPr>
          <w:rFonts w:ascii="Arial" w:hAnsi="Arial" w:cs="Arial"/>
        </w:rPr>
        <w:t xml:space="preserve">could be stopped safely, </w:t>
      </w:r>
      <w:r w:rsidR="00877BD3">
        <w:rPr>
          <w:rFonts w:ascii="Arial" w:hAnsi="Arial" w:cs="Arial"/>
        </w:rPr>
        <w:t xml:space="preserve">in routine practice </w:t>
      </w:r>
      <w:r w:rsidR="006405DF">
        <w:rPr>
          <w:rFonts w:ascii="Arial" w:hAnsi="Arial" w:cs="Arial"/>
        </w:rPr>
        <w:t xml:space="preserve">fewer </w:t>
      </w:r>
      <w:r w:rsidR="00B730EF">
        <w:rPr>
          <w:rFonts w:ascii="Arial" w:hAnsi="Arial" w:cs="Arial"/>
        </w:rPr>
        <w:t xml:space="preserve">than 10% </w:t>
      </w:r>
      <w:r w:rsidR="00877BD3">
        <w:rPr>
          <w:rFonts w:ascii="Arial" w:hAnsi="Arial" w:cs="Arial"/>
        </w:rPr>
        <w:t>are typically</w:t>
      </w:r>
      <w:r w:rsidR="0050454E">
        <w:rPr>
          <w:rFonts w:ascii="Arial" w:hAnsi="Arial" w:cs="Arial"/>
        </w:rPr>
        <w:t xml:space="preserve"> </w:t>
      </w:r>
      <w:r w:rsidR="008D591D">
        <w:rPr>
          <w:rFonts w:ascii="Arial" w:hAnsi="Arial" w:cs="Arial"/>
        </w:rPr>
        <w:t>stopped</w:t>
      </w:r>
      <w:r w:rsidR="00AF1AEC">
        <w:rPr>
          <w:rFonts w:ascii="Arial" w:hAnsi="Arial" w:cs="Arial"/>
        </w:rPr>
        <w:t xml:space="preserve"> [10–12]</w:t>
      </w:r>
      <w:r w:rsidR="00E966FB">
        <w:rPr>
          <w:rFonts w:ascii="Arial" w:hAnsi="Arial" w:cs="Arial"/>
        </w:rPr>
        <w:t xml:space="preserve">. </w:t>
      </w:r>
      <w:r w:rsidR="00A52F8F">
        <w:rPr>
          <w:rFonts w:ascii="Arial" w:hAnsi="Arial" w:cs="Arial"/>
        </w:rPr>
        <w:t>In a systematic review of in-hospital antibiot</w:t>
      </w:r>
      <w:r w:rsidR="006B501F">
        <w:rPr>
          <w:rFonts w:ascii="Arial" w:hAnsi="Arial" w:cs="Arial"/>
        </w:rPr>
        <w:t>ic prescribing decisions (including</w:t>
      </w:r>
      <w:r w:rsidR="00A52F8F">
        <w:rPr>
          <w:rFonts w:ascii="Arial" w:hAnsi="Arial" w:cs="Arial"/>
        </w:rPr>
        <w:t xml:space="preserve"> both initial prescribing and de-escalation decisions), s</w:t>
      </w:r>
      <w:r w:rsidR="00F72B25">
        <w:rPr>
          <w:rFonts w:ascii="Arial" w:hAnsi="Arial" w:cs="Arial"/>
        </w:rPr>
        <w:t>ociocultural and behavioural factors</w:t>
      </w:r>
      <w:r w:rsidR="001068D4">
        <w:rPr>
          <w:rFonts w:ascii="Arial" w:hAnsi="Arial" w:cs="Arial"/>
        </w:rPr>
        <w:t xml:space="preserve">, such as fear of adverse health outcomes for patients, intolerance of uncertainty, professional hierarchy and </w:t>
      </w:r>
      <w:r w:rsidR="00ED6B35">
        <w:rPr>
          <w:rFonts w:ascii="Arial" w:hAnsi="Arial" w:cs="Arial"/>
        </w:rPr>
        <w:t xml:space="preserve">beliefs on the applicability of </w:t>
      </w:r>
      <w:r w:rsidR="001068D4">
        <w:rPr>
          <w:rFonts w:ascii="Arial" w:hAnsi="Arial" w:cs="Arial"/>
        </w:rPr>
        <w:t>antibiotic prescribing guidelines,</w:t>
      </w:r>
      <w:r w:rsidR="00F72B25">
        <w:rPr>
          <w:rFonts w:ascii="Arial" w:hAnsi="Arial" w:cs="Arial"/>
        </w:rPr>
        <w:t xml:space="preserve"> </w:t>
      </w:r>
      <w:r w:rsidR="00A52F8F">
        <w:rPr>
          <w:rFonts w:ascii="Arial" w:hAnsi="Arial" w:cs="Arial"/>
        </w:rPr>
        <w:t>we</w:t>
      </w:r>
      <w:r w:rsidR="008D591D">
        <w:rPr>
          <w:rFonts w:ascii="Arial" w:hAnsi="Arial" w:cs="Arial"/>
        </w:rPr>
        <w:t xml:space="preserve">re </w:t>
      </w:r>
      <w:r w:rsidR="00A52F8F">
        <w:rPr>
          <w:rFonts w:ascii="Arial" w:hAnsi="Arial" w:cs="Arial"/>
        </w:rPr>
        <w:t xml:space="preserve">found to be </w:t>
      </w:r>
      <w:r w:rsidR="00F72B25">
        <w:rPr>
          <w:rFonts w:ascii="Arial" w:hAnsi="Arial" w:cs="Arial"/>
        </w:rPr>
        <w:t xml:space="preserve">likely </w:t>
      </w:r>
      <w:r w:rsidR="008D591D">
        <w:rPr>
          <w:rFonts w:ascii="Arial" w:hAnsi="Arial" w:cs="Arial"/>
        </w:rPr>
        <w:t xml:space="preserve">to </w:t>
      </w:r>
      <w:r w:rsidR="00F72B25">
        <w:rPr>
          <w:rFonts w:ascii="Arial" w:hAnsi="Arial" w:cs="Arial"/>
        </w:rPr>
        <w:t xml:space="preserve">play a role in </w:t>
      </w:r>
      <w:r w:rsidR="00C26A2C">
        <w:rPr>
          <w:rFonts w:ascii="Arial" w:hAnsi="Arial" w:cs="Arial"/>
        </w:rPr>
        <w:t xml:space="preserve">these </w:t>
      </w:r>
      <w:r w:rsidR="00F72B25">
        <w:rPr>
          <w:rFonts w:ascii="Arial" w:hAnsi="Arial" w:cs="Arial"/>
        </w:rPr>
        <w:t>decisions</w:t>
      </w:r>
      <w:r w:rsidR="00AF1AEC">
        <w:rPr>
          <w:rFonts w:ascii="Arial" w:hAnsi="Arial" w:cs="Arial"/>
        </w:rPr>
        <w:t xml:space="preserve"> [13]</w:t>
      </w:r>
      <w:r w:rsidR="00C26A2C">
        <w:rPr>
          <w:rFonts w:ascii="Arial" w:hAnsi="Arial" w:cs="Arial"/>
        </w:rPr>
        <w:t>.</w:t>
      </w:r>
      <w:r w:rsidR="00D0569A">
        <w:rPr>
          <w:rFonts w:ascii="Arial" w:hAnsi="Arial" w:cs="Arial"/>
        </w:rPr>
        <w:t xml:space="preserve"> However, it is likely that the determinants of decisions to start antibiotic treatment an</w:t>
      </w:r>
      <w:r w:rsidR="001872D6">
        <w:rPr>
          <w:rFonts w:ascii="Arial" w:hAnsi="Arial" w:cs="Arial"/>
        </w:rPr>
        <w:t>d decis</w:t>
      </w:r>
      <w:r w:rsidR="00A34D24">
        <w:rPr>
          <w:rFonts w:ascii="Arial" w:hAnsi="Arial" w:cs="Arial"/>
        </w:rPr>
        <w:t>ions taken at review differ, so</w:t>
      </w:r>
      <w:r w:rsidR="001872D6">
        <w:rPr>
          <w:rFonts w:ascii="Arial" w:hAnsi="Arial" w:cs="Arial"/>
        </w:rPr>
        <w:t xml:space="preserve"> that decisions specifically to de-escalate antibiotic treatment are a subset of these factors.</w:t>
      </w:r>
      <w:r w:rsidR="004A3241">
        <w:rPr>
          <w:rFonts w:ascii="Arial" w:hAnsi="Arial" w:cs="Arial"/>
        </w:rPr>
        <w:t xml:space="preserve"> </w:t>
      </w:r>
      <w:r w:rsidR="00D0569A">
        <w:rPr>
          <w:rFonts w:ascii="Arial" w:hAnsi="Arial" w:cs="Arial"/>
        </w:rPr>
        <w:t>Furthermore</w:t>
      </w:r>
      <w:r w:rsidR="00472C05">
        <w:rPr>
          <w:rFonts w:ascii="Arial" w:hAnsi="Arial" w:cs="Arial"/>
        </w:rPr>
        <w:t xml:space="preserve">, there is </w:t>
      </w:r>
      <w:r w:rsidR="0042038A">
        <w:rPr>
          <w:rFonts w:ascii="Arial" w:hAnsi="Arial" w:cs="Arial"/>
        </w:rPr>
        <w:t xml:space="preserve">a lack of </w:t>
      </w:r>
      <w:r w:rsidR="00472C05">
        <w:rPr>
          <w:rFonts w:ascii="Arial" w:hAnsi="Arial" w:cs="Arial"/>
        </w:rPr>
        <w:t>quantitative evidence on</w:t>
      </w:r>
      <w:r w:rsidR="004A3241">
        <w:rPr>
          <w:rFonts w:ascii="Arial" w:hAnsi="Arial" w:cs="Arial"/>
        </w:rPr>
        <w:t xml:space="preserve"> the relative weights of such determinants</w:t>
      </w:r>
      <w:r w:rsidR="0042038A">
        <w:rPr>
          <w:rFonts w:ascii="Arial" w:hAnsi="Arial" w:cs="Arial"/>
        </w:rPr>
        <w:t>, knowledge of which</w:t>
      </w:r>
      <w:r w:rsidR="00472C05">
        <w:rPr>
          <w:rFonts w:ascii="Arial" w:hAnsi="Arial" w:cs="Arial"/>
        </w:rPr>
        <w:t xml:space="preserve"> could</w:t>
      </w:r>
      <w:r w:rsidR="004A3241">
        <w:rPr>
          <w:rFonts w:ascii="Arial" w:hAnsi="Arial" w:cs="Arial"/>
        </w:rPr>
        <w:t xml:space="preserve"> enable efficient design and implementation of stewardship interventions</w:t>
      </w:r>
      <w:r w:rsidR="00AF1AEC">
        <w:rPr>
          <w:rFonts w:ascii="Arial" w:hAnsi="Arial" w:cs="Arial"/>
        </w:rPr>
        <w:t xml:space="preserve"> [13]</w:t>
      </w:r>
      <w:r w:rsidR="004A3241">
        <w:rPr>
          <w:rFonts w:ascii="Arial" w:hAnsi="Arial" w:cs="Arial"/>
        </w:rPr>
        <w:t xml:space="preserve">. </w:t>
      </w:r>
    </w:p>
    <w:p w14:paraId="54307F6C" w14:textId="77777777" w:rsidR="0047128A" w:rsidRDefault="0047128A" w:rsidP="0047128A">
      <w:pPr>
        <w:spacing w:line="480" w:lineRule="auto"/>
        <w:jc w:val="both"/>
        <w:rPr>
          <w:rFonts w:ascii="Arial" w:hAnsi="Arial" w:cs="Arial"/>
        </w:rPr>
      </w:pPr>
    </w:p>
    <w:p w14:paraId="09A0BA2E" w14:textId="2A3E79B1" w:rsidR="00E966FB" w:rsidRDefault="00267F38" w:rsidP="0047128A">
      <w:pPr>
        <w:spacing w:line="480" w:lineRule="auto"/>
        <w:jc w:val="both"/>
        <w:rPr>
          <w:rFonts w:ascii="Arial" w:hAnsi="Arial" w:cs="Arial"/>
        </w:rPr>
      </w:pPr>
      <w:r>
        <w:rPr>
          <w:rFonts w:ascii="Arial" w:hAnsi="Arial" w:cs="Arial"/>
        </w:rPr>
        <w:t>T</w:t>
      </w:r>
      <w:r w:rsidR="003E430D">
        <w:rPr>
          <w:rFonts w:ascii="Arial" w:hAnsi="Arial" w:cs="Arial"/>
        </w:rPr>
        <w:t>his study</w:t>
      </w:r>
      <w:r w:rsidR="00E966FB" w:rsidRPr="009F716D">
        <w:rPr>
          <w:rFonts w:ascii="Arial" w:hAnsi="Arial" w:cs="Arial"/>
        </w:rPr>
        <w:t xml:space="preserve"> </w:t>
      </w:r>
      <w:r w:rsidR="000728E3">
        <w:rPr>
          <w:rFonts w:ascii="Arial" w:hAnsi="Arial" w:cs="Arial"/>
        </w:rPr>
        <w:t xml:space="preserve">therefore </w:t>
      </w:r>
      <w:r w:rsidR="00E966FB" w:rsidRPr="009F716D">
        <w:rPr>
          <w:rFonts w:ascii="Arial" w:hAnsi="Arial" w:cs="Arial"/>
        </w:rPr>
        <w:t>aim</w:t>
      </w:r>
      <w:r w:rsidR="00E966FB">
        <w:rPr>
          <w:rFonts w:ascii="Arial" w:hAnsi="Arial" w:cs="Arial"/>
        </w:rPr>
        <w:t>ed</w:t>
      </w:r>
      <w:r w:rsidR="00E966FB" w:rsidRPr="009F716D">
        <w:rPr>
          <w:rFonts w:ascii="Arial" w:hAnsi="Arial" w:cs="Arial"/>
        </w:rPr>
        <w:t xml:space="preserve"> to</w:t>
      </w:r>
      <w:r w:rsidR="00E966FB">
        <w:rPr>
          <w:rFonts w:ascii="Arial" w:hAnsi="Arial" w:cs="Arial"/>
        </w:rPr>
        <w:t xml:space="preserve"> quantify</w:t>
      </w:r>
      <w:r w:rsidR="00B01F86">
        <w:rPr>
          <w:rFonts w:ascii="Arial" w:hAnsi="Arial" w:cs="Arial"/>
        </w:rPr>
        <w:t xml:space="preserve"> the relative importance of</w:t>
      </w:r>
      <w:r w:rsidR="00E966FB" w:rsidRPr="009F716D">
        <w:rPr>
          <w:rFonts w:ascii="Arial" w:hAnsi="Arial" w:cs="Arial"/>
        </w:rPr>
        <w:t xml:space="preserve"> </w:t>
      </w:r>
      <w:r w:rsidR="0042038A">
        <w:rPr>
          <w:rFonts w:ascii="Arial" w:hAnsi="Arial" w:cs="Arial"/>
        </w:rPr>
        <w:t>key</w:t>
      </w:r>
      <w:r w:rsidR="008D591D">
        <w:rPr>
          <w:rFonts w:ascii="Arial" w:hAnsi="Arial" w:cs="Arial"/>
        </w:rPr>
        <w:t xml:space="preserve"> </w:t>
      </w:r>
      <w:r w:rsidR="00E966FB" w:rsidRPr="009F716D">
        <w:rPr>
          <w:rFonts w:ascii="Arial" w:hAnsi="Arial" w:cs="Arial"/>
        </w:rPr>
        <w:t xml:space="preserve">factors </w:t>
      </w:r>
      <w:r w:rsidR="00877BD3">
        <w:rPr>
          <w:rFonts w:ascii="Arial" w:hAnsi="Arial" w:cs="Arial"/>
        </w:rPr>
        <w:t>influenc</w:t>
      </w:r>
      <w:r w:rsidR="0042038A">
        <w:rPr>
          <w:rFonts w:ascii="Arial" w:hAnsi="Arial" w:cs="Arial"/>
        </w:rPr>
        <w:t>ing</w:t>
      </w:r>
      <w:r w:rsidR="00877BD3">
        <w:rPr>
          <w:rFonts w:ascii="Arial" w:hAnsi="Arial" w:cs="Arial"/>
        </w:rPr>
        <w:t xml:space="preserve"> prescribers’ decisions</w:t>
      </w:r>
      <w:r w:rsidR="007C6230">
        <w:rPr>
          <w:rFonts w:ascii="Arial" w:hAnsi="Arial" w:cs="Arial"/>
        </w:rPr>
        <w:t xml:space="preserve"> </w:t>
      </w:r>
      <w:r w:rsidR="0042038A">
        <w:rPr>
          <w:rFonts w:ascii="Arial" w:hAnsi="Arial" w:cs="Arial"/>
        </w:rPr>
        <w:t>on</w:t>
      </w:r>
      <w:r w:rsidR="0042038A" w:rsidRPr="009F716D">
        <w:rPr>
          <w:rFonts w:ascii="Arial" w:hAnsi="Arial" w:cs="Arial"/>
        </w:rPr>
        <w:t xml:space="preserve"> </w:t>
      </w:r>
      <w:r w:rsidR="00877BD3">
        <w:rPr>
          <w:rFonts w:ascii="Arial" w:hAnsi="Arial" w:cs="Arial"/>
        </w:rPr>
        <w:t>whether to stop or continue antibiotics at</w:t>
      </w:r>
      <w:r w:rsidR="00877BD3" w:rsidRPr="009F716D">
        <w:rPr>
          <w:rFonts w:ascii="Arial" w:hAnsi="Arial" w:cs="Arial"/>
        </w:rPr>
        <w:t xml:space="preserve"> </w:t>
      </w:r>
      <w:r w:rsidR="00E966FB">
        <w:rPr>
          <w:rFonts w:ascii="Arial" w:hAnsi="Arial" w:cs="Arial"/>
        </w:rPr>
        <w:t>‘review and revise</w:t>
      </w:r>
      <w:r w:rsidR="0042038A">
        <w:rPr>
          <w:rFonts w:ascii="Arial" w:hAnsi="Arial" w:cs="Arial"/>
        </w:rPr>
        <w:t>.</w:t>
      </w:r>
      <w:r w:rsidR="00E966FB">
        <w:rPr>
          <w:rFonts w:ascii="Arial" w:hAnsi="Arial" w:cs="Arial"/>
        </w:rPr>
        <w:t>’</w:t>
      </w:r>
      <w:r w:rsidR="000728E3">
        <w:rPr>
          <w:rFonts w:ascii="Arial" w:hAnsi="Arial" w:cs="Arial"/>
        </w:rPr>
        <w:t xml:space="preserve"> </w:t>
      </w:r>
      <w:r w:rsidR="0042038A">
        <w:rPr>
          <w:rFonts w:ascii="Arial" w:hAnsi="Arial" w:cs="Arial"/>
        </w:rPr>
        <w:t>To do so, we</w:t>
      </w:r>
      <w:r w:rsidR="00E966FB">
        <w:rPr>
          <w:rFonts w:ascii="Arial" w:hAnsi="Arial" w:cs="Arial"/>
        </w:rPr>
        <w:t xml:space="preserve"> </w:t>
      </w:r>
      <w:r w:rsidR="002B149E">
        <w:rPr>
          <w:rFonts w:ascii="Arial" w:hAnsi="Arial" w:cs="Arial"/>
        </w:rPr>
        <w:t>conduct</w:t>
      </w:r>
      <w:r w:rsidR="0042038A">
        <w:rPr>
          <w:rFonts w:ascii="Arial" w:hAnsi="Arial" w:cs="Arial"/>
        </w:rPr>
        <w:t>ed</w:t>
      </w:r>
      <w:r w:rsidR="002B149E">
        <w:rPr>
          <w:rFonts w:ascii="Arial" w:hAnsi="Arial" w:cs="Arial"/>
        </w:rPr>
        <w:t xml:space="preserve"> an online choice experiment, a survey method widely used in health economics</w:t>
      </w:r>
      <w:r w:rsidR="00AF1AEC">
        <w:rPr>
          <w:rFonts w:ascii="Arial" w:hAnsi="Arial" w:cs="Arial"/>
        </w:rPr>
        <w:t xml:space="preserve"> [14–16]</w:t>
      </w:r>
      <w:r w:rsidR="002B149E">
        <w:rPr>
          <w:rFonts w:ascii="Arial" w:hAnsi="Arial" w:cs="Arial"/>
        </w:rPr>
        <w:t xml:space="preserve">. The method involves eliciting preferences for alternative healthcare options by asking respondents to make trade-offs between key attributes of these options. </w:t>
      </w:r>
    </w:p>
    <w:p w14:paraId="0241F88D" w14:textId="77777777" w:rsidR="004635B8" w:rsidRDefault="004635B8" w:rsidP="00F14E14">
      <w:pPr>
        <w:spacing w:line="480" w:lineRule="auto"/>
        <w:ind w:firstLine="720"/>
        <w:jc w:val="both"/>
        <w:rPr>
          <w:rFonts w:ascii="Arial" w:hAnsi="Arial" w:cs="Arial"/>
        </w:rPr>
      </w:pPr>
    </w:p>
    <w:p w14:paraId="49A4E1FA" w14:textId="0E2E2F36" w:rsidR="00C65457" w:rsidRPr="00FB717C" w:rsidRDefault="004A1037" w:rsidP="00F14E14">
      <w:pPr>
        <w:spacing w:line="480" w:lineRule="auto"/>
        <w:jc w:val="both"/>
        <w:rPr>
          <w:rFonts w:ascii="Arial" w:hAnsi="Arial" w:cs="Arial"/>
        </w:rPr>
      </w:pPr>
      <w:r w:rsidRPr="002E227A">
        <w:rPr>
          <w:rFonts w:ascii="Arial" w:hAnsi="Arial" w:cs="Arial"/>
          <w:b/>
        </w:rPr>
        <w:t>METHODS</w:t>
      </w:r>
    </w:p>
    <w:p w14:paraId="6D485870" w14:textId="3FC860E2" w:rsidR="00E378B2" w:rsidRPr="00E378B2" w:rsidRDefault="00E378B2" w:rsidP="00F14E14">
      <w:pPr>
        <w:spacing w:line="480" w:lineRule="auto"/>
        <w:contextualSpacing/>
        <w:jc w:val="both"/>
        <w:rPr>
          <w:rFonts w:ascii="Arial" w:hAnsi="Arial" w:cs="Arial"/>
          <w:b/>
        </w:rPr>
      </w:pPr>
      <w:r w:rsidRPr="00E378B2">
        <w:rPr>
          <w:rFonts w:ascii="Arial" w:hAnsi="Arial" w:cs="Arial"/>
          <w:b/>
        </w:rPr>
        <w:t>Survey Development</w:t>
      </w:r>
      <w:r w:rsidR="00DC64CD">
        <w:rPr>
          <w:rFonts w:ascii="Arial" w:hAnsi="Arial" w:cs="Arial"/>
          <w:b/>
        </w:rPr>
        <w:t xml:space="preserve"> </w:t>
      </w:r>
    </w:p>
    <w:p w14:paraId="77EF38DA" w14:textId="4EEEFFFF" w:rsidR="00DC64CD" w:rsidRDefault="002E227A" w:rsidP="00614AB0">
      <w:pPr>
        <w:spacing w:after="0" w:line="480" w:lineRule="auto"/>
        <w:jc w:val="both"/>
        <w:rPr>
          <w:rFonts w:ascii="Arial" w:hAnsi="Arial" w:cs="Arial"/>
        </w:rPr>
      </w:pPr>
      <w:r w:rsidRPr="002E227A">
        <w:rPr>
          <w:rFonts w:ascii="Arial" w:hAnsi="Arial" w:cs="Arial"/>
        </w:rPr>
        <w:t xml:space="preserve">The </w:t>
      </w:r>
      <w:r>
        <w:rPr>
          <w:rFonts w:ascii="Arial" w:hAnsi="Arial" w:cs="Arial"/>
        </w:rPr>
        <w:t>choice</w:t>
      </w:r>
      <w:r w:rsidRPr="002E227A">
        <w:rPr>
          <w:rFonts w:ascii="Arial" w:hAnsi="Arial" w:cs="Arial"/>
        </w:rPr>
        <w:t xml:space="preserve"> survey </w:t>
      </w:r>
      <w:r w:rsidR="00E378B2">
        <w:rPr>
          <w:rFonts w:ascii="Arial" w:hAnsi="Arial" w:cs="Arial"/>
        </w:rPr>
        <w:t>was developed in accordance with</w:t>
      </w:r>
      <w:r w:rsidRPr="002E227A">
        <w:rPr>
          <w:rFonts w:ascii="Arial" w:hAnsi="Arial" w:cs="Arial"/>
        </w:rPr>
        <w:t xml:space="preserve"> good practice guidelines</w:t>
      </w:r>
      <w:r w:rsidR="00AF1AEC">
        <w:rPr>
          <w:rFonts w:ascii="Arial" w:hAnsi="Arial" w:cs="Arial"/>
        </w:rPr>
        <w:t xml:space="preserve"> [17]</w:t>
      </w:r>
      <w:r>
        <w:rPr>
          <w:rFonts w:ascii="Arial" w:hAnsi="Arial" w:cs="Arial"/>
        </w:rPr>
        <w:t>.</w:t>
      </w:r>
      <w:r w:rsidR="00C44C37">
        <w:rPr>
          <w:rFonts w:ascii="Arial" w:hAnsi="Arial" w:cs="Arial"/>
        </w:rPr>
        <w:t xml:space="preserve"> </w:t>
      </w:r>
      <w:r w:rsidR="00DC64CD">
        <w:rPr>
          <w:rFonts w:ascii="Arial" w:hAnsi="Arial" w:cs="Arial"/>
        </w:rPr>
        <w:t xml:space="preserve">The sampling frame was </w:t>
      </w:r>
      <w:r w:rsidR="00DC64CD" w:rsidRPr="00DC64CD">
        <w:rPr>
          <w:rFonts w:ascii="Arial" w:hAnsi="Arial" w:cs="Arial"/>
        </w:rPr>
        <w:t>healthcare professionals in the UK, who make</w:t>
      </w:r>
      <w:r w:rsidR="00240659">
        <w:rPr>
          <w:rFonts w:ascii="Arial" w:hAnsi="Arial" w:cs="Arial"/>
        </w:rPr>
        <w:t xml:space="preserve"> antibiotic prescribing </w:t>
      </w:r>
      <w:r w:rsidR="00DC64CD" w:rsidRPr="00DC64CD">
        <w:rPr>
          <w:rFonts w:ascii="Arial" w:hAnsi="Arial" w:cs="Arial"/>
        </w:rPr>
        <w:t>decisions in acute</w:t>
      </w:r>
      <w:r w:rsidR="005A7343">
        <w:rPr>
          <w:rFonts w:ascii="Arial" w:hAnsi="Arial" w:cs="Arial"/>
        </w:rPr>
        <w:t>/general hospital medicine</w:t>
      </w:r>
      <w:r w:rsidR="00DC64CD">
        <w:rPr>
          <w:rFonts w:ascii="Arial" w:hAnsi="Arial" w:cs="Arial"/>
        </w:rPr>
        <w:t xml:space="preserve">. </w:t>
      </w:r>
      <w:r w:rsidR="002A1B6B">
        <w:rPr>
          <w:rFonts w:ascii="Arial" w:hAnsi="Arial" w:cs="Arial"/>
        </w:rPr>
        <w:t xml:space="preserve">There were no other inclusion criteria. </w:t>
      </w:r>
      <w:r w:rsidR="00DC64CD">
        <w:rPr>
          <w:rFonts w:ascii="Arial" w:hAnsi="Arial" w:cs="Arial"/>
        </w:rPr>
        <w:t xml:space="preserve">We </w:t>
      </w:r>
      <w:r w:rsidR="00DC64CD" w:rsidRPr="00DC64CD">
        <w:rPr>
          <w:rFonts w:ascii="Arial" w:hAnsi="Arial" w:cs="Arial"/>
        </w:rPr>
        <w:t>recruit</w:t>
      </w:r>
      <w:r w:rsidR="00DC64CD">
        <w:rPr>
          <w:rFonts w:ascii="Arial" w:hAnsi="Arial" w:cs="Arial"/>
        </w:rPr>
        <w:t>ed</w:t>
      </w:r>
      <w:r w:rsidR="00DC64CD" w:rsidRPr="00DC64CD">
        <w:rPr>
          <w:rFonts w:ascii="Arial" w:hAnsi="Arial" w:cs="Arial"/>
        </w:rPr>
        <w:t xml:space="preserve"> participants </w:t>
      </w:r>
      <w:r w:rsidR="00FA464F">
        <w:rPr>
          <w:rFonts w:ascii="Arial" w:hAnsi="Arial" w:cs="Arial"/>
        </w:rPr>
        <w:t xml:space="preserve">through the </w:t>
      </w:r>
      <w:r w:rsidR="00FA464F" w:rsidRPr="00DC64CD">
        <w:rPr>
          <w:rFonts w:ascii="Arial" w:hAnsi="Arial" w:cs="Arial"/>
        </w:rPr>
        <w:t>Society for Acute Medicine (SAM</w:t>
      </w:r>
      <w:r w:rsidR="00FA464F">
        <w:rPr>
          <w:rFonts w:ascii="Arial" w:hAnsi="Arial" w:cs="Arial"/>
        </w:rPr>
        <w:t>)</w:t>
      </w:r>
      <w:r w:rsidR="007C6230">
        <w:rPr>
          <w:rFonts w:ascii="Arial" w:hAnsi="Arial" w:cs="Arial"/>
        </w:rPr>
        <w:t>,</w:t>
      </w:r>
      <w:r w:rsidR="002A1B6B">
        <w:rPr>
          <w:rFonts w:ascii="Arial" w:hAnsi="Arial" w:cs="Arial"/>
        </w:rPr>
        <w:t xml:space="preserve"> </w:t>
      </w:r>
      <w:r w:rsidR="002A1B6B" w:rsidRPr="002A1B6B">
        <w:rPr>
          <w:rFonts w:ascii="Arial" w:hAnsi="Arial" w:cs="Arial"/>
        </w:rPr>
        <w:t>the national representative body for all clinicians working in Acute Medical Units</w:t>
      </w:r>
      <w:r w:rsidR="007C6230">
        <w:rPr>
          <w:rFonts w:ascii="Arial" w:hAnsi="Arial" w:cs="Arial"/>
        </w:rPr>
        <w:t>,</w:t>
      </w:r>
      <w:r w:rsidR="00FA464F">
        <w:rPr>
          <w:rFonts w:ascii="Arial" w:hAnsi="Arial" w:cs="Arial"/>
        </w:rPr>
        <w:t xml:space="preserve"> and through three of the thirteen</w:t>
      </w:r>
      <w:r w:rsidR="00DC64CD" w:rsidRPr="00DC64CD">
        <w:rPr>
          <w:rFonts w:ascii="Arial" w:hAnsi="Arial" w:cs="Arial"/>
        </w:rPr>
        <w:t xml:space="preserve"> postgraduate Deaneries</w:t>
      </w:r>
      <w:r w:rsidR="007C6230">
        <w:rPr>
          <w:rFonts w:ascii="Arial" w:hAnsi="Arial" w:cs="Arial"/>
        </w:rPr>
        <w:t>,</w:t>
      </w:r>
      <w:r w:rsidR="00FA464F">
        <w:rPr>
          <w:rFonts w:ascii="Arial" w:hAnsi="Arial" w:cs="Arial"/>
        </w:rPr>
        <w:t xml:space="preserve"> which manage postgraduate medical education in England. We selected one in the South</w:t>
      </w:r>
      <w:r w:rsidR="00136F5F">
        <w:rPr>
          <w:rFonts w:ascii="Arial" w:hAnsi="Arial" w:cs="Arial"/>
        </w:rPr>
        <w:t xml:space="preserve"> of England</w:t>
      </w:r>
      <w:r w:rsidR="00FA464F">
        <w:rPr>
          <w:rFonts w:ascii="Arial" w:hAnsi="Arial" w:cs="Arial"/>
        </w:rPr>
        <w:t xml:space="preserve"> (Kent Surrey and Sussex)</w:t>
      </w:r>
      <w:r w:rsidR="00C329A9">
        <w:rPr>
          <w:rFonts w:ascii="Arial" w:hAnsi="Arial" w:cs="Arial"/>
        </w:rPr>
        <w:t>,</w:t>
      </w:r>
      <w:r w:rsidR="00FA464F">
        <w:rPr>
          <w:rFonts w:ascii="Arial" w:hAnsi="Arial" w:cs="Arial"/>
        </w:rPr>
        <w:t xml:space="preserve"> one in Central England (Thames Valley) and one in the North</w:t>
      </w:r>
      <w:r w:rsidR="00136F5F">
        <w:rPr>
          <w:rFonts w:ascii="Arial" w:hAnsi="Arial" w:cs="Arial"/>
        </w:rPr>
        <w:t xml:space="preserve"> of England</w:t>
      </w:r>
      <w:r w:rsidR="00FA464F">
        <w:rPr>
          <w:rFonts w:ascii="Arial" w:hAnsi="Arial" w:cs="Arial"/>
        </w:rPr>
        <w:t xml:space="preserve"> (North East and Cumbria).</w:t>
      </w:r>
      <w:r w:rsidR="00DC64CD" w:rsidRPr="00DC64CD">
        <w:rPr>
          <w:rFonts w:ascii="Arial" w:hAnsi="Arial" w:cs="Arial"/>
        </w:rPr>
        <w:t xml:space="preserve"> </w:t>
      </w:r>
    </w:p>
    <w:p w14:paraId="2E8B1BE7" w14:textId="77777777" w:rsidR="0047128A" w:rsidRDefault="0047128A" w:rsidP="00614AB0">
      <w:pPr>
        <w:spacing w:after="0" w:line="480" w:lineRule="auto"/>
        <w:jc w:val="both"/>
        <w:rPr>
          <w:rFonts w:ascii="Arial" w:hAnsi="Arial" w:cs="Arial"/>
        </w:rPr>
      </w:pPr>
    </w:p>
    <w:p w14:paraId="6C505FBA" w14:textId="01AC3E52" w:rsidR="009705DD" w:rsidRDefault="0011548D" w:rsidP="00614AB0">
      <w:pPr>
        <w:widowControl w:val="0"/>
        <w:spacing w:after="0" w:line="480" w:lineRule="auto"/>
        <w:jc w:val="both"/>
        <w:rPr>
          <w:rFonts w:ascii="Arial" w:hAnsi="Arial" w:cs="Arial"/>
        </w:rPr>
      </w:pPr>
      <w:r>
        <w:rPr>
          <w:rFonts w:ascii="Arial" w:hAnsi="Arial" w:cs="Arial"/>
        </w:rPr>
        <w:t>The selection</w:t>
      </w:r>
      <w:r w:rsidR="005A41BE">
        <w:rPr>
          <w:rFonts w:ascii="Arial" w:hAnsi="Arial" w:cs="Arial"/>
        </w:rPr>
        <w:t xml:space="preserve"> of </w:t>
      </w:r>
      <w:r>
        <w:rPr>
          <w:rFonts w:ascii="Arial" w:hAnsi="Arial" w:cs="Arial"/>
        </w:rPr>
        <w:t>key factors (‘</w:t>
      </w:r>
      <w:r w:rsidR="005A41BE">
        <w:rPr>
          <w:rFonts w:ascii="Arial" w:hAnsi="Arial" w:cs="Arial"/>
        </w:rPr>
        <w:t>attributes</w:t>
      </w:r>
      <w:r>
        <w:rPr>
          <w:rFonts w:ascii="Arial" w:hAnsi="Arial" w:cs="Arial"/>
        </w:rPr>
        <w:t xml:space="preserve">’) likely to influence ‘review and revise’ prescribing decisions </w:t>
      </w:r>
      <w:r w:rsidR="005A41BE" w:rsidRPr="005A41BE">
        <w:rPr>
          <w:rFonts w:ascii="Arial" w:hAnsi="Arial" w:cs="Arial"/>
        </w:rPr>
        <w:t xml:space="preserve">was informed by </w:t>
      </w:r>
      <w:r w:rsidR="006864E6">
        <w:rPr>
          <w:rFonts w:ascii="Arial" w:hAnsi="Arial" w:cs="Arial"/>
        </w:rPr>
        <w:t>a literature review</w:t>
      </w:r>
      <w:r w:rsidR="00136F5F">
        <w:rPr>
          <w:rFonts w:ascii="Arial" w:hAnsi="Arial" w:cs="Arial"/>
        </w:rPr>
        <w:t xml:space="preserve"> that we undertook</w:t>
      </w:r>
      <w:r w:rsidR="00A71AB9">
        <w:rPr>
          <w:rFonts w:ascii="Arial" w:hAnsi="Arial" w:cs="Arial"/>
        </w:rPr>
        <w:t xml:space="preserve"> (Additional file</w:t>
      </w:r>
      <w:r w:rsidR="006864E6">
        <w:rPr>
          <w:rFonts w:ascii="Arial" w:hAnsi="Arial" w:cs="Arial"/>
        </w:rPr>
        <w:t xml:space="preserve"> 1) and </w:t>
      </w:r>
      <w:r w:rsidR="005A41BE" w:rsidRPr="005A41BE">
        <w:rPr>
          <w:rFonts w:ascii="Arial" w:hAnsi="Arial" w:cs="Arial"/>
        </w:rPr>
        <w:t xml:space="preserve">qualitative interviews undertaken as part of the ARK-Hospital </w:t>
      </w:r>
      <w:r w:rsidR="00FA464F">
        <w:rPr>
          <w:rFonts w:ascii="Arial" w:hAnsi="Arial" w:cs="Arial"/>
        </w:rPr>
        <w:t>research programme</w:t>
      </w:r>
      <w:r w:rsidR="00AF1AEC">
        <w:rPr>
          <w:rFonts w:ascii="Arial" w:hAnsi="Arial" w:cs="Arial"/>
        </w:rPr>
        <w:t xml:space="preserve"> [10]</w:t>
      </w:r>
      <w:r w:rsidR="005A41BE" w:rsidRPr="005A41BE">
        <w:rPr>
          <w:rFonts w:ascii="Arial" w:hAnsi="Arial" w:cs="Arial"/>
        </w:rPr>
        <w:t>.</w:t>
      </w:r>
      <w:r w:rsidR="00337B9F">
        <w:rPr>
          <w:rFonts w:ascii="Arial" w:hAnsi="Arial" w:cs="Arial"/>
        </w:rPr>
        <w:t xml:space="preserve"> The ARK-Hospital </w:t>
      </w:r>
      <w:r w:rsidR="00FA464F">
        <w:rPr>
          <w:rFonts w:ascii="Arial" w:hAnsi="Arial" w:cs="Arial"/>
        </w:rPr>
        <w:t xml:space="preserve">programme is developing a </w:t>
      </w:r>
      <w:r w:rsidR="004A10A4">
        <w:rPr>
          <w:rFonts w:ascii="Arial" w:hAnsi="Arial" w:cs="Arial"/>
        </w:rPr>
        <w:t xml:space="preserve">complex </w:t>
      </w:r>
      <w:r w:rsidR="00337B9F">
        <w:rPr>
          <w:rFonts w:ascii="Arial" w:hAnsi="Arial" w:cs="Arial"/>
        </w:rPr>
        <w:t>behavioural intervention</w:t>
      </w:r>
      <w:r w:rsidR="00720EFF">
        <w:rPr>
          <w:rFonts w:ascii="Arial" w:hAnsi="Arial" w:cs="Arial"/>
        </w:rPr>
        <w:t xml:space="preserve"> that</w:t>
      </w:r>
      <w:r w:rsidR="008842FC">
        <w:rPr>
          <w:rFonts w:ascii="Arial" w:hAnsi="Arial" w:cs="Arial"/>
        </w:rPr>
        <w:t xml:space="preserve"> aim</w:t>
      </w:r>
      <w:r w:rsidR="00720EFF">
        <w:rPr>
          <w:rFonts w:ascii="Arial" w:hAnsi="Arial" w:cs="Arial"/>
        </w:rPr>
        <w:t>s</w:t>
      </w:r>
      <w:r w:rsidR="00C329A9">
        <w:rPr>
          <w:rFonts w:ascii="Arial" w:hAnsi="Arial" w:cs="Arial"/>
        </w:rPr>
        <w:t xml:space="preserve"> to </w:t>
      </w:r>
      <w:r w:rsidR="00F3151F">
        <w:rPr>
          <w:rFonts w:ascii="Arial" w:hAnsi="Arial" w:cs="Arial"/>
        </w:rPr>
        <w:t>safely</w:t>
      </w:r>
      <w:r w:rsidR="00337B9F" w:rsidRPr="00337B9F">
        <w:rPr>
          <w:rFonts w:ascii="Arial" w:hAnsi="Arial" w:cs="Arial"/>
        </w:rPr>
        <w:t xml:space="preserve"> increas</w:t>
      </w:r>
      <w:r w:rsidR="00720EFF">
        <w:rPr>
          <w:rFonts w:ascii="Arial" w:hAnsi="Arial" w:cs="Arial"/>
        </w:rPr>
        <w:t>e</w:t>
      </w:r>
      <w:r w:rsidR="00337B9F" w:rsidRPr="00337B9F">
        <w:rPr>
          <w:rFonts w:ascii="Arial" w:hAnsi="Arial" w:cs="Arial"/>
        </w:rPr>
        <w:t xml:space="preserve"> antibiotic </w:t>
      </w:r>
      <w:r w:rsidR="00F3151F">
        <w:rPr>
          <w:rFonts w:ascii="Arial" w:hAnsi="Arial" w:cs="Arial"/>
        </w:rPr>
        <w:t>stop</w:t>
      </w:r>
      <w:r w:rsidR="00136F5F">
        <w:rPr>
          <w:rFonts w:ascii="Arial" w:hAnsi="Arial" w:cs="Arial"/>
        </w:rPr>
        <w:t>ping</w:t>
      </w:r>
      <w:r w:rsidR="00F3151F">
        <w:rPr>
          <w:rFonts w:ascii="Arial" w:hAnsi="Arial" w:cs="Arial"/>
        </w:rPr>
        <w:t xml:space="preserve"> rates </w:t>
      </w:r>
      <w:r w:rsidR="00136F5F">
        <w:rPr>
          <w:rFonts w:ascii="Arial" w:hAnsi="Arial" w:cs="Arial"/>
        </w:rPr>
        <w:t>for</w:t>
      </w:r>
      <w:r w:rsidR="00F3151F">
        <w:rPr>
          <w:rFonts w:ascii="Arial" w:hAnsi="Arial" w:cs="Arial"/>
        </w:rPr>
        <w:t xml:space="preserve"> acute</w:t>
      </w:r>
      <w:r w:rsidR="002913EA">
        <w:rPr>
          <w:rFonts w:ascii="Arial" w:hAnsi="Arial" w:cs="Arial"/>
        </w:rPr>
        <w:t>/general</w:t>
      </w:r>
      <w:r w:rsidR="00F3151F">
        <w:rPr>
          <w:rFonts w:ascii="Arial" w:hAnsi="Arial" w:cs="Arial"/>
        </w:rPr>
        <w:t xml:space="preserve"> medical patients admitted to hospital</w:t>
      </w:r>
      <w:r w:rsidR="00337B9F" w:rsidRPr="00337B9F">
        <w:rPr>
          <w:rFonts w:ascii="Arial" w:hAnsi="Arial" w:cs="Arial"/>
        </w:rPr>
        <w:t>.</w:t>
      </w:r>
      <w:r>
        <w:rPr>
          <w:rFonts w:ascii="Arial" w:hAnsi="Arial" w:cs="Arial"/>
        </w:rPr>
        <w:t xml:space="preserve"> </w:t>
      </w:r>
      <w:r w:rsidR="00DE19AC" w:rsidRPr="00DE19AC">
        <w:rPr>
          <w:rFonts w:ascii="Arial" w:hAnsi="Arial" w:cs="Arial"/>
        </w:rPr>
        <w:t>Ultimately, to conduct our choice experiment we needed to compile a list of between around 4 to 8 attribu</w:t>
      </w:r>
      <w:r w:rsidR="009F6371">
        <w:rPr>
          <w:rFonts w:ascii="Arial" w:hAnsi="Arial" w:cs="Arial"/>
        </w:rPr>
        <w:t>tes that</w:t>
      </w:r>
      <w:r w:rsidR="00DE19AC" w:rsidRPr="00DE19AC">
        <w:rPr>
          <w:rFonts w:ascii="Arial" w:hAnsi="Arial" w:cs="Arial"/>
        </w:rPr>
        <w:t xml:space="preserve"> captured the essence of the ‘review and revise’ decision.</w:t>
      </w:r>
      <w:r w:rsidR="00DE19AC">
        <w:rPr>
          <w:rFonts w:ascii="Arial" w:hAnsi="Arial" w:cs="Arial"/>
        </w:rPr>
        <w:t xml:space="preserve"> </w:t>
      </w:r>
      <w:r w:rsidR="00DE19AC" w:rsidRPr="00DE19AC">
        <w:rPr>
          <w:rFonts w:ascii="Arial" w:hAnsi="Arial" w:cs="Arial"/>
        </w:rPr>
        <w:t>As in all choice experiments, deciding this final list of attributes, and the precise wording of those attributes, inevitably require</w:t>
      </w:r>
      <w:r w:rsidR="00DE19AC">
        <w:rPr>
          <w:rFonts w:ascii="Arial" w:hAnsi="Arial" w:cs="Arial"/>
        </w:rPr>
        <w:t>d</w:t>
      </w:r>
      <w:r w:rsidR="00DE19AC" w:rsidRPr="00DE19AC">
        <w:rPr>
          <w:rFonts w:ascii="Arial" w:hAnsi="Arial" w:cs="Arial"/>
        </w:rPr>
        <w:t xml:space="preserve"> an element of judgemen</w:t>
      </w:r>
      <w:r w:rsidR="00DE19AC">
        <w:rPr>
          <w:rFonts w:ascii="Arial" w:hAnsi="Arial" w:cs="Arial"/>
        </w:rPr>
        <w:t>t</w:t>
      </w:r>
      <w:r w:rsidR="00991E57">
        <w:rPr>
          <w:rFonts w:ascii="Arial" w:hAnsi="Arial" w:cs="Arial"/>
        </w:rPr>
        <w:t xml:space="preserve"> [1</w:t>
      </w:r>
      <w:r w:rsidR="00447EA9">
        <w:rPr>
          <w:rFonts w:ascii="Arial" w:hAnsi="Arial" w:cs="Arial"/>
        </w:rPr>
        <w:t>7</w:t>
      </w:r>
      <w:r w:rsidR="00991E57">
        <w:rPr>
          <w:rFonts w:ascii="Arial" w:hAnsi="Arial" w:cs="Arial"/>
        </w:rPr>
        <w:t>]</w:t>
      </w:r>
      <w:r w:rsidR="00DE19AC" w:rsidRPr="00DE19AC">
        <w:rPr>
          <w:rFonts w:ascii="Arial" w:hAnsi="Arial" w:cs="Arial"/>
        </w:rPr>
        <w:t xml:space="preserve">. </w:t>
      </w:r>
      <w:r w:rsidR="00D81CD8">
        <w:rPr>
          <w:rFonts w:ascii="Arial" w:hAnsi="Arial" w:cs="Arial"/>
        </w:rPr>
        <w:t>Based</w:t>
      </w:r>
      <w:r w:rsidR="00614AB0">
        <w:rPr>
          <w:rFonts w:ascii="Arial" w:hAnsi="Arial" w:cs="Arial"/>
        </w:rPr>
        <w:t xml:space="preserve"> on </w:t>
      </w:r>
      <w:r w:rsidR="00D81CD8" w:rsidRPr="00DE19AC">
        <w:rPr>
          <w:rFonts w:ascii="Arial" w:hAnsi="Arial" w:cs="Arial"/>
        </w:rPr>
        <w:t>the ARK-hospital qualitative interviews</w:t>
      </w:r>
      <w:r w:rsidR="007378C8">
        <w:rPr>
          <w:rFonts w:ascii="Arial" w:hAnsi="Arial" w:cs="Arial"/>
        </w:rPr>
        <w:t xml:space="preserve"> and</w:t>
      </w:r>
      <w:r w:rsidR="00D81CD8">
        <w:rPr>
          <w:rFonts w:ascii="Arial" w:hAnsi="Arial" w:cs="Arial"/>
        </w:rPr>
        <w:t xml:space="preserve"> </w:t>
      </w:r>
      <w:r w:rsidR="007378C8">
        <w:rPr>
          <w:rFonts w:ascii="Arial" w:hAnsi="Arial" w:cs="Arial"/>
        </w:rPr>
        <w:t>the literature review, and</w:t>
      </w:r>
      <w:r w:rsidR="00D81CD8">
        <w:rPr>
          <w:rFonts w:ascii="Arial" w:hAnsi="Arial" w:cs="Arial"/>
        </w:rPr>
        <w:t xml:space="preserve"> </w:t>
      </w:r>
      <w:r w:rsidR="007378C8">
        <w:rPr>
          <w:rFonts w:ascii="Arial" w:hAnsi="Arial" w:cs="Arial"/>
        </w:rPr>
        <w:t xml:space="preserve">drawing on </w:t>
      </w:r>
      <w:r w:rsidR="00614AB0" w:rsidRPr="00614AB0">
        <w:rPr>
          <w:rFonts w:ascii="Arial" w:hAnsi="Arial" w:cs="Arial"/>
        </w:rPr>
        <w:t xml:space="preserve">many decades of experience of antibiotic de-escalation decisions within </w:t>
      </w:r>
      <w:r w:rsidR="00614AB0">
        <w:rPr>
          <w:rFonts w:ascii="Arial" w:hAnsi="Arial" w:cs="Arial"/>
        </w:rPr>
        <w:t>the team</w:t>
      </w:r>
      <w:r w:rsidR="007378C8">
        <w:rPr>
          <w:rFonts w:ascii="Arial" w:hAnsi="Arial" w:cs="Arial"/>
        </w:rPr>
        <w:t>,</w:t>
      </w:r>
      <w:r w:rsidR="00DE19AC" w:rsidRPr="00DE19AC">
        <w:rPr>
          <w:rFonts w:ascii="Arial" w:hAnsi="Arial" w:cs="Arial"/>
        </w:rPr>
        <w:t xml:space="preserve"> </w:t>
      </w:r>
      <w:r w:rsidR="00DE19AC">
        <w:rPr>
          <w:rFonts w:ascii="Arial" w:hAnsi="Arial" w:cs="Arial"/>
        </w:rPr>
        <w:t>we identified six attributes that we believed</w:t>
      </w:r>
      <w:r w:rsidR="00DE19AC" w:rsidRPr="00DE19AC">
        <w:rPr>
          <w:rFonts w:ascii="Arial" w:hAnsi="Arial" w:cs="Arial"/>
        </w:rPr>
        <w:t xml:space="preserve"> </w:t>
      </w:r>
      <w:r w:rsidRPr="0011548D">
        <w:rPr>
          <w:rFonts w:ascii="Arial" w:hAnsi="Arial" w:cs="Arial"/>
        </w:rPr>
        <w:t xml:space="preserve">captured the </w:t>
      </w:r>
      <w:r w:rsidR="008F1705">
        <w:rPr>
          <w:rFonts w:ascii="Arial" w:hAnsi="Arial" w:cs="Arial"/>
        </w:rPr>
        <w:t>central</w:t>
      </w:r>
      <w:r w:rsidR="00BC5E40">
        <w:rPr>
          <w:rFonts w:ascii="Arial" w:hAnsi="Arial" w:cs="Arial"/>
        </w:rPr>
        <w:t xml:space="preserve"> </w:t>
      </w:r>
      <w:r w:rsidR="008F1705">
        <w:rPr>
          <w:rFonts w:ascii="Arial" w:hAnsi="Arial" w:cs="Arial"/>
        </w:rPr>
        <w:t>issues</w:t>
      </w:r>
      <w:r w:rsidR="00BC5E40">
        <w:rPr>
          <w:rFonts w:ascii="Arial" w:hAnsi="Arial" w:cs="Arial"/>
        </w:rPr>
        <w:t xml:space="preserve"> driving</w:t>
      </w:r>
      <w:r>
        <w:rPr>
          <w:rFonts w:ascii="Arial" w:hAnsi="Arial" w:cs="Arial"/>
        </w:rPr>
        <w:t xml:space="preserve"> ‘review and revise’ prescribing decision</w:t>
      </w:r>
      <w:r w:rsidR="008F1705">
        <w:rPr>
          <w:rFonts w:ascii="Arial" w:hAnsi="Arial" w:cs="Arial"/>
        </w:rPr>
        <w:t>s</w:t>
      </w:r>
      <w:r w:rsidR="00E70A8E">
        <w:rPr>
          <w:rFonts w:ascii="Arial" w:hAnsi="Arial" w:cs="Arial"/>
        </w:rPr>
        <w:t xml:space="preserve"> (Table 1).</w:t>
      </w:r>
      <w:r w:rsidR="00C329A9">
        <w:rPr>
          <w:rFonts w:ascii="Arial" w:hAnsi="Arial" w:cs="Arial"/>
        </w:rPr>
        <w:t xml:space="preserve"> </w:t>
      </w:r>
      <w:r w:rsidR="00B513A9">
        <w:rPr>
          <w:rFonts w:ascii="Arial" w:hAnsi="Arial" w:cs="Arial"/>
        </w:rPr>
        <w:t>We delibe</w:t>
      </w:r>
      <w:r w:rsidR="00281862">
        <w:rPr>
          <w:rFonts w:ascii="Arial" w:hAnsi="Arial" w:cs="Arial"/>
        </w:rPr>
        <w:t>rately focus</w:t>
      </w:r>
      <w:r w:rsidR="00B513A9">
        <w:rPr>
          <w:rFonts w:ascii="Arial" w:hAnsi="Arial" w:cs="Arial"/>
        </w:rPr>
        <w:t xml:space="preserve">ed on attributes that were either known at </w:t>
      </w:r>
      <w:r w:rsidR="008F1705">
        <w:rPr>
          <w:rFonts w:ascii="Arial" w:hAnsi="Arial" w:cs="Arial"/>
        </w:rPr>
        <w:t xml:space="preserve">patient </w:t>
      </w:r>
      <w:r w:rsidR="00B513A9">
        <w:rPr>
          <w:rFonts w:ascii="Arial" w:hAnsi="Arial" w:cs="Arial"/>
        </w:rPr>
        <w:t>presentation</w:t>
      </w:r>
      <w:r w:rsidR="008F1705">
        <w:rPr>
          <w:rFonts w:ascii="Arial" w:hAnsi="Arial" w:cs="Arial"/>
        </w:rPr>
        <w:t xml:space="preserve"> in hospital,</w:t>
      </w:r>
      <w:r w:rsidR="00B513A9">
        <w:rPr>
          <w:rFonts w:ascii="Arial" w:hAnsi="Arial" w:cs="Arial"/>
        </w:rPr>
        <w:t xml:space="preserve"> or were generalizable across patients</w:t>
      </w:r>
      <w:r w:rsidR="008F1705">
        <w:rPr>
          <w:rFonts w:ascii="Arial" w:hAnsi="Arial" w:cs="Arial"/>
        </w:rPr>
        <w:t>. This was</w:t>
      </w:r>
      <w:r w:rsidR="00B513A9">
        <w:rPr>
          <w:rFonts w:ascii="Arial" w:hAnsi="Arial" w:cs="Arial"/>
        </w:rPr>
        <w:t xml:space="preserve"> because individual responses to treatment are very specific </w:t>
      </w:r>
      <w:r w:rsidR="00642FA8">
        <w:rPr>
          <w:rFonts w:ascii="Arial" w:hAnsi="Arial" w:cs="Arial"/>
        </w:rPr>
        <w:t xml:space="preserve">(as reflected in the large number of different aspects of response mentioned in respondent comments, </w:t>
      </w:r>
      <w:r w:rsidR="00A71AB9">
        <w:rPr>
          <w:rFonts w:ascii="Arial" w:hAnsi="Arial" w:cs="Arial"/>
        </w:rPr>
        <w:t>Additional file</w:t>
      </w:r>
      <w:r w:rsidR="00642FA8">
        <w:rPr>
          <w:rFonts w:ascii="Arial" w:hAnsi="Arial" w:cs="Arial"/>
        </w:rPr>
        <w:t xml:space="preserve"> 10) </w:t>
      </w:r>
      <w:r w:rsidR="00B513A9">
        <w:rPr>
          <w:rFonts w:ascii="Arial" w:hAnsi="Arial" w:cs="Arial"/>
        </w:rPr>
        <w:t xml:space="preserve">and </w:t>
      </w:r>
      <w:r w:rsidR="00642FA8">
        <w:rPr>
          <w:rFonts w:ascii="Arial" w:hAnsi="Arial" w:cs="Arial"/>
        </w:rPr>
        <w:t xml:space="preserve">such </w:t>
      </w:r>
      <w:r w:rsidR="00B513A9">
        <w:rPr>
          <w:rFonts w:ascii="Arial" w:hAnsi="Arial" w:cs="Arial"/>
        </w:rPr>
        <w:t xml:space="preserve">heterogeneity could not be adequately captured in </w:t>
      </w:r>
      <w:r w:rsidR="00642FA8">
        <w:rPr>
          <w:rFonts w:ascii="Arial" w:hAnsi="Arial" w:cs="Arial"/>
        </w:rPr>
        <w:t xml:space="preserve">the </w:t>
      </w:r>
      <w:r w:rsidR="00B513A9">
        <w:rPr>
          <w:rFonts w:ascii="Arial" w:hAnsi="Arial" w:cs="Arial"/>
        </w:rPr>
        <w:t xml:space="preserve">attribute descriptions. </w:t>
      </w:r>
      <w:r w:rsidR="007E23F4" w:rsidRPr="007E23F4">
        <w:rPr>
          <w:rFonts w:ascii="Arial" w:hAnsi="Arial" w:cs="Arial"/>
        </w:rPr>
        <w:t xml:space="preserve">Levels were identified for each </w:t>
      </w:r>
      <w:r w:rsidR="00C3647E">
        <w:rPr>
          <w:rFonts w:ascii="Arial" w:hAnsi="Arial" w:cs="Arial"/>
        </w:rPr>
        <w:t>attribute</w:t>
      </w:r>
      <w:r w:rsidR="007E23F4" w:rsidRPr="007E23F4">
        <w:rPr>
          <w:rFonts w:ascii="Arial" w:hAnsi="Arial" w:cs="Arial"/>
        </w:rPr>
        <w:t>, informed by th</w:t>
      </w:r>
      <w:r w:rsidR="007E23F4">
        <w:rPr>
          <w:rFonts w:ascii="Arial" w:hAnsi="Arial" w:cs="Arial"/>
        </w:rPr>
        <w:t xml:space="preserve">e </w:t>
      </w:r>
      <w:r w:rsidR="00EB481D">
        <w:rPr>
          <w:rFonts w:ascii="Arial" w:hAnsi="Arial" w:cs="Arial"/>
        </w:rPr>
        <w:t>qualitative interviews</w:t>
      </w:r>
      <w:r w:rsidR="00C45564">
        <w:rPr>
          <w:rFonts w:ascii="Arial" w:hAnsi="Arial" w:cs="Arial"/>
        </w:rPr>
        <w:t xml:space="preserve"> </w:t>
      </w:r>
      <w:r w:rsidR="007E23F4">
        <w:rPr>
          <w:rFonts w:ascii="Arial" w:hAnsi="Arial" w:cs="Arial"/>
        </w:rPr>
        <w:t xml:space="preserve">and clinical expertise within the </w:t>
      </w:r>
      <w:r w:rsidR="00C45564">
        <w:rPr>
          <w:rFonts w:ascii="Arial" w:hAnsi="Arial" w:cs="Arial"/>
        </w:rPr>
        <w:t xml:space="preserve">study </w:t>
      </w:r>
      <w:r w:rsidR="007E23F4">
        <w:rPr>
          <w:rFonts w:ascii="Arial" w:hAnsi="Arial" w:cs="Arial"/>
        </w:rPr>
        <w:t>team</w:t>
      </w:r>
      <w:r w:rsidR="00C329A9">
        <w:rPr>
          <w:rFonts w:ascii="Arial" w:hAnsi="Arial" w:cs="Arial"/>
        </w:rPr>
        <w:t xml:space="preserve"> (</w:t>
      </w:r>
      <w:r w:rsidR="007E23F4" w:rsidRPr="007E23F4">
        <w:rPr>
          <w:rFonts w:ascii="Arial" w:hAnsi="Arial" w:cs="Arial"/>
        </w:rPr>
        <w:t>Table 1</w:t>
      </w:r>
      <w:r w:rsidR="00C329A9">
        <w:rPr>
          <w:rFonts w:ascii="Arial" w:hAnsi="Arial" w:cs="Arial"/>
        </w:rPr>
        <w:t>)</w:t>
      </w:r>
      <w:r w:rsidR="007E23F4" w:rsidRPr="007E23F4">
        <w:rPr>
          <w:rFonts w:ascii="Arial" w:hAnsi="Arial" w:cs="Arial"/>
        </w:rPr>
        <w:t>.</w:t>
      </w:r>
    </w:p>
    <w:p w14:paraId="21CD6726" w14:textId="14FB4DD3" w:rsidR="00AA3ED0" w:rsidRDefault="00AA3ED0" w:rsidP="00F14E14">
      <w:pPr>
        <w:spacing w:after="0" w:line="480" w:lineRule="auto"/>
        <w:jc w:val="both"/>
        <w:rPr>
          <w:rFonts w:ascii="Arial" w:hAnsi="Arial" w:cs="Arial"/>
        </w:rPr>
      </w:pPr>
    </w:p>
    <w:p w14:paraId="07E55F70" w14:textId="194BE5CB" w:rsidR="00AA3ED0" w:rsidRDefault="00AA3ED0" w:rsidP="00AA3ED0">
      <w:pPr>
        <w:spacing w:after="0" w:line="480" w:lineRule="auto"/>
        <w:jc w:val="center"/>
        <w:rPr>
          <w:rFonts w:ascii="Arial" w:hAnsi="Arial" w:cs="Arial"/>
        </w:rPr>
      </w:pPr>
      <w:r>
        <w:rPr>
          <w:rFonts w:ascii="Arial" w:hAnsi="Arial" w:cs="Arial"/>
        </w:rPr>
        <w:t>[TABLE 1 ABOUT HERE]</w:t>
      </w:r>
    </w:p>
    <w:p w14:paraId="04BE54C3" w14:textId="77777777" w:rsidR="009705DD" w:rsidRDefault="009705DD" w:rsidP="00F14E14">
      <w:pPr>
        <w:spacing w:after="0" w:line="480" w:lineRule="auto"/>
        <w:jc w:val="both"/>
        <w:rPr>
          <w:rFonts w:ascii="Arial" w:hAnsi="Arial" w:cs="Arial"/>
        </w:rPr>
      </w:pPr>
    </w:p>
    <w:p w14:paraId="48394745" w14:textId="77777777" w:rsidR="009705DD" w:rsidRPr="009705DD" w:rsidRDefault="009705DD" w:rsidP="00F14E14">
      <w:pPr>
        <w:spacing w:after="0" w:line="480" w:lineRule="auto"/>
        <w:jc w:val="both"/>
        <w:rPr>
          <w:rFonts w:ascii="Arial" w:hAnsi="Arial" w:cs="Arial"/>
          <w:b/>
        </w:rPr>
      </w:pPr>
      <w:r w:rsidRPr="009705DD">
        <w:rPr>
          <w:rFonts w:ascii="Arial" w:hAnsi="Arial" w:cs="Arial"/>
          <w:b/>
        </w:rPr>
        <w:t>Constructing the choice questions</w:t>
      </w:r>
    </w:p>
    <w:p w14:paraId="55E30250" w14:textId="1915EA28" w:rsidR="009705DD" w:rsidRDefault="009705DD" w:rsidP="00F14E14">
      <w:pPr>
        <w:spacing w:after="0" w:line="480" w:lineRule="auto"/>
        <w:jc w:val="both"/>
        <w:rPr>
          <w:rFonts w:ascii="Arial" w:hAnsi="Arial" w:cs="Arial"/>
        </w:rPr>
      </w:pPr>
      <w:r w:rsidRPr="009705DD">
        <w:rPr>
          <w:rFonts w:ascii="Arial" w:hAnsi="Arial" w:cs="Arial"/>
        </w:rPr>
        <w:t>In each choice question, respondents were presented with the same hypothetical situation (</w:t>
      </w:r>
      <w:r>
        <w:rPr>
          <w:rFonts w:ascii="Arial" w:hAnsi="Arial" w:cs="Arial"/>
        </w:rPr>
        <w:t>Figure</w:t>
      </w:r>
      <w:r w:rsidRPr="009705DD">
        <w:rPr>
          <w:rFonts w:ascii="Arial" w:hAnsi="Arial" w:cs="Arial"/>
        </w:rPr>
        <w:t xml:space="preserve"> 1), </w:t>
      </w:r>
      <w:r w:rsidR="00835AD6">
        <w:rPr>
          <w:rFonts w:ascii="Arial" w:hAnsi="Arial" w:cs="Arial"/>
        </w:rPr>
        <w:t xml:space="preserve">in which they were </w:t>
      </w:r>
      <w:r>
        <w:rPr>
          <w:rFonts w:ascii="Arial" w:hAnsi="Arial" w:cs="Arial"/>
        </w:rPr>
        <w:t xml:space="preserve">asked to imagine they were </w:t>
      </w:r>
      <w:r w:rsidRPr="009705DD">
        <w:rPr>
          <w:rFonts w:ascii="Arial" w:hAnsi="Arial" w:cs="Arial"/>
        </w:rPr>
        <w:t>reviewing the treatment of a patient admitted to hospital 72 hours ago</w:t>
      </w:r>
      <w:r w:rsidR="00F3151F">
        <w:rPr>
          <w:rFonts w:ascii="Arial" w:hAnsi="Arial" w:cs="Arial"/>
        </w:rPr>
        <w:t xml:space="preserve"> and in whom a</w:t>
      </w:r>
      <w:r w:rsidRPr="009705DD">
        <w:rPr>
          <w:rFonts w:ascii="Arial" w:hAnsi="Arial" w:cs="Arial"/>
        </w:rPr>
        <w:t xml:space="preserve">ntibiotic treatment </w:t>
      </w:r>
      <w:r w:rsidR="00F3151F">
        <w:rPr>
          <w:rFonts w:ascii="Arial" w:hAnsi="Arial" w:cs="Arial"/>
        </w:rPr>
        <w:t>had been</w:t>
      </w:r>
      <w:r w:rsidR="00F3151F" w:rsidRPr="009705DD">
        <w:rPr>
          <w:rFonts w:ascii="Arial" w:hAnsi="Arial" w:cs="Arial"/>
        </w:rPr>
        <w:t xml:space="preserve"> </w:t>
      </w:r>
      <w:r w:rsidRPr="009705DD">
        <w:rPr>
          <w:rFonts w:ascii="Arial" w:hAnsi="Arial" w:cs="Arial"/>
        </w:rPr>
        <w:t>initiated within</w:t>
      </w:r>
      <w:r>
        <w:rPr>
          <w:rFonts w:ascii="Arial" w:hAnsi="Arial" w:cs="Arial"/>
        </w:rPr>
        <w:t xml:space="preserve"> 2 hours of </w:t>
      </w:r>
      <w:r w:rsidR="00167A09">
        <w:rPr>
          <w:rFonts w:ascii="Arial" w:hAnsi="Arial" w:cs="Arial"/>
        </w:rPr>
        <w:t xml:space="preserve">their hospital </w:t>
      </w:r>
      <w:r>
        <w:rPr>
          <w:rFonts w:ascii="Arial" w:hAnsi="Arial" w:cs="Arial"/>
        </w:rPr>
        <w:t xml:space="preserve">admission. </w:t>
      </w:r>
    </w:p>
    <w:p w14:paraId="78C4AFE2" w14:textId="16E7167E" w:rsidR="009D34E0" w:rsidRDefault="009D34E0" w:rsidP="00F14E14">
      <w:pPr>
        <w:spacing w:after="0" w:line="480" w:lineRule="auto"/>
        <w:jc w:val="both"/>
        <w:rPr>
          <w:rFonts w:ascii="Arial" w:hAnsi="Arial" w:cs="Arial"/>
        </w:rPr>
      </w:pPr>
    </w:p>
    <w:p w14:paraId="3A56A5D5" w14:textId="5791F307" w:rsidR="009D34E0" w:rsidRDefault="009D34E0" w:rsidP="009D34E0">
      <w:pPr>
        <w:spacing w:after="0" w:line="480" w:lineRule="auto"/>
        <w:jc w:val="center"/>
        <w:rPr>
          <w:rFonts w:ascii="Arial" w:hAnsi="Arial" w:cs="Arial"/>
        </w:rPr>
      </w:pPr>
      <w:r>
        <w:rPr>
          <w:rFonts w:ascii="Arial" w:hAnsi="Arial" w:cs="Arial"/>
        </w:rPr>
        <w:t>[FIGURE 1 ABOUT HERE]</w:t>
      </w:r>
    </w:p>
    <w:p w14:paraId="6A0B8325" w14:textId="77777777" w:rsidR="0047128A" w:rsidRDefault="0047128A" w:rsidP="00F14E14">
      <w:pPr>
        <w:spacing w:after="0" w:line="480" w:lineRule="auto"/>
        <w:jc w:val="both"/>
        <w:rPr>
          <w:rFonts w:ascii="Arial" w:hAnsi="Arial" w:cs="Arial"/>
        </w:rPr>
      </w:pPr>
    </w:p>
    <w:p w14:paraId="586FF071" w14:textId="75A80B82" w:rsidR="009705DD" w:rsidRPr="00B43C9F" w:rsidRDefault="009705DD" w:rsidP="00F14E14">
      <w:pPr>
        <w:spacing w:after="0" w:line="480" w:lineRule="auto"/>
        <w:jc w:val="both"/>
        <w:rPr>
          <w:rFonts w:ascii="Arial" w:hAnsi="Arial" w:cs="Arial"/>
        </w:rPr>
      </w:pPr>
      <w:r w:rsidRPr="009705DD">
        <w:rPr>
          <w:rFonts w:ascii="Arial" w:hAnsi="Arial" w:cs="Arial"/>
        </w:rPr>
        <w:t xml:space="preserve">Respondents were </w:t>
      </w:r>
      <w:r w:rsidR="007A0DAE">
        <w:rPr>
          <w:rFonts w:ascii="Arial" w:hAnsi="Arial" w:cs="Arial"/>
        </w:rPr>
        <w:t>asked to review</w:t>
      </w:r>
      <w:r w:rsidR="002321F5">
        <w:rPr>
          <w:rFonts w:ascii="Arial" w:hAnsi="Arial" w:cs="Arial"/>
        </w:rPr>
        <w:t xml:space="preserve"> a table of information </w:t>
      </w:r>
      <w:r w:rsidR="002321F5" w:rsidRPr="002321F5">
        <w:rPr>
          <w:rFonts w:ascii="Arial" w:hAnsi="Arial" w:cs="Arial"/>
        </w:rPr>
        <w:t xml:space="preserve">on the </w:t>
      </w:r>
      <w:r w:rsidR="00F3151F">
        <w:rPr>
          <w:rFonts w:ascii="Arial" w:hAnsi="Arial" w:cs="Arial"/>
        </w:rPr>
        <w:t>status</w:t>
      </w:r>
      <w:r w:rsidR="00F3151F" w:rsidRPr="002321F5">
        <w:rPr>
          <w:rFonts w:ascii="Arial" w:hAnsi="Arial" w:cs="Arial"/>
        </w:rPr>
        <w:t xml:space="preserve"> </w:t>
      </w:r>
      <w:r w:rsidR="002321F5" w:rsidRPr="002321F5">
        <w:rPr>
          <w:rFonts w:ascii="Arial" w:hAnsi="Arial" w:cs="Arial"/>
        </w:rPr>
        <w:t>of the patient, the likely consequences of continuing and discontinuing antibiotic treatment, and the potential pressures related to this clinical decision</w:t>
      </w:r>
      <w:r w:rsidRPr="009705DD">
        <w:rPr>
          <w:rFonts w:ascii="Arial" w:hAnsi="Arial" w:cs="Arial"/>
        </w:rPr>
        <w:t xml:space="preserve"> </w:t>
      </w:r>
      <w:r w:rsidR="002321F5">
        <w:rPr>
          <w:rFonts w:ascii="Arial" w:hAnsi="Arial" w:cs="Arial"/>
        </w:rPr>
        <w:t xml:space="preserve">(i.e. the six </w:t>
      </w:r>
      <w:r w:rsidR="00C3647E">
        <w:rPr>
          <w:rFonts w:ascii="Arial" w:hAnsi="Arial" w:cs="Arial"/>
        </w:rPr>
        <w:t>attributes</w:t>
      </w:r>
      <w:r w:rsidR="002321F5">
        <w:rPr>
          <w:rFonts w:ascii="Arial" w:hAnsi="Arial" w:cs="Arial"/>
        </w:rPr>
        <w:t xml:space="preserve"> and their levels).</w:t>
      </w:r>
      <w:r w:rsidR="007A0DAE">
        <w:rPr>
          <w:rFonts w:ascii="Arial" w:hAnsi="Arial" w:cs="Arial"/>
        </w:rPr>
        <w:t xml:space="preserve"> They</w:t>
      </w:r>
      <w:r w:rsidR="002321F5">
        <w:rPr>
          <w:rFonts w:ascii="Arial" w:hAnsi="Arial" w:cs="Arial"/>
        </w:rPr>
        <w:t xml:space="preserve"> were asked </w:t>
      </w:r>
      <w:r w:rsidR="002321F5" w:rsidRPr="009705DD">
        <w:rPr>
          <w:rFonts w:ascii="Arial" w:hAnsi="Arial" w:cs="Arial"/>
        </w:rPr>
        <w:t>whether</w:t>
      </w:r>
      <w:r w:rsidR="002321F5">
        <w:rPr>
          <w:rFonts w:ascii="Arial" w:hAnsi="Arial" w:cs="Arial"/>
        </w:rPr>
        <w:t xml:space="preserve">, </w:t>
      </w:r>
      <w:r w:rsidR="00C329A9">
        <w:rPr>
          <w:rFonts w:ascii="Arial" w:hAnsi="Arial" w:cs="Arial"/>
        </w:rPr>
        <w:t>given</w:t>
      </w:r>
      <w:r w:rsidR="002321F5">
        <w:rPr>
          <w:rFonts w:ascii="Arial" w:hAnsi="Arial" w:cs="Arial"/>
        </w:rPr>
        <w:t xml:space="preserve"> this information</w:t>
      </w:r>
      <w:r w:rsidR="00835AD6">
        <w:rPr>
          <w:rFonts w:ascii="Arial" w:hAnsi="Arial" w:cs="Arial"/>
        </w:rPr>
        <w:t>,</w:t>
      </w:r>
      <w:r w:rsidR="002321F5" w:rsidRPr="009705DD">
        <w:rPr>
          <w:rFonts w:ascii="Arial" w:hAnsi="Arial" w:cs="Arial"/>
        </w:rPr>
        <w:t xml:space="preserve"> </w:t>
      </w:r>
      <w:r w:rsidR="002321F5">
        <w:rPr>
          <w:rFonts w:ascii="Arial" w:hAnsi="Arial" w:cs="Arial"/>
        </w:rPr>
        <w:t>they would choose to</w:t>
      </w:r>
      <w:r w:rsidR="002321F5" w:rsidRPr="009705DD">
        <w:rPr>
          <w:rFonts w:ascii="Arial" w:hAnsi="Arial" w:cs="Arial"/>
        </w:rPr>
        <w:t xml:space="preserve"> continue or discontinue antibiotic treatment</w:t>
      </w:r>
      <w:r w:rsidR="00C017B6">
        <w:rPr>
          <w:rFonts w:ascii="Arial" w:hAnsi="Arial" w:cs="Arial"/>
        </w:rPr>
        <w:t xml:space="preserve"> (</w:t>
      </w:r>
      <w:r w:rsidR="00C329A9">
        <w:rPr>
          <w:rFonts w:ascii="Arial" w:hAnsi="Arial" w:cs="Arial"/>
        </w:rPr>
        <w:t xml:space="preserve">to </w:t>
      </w:r>
      <w:r w:rsidR="00C017B6">
        <w:rPr>
          <w:rFonts w:ascii="Arial" w:hAnsi="Arial" w:cs="Arial"/>
        </w:rPr>
        <w:t>state their preference)</w:t>
      </w:r>
      <w:r w:rsidR="002321F5" w:rsidRPr="009705DD">
        <w:rPr>
          <w:rFonts w:ascii="Arial" w:hAnsi="Arial" w:cs="Arial"/>
        </w:rPr>
        <w:t>.</w:t>
      </w:r>
      <w:r w:rsidR="007A0DAE">
        <w:rPr>
          <w:rFonts w:ascii="Arial" w:hAnsi="Arial" w:cs="Arial"/>
        </w:rPr>
        <w:t xml:space="preserve"> </w:t>
      </w:r>
      <w:r w:rsidR="00167A09">
        <w:rPr>
          <w:rFonts w:ascii="Arial" w:hAnsi="Arial" w:cs="Arial"/>
        </w:rPr>
        <w:t>R</w:t>
      </w:r>
      <w:r w:rsidRPr="009705DD">
        <w:rPr>
          <w:rFonts w:ascii="Arial" w:hAnsi="Arial" w:cs="Arial"/>
        </w:rPr>
        <w:t xml:space="preserve">espondents were presented </w:t>
      </w:r>
      <w:r w:rsidR="00167A09">
        <w:rPr>
          <w:rFonts w:ascii="Arial" w:hAnsi="Arial" w:cs="Arial"/>
        </w:rPr>
        <w:t xml:space="preserve">with a total of </w:t>
      </w:r>
      <w:r w:rsidRPr="009705DD">
        <w:rPr>
          <w:rFonts w:ascii="Arial" w:hAnsi="Arial" w:cs="Arial"/>
        </w:rPr>
        <w:t>1</w:t>
      </w:r>
      <w:r w:rsidR="007A0DAE">
        <w:rPr>
          <w:rFonts w:ascii="Arial" w:hAnsi="Arial" w:cs="Arial"/>
        </w:rPr>
        <w:t xml:space="preserve">5 </w:t>
      </w:r>
      <w:r w:rsidRPr="009705DD">
        <w:rPr>
          <w:rFonts w:ascii="Arial" w:hAnsi="Arial" w:cs="Arial"/>
        </w:rPr>
        <w:t>choice questions</w:t>
      </w:r>
      <w:r w:rsidR="007A0DAE">
        <w:rPr>
          <w:rFonts w:ascii="Arial" w:hAnsi="Arial" w:cs="Arial"/>
        </w:rPr>
        <w:t xml:space="preserve"> (</w:t>
      </w:r>
      <w:r w:rsidR="007A0DAE" w:rsidRPr="009705DD">
        <w:rPr>
          <w:rFonts w:ascii="Arial" w:hAnsi="Arial" w:cs="Arial"/>
        </w:rPr>
        <w:t>considered an acceptable number</w:t>
      </w:r>
      <w:r w:rsidR="007A0DAE">
        <w:rPr>
          <w:rFonts w:ascii="Arial" w:hAnsi="Arial" w:cs="Arial"/>
        </w:rPr>
        <w:t>)</w:t>
      </w:r>
      <w:r w:rsidR="00AF1AEC">
        <w:rPr>
          <w:rFonts w:ascii="Arial" w:hAnsi="Arial" w:cs="Arial"/>
        </w:rPr>
        <w:t xml:space="preserve"> [14,18,19]</w:t>
      </w:r>
      <w:r w:rsidRPr="009705DD">
        <w:rPr>
          <w:rFonts w:ascii="Arial" w:hAnsi="Arial" w:cs="Arial"/>
        </w:rPr>
        <w:t>,</w:t>
      </w:r>
      <w:r w:rsidR="00720EFF">
        <w:rPr>
          <w:rFonts w:ascii="Arial" w:hAnsi="Arial" w:cs="Arial"/>
        </w:rPr>
        <w:t xml:space="preserve"> with</w:t>
      </w:r>
      <w:r w:rsidR="007A0DAE">
        <w:rPr>
          <w:rFonts w:ascii="Arial" w:hAnsi="Arial" w:cs="Arial"/>
        </w:rPr>
        <w:t xml:space="preserve"> the levels of </w:t>
      </w:r>
      <w:r w:rsidR="00C3647E">
        <w:rPr>
          <w:rFonts w:ascii="Arial" w:hAnsi="Arial" w:cs="Arial"/>
        </w:rPr>
        <w:t>attributes</w:t>
      </w:r>
      <w:r w:rsidR="007A0DAE">
        <w:rPr>
          <w:rFonts w:ascii="Arial" w:hAnsi="Arial" w:cs="Arial"/>
        </w:rPr>
        <w:t xml:space="preserve"> varying across each question.</w:t>
      </w:r>
      <w:r w:rsidR="00563C4E">
        <w:rPr>
          <w:rFonts w:ascii="Arial" w:hAnsi="Arial" w:cs="Arial"/>
        </w:rPr>
        <w:t xml:space="preserve"> </w:t>
      </w:r>
      <w:r w:rsidR="00563C4E" w:rsidRPr="00563C4E">
        <w:rPr>
          <w:rFonts w:ascii="Arial" w:hAnsi="Arial" w:cs="Arial"/>
        </w:rPr>
        <w:t>The</w:t>
      </w:r>
      <w:r w:rsidR="00563C4E">
        <w:rPr>
          <w:rFonts w:ascii="Arial" w:hAnsi="Arial" w:cs="Arial"/>
        </w:rPr>
        <w:t xml:space="preserve"> </w:t>
      </w:r>
      <w:r w:rsidR="00C3647E">
        <w:rPr>
          <w:rFonts w:ascii="Arial" w:hAnsi="Arial" w:cs="Arial"/>
        </w:rPr>
        <w:t>attribute-</w:t>
      </w:r>
      <w:r w:rsidR="00563C4E" w:rsidRPr="00563C4E">
        <w:rPr>
          <w:rFonts w:ascii="Arial" w:hAnsi="Arial" w:cs="Arial"/>
        </w:rPr>
        <w:t xml:space="preserve">levels </w:t>
      </w:r>
      <w:r w:rsidR="00563C4E">
        <w:rPr>
          <w:rFonts w:ascii="Arial" w:hAnsi="Arial" w:cs="Arial"/>
        </w:rPr>
        <w:t xml:space="preserve">presented </w:t>
      </w:r>
      <w:r w:rsidR="00563C4E" w:rsidRPr="00563C4E">
        <w:rPr>
          <w:rFonts w:ascii="Arial" w:hAnsi="Arial" w:cs="Arial"/>
        </w:rPr>
        <w:t>in each question were generated using experimental design</w:t>
      </w:r>
      <w:r w:rsidR="00F270AA">
        <w:rPr>
          <w:rFonts w:ascii="Arial" w:hAnsi="Arial" w:cs="Arial"/>
        </w:rPr>
        <w:t xml:space="preserve"> </w:t>
      </w:r>
      <w:r w:rsidR="00167A09">
        <w:rPr>
          <w:rFonts w:ascii="Arial" w:hAnsi="Arial" w:cs="Arial"/>
        </w:rPr>
        <w:t xml:space="preserve">computer </w:t>
      </w:r>
      <w:r w:rsidR="00F270AA">
        <w:rPr>
          <w:rFonts w:ascii="Arial" w:hAnsi="Arial" w:cs="Arial"/>
        </w:rPr>
        <w:t>software</w:t>
      </w:r>
      <w:r w:rsidR="00563C4E" w:rsidRPr="00563C4E">
        <w:rPr>
          <w:rFonts w:ascii="Arial" w:hAnsi="Arial" w:cs="Arial"/>
        </w:rPr>
        <w:t>, Ngene</w:t>
      </w:r>
      <w:r w:rsidR="00A71AB9">
        <w:rPr>
          <w:rFonts w:ascii="Arial" w:hAnsi="Arial" w:cs="Arial"/>
        </w:rPr>
        <w:t xml:space="preserve"> (Additional file</w:t>
      </w:r>
      <w:r w:rsidR="00742E94">
        <w:rPr>
          <w:rFonts w:ascii="Arial" w:hAnsi="Arial" w:cs="Arial"/>
        </w:rPr>
        <w:t xml:space="preserve"> 2)</w:t>
      </w:r>
      <w:r w:rsidR="00AF1AEC">
        <w:rPr>
          <w:rFonts w:ascii="Arial" w:hAnsi="Arial" w:cs="Arial"/>
        </w:rPr>
        <w:t xml:space="preserve"> [20]</w:t>
      </w:r>
      <w:r w:rsidR="00563C4E">
        <w:rPr>
          <w:rFonts w:ascii="Arial" w:hAnsi="Arial" w:cs="Arial"/>
        </w:rPr>
        <w:t>.</w:t>
      </w:r>
      <w:r w:rsidR="00773B68">
        <w:rPr>
          <w:rFonts w:ascii="Arial" w:hAnsi="Arial" w:cs="Arial"/>
        </w:rPr>
        <w:t xml:space="preserve"> </w:t>
      </w:r>
    </w:p>
    <w:p w14:paraId="18177277" w14:textId="77777777" w:rsidR="00556997" w:rsidRPr="009705DD" w:rsidRDefault="00556997" w:rsidP="00F14E14">
      <w:pPr>
        <w:spacing w:after="0" w:line="480" w:lineRule="auto"/>
        <w:jc w:val="both"/>
        <w:rPr>
          <w:rFonts w:ascii="Arial" w:hAnsi="Arial" w:cs="Arial"/>
        </w:rPr>
      </w:pPr>
    </w:p>
    <w:p w14:paraId="62754732" w14:textId="3634C909" w:rsidR="009705DD" w:rsidRPr="001F6820" w:rsidRDefault="00ED5C3F" w:rsidP="00F14E14">
      <w:pPr>
        <w:spacing w:after="0" w:line="480" w:lineRule="auto"/>
        <w:jc w:val="both"/>
        <w:rPr>
          <w:rFonts w:ascii="Arial" w:hAnsi="Arial" w:cs="Arial"/>
          <w:b/>
        </w:rPr>
      </w:pPr>
      <w:r w:rsidRPr="001F6820">
        <w:rPr>
          <w:rFonts w:ascii="Arial" w:hAnsi="Arial" w:cs="Arial"/>
          <w:b/>
        </w:rPr>
        <w:t xml:space="preserve">Survey </w:t>
      </w:r>
      <w:r w:rsidR="00720EFF">
        <w:rPr>
          <w:rFonts w:ascii="Arial" w:hAnsi="Arial" w:cs="Arial"/>
          <w:b/>
        </w:rPr>
        <w:t>presentation</w:t>
      </w:r>
    </w:p>
    <w:p w14:paraId="43FEE535" w14:textId="3419EA13" w:rsidR="00ED5C3F" w:rsidRDefault="00ED5C3F" w:rsidP="00F14E14">
      <w:pPr>
        <w:spacing w:after="0" w:line="480" w:lineRule="auto"/>
        <w:jc w:val="both"/>
        <w:rPr>
          <w:rFonts w:ascii="Arial" w:hAnsi="Arial" w:cs="Arial"/>
        </w:rPr>
      </w:pPr>
      <w:r w:rsidRPr="001F6820">
        <w:rPr>
          <w:rFonts w:ascii="Arial" w:hAnsi="Arial" w:cs="Arial"/>
        </w:rPr>
        <w:t>The choice experiment was conducted as an online survey (</w:t>
      </w:r>
      <w:r w:rsidR="00A71AB9">
        <w:rPr>
          <w:rFonts w:ascii="Arial" w:hAnsi="Arial" w:cs="Arial"/>
        </w:rPr>
        <w:t>Additional file</w:t>
      </w:r>
      <w:r w:rsidRPr="00C12BFB">
        <w:rPr>
          <w:rFonts w:ascii="Arial" w:hAnsi="Arial" w:cs="Arial"/>
        </w:rPr>
        <w:t xml:space="preserve"> </w:t>
      </w:r>
      <w:r w:rsidR="00742E94">
        <w:rPr>
          <w:rFonts w:ascii="Arial" w:hAnsi="Arial" w:cs="Arial"/>
        </w:rPr>
        <w:t>3</w:t>
      </w:r>
      <w:r w:rsidRPr="001F6820">
        <w:rPr>
          <w:rFonts w:ascii="Arial" w:hAnsi="Arial" w:cs="Arial"/>
        </w:rPr>
        <w:t xml:space="preserve">). Respondents viewed a </w:t>
      </w:r>
      <w:r w:rsidR="00F47A20" w:rsidRPr="001F6820">
        <w:rPr>
          <w:rFonts w:ascii="Arial" w:hAnsi="Arial" w:cs="Arial"/>
        </w:rPr>
        <w:t>participant information</w:t>
      </w:r>
      <w:r w:rsidRPr="001F6820">
        <w:rPr>
          <w:rFonts w:ascii="Arial" w:hAnsi="Arial" w:cs="Arial"/>
        </w:rPr>
        <w:t xml:space="preserve"> page</w:t>
      </w:r>
      <w:r w:rsidR="000B0830">
        <w:rPr>
          <w:rFonts w:ascii="Arial" w:hAnsi="Arial" w:cs="Arial"/>
        </w:rPr>
        <w:t xml:space="preserve"> and</w:t>
      </w:r>
      <w:r w:rsidR="00F47A20" w:rsidRPr="001F6820">
        <w:rPr>
          <w:rFonts w:ascii="Arial" w:hAnsi="Arial" w:cs="Arial"/>
        </w:rPr>
        <w:t xml:space="preserve"> </w:t>
      </w:r>
      <w:r w:rsidRPr="001F6820">
        <w:rPr>
          <w:rFonts w:ascii="Arial" w:hAnsi="Arial" w:cs="Arial"/>
        </w:rPr>
        <w:t>provided informed consent</w:t>
      </w:r>
      <w:r w:rsidR="00A16881">
        <w:rPr>
          <w:rFonts w:ascii="Arial" w:hAnsi="Arial" w:cs="Arial"/>
        </w:rPr>
        <w:t xml:space="preserve"> by answering a series of questio</w:t>
      </w:r>
      <w:r w:rsidR="00A71AB9">
        <w:rPr>
          <w:rFonts w:ascii="Arial" w:hAnsi="Arial" w:cs="Arial"/>
        </w:rPr>
        <w:t>ns affirmatively (Additional file</w:t>
      </w:r>
      <w:r w:rsidR="00A16881">
        <w:rPr>
          <w:rFonts w:ascii="Arial" w:hAnsi="Arial" w:cs="Arial"/>
        </w:rPr>
        <w:t xml:space="preserve"> 3)</w:t>
      </w:r>
      <w:r w:rsidR="00F270AA">
        <w:rPr>
          <w:rFonts w:ascii="Arial" w:hAnsi="Arial" w:cs="Arial"/>
        </w:rPr>
        <w:t>.</w:t>
      </w:r>
      <w:r w:rsidRPr="001F6820">
        <w:rPr>
          <w:rFonts w:ascii="Arial" w:hAnsi="Arial" w:cs="Arial"/>
        </w:rPr>
        <w:t xml:space="preserve"> </w:t>
      </w:r>
      <w:r w:rsidR="00F270AA">
        <w:rPr>
          <w:rFonts w:ascii="Arial" w:hAnsi="Arial" w:cs="Arial"/>
        </w:rPr>
        <w:t>They</w:t>
      </w:r>
      <w:r w:rsidRPr="001F6820">
        <w:rPr>
          <w:rFonts w:ascii="Arial" w:hAnsi="Arial" w:cs="Arial"/>
        </w:rPr>
        <w:t xml:space="preserve"> </w:t>
      </w:r>
      <w:r w:rsidR="006B201C">
        <w:rPr>
          <w:rFonts w:ascii="Arial" w:hAnsi="Arial" w:cs="Arial"/>
        </w:rPr>
        <w:t xml:space="preserve">were </w:t>
      </w:r>
      <w:r w:rsidR="000B0830">
        <w:rPr>
          <w:rFonts w:ascii="Arial" w:hAnsi="Arial" w:cs="Arial"/>
        </w:rPr>
        <w:t xml:space="preserve">then </w:t>
      </w:r>
      <w:r w:rsidR="006B201C">
        <w:rPr>
          <w:rFonts w:ascii="Arial" w:hAnsi="Arial" w:cs="Arial"/>
        </w:rPr>
        <w:t xml:space="preserve">presented with </w:t>
      </w:r>
      <w:r w:rsidR="00F47A20" w:rsidRPr="001F6820">
        <w:rPr>
          <w:rFonts w:ascii="Arial" w:hAnsi="Arial" w:cs="Arial"/>
        </w:rPr>
        <w:t xml:space="preserve">background </w:t>
      </w:r>
      <w:r w:rsidRPr="001F6820">
        <w:rPr>
          <w:rFonts w:ascii="Arial" w:hAnsi="Arial" w:cs="Arial"/>
        </w:rPr>
        <w:t>information</w:t>
      </w:r>
      <w:r w:rsidR="00F47A20" w:rsidRPr="001F6820">
        <w:rPr>
          <w:rFonts w:ascii="Arial" w:hAnsi="Arial" w:cs="Arial"/>
        </w:rPr>
        <w:t>,</w:t>
      </w:r>
      <w:r w:rsidR="003961CA">
        <w:rPr>
          <w:rFonts w:ascii="Arial" w:hAnsi="Arial" w:cs="Arial"/>
        </w:rPr>
        <w:t xml:space="preserve"> </w:t>
      </w:r>
      <w:r w:rsidRPr="001F6820">
        <w:rPr>
          <w:rFonts w:ascii="Arial" w:hAnsi="Arial" w:cs="Arial"/>
        </w:rPr>
        <w:t xml:space="preserve">instructions on how to complete the survey and a description of the </w:t>
      </w:r>
      <w:r w:rsidR="00C3647E">
        <w:rPr>
          <w:rFonts w:ascii="Arial" w:hAnsi="Arial" w:cs="Arial"/>
        </w:rPr>
        <w:t>attributes</w:t>
      </w:r>
      <w:r w:rsidR="00F47A20" w:rsidRPr="001F6820">
        <w:rPr>
          <w:rFonts w:ascii="Arial" w:hAnsi="Arial" w:cs="Arial"/>
        </w:rPr>
        <w:t xml:space="preserve"> </w:t>
      </w:r>
      <w:r w:rsidRPr="001F6820">
        <w:rPr>
          <w:rFonts w:ascii="Arial" w:hAnsi="Arial" w:cs="Arial"/>
        </w:rPr>
        <w:t>and levels</w:t>
      </w:r>
      <w:r w:rsidR="00F47A20" w:rsidRPr="001F6820">
        <w:rPr>
          <w:rFonts w:ascii="Arial" w:hAnsi="Arial" w:cs="Arial"/>
        </w:rPr>
        <w:t xml:space="preserve"> (described in the survey as ‘categories of information’</w:t>
      </w:r>
      <w:r w:rsidR="003961CA">
        <w:rPr>
          <w:rFonts w:ascii="Arial" w:hAnsi="Arial" w:cs="Arial"/>
        </w:rPr>
        <w:t>)</w:t>
      </w:r>
      <w:r w:rsidRPr="001F6820">
        <w:rPr>
          <w:rFonts w:ascii="Arial" w:hAnsi="Arial" w:cs="Arial"/>
        </w:rPr>
        <w:t xml:space="preserve">. </w:t>
      </w:r>
      <w:r w:rsidR="00F270AA">
        <w:rPr>
          <w:rFonts w:ascii="Arial" w:hAnsi="Arial" w:cs="Arial"/>
        </w:rPr>
        <w:t>Next, r</w:t>
      </w:r>
      <w:r w:rsidRPr="001F6820">
        <w:rPr>
          <w:rFonts w:ascii="Arial" w:hAnsi="Arial" w:cs="Arial"/>
        </w:rPr>
        <w:t xml:space="preserve">espondents were asked to rank the </w:t>
      </w:r>
      <w:r w:rsidR="00F47A20" w:rsidRPr="001F6820">
        <w:rPr>
          <w:rFonts w:ascii="Arial" w:hAnsi="Arial" w:cs="Arial"/>
        </w:rPr>
        <w:t xml:space="preserve">six </w:t>
      </w:r>
      <w:r w:rsidR="00C3647E">
        <w:rPr>
          <w:rFonts w:ascii="Arial" w:hAnsi="Arial" w:cs="Arial"/>
        </w:rPr>
        <w:t>attributes</w:t>
      </w:r>
      <w:r w:rsidR="00C3647E" w:rsidRPr="001F6820">
        <w:rPr>
          <w:rFonts w:ascii="Arial" w:hAnsi="Arial" w:cs="Arial"/>
        </w:rPr>
        <w:t xml:space="preserve"> </w:t>
      </w:r>
      <w:r w:rsidRPr="001F6820">
        <w:rPr>
          <w:rFonts w:ascii="Arial" w:hAnsi="Arial" w:cs="Arial"/>
        </w:rPr>
        <w:t>in terms of their relative importance when making the</w:t>
      </w:r>
      <w:r w:rsidR="00C329A9">
        <w:rPr>
          <w:rFonts w:ascii="Arial" w:hAnsi="Arial" w:cs="Arial"/>
        </w:rPr>
        <w:t>ir</w:t>
      </w:r>
      <w:r w:rsidRPr="001F6820">
        <w:rPr>
          <w:rFonts w:ascii="Arial" w:hAnsi="Arial" w:cs="Arial"/>
        </w:rPr>
        <w:t xml:space="preserve"> decisions, and to complete a practice choice question (</w:t>
      </w:r>
      <w:r w:rsidR="00F47A20" w:rsidRPr="00A70A2C">
        <w:rPr>
          <w:rFonts w:ascii="Arial" w:hAnsi="Arial" w:cs="Arial"/>
        </w:rPr>
        <w:t>Figure</w:t>
      </w:r>
      <w:r w:rsidRPr="00A70A2C">
        <w:rPr>
          <w:rFonts w:ascii="Arial" w:hAnsi="Arial" w:cs="Arial"/>
        </w:rPr>
        <w:t xml:space="preserve"> 1</w:t>
      </w:r>
      <w:r w:rsidRPr="001F6820">
        <w:rPr>
          <w:rFonts w:ascii="Arial" w:hAnsi="Arial" w:cs="Arial"/>
        </w:rPr>
        <w:t>). This practice question was designed so that</w:t>
      </w:r>
      <w:r w:rsidR="00495BCF">
        <w:rPr>
          <w:rFonts w:ascii="Arial" w:hAnsi="Arial" w:cs="Arial"/>
        </w:rPr>
        <w:t xml:space="preserve"> </w:t>
      </w:r>
      <w:r w:rsidRPr="001F6820">
        <w:rPr>
          <w:rFonts w:ascii="Arial" w:hAnsi="Arial" w:cs="Arial"/>
        </w:rPr>
        <w:t xml:space="preserve">the levels presented for each </w:t>
      </w:r>
      <w:r w:rsidR="00F47A20" w:rsidRPr="001F6820">
        <w:rPr>
          <w:rFonts w:ascii="Arial" w:hAnsi="Arial" w:cs="Arial"/>
        </w:rPr>
        <w:t>factor</w:t>
      </w:r>
      <w:r w:rsidR="00495BCF">
        <w:rPr>
          <w:rFonts w:ascii="Arial" w:hAnsi="Arial" w:cs="Arial"/>
        </w:rPr>
        <w:t xml:space="preserve"> should push respondents as far as possible in the direction of choosing to discontinue antibiotics</w:t>
      </w:r>
      <w:r w:rsidRPr="001F6820">
        <w:rPr>
          <w:rFonts w:ascii="Arial" w:hAnsi="Arial" w:cs="Arial"/>
        </w:rPr>
        <w:t>. Respondents then completed the 1</w:t>
      </w:r>
      <w:r w:rsidR="00915187" w:rsidRPr="001F6820">
        <w:rPr>
          <w:rFonts w:ascii="Arial" w:hAnsi="Arial" w:cs="Arial"/>
        </w:rPr>
        <w:t>5</w:t>
      </w:r>
      <w:r w:rsidRPr="001F6820">
        <w:rPr>
          <w:rFonts w:ascii="Arial" w:hAnsi="Arial" w:cs="Arial"/>
        </w:rPr>
        <w:t xml:space="preserve"> choice questions and undertook a second ranking exercise to </w:t>
      </w:r>
      <w:r w:rsidR="00C329A9">
        <w:rPr>
          <w:rFonts w:ascii="Arial" w:hAnsi="Arial" w:cs="Arial"/>
        </w:rPr>
        <w:t>investigate</w:t>
      </w:r>
      <w:r w:rsidRPr="001F6820">
        <w:rPr>
          <w:rFonts w:ascii="Arial" w:hAnsi="Arial" w:cs="Arial"/>
        </w:rPr>
        <w:t xml:space="preserve"> whether their preferences had changed during survey completion. </w:t>
      </w:r>
      <w:r w:rsidR="003F67A6">
        <w:rPr>
          <w:rFonts w:ascii="Arial" w:hAnsi="Arial" w:cs="Arial"/>
        </w:rPr>
        <w:t>I</w:t>
      </w:r>
      <w:r w:rsidRPr="001F6820">
        <w:rPr>
          <w:rFonts w:ascii="Arial" w:hAnsi="Arial" w:cs="Arial"/>
        </w:rPr>
        <w:t xml:space="preserve">nformation was </w:t>
      </w:r>
      <w:r w:rsidR="003F67A6">
        <w:rPr>
          <w:rFonts w:ascii="Arial" w:hAnsi="Arial" w:cs="Arial"/>
        </w:rPr>
        <w:t xml:space="preserve">also </w:t>
      </w:r>
      <w:r w:rsidRPr="001F6820">
        <w:rPr>
          <w:rFonts w:ascii="Arial" w:hAnsi="Arial" w:cs="Arial"/>
        </w:rPr>
        <w:t>collected on respondent characteristics, including</w:t>
      </w:r>
      <w:r w:rsidR="001F6820" w:rsidRPr="001F6820">
        <w:rPr>
          <w:rFonts w:ascii="Arial" w:hAnsi="Arial" w:cs="Arial"/>
        </w:rPr>
        <w:t xml:space="preserve"> age, gender, primary specialty and </w:t>
      </w:r>
      <w:r w:rsidR="0085779C">
        <w:rPr>
          <w:rFonts w:ascii="Arial" w:hAnsi="Arial" w:cs="Arial"/>
        </w:rPr>
        <w:t>clinical grade.</w:t>
      </w:r>
      <w:r w:rsidR="003F67A6">
        <w:rPr>
          <w:rFonts w:ascii="Arial" w:hAnsi="Arial" w:cs="Arial"/>
        </w:rPr>
        <w:t xml:space="preserve"> Finally, respondents were given an opportunity to offer comments about the survey. </w:t>
      </w:r>
    </w:p>
    <w:p w14:paraId="234807A1" w14:textId="77777777" w:rsidR="001F6820" w:rsidRPr="007A0BE3" w:rsidRDefault="001F6820" w:rsidP="00F14E14">
      <w:pPr>
        <w:spacing w:after="0" w:line="480" w:lineRule="auto"/>
        <w:jc w:val="both"/>
        <w:rPr>
          <w:rFonts w:ascii="Arial" w:hAnsi="Arial" w:cs="Arial"/>
          <w:b/>
        </w:rPr>
      </w:pPr>
    </w:p>
    <w:p w14:paraId="0E261BA6" w14:textId="77777777" w:rsidR="001F6820" w:rsidRPr="007A0BE3" w:rsidRDefault="001F6820" w:rsidP="00F14E14">
      <w:pPr>
        <w:spacing w:after="0" w:line="480" w:lineRule="auto"/>
        <w:jc w:val="both"/>
        <w:rPr>
          <w:rFonts w:ascii="Arial" w:hAnsi="Arial" w:cs="Arial"/>
          <w:b/>
        </w:rPr>
      </w:pPr>
      <w:r w:rsidRPr="007A0BE3">
        <w:rPr>
          <w:rFonts w:ascii="Arial" w:hAnsi="Arial" w:cs="Arial"/>
          <w:b/>
        </w:rPr>
        <w:t>Piloting and data collection</w:t>
      </w:r>
    </w:p>
    <w:p w14:paraId="1C0399AE" w14:textId="77777777" w:rsidR="0047128A" w:rsidRDefault="001F6820" w:rsidP="0047128A">
      <w:pPr>
        <w:spacing w:after="0" w:line="480" w:lineRule="auto"/>
        <w:jc w:val="both"/>
        <w:rPr>
          <w:rFonts w:ascii="Arial" w:hAnsi="Arial" w:cs="Arial"/>
        </w:rPr>
      </w:pPr>
      <w:r>
        <w:rPr>
          <w:rFonts w:ascii="Arial" w:hAnsi="Arial" w:cs="Arial"/>
        </w:rPr>
        <w:t>The survey</w:t>
      </w:r>
      <w:r w:rsidRPr="00E378B2">
        <w:rPr>
          <w:rFonts w:ascii="Arial" w:hAnsi="Arial" w:cs="Arial"/>
        </w:rPr>
        <w:t xml:space="preserve"> was piloted amongst </w:t>
      </w:r>
      <w:r w:rsidR="00C12BFB">
        <w:rPr>
          <w:rFonts w:ascii="Arial" w:hAnsi="Arial" w:cs="Arial"/>
        </w:rPr>
        <w:t xml:space="preserve">twelve </w:t>
      </w:r>
      <w:r>
        <w:rPr>
          <w:rFonts w:ascii="Arial" w:hAnsi="Arial" w:cs="Arial"/>
        </w:rPr>
        <w:t>healthcare professionals who me</w:t>
      </w:r>
      <w:r w:rsidRPr="00E378B2">
        <w:rPr>
          <w:rFonts w:ascii="Arial" w:hAnsi="Arial" w:cs="Arial"/>
        </w:rPr>
        <w:t>t the inclusion criteria prior to launch.</w:t>
      </w:r>
      <w:r w:rsidR="00F270AA">
        <w:rPr>
          <w:rFonts w:ascii="Arial" w:hAnsi="Arial" w:cs="Arial"/>
        </w:rPr>
        <w:t xml:space="preserve"> </w:t>
      </w:r>
      <w:r w:rsidR="00751F80">
        <w:rPr>
          <w:rFonts w:ascii="Arial" w:hAnsi="Arial" w:cs="Arial"/>
        </w:rPr>
        <w:t>Respondent</w:t>
      </w:r>
      <w:r w:rsidR="00F270AA">
        <w:rPr>
          <w:rFonts w:ascii="Arial" w:hAnsi="Arial" w:cs="Arial"/>
        </w:rPr>
        <w:t xml:space="preserve"> choices </w:t>
      </w:r>
      <w:r w:rsidR="00751F80">
        <w:rPr>
          <w:rFonts w:ascii="Arial" w:hAnsi="Arial" w:cs="Arial"/>
        </w:rPr>
        <w:t xml:space="preserve">in the pilot </w:t>
      </w:r>
      <w:r w:rsidR="00F270AA">
        <w:rPr>
          <w:rFonts w:ascii="Arial" w:hAnsi="Arial" w:cs="Arial"/>
        </w:rPr>
        <w:t>were used to develop a preliminary model</w:t>
      </w:r>
      <w:r w:rsidR="00602579">
        <w:rPr>
          <w:rFonts w:ascii="Arial" w:hAnsi="Arial" w:cs="Arial"/>
        </w:rPr>
        <w:t xml:space="preserve"> of review and revise decisions</w:t>
      </w:r>
      <w:r w:rsidR="00F270AA">
        <w:rPr>
          <w:rFonts w:ascii="Arial" w:hAnsi="Arial" w:cs="Arial"/>
        </w:rPr>
        <w:t xml:space="preserve">, in order to fine-tune the experimental design to </w:t>
      </w:r>
      <w:r w:rsidR="00EA425D">
        <w:rPr>
          <w:rFonts w:ascii="Arial" w:hAnsi="Arial" w:cs="Arial"/>
        </w:rPr>
        <w:t>maximise</w:t>
      </w:r>
      <w:r w:rsidR="00F270AA">
        <w:rPr>
          <w:rFonts w:ascii="Arial" w:hAnsi="Arial" w:cs="Arial"/>
        </w:rPr>
        <w:t xml:space="preserve"> </w:t>
      </w:r>
      <w:r w:rsidR="00495E50">
        <w:rPr>
          <w:rFonts w:ascii="Arial" w:hAnsi="Arial" w:cs="Arial"/>
        </w:rPr>
        <w:t>the information provided whilst minimising participant burden</w:t>
      </w:r>
      <w:r w:rsidR="00F270AA">
        <w:rPr>
          <w:rFonts w:ascii="Arial" w:hAnsi="Arial" w:cs="Arial"/>
        </w:rPr>
        <w:t xml:space="preserve">. The pilot data were not included in the final </w:t>
      </w:r>
      <w:r w:rsidR="00C329A9">
        <w:rPr>
          <w:rFonts w:ascii="Arial" w:hAnsi="Arial" w:cs="Arial"/>
        </w:rPr>
        <w:t>analysis</w:t>
      </w:r>
      <w:r w:rsidR="00F270AA">
        <w:rPr>
          <w:rFonts w:ascii="Arial" w:hAnsi="Arial" w:cs="Arial"/>
        </w:rPr>
        <w:t>.</w:t>
      </w:r>
    </w:p>
    <w:p w14:paraId="3ED8F8C3" w14:textId="77777777" w:rsidR="0047128A" w:rsidRDefault="0047128A" w:rsidP="0047128A">
      <w:pPr>
        <w:spacing w:line="480" w:lineRule="auto"/>
        <w:jc w:val="both"/>
        <w:rPr>
          <w:rFonts w:ascii="Arial" w:hAnsi="Arial" w:cs="Arial"/>
        </w:rPr>
      </w:pPr>
    </w:p>
    <w:p w14:paraId="66FF63E7" w14:textId="6135BC15" w:rsidR="001F6820" w:rsidRDefault="00C12BFB" w:rsidP="0091644C">
      <w:pPr>
        <w:spacing w:after="0" w:line="480" w:lineRule="auto"/>
        <w:jc w:val="both"/>
        <w:rPr>
          <w:rFonts w:ascii="Arial" w:hAnsi="Arial" w:cs="Arial"/>
        </w:rPr>
      </w:pPr>
      <w:r>
        <w:rPr>
          <w:rFonts w:ascii="Arial" w:hAnsi="Arial" w:cs="Arial"/>
        </w:rPr>
        <w:t xml:space="preserve">Members of SAM and </w:t>
      </w:r>
      <w:r w:rsidR="00FA464F">
        <w:rPr>
          <w:rFonts w:ascii="Arial" w:hAnsi="Arial" w:cs="Arial"/>
        </w:rPr>
        <w:t xml:space="preserve">trainees in acute/general medicine registered with the </w:t>
      </w:r>
      <w:r>
        <w:rPr>
          <w:rFonts w:ascii="Arial" w:hAnsi="Arial" w:cs="Arial"/>
        </w:rPr>
        <w:t xml:space="preserve">postgraduate </w:t>
      </w:r>
      <w:r w:rsidR="00892682">
        <w:rPr>
          <w:rFonts w:ascii="Arial" w:hAnsi="Arial" w:cs="Arial"/>
        </w:rPr>
        <w:t>D</w:t>
      </w:r>
      <w:r>
        <w:rPr>
          <w:rFonts w:ascii="Arial" w:hAnsi="Arial" w:cs="Arial"/>
        </w:rPr>
        <w:t>eaneries</w:t>
      </w:r>
      <w:r w:rsidR="006C6129">
        <w:rPr>
          <w:rFonts w:ascii="Arial" w:hAnsi="Arial" w:cs="Arial"/>
        </w:rPr>
        <w:t xml:space="preserve"> </w:t>
      </w:r>
      <w:r>
        <w:rPr>
          <w:rFonts w:ascii="Arial" w:hAnsi="Arial" w:cs="Arial"/>
        </w:rPr>
        <w:t>were contacted by email with information about the study, a request to participate and a li</w:t>
      </w:r>
      <w:r w:rsidR="00A71AB9">
        <w:rPr>
          <w:rFonts w:ascii="Arial" w:hAnsi="Arial" w:cs="Arial"/>
        </w:rPr>
        <w:t>nk to the survey (Additional file</w:t>
      </w:r>
      <w:r>
        <w:rPr>
          <w:rFonts w:ascii="Arial" w:hAnsi="Arial" w:cs="Arial"/>
        </w:rPr>
        <w:t xml:space="preserve"> </w:t>
      </w:r>
      <w:r w:rsidR="00742E94">
        <w:rPr>
          <w:rFonts w:ascii="Arial" w:hAnsi="Arial" w:cs="Arial"/>
        </w:rPr>
        <w:t>4</w:t>
      </w:r>
      <w:r>
        <w:rPr>
          <w:rFonts w:ascii="Arial" w:hAnsi="Arial" w:cs="Arial"/>
        </w:rPr>
        <w:t xml:space="preserve">). The survey was </w:t>
      </w:r>
      <w:r w:rsidR="007A0BE3">
        <w:rPr>
          <w:rFonts w:ascii="Arial" w:hAnsi="Arial" w:cs="Arial"/>
        </w:rPr>
        <w:t xml:space="preserve">generated </w:t>
      </w:r>
      <w:r>
        <w:rPr>
          <w:rFonts w:ascii="Arial" w:hAnsi="Arial" w:cs="Arial"/>
        </w:rPr>
        <w:t xml:space="preserve">and data </w:t>
      </w:r>
      <w:r w:rsidR="008449DB">
        <w:rPr>
          <w:rFonts w:ascii="Arial" w:hAnsi="Arial" w:cs="Arial"/>
        </w:rPr>
        <w:t xml:space="preserve">collected </w:t>
      </w:r>
      <w:r>
        <w:rPr>
          <w:rFonts w:ascii="Arial" w:hAnsi="Arial" w:cs="Arial"/>
        </w:rPr>
        <w:t>using LimeSurvey</w:t>
      </w:r>
      <w:r w:rsidR="00A16881">
        <w:rPr>
          <w:rFonts w:ascii="Arial" w:hAnsi="Arial" w:cs="Arial"/>
        </w:rPr>
        <w:t>, a statistical survey web application</w:t>
      </w:r>
      <w:r>
        <w:rPr>
          <w:rFonts w:ascii="Arial" w:hAnsi="Arial" w:cs="Arial"/>
        </w:rPr>
        <w:t xml:space="preserve">. </w:t>
      </w:r>
      <w:r w:rsidR="001F6820" w:rsidRPr="001F6820">
        <w:rPr>
          <w:rFonts w:ascii="Arial" w:hAnsi="Arial" w:cs="Arial"/>
        </w:rPr>
        <w:t xml:space="preserve">Data collection took place </w:t>
      </w:r>
      <w:r w:rsidR="003961CA">
        <w:rPr>
          <w:rFonts w:ascii="Arial" w:hAnsi="Arial" w:cs="Arial"/>
        </w:rPr>
        <w:t>through</w:t>
      </w:r>
      <w:r w:rsidR="001F6820" w:rsidRPr="001F6820">
        <w:rPr>
          <w:rFonts w:ascii="Arial" w:hAnsi="Arial" w:cs="Arial"/>
        </w:rPr>
        <w:t xml:space="preserve"> Ju</w:t>
      </w:r>
      <w:r w:rsidR="003961CA">
        <w:rPr>
          <w:rFonts w:ascii="Arial" w:hAnsi="Arial" w:cs="Arial"/>
        </w:rPr>
        <w:t>ne 2018</w:t>
      </w:r>
      <w:r w:rsidR="007A0BE3">
        <w:rPr>
          <w:rFonts w:ascii="Arial" w:hAnsi="Arial" w:cs="Arial"/>
        </w:rPr>
        <w:t>–</w:t>
      </w:r>
      <w:r w:rsidR="003961CA">
        <w:rPr>
          <w:rFonts w:ascii="Arial" w:hAnsi="Arial" w:cs="Arial"/>
        </w:rPr>
        <w:t>January 2019</w:t>
      </w:r>
      <w:r w:rsidR="007A0BE3">
        <w:rPr>
          <w:rFonts w:ascii="Arial" w:hAnsi="Arial" w:cs="Arial"/>
        </w:rPr>
        <w:t>.</w:t>
      </w:r>
      <w:r w:rsidR="00407AE1">
        <w:rPr>
          <w:rFonts w:ascii="Arial" w:hAnsi="Arial" w:cs="Arial"/>
        </w:rPr>
        <w:t xml:space="preserve"> We </w:t>
      </w:r>
      <w:r w:rsidR="00407AE1" w:rsidRPr="00B43C9F">
        <w:rPr>
          <w:rFonts w:ascii="Arial" w:hAnsi="Arial" w:cs="Arial"/>
        </w:rPr>
        <w:t xml:space="preserve">aimed to recruit at </w:t>
      </w:r>
      <w:r w:rsidR="00407AE1">
        <w:rPr>
          <w:rFonts w:ascii="Arial" w:hAnsi="Arial" w:cs="Arial"/>
        </w:rPr>
        <w:t xml:space="preserve">least 100 respondents, which is </w:t>
      </w:r>
      <w:r w:rsidR="00407AE1" w:rsidRPr="00B43C9F">
        <w:rPr>
          <w:rFonts w:ascii="Arial" w:hAnsi="Arial" w:cs="Arial"/>
        </w:rPr>
        <w:t>the minimum number in</w:t>
      </w:r>
      <w:r w:rsidR="00407AE1">
        <w:rPr>
          <w:rFonts w:ascii="Arial" w:hAnsi="Arial" w:cs="Arial"/>
        </w:rPr>
        <w:t>dicated by a widely used rule of thumb [21]</w:t>
      </w:r>
      <w:r w:rsidR="00407AE1" w:rsidRPr="00B43C9F">
        <w:rPr>
          <w:rFonts w:ascii="Arial" w:hAnsi="Arial" w:cs="Arial"/>
        </w:rPr>
        <w:t>.</w:t>
      </w:r>
    </w:p>
    <w:p w14:paraId="1D5983E8" w14:textId="77777777" w:rsidR="001F6820" w:rsidRDefault="001F6820" w:rsidP="00F14E14">
      <w:pPr>
        <w:spacing w:after="0" w:line="480" w:lineRule="auto"/>
        <w:jc w:val="both"/>
        <w:rPr>
          <w:rFonts w:ascii="Arial" w:hAnsi="Arial" w:cs="Arial"/>
        </w:rPr>
      </w:pPr>
    </w:p>
    <w:p w14:paraId="1EBDD01E" w14:textId="77777777" w:rsidR="007A0BE3" w:rsidRPr="007A0BE3" w:rsidRDefault="007A0BE3" w:rsidP="00F14E14">
      <w:pPr>
        <w:spacing w:after="0" w:line="480" w:lineRule="auto"/>
        <w:jc w:val="both"/>
        <w:rPr>
          <w:rFonts w:ascii="Arial" w:hAnsi="Arial" w:cs="Arial"/>
          <w:b/>
        </w:rPr>
      </w:pPr>
      <w:r w:rsidRPr="007A0BE3">
        <w:rPr>
          <w:rFonts w:ascii="Arial" w:hAnsi="Arial" w:cs="Arial"/>
          <w:b/>
        </w:rPr>
        <w:t>Data analysis</w:t>
      </w:r>
    </w:p>
    <w:p w14:paraId="50E2CF3E" w14:textId="025DEE59" w:rsidR="00C370B1" w:rsidRPr="001F6820" w:rsidRDefault="007A0BE3" w:rsidP="00F14E14">
      <w:pPr>
        <w:spacing w:after="0" w:line="480" w:lineRule="auto"/>
        <w:jc w:val="both"/>
        <w:rPr>
          <w:rFonts w:ascii="Arial" w:hAnsi="Arial" w:cs="Arial"/>
        </w:rPr>
      </w:pPr>
      <w:r w:rsidRPr="007A0BE3">
        <w:rPr>
          <w:rFonts w:ascii="Arial" w:hAnsi="Arial" w:cs="Arial"/>
        </w:rPr>
        <w:t xml:space="preserve">Data analysis </w:t>
      </w:r>
      <w:r w:rsidR="00F13F5D">
        <w:rPr>
          <w:rFonts w:ascii="Arial" w:hAnsi="Arial" w:cs="Arial"/>
        </w:rPr>
        <w:t>used</w:t>
      </w:r>
      <w:r w:rsidRPr="007A0BE3">
        <w:rPr>
          <w:rFonts w:ascii="Arial" w:hAnsi="Arial" w:cs="Arial"/>
        </w:rPr>
        <w:t xml:space="preserve"> Stata</w:t>
      </w:r>
      <w:r w:rsidR="00AC09CF">
        <w:rPr>
          <w:rFonts w:ascii="Arial" w:hAnsi="Arial" w:cs="Arial"/>
        </w:rPr>
        <w:t xml:space="preserve"> version </w:t>
      </w:r>
      <w:r w:rsidR="00727D1A">
        <w:rPr>
          <w:rFonts w:ascii="Arial" w:hAnsi="Arial" w:cs="Arial"/>
        </w:rPr>
        <w:t>15</w:t>
      </w:r>
      <w:r w:rsidRPr="007A0BE3">
        <w:rPr>
          <w:rFonts w:ascii="Arial" w:hAnsi="Arial" w:cs="Arial"/>
        </w:rPr>
        <w:t>.</w:t>
      </w:r>
      <w:r w:rsidR="00C370B1">
        <w:rPr>
          <w:rFonts w:ascii="Arial" w:hAnsi="Arial" w:cs="Arial"/>
        </w:rPr>
        <w:t xml:space="preserve"> </w:t>
      </w:r>
      <w:r w:rsidR="00C370B1" w:rsidRPr="00C370B1">
        <w:rPr>
          <w:rFonts w:ascii="Arial" w:hAnsi="Arial" w:cs="Arial"/>
        </w:rPr>
        <w:t>We estimated a conditional logi</w:t>
      </w:r>
      <w:r w:rsidR="00F3128F">
        <w:rPr>
          <w:rFonts w:ascii="Arial" w:hAnsi="Arial" w:cs="Arial"/>
        </w:rPr>
        <w:t>s</w:t>
      </w:r>
      <w:r w:rsidR="00C370B1" w:rsidRPr="00C370B1">
        <w:rPr>
          <w:rFonts w:ascii="Arial" w:hAnsi="Arial" w:cs="Arial"/>
        </w:rPr>
        <w:t>t</w:t>
      </w:r>
      <w:r w:rsidR="00F3128F">
        <w:rPr>
          <w:rFonts w:ascii="Arial" w:hAnsi="Arial" w:cs="Arial"/>
        </w:rPr>
        <w:t>ic</w:t>
      </w:r>
      <w:r w:rsidR="00C370B1" w:rsidRPr="00C370B1">
        <w:rPr>
          <w:rFonts w:ascii="Arial" w:hAnsi="Arial" w:cs="Arial"/>
        </w:rPr>
        <w:t xml:space="preserve"> regression model</w:t>
      </w:r>
      <w:r w:rsidR="00C329A9">
        <w:rPr>
          <w:rFonts w:ascii="Arial" w:hAnsi="Arial" w:cs="Arial"/>
        </w:rPr>
        <w:t xml:space="preserve">, which </w:t>
      </w:r>
      <w:r w:rsidR="00C370B1" w:rsidRPr="00C370B1">
        <w:rPr>
          <w:rFonts w:ascii="Arial" w:hAnsi="Arial" w:cs="Arial"/>
        </w:rPr>
        <w:t>include</w:t>
      </w:r>
      <w:r w:rsidR="00C329A9">
        <w:rPr>
          <w:rFonts w:ascii="Arial" w:hAnsi="Arial" w:cs="Arial"/>
        </w:rPr>
        <w:t>s</w:t>
      </w:r>
      <w:r w:rsidR="00C370B1" w:rsidRPr="00C370B1">
        <w:rPr>
          <w:rFonts w:ascii="Arial" w:hAnsi="Arial" w:cs="Arial"/>
        </w:rPr>
        <w:t xml:space="preserve"> a fixed effect at the level of the respondent, capturing </w:t>
      </w:r>
      <w:r w:rsidR="00602579">
        <w:rPr>
          <w:rFonts w:ascii="Arial" w:hAnsi="Arial" w:cs="Arial"/>
        </w:rPr>
        <w:t xml:space="preserve">any </w:t>
      </w:r>
      <w:r w:rsidR="00C370B1" w:rsidRPr="00C370B1">
        <w:rPr>
          <w:rFonts w:ascii="Arial" w:hAnsi="Arial" w:cs="Arial"/>
        </w:rPr>
        <w:t xml:space="preserve">unobserved heterogeneity between respondents. </w:t>
      </w:r>
      <w:r w:rsidR="000B0830">
        <w:rPr>
          <w:rFonts w:ascii="Arial" w:hAnsi="Arial" w:cs="Arial"/>
        </w:rPr>
        <w:t xml:space="preserve">However, </w:t>
      </w:r>
      <w:r w:rsidR="00C370B1" w:rsidRPr="00F14E14">
        <w:rPr>
          <w:rFonts w:ascii="Arial" w:hAnsi="Arial" w:cs="Arial"/>
        </w:rPr>
        <w:t xml:space="preserve">this model </w:t>
      </w:r>
      <w:r w:rsidR="000B0830">
        <w:rPr>
          <w:rFonts w:ascii="Arial" w:hAnsi="Arial" w:cs="Arial"/>
        </w:rPr>
        <w:t xml:space="preserve">also </w:t>
      </w:r>
      <w:r w:rsidR="00C370B1" w:rsidRPr="00F14E14">
        <w:rPr>
          <w:rFonts w:ascii="Arial" w:hAnsi="Arial" w:cs="Arial"/>
        </w:rPr>
        <w:t xml:space="preserve">assumes </w:t>
      </w:r>
      <w:r w:rsidR="0013211E">
        <w:rPr>
          <w:rFonts w:ascii="Arial" w:hAnsi="Arial" w:cs="Arial"/>
        </w:rPr>
        <w:t xml:space="preserve">that </w:t>
      </w:r>
      <w:r w:rsidR="007B42C6">
        <w:rPr>
          <w:rFonts w:ascii="Arial" w:hAnsi="Arial" w:cs="Arial"/>
        </w:rPr>
        <w:t xml:space="preserve">attribute </w:t>
      </w:r>
      <w:r w:rsidR="00C370B1" w:rsidRPr="00F14E14">
        <w:rPr>
          <w:rFonts w:ascii="Arial" w:hAnsi="Arial" w:cs="Arial"/>
        </w:rPr>
        <w:t xml:space="preserve">coefficients are the same across </w:t>
      </w:r>
      <w:r w:rsidR="00C329A9">
        <w:rPr>
          <w:rFonts w:ascii="Arial" w:hAnsi="Arial" w:cs="Arial"/>
        </w:rPr>
        <w:t>respondents</w:t>
      </w:r>
      <w:r w:rsidR="00C370B1" w:rsidRPr="00F14E14">
        <w:rPr>
          <w:rFonts w:ascii="Arial" w:hAnsi="Arial" w:cs="Arial"/>
        </w:rPr>
        <w:t>. As a robustness check, we therefore estimated a mixed effects logi</w:t>
      </w:r>
      <w:r w:rsidR="00C3647E">
        <w:rPr>
          <w:rFonts w:ascii="Arial" w:hAnsi="Arial" w:cs="Arial"/>
        </w:rPr>
        <w:t>s</w:t>
      </w:r>
      <w:r w:rsidR="00C370B1" w:rsidRPr="00F14E14">
        <w:rPr>
          <w:rFonts w:ascii="Arial" w:hAnsi="Arial" w:cs="Arial"/>
        </w:rPr>
        <w:t>t</w:t>
      </w:r>
      <w:r w:rsidR="00C3647E">
        <w:rPr>
          <w:rFonts w:ascii="Arial" w:hAnsi="Arial" w:cs="Arial"/>
        </w:rPr>
        <w:t>ic</w:t>
      </w:r>
      <w:r w:rsidR="00C370B1" w:rsidRPr="00F14E14">
        <w:rPr>
          <w:rFonts w:ascii="Arial" w:hAnsi="Arial" w:cs="Arial"/>
        </w:rPr>
        <w:t xml:space="preserve"> model, which allows the </w:t>
      </w:r>
      <w:r w:rsidR="000B0830">
        <w:rPr>
          <w:rFonts w:ascii="Arial" w:hAnsi="Arial" w:cs="Arial"/>
        </w:rPr>
        <w:t xml:space="preserve">attribute </w:t>
      </w:r>
      <w:r w:rsidR="00C370B1" w:rsidRPr="00F14E14">
        <w:rPr>
          <w:rFonts w:ascii="Arial" w:hAnsi="Arial" w:cs="Arial"/>
        </w:rPr>
        <w:t>coefficients to vary across individuals</w:t>
      </w:r>
      <w:r w:rsidR="00C3647E">
        <w:rPr>
          <w:rFonts w:ascii="Arial" w:hAnsi="Arial" w:cs="Arial"/>
        </w:rPr>
        <w:t>,</w:t>
      </w:r>
      <w:r w:rsidR="00C370B1" w:rsidRPr="00F14E14">
        <w:rPr>
          <w:rFonts w:ascii="Arial" w:hAnsi="Arial" w:cs="Arial"/>
        </w:rPr>
        <w:t xml:space="preserve"> i.e. to have ‘random effects’.</w:t>
      </w:r>
      <w:r w:rsidR="00DB3931">
        <w:rPr>
          <w:rFonts w:ascii="Arial" w:hAnsi="Arial" w:cs="Arial"/>
        </w:rPr>
        <w:t xml:space="preserve"> </w:t>
      </w:r>
    </w:p>
    <w:p w14:paraId="40A3A045" w14:textId="77777777" w:rsidR="0047128A" w:rsidRDefault="0047128A" w:rsidP="0047128A">
      <w:pPr>
        <w:spacing w:after="0" w:line="480" w:lineRule="auto"/>
        <w:jc w:val="both"/>
        <w:rPr>
          <w:rFonts w:ascii="Arial" w:hAnsi="Arial" w:cs="Arial"/>
        </w:rPr>
      </w:pPr>
    </w:p>
    <w:p w14:paraId="34338436" w14:textId="2F4D3980" w:rsidR="00C370B1" w:rsidRPr="00F14E14" w:rsidRDefault="00A94613" w:rsidP="0047128A">
      <w:pPr>
        <w:spacing w:after="0" w:line="480" w:lineRule="auto"/>
        <w:jc w:val="both"/>
        <w:rPr>
          <w:rFonts w:ascii="Arial" w:hAnsi="Arial" w:cs="Arial"/>
        </w:rPr>
      </w:pPr>
      <w:r>
        <w:rPr>
          <w:rFonts w:ascii="Arial" w:hAnsi="Arial" w:cs="Arial"/>
        </w:rPr>
        <w:t>B</w:t>
      </w:r>
      <w:r w:rsidR="00AF19EE">
        <w:rPr>
          <w:rFonts w:ascii="Arial" w:hAnsi="Arial" w:cs="Arial"/>
        </w:rPr>
        <w:t xml:space="preserve">oth models </w:t>
      </w:r>
      <w:r>
        <w:rPr>
          <w:rFonts w:ascii="Arial" w:hAnsi="Arial" w:cs="Arial"/>
        </w:rPr>
        <w:t>estimate</w:t>
      </w:r>
      <w:r w:rsidR="00E61BAE">
        <w:rPr>
          <w:rFonts w:ascii="Arial" w:hAnsi="Arial" w:cs="Arial"/>
        </w:rPr>
        <w:t>d</w:t>
      </w:r>
      <w:r w:rsidR="00AF19EE">
        <w:rPr>
          <w:rFonts w:ascii="Arial" w:hAnsi="Arial" w:cs="Arial"/>
        </w:rPr>
        <w:t xml:space="preserve"> the impact of the different attributes and levels on the probability of choosing to continue antibiotic treatment. </w:t>
      </w:r>
      <w:r w:rsidR="007D154B">
        <w:rPr>
          <w:rFonts w:ascii="Arial" w:hAnsi="Arial" w:cs="Arial"/>
        </w:rPr>
        <w:t xml:space="preserve">To </w:t>
      </w:r>
      <w:r w:rsidR="00227FCE">
        <w:rPr>
          <w:rFonts w:ascii="Arial" w:hAnsi="Arial" w:cs="Arial"/>
        </w:rPr>
        <w:t xml:space="preserve">help with </w:t>
      </w:r>
      <w:r w:rsidR="007D154B">
        <w:rPr>
          <w:rFonts w:ascii="Arial" w:hAnsi="Arial" w:cs="Arial"/>
        </w:rPr>
        <w:t xml:space="preserve">interpretation, the average marginal effect (AME) of each </w:t>
      </w:r>
      <w:r w:rsidR="00C3647E">
        <w:rPr>
          <w:rFonts w:ascii="Arial" w:hAnsi="Arial" w:cs="Arial"/>
        </w:rPr>
        <w:t>attribute</w:t>
      </w:r>
      <w:r w:rsidR="007D154B">
        <w:rPr>
          <w:rFonts w:ascii="Arial" w:hAnsi="Arial" w:cs="Arial"/>
        </w:rPr>
        <w:t xml:space="preserve">-level on </w:t>
      </w:r>
      <w:r w:rsidR="00092FFC">
        <w:rPr>
          <w:rFonts w:ascii="Arial" w:hAnsi="Arial" w:cs="Arial"/>
        </w:rPr>
        <w:t xml:space="preserve">the </w:t>
      </w:r>
      <w:r w:rsidR="007D154B">
        <w:rPr>
          <w:rFonts w:ascii="Arial" w:hAnsi="Arial" w:cs="Arial"/>
        </w:rPr>
        <w:t xml:space="preserve">probability of choosing </w:t>
      </w:r>
      <w:r w:rsidR="00F13F5D">
        <w:rPr>
          <w:rFonts w:ascii="Arial" w:hAnsi="Arial" w:cs="Arial"/>
        </w:rPr>
        <w:t xml:space="preserve">‘Continue’ </w:t>
      </w:r>
      <w:r w:rsidR="007D154B">
        <w:rPr>
          <w:rFonts w:ascii="Arial" w:hAnsi="Arial" w:cs="Arial"/>
        </w:rPr>
        <w:t xml:space="preserve">was </w:t>
      </w:r>
      <w:r>
        <w:rPr>
          <w:rFonts w:ascii="Arial" w:hAnsi="Arial" w:cs="Arial"/>
        </w:rPr>
        <w:t>calculated</w:t>
      </w:r>
      <w:r w:rsidR="007D154B">
        <w:rPr>
          <w:rFonts w:ascii="Arial" w:hAnsi="Arial" w:cs="Arial"/>
        </w:rPr>
        <w:t xml:space="preserve">. For the categorical </w:t>
      </w:r>
      <w:r w:rsidR="00C3647E">
        <w:rPr>
          <w:rFonts w:ascii="Arial" w:hAnsi="Arial" w:cs="Arial"/>
        </w:rPr>
        <w:t>attribute</w:t>
      </w:r>
      <w:r w:rsidR="007D154B">
        <w:rPr>
          <w:rFonts w:ascii="Arial" w:hAnsi="Arial" w:cs="Arial"/>
        </w:rPr>
        <w:t xml:space="preserve">-levels </w:t>
      </w:r>
      <w:r w:rsidR="00AB62A9">
        <w:rPr>
          <w:rFonts w:ascii="Arial" w:hAnsi="Arial" w:cs="Arial"/>
        </w:rPr>
        <w:t xml:space="preserve">(levels for presenting symptoms; </w:t>
      </w:r>
      <w:r w:rsidR="00AB62A9" w:rsidRPr="00812A92">
        <w:rPr>
          <w:rFonts w:ascii="Arial" w:hAnsi="Arial" w:cs="Arial"/>
        </w:rPr>
        <w:t xml:space="preserve">whether discontinuation would conflict with local </w:t>
      </w:r>
      <w:r w:rsidR="00AB62A9">
        <w:rPr>
          <w:rFonts w:ascii="Arial" w:hAnsi="Arial" w:cs="Arial"/>
        </w:rPr>
        <w:t xml:space="preserve">prescribing </w:t>
      </w:r>
      <w:r w:rsidR="00AB62A9" w:rsidRPr="00812A92">
        <w:rPr>
          <w:rFonts w:ascii="Arial" w:hAnsi="Arial" w:cs="Arial"/>
        </w:rPr>
        <w:t>guidelines</w:t>
      </w:r>
      <w:r w:rsidR="00AB62A9">
        <w:rPr>
          <w:rFonts w:ascii="Arial" w:hAnsi="Arial" w:cs="Arial"/>
        </w:rPr>
        <w:t xml:space="preserve">; premorbid condition of patient; level of external pressure to continue antibiotics) </w:t>
      </w:r>
      <w:r w:rsidR="007D154B">
        <w:rPr>
          <w:rFonts w:ascii="Arial" w:hAnsi="Arial" w:cs="Arial"/>
        </w:rPr>
        <w:t>th</w:t>
      </w:r>
      <w:r w:rsidR="00071FED">
        <w:rPr>
          <w:rFonts w:ascii="Arial" w:hAnsi="Arial" w:cs="Arial"/>
        </w:rPr>
        <w:t>e AME</w:t>
      </w:r>
      <w:r w:rsidR="007D154B">
        <w:rPr>
          <w:rFonts w:ascii="Arial" w:hAnsi="Arial" w:cs="Arial"/>
        </w:rPr>
        <w:t xml:space="preserve"> </w:t>
      </w:r>
      <w:r w:rsidR="00071FED">
        <w:rPr>
          <w:rFonts w:ascii="Arial" w:hAnsi="Arial" w:cs="Arial"/>
        </w:rPr>
        <w:t>estimates</w:t>
      </w:r>
      <w:r w:rsidR="007D154B">
        <w:rPr>
          <w:rFonts w:ascii="Arial" w:hAnsi="Arial" w:cs="Arial"/>
        </w:rPr>
        <w:t xml:space="preserve"> how much higher/lower the probability of continuing was at this attribute-level than the probability at the </w:t>
      </w:r>
      <w:r w:rsidR="00C3647E">
        <w:rPr>
          <w:rFonts w:ascii="Arial" w:hAnsi="Arial" w:cs="Arial"/>
        </w:rPr>
        <w:t xml:space="preserve">attribute’s </w:t>
      </w:r>
      <w:r w:rsidR="007D154B">
        <w:rPr>
          <w:rFonts w:ascii="Arial" w:hAnsi="Arial" w:cs="Arial"/>
        </w:rPr>
        <w:t xml:space="preserve">base level. For the continuous variables (risk of continuing/risk of discontinuing), the AME </w:t>
      </w:r>
      <w:r w:rsidR="00071FED">
        <w:rPr>
          <w:rFonts w:ascii="Arial" w:hAnsi="Arial" w:cs="Arial"/>
        </w:rPr>
        <w:t>estimates</w:t>
      </w:r>
      <w:r w:rsidR="007D154B">
        <w:rPr>
          <w:rFonts w:ascii="Arial" w:hAnsi="Arial" w:cs="Arial"/>
        </w:rPr>
        <w:t xml:space="preserve"> how much higher/lower the probability of continuing was for a 1% higher risk.</w:t>
      </w:r>
    </w:p>
    <w:p w14:paraId="52D08E3B" w14:textId="77777777" w:rsidR="0047128A" w:rsidRDefault="0047128A" w:rsidP="0047128A">
      <w:pPr>
        <w:spacing w:after="0" w:line="480" w:lineRule="auto"/>
        <w:jc w:val="both"/>
        <w:rPr>
          <w:rFonts w:ascii="Arial" w:hAnsi="Arial" w:cs="Arial"/>
        </w:rPr>
      </w:pPr>
    </w:p>
    <w:p w14:paraId="615A63F5" w14:textId="40247CB2" w:rsidR="00C370B1" w:rsidRPr="00F14E14" w:rsidRDefault="007E4251" w:rsidP="0047128A">
      <w:pPr>
        <w:spacing w:after="0" w:line="480" w:lineRule="auto"/>
        <w:jc w:val="both"/>
        <w:rPr>
          <w:rFonts w:ascii="Arial" w:hAnsi="Arial" w:cs="Arial"/>
        </w:rPr>
      </w:pPr>
      <w:r>
        <w:rPr>
          <w:rFonts w:ascii="Arial" w:hAnsi="Arial" w:cs="Arial"/>
        </w:rPr>
        <w:t>R</w:t>
      </w:r>
      <w:r w:rsidR="00C370B1" w:rsidRPr="007E4251">
        <w:rPr>
          <w:rFonts w:ascii="Arial" w:hAnsi="Arial" w:cs="Arial"/>
        </w:rPr>
        <w:t>espondent characteristics cannot be included in a binary logi</w:t>
      </w:r>
      <w:r w:rsidR="00C2522B" w:rsidRPr="007E4251">
        <w:rPr>
          <w:rFonts w:ascii="Arial" w:hAnsi="Arial" w:cs="Arial"/>
        </w:rPr>
        <w:t>s</w:t>
      </w:r>
      <w:r w:rsidR="00C370B1" w:rsidRPr="007E4251">
        <w:rPr>
          <w:rFonts w:ascii="Arial" w:hAnsi="Arial" w:cs="Arial"/>
        </w:rPr>
        <w:t>t</w:t>
      </w:r>
      <w:r w:rsidR="00C2522B" w:rsidRPr="007E4251">
        <w:rPr>
          <w:rFonts w:ascii="Arial" w:hAnsi="Arial" w:cs="Arial"/>
        </w:rPr>
        <w:t>ic</w:t>
      </w:r>
      <w:r w:rsidR="00C370B1" w:rsidRPr="007E4251">
        <w:rPr>
          <w:rFonts w:ascii="Arial" w:hAnsi="Arial" w:cs="Arial"/>
        </w:rPr>
        <w:t xml:space="preserve"> model with respondent-level fixed effects.</w:t>
      </w:r>
      <w:r w:rsidR="00C370B1" w:rsidRPr="00F14E14">
        <w:rPr>
          <w:rFonts w:ascii="Arial" w:hAnsi="Arial" w:cs="Arial"/>
        </w:rPr>
        <w:t xml:space="preserve"> However,</w:t>
      </w:r>
      <w:r w:rsidR="00DF561B">
        <w:rPr>
          <w:rFonts w:ascii="Arial" w:hAnsi="Arial" w:cs="Arial"/>
        </w:rPr>
        <w:t xml:space="preserve"> they may be </w:t>
      </w:r>
      <w:r w:rsidR="00C370B1" w:rsidRPr="00F14E14">
        <w:rPr>
          <w:rFonts w:ascii="Arial" w:hAnsi="Arial" w:cs="Arial"/>
        </w:rPr>
        <w:t>associated with the</w:t>
      </w:r>
      <w:r w:rsidR="00DF561B">
        <w:rPr>
          <w:rFonts w:ascii="Arial" w:hAnsi="Arial" w:cs="Arial"/>
        </w:rPr>
        <w:t xml:space="preserve"> total</w:t>
      </w:r>
      <w:r w:rsidR="00C370B1" w:rsidRPr="00F14E14">
        <w:rPr>
          <w:rFonts w:ascii="Arial" w:hAnsi="Arial" w:cs="Arial"/>
        </w:rPr>
        <w:t xml:space="preserve"> number of occasions respondents chose to </w:t>
      </w:r>
      <w:r w:rsidR="00C3647E">
        <w:rPr>
          <w:rFonts w:ascii="Arial" w:hAnsi="Arial" w:cs="Arial"/>
        </w:rPr>
        <w:t>‘</w:t>
      </w:r>
      <w:r w:rsidR="00C370B1" w:rsidRPr="00F14E14">
        <w:rPr>
          <w:rFonts w:ascii="Arial" w:hAnsi="Arial" w:cs="Arial"/>
        </w:rPr>
        <w:t>continue</w:t>
      </w:r>
      <w:r w:rsidR="00C3647E">
        <w:rPr>
          <w:rFonts w:ascii="Arial" w:hAnsi="Arial" w:cs="Arial"/>
        </w:rPr>
        <w:t>’</w:t>
      </w:r>
      <w:r w:rsidR="00C370B1" w:rsidRPr="00F14E14">
        <w:rPr>
          <w:rFonts w:ascii="Arial" w:hAnsi="Arial" w:cs="Arial"/>
        </w:rPr>
        <w:t xml:space="preserve"> versus </w:t>
      </w:r>
      <w:r w:rsidR="00C3647E">
        <w:rPr>
          <w:rFonts w:ascii="Arial" w:hAnsi="Arial" w:cs="Arial"/>
        </w:rPr>
        <w:t>‘</w:t>
      </w:r>
      <w:r w:rsidR="00C370B1" w:rsidRPr="00F14E14">
        <w:rPr>
          <w:rFonts w:ascii="Arial" w:hAnsi="Arial" w:cs="Arial"/>
        </w:rPr>
        <w:t>discontinue</w:t>
      </w:r>
      <w:r w:rsidR="00C3647E">
        <w:rPr>
          <w:rFonts w:ascii="Arial" w:hAnsi="Arial" w:cs="Arial"/>
        </w:rPr>
        <w:t>’</w:t>
      </w:r>
      <w:r w:rsidR="00C370B1" w:rsidRPr="00F14E14">
        <w:rPr>
          <w:rFonts w:ascii="Arial" w:hAnsi="Arial" w:cs="Arial"/>
        </w:rPr>
        <w:t xml:space="preserve"> antibiotics. We </w:t>
      </w:r>
      <w:r w:rsidR="00A94613">
        <w:rPr>
          <w:rFonts w:ascii="Arial" w:hAnsi="Arial" w:cs="Arial"/>
        </w:rPr>
        <w:t>investigated</w:t>
      </w:r>
      <w:r w:rsidR="00A94613" w:rsidRPr="00F14E14">
        <w:rPr>
          <w:rFonts w:ascii="Arial" w:hAnsi="Arial" w:cs="Arial"/>
        </w:rPr>
        <w:t xml:space="preserve"> </w:t>
      </w:r>
      <w:r w:rsidR="00C370B1" w:rsidRPr="00F14E14">
        <w:rPr>
          <w:rFonts w:ascii="Arial" w:hAnsi="Arial" w:cs="Arial"/>
        </w:rPr>
        <w:t xml:space="preserve">this using ordered probit models, where the dependent variable was the number of choice questions in which respondents chose to </w:t>
      </w:r>
      <w:r w:rsidR="00C3647E">
        <w:rPr>
          <w:rFonts w:ascii="Arial" w:hAnsi="Arial" w:cs="Arial"/>
        </w:rPr>
        <w:t>‘</w:t>
      </w:r>
      <w:r w:rsidR="00C370B1" w:rsidRPr="00F14E14">
        <w:rPr>
          <w:rFonts w:ascii="Arial" w:hAnsi="Arial" w:cs="Arial"/>
        </w:rPr>
        <w:t>continue</w:t>
      </w:r>
      <w:r w:rsidR="00C3647E">
        <w:rPr>
          <w:rFonts w:ascii="Arial" w:hAnsi="Arial" w:cs="Arial"/>
        </w:rPr>
        <w:t>’</w:t>
      </w:r>
      <w:r w:rsidR="00C370B1" w:rsidRPr="00F14E14">
        <w:rPr>
          <w:rFonts w:ascii="Arial" w:hAnsi="Arial" w:cs="Arial"/>
        </w:rPr>
        <w:t xml:space="preserve"> antibiotics.</w:t>
      </w:r>
    </w:p>
    <w:p w14:paraId="0AA0D8DD" w14:textId="77777777" w:rsidR="0047128A" w:rsidRDefault="0047128A" w:rsidP="00E31734">
      <w:pPr>
        <w:pStyle w:val="Default"/>
        <w:spacing w:line="480" w:lineRule="auto"/>
        <w:jc w:val="both"/>
        <w:rPr>
          <w:rFonts w:ascii="Arial" w:hAnsi="Arial" w:cs="Arial"/>
        </w:rPr>
      </w:pPr>
    </w:p>
    <w:p w14:paraId="31867D72" w14:textId="657D6205" w:rsidR="00E31734" w:rsidRDefault="00114497" w:rsidP="00E31734">
      <w:pPr>
        <w:pStyle w:val="Default"/>
        <w:spacing w:line="480" w:lineRule="auto"/>
        <w:jc w:val="both"/>
        <w:rPr>
          <w:rFonts w:ascii="Arial" w:hAnsi="Arial" w:cs="Arial"/>
          <w:color w:val="auto"/>
          <w:sz w:val="22"/>
          <w:szCs w:val="22"/>
        </w:rPr>
      </w:pPr>
      <w:r w:rsidRPr="006E22C2">
        <w:rPr>
          <w:rFonts w:ascii="Arial" w:hAnsi="Arial" w:cs="Arial"/>
          <w:sz w:val="22"/>
          <w:szCs w:val="22"/>
        </w:rPr>
        <w:t>Free-text comments were analysed using inductive content analysis</w:t>
      </w:r>
      <w:r w:rsidR="006E22C2">
        <w:rPr>
          <w:rFonts w:ascii="Arial" w:hAnsi="Arial" w:cs="Arial"/>
          <w:sz w:val="22"/>
          <w:szCs w:val="22"/>
        </w:rPr>
        <w:t xml:space="preserve"> – that is, the categories were suggested by the text rather than an imposed framework</w:t>
      </w:r>
      <w:r w:rsidR="00AF1AEC">
        <w:rPr>
          <w:rFonts w:ascii="Arial" w:hAnsi="Arial" w:cs="Arial"/>
          <w:sz w:val="22"/>
          <w:szCs w:val="22"/>
        </w:rPr>
        <w:t xml:space="preserve"> [2</w:t>
      </w:r>
      <w:r w:rsidR="00447EA9">
        <w:rPr>
          <w:rFonts w:ascii="Arial" w:hAnsi="Arial" w:cs="Arial"/>
          <w:sz w:val="22"/>
          <w:szCs w:val="22"/>
        </w:rPr>
        <w:t>2</w:t>
      </w:r>
      <w:r w:rsidR="00AF1AEC">
        <w:rPr>
          <w:rFonts w:ascii="Arial" w:hAnsi="Arial" w:cs="Arial"/>
          <w:sz w:val="22"/>
          <w:szCs w:val="22"/>
        </w:rPr>
        <w:t>]</w:t>
      </w:r>
      <w:r>
        <w:rPr>
          <w:rFonts w:ascii="Arial" w:hAnsi="Arial" w:cs="Arial"/>
        </w:rPr>
        <w:t>.</w:t>
      </w:r>
      <w:r w:rsidR="00A229C0" w:rsidRPr="00132BCB" w:rsidDel="00114497">
        <w:rPr>
          <w:rFonts w:ascii="Arial" w:hAnsi="Arial" w:cs="Arial"/>
        </w:rPr>
        <w:t xml:space="preserve"> </w:t>
      </w:r>
      <w:r w:rsidR="00A229C0" w:rsidRPr="00F14E14" w:rsidDel="00A229C0">
        <w:rPr>
          <w:rFonts w:ascii="Arial" w:hAnsi="Arial" w:cs="Arial"/>
          <w:color w:val="auto"/>
          <w:sz w:val="22"/>
          <w:szCs w:val="22"/>
        </w:rPr>
        <w:t xml:space="preserve"> </w:t>
      </w:r>
    </w:p>
    <w:p w14:paraId="611889B8" w14:textId="77777777" w:rsidR="006E22C2" w:rsidRPr="00E31734" w:rsidRDefault="006E22C2" w:rsidP="00E31734">
      <w:pPr>
        <w:pStyle w:val="Default"/>
        <w:spacing w:line="480" w:lineRule="auto"/>
        <w:jc w:val="both"/>
        <w:rPr>
          <w:rFonts w:ascii="Arial" w:hAnsi="Arial" w:cs="Arial"/>
          <w:color w:val="auto"/>
          <w:sz w:val="22"/>
          <w:szCs w:val="22"/>
        </w:rPr>
      </w:pPr>
    </w:p>
    <w:p w14:paraId="37637335" w14:textId="3D410F82" w:rsidR="008E47E0" w:rsidRPr="008E47E0" w:rsidRDefault="008E47E0" w:rsidP="008E47E0">
      <w:pPr>
        <w:spacing w:line="480" w:lineRule="auto"/>
        <w:jc w:val="both"/>
        <w:rPr>
          <w:rFonts w:ascii="Arial" w:hAnsi="Arial" w:cs="Arial"/>
          <w:b/>
        </w:rPr>
      </w:pPr>
      <w:r>
        <w:rPr>
          <w:rFonts w:ascii="Arial" w:hAnsi="Arial" w:cs="Arial"/>
          <w:b/>
        </w:rPr>
        <w:t>RESULTS</w:t>
      </w:r>
    </w:p>
    <w:p w14:paraId="71E00DE0" w14:textId="23E189B4" w:rsidR="005957A2" w:rsidRDefault="00DA5395" w:rsidP="0081080E">
      <w:pPr>
        <w:pStyle w:val="NoSpacing"/>
        <w:spacing w:line="480" w:lineRule="auto"/>
        <w:jc w:val="both"/>
        <w:rPr>
          <w:rFonts w:ascii="Arial" w:hAnsi="Arial" w:cs="Arial"/>
        </w:rPr>
      </w:pPr>
      <w:r w:rsidRPr="00DA5395">
        <w:rPr>
          <w:rFonts w:ascii="Arial" w:hAnsi="Arial" w:cs="Arial"/>
        </w:rPr>
        <w:t>The survey was completed by 101 people, one of whom was not based in the UK and so was excluded</w:t>
      </w:r>
      <w:r w:rsidR="00D11C9B">
        <w:rPr>
          <w:rFonts w:ascii="Arial" w:hAnsi="Arial" w:cs="Arial"/>
        </w:rPr>
        <w:t xml:space="preserve"> in our analysis</w:t>
      </w:r>
      <w:r w:rsidRPr="00DA5395">
        <w:rPr>
          <w:rFonts w:ascii="Arial" w:hAnsi="Arial" w:cs="Arial"/>
        </w:rPr>
        <w:t xml:space="preserve">. </w:t>
      </w:r>
      <w:r w:rsidR="00E05B72">
        <w:rPr>
          <w:rFonts w:ascii="Arial" w:hAnsi="Arial" w:cs="Arial"/>
        </w:rPr>
        <w:t xml:space="preserve">82/100 </w:t>
      </w:r>
      <w:r w:rsidR="00D11C9B">
        <w:rPr>
          <w:rFonts w:ascii="Arial" w:hAnsi="Arial" w:cs="Arial"/>
        </w:rPr>
        <w:t xml:space="preserve">of the included respondents </w:t>
      </w:r>
      <w:r w:rsidR="00E05B72">
        <w:rPr>
          <w:rFonts w:ascii="Arial" w:hAnsi="Arial" w:cs="Arial"/>
        </w:rPr>
        <w:t xml:space="preserve">were aged 25-44 </w:t>
      </w:r>
      <w:r w:rsidR="00D545DA">
        <w:rPr>
          <w:rFonts w:ascii="Arial" w:hAnsi="Arial" w:cs="Arial"/>
        </w:rPr>
        <w:t xml:space="preserve">years </w:t>
      </w:r>
      <w:r w:rsidR="00E05B72">
        <w:rPr>
          <w:rFonts w:ascii="Arial" w:hAnsi="Arial" w:cs="Arial"/>
        </w:rPr>
        <w:t xml:space="preserve">and acute/general medicine was the primary specialty for 57/99 (58%) (Table 2). Further respondent characteristics are </w:t>
      </w:r>
      <w:r w:rsidR="00D11C9B">
        <w:rPr>
          <w:rFonts w:ascii="Arial" w:hAnsi="Arial" w:cs="Arial"/>
        </w:rPr>
        <w:t xml:space="preserve">shown </w:t>
      </w:r>
      <w:r w:rsidR="00E05B72">
        <w:rPr>
          <w:rFonts w:ascii="Arial" w:hAnsi="Arial" w:cs="Arial"/>
        </w:rPr>
        <w:t>in Ta</w:t>
      </w:r>
      <w:r w:rsidR="00A71AB9">
        <w:rPr>
          <w:rFonts w:ascii="Arial" w:hAnsi="Arial" w:cs="Arial"/>
        </w:rPr>
        <w:t>ble 2 and Additional file</w:t>
      </w:r>
      <w:r w:rsidR="00E05B72">
        <w:rPr>
          <w:rFonts w:ascii="Arial" w:hAnsi="Arial" w:cs="Arial"/>
        </w:rPr>
        <w:t xml:space="preserve"> </w:t>
      </w:r>
      <w:r w:rsidR="00A858D1">
        <w:rPr>
          <w:rFonts w:ascii="Arial" w:hAnsi="Arial" w:cs="Arial"/>
        </w:rPr>
        <w:t>5</w:t>
      </w:r>
      <w:r w:rsidR="00447EA9">
        <w:rPr>
          <w:rFonts w:ascii="Arial" w:hAnsi="Arial" w:cs="Arial"/>
        </w:rPr>
        <w:t>: Personality questions [23</w:t>
      </w:r>
      <w:r w:rsidR="00B111D8">
        <w:rPr>
          <w:rFonts w:ascii="Arial" w:hAnsi="Arial" w:cs="Arial"/>
        </w:rPr>
        <w:t>]</w:t>
      </w:r>
      <w:r w:rsidR="00E05B72">
        <w:rPr>
          <w:rFonts w:ascii="Arial" w:hAnsi="Arial" w:cs="Arial"/>
        </w:rPr>
        <w:t>.</w:t>
      </w:r>
      <w:r w:rsidR="002D6566">
        <w:rPr>
          <w:rFonts w:ascii="Arial" w:hAnsi="Arial" w:cs="Arial"/>
        </w:rPr>
        <w:t xml:space="preserve"> The respondents listed as ‘non-medical prescriber’ and ‘other’ were mostly specialists in acute/general medicine, and all reported that they made antibiotic review decisions multiple times per month. It therefore seemed reasonable to include them in the sample.</w:t>
      </w:r>
      <w:r w:rsidR="005957A2">
        <w:rPr>
          <w:rFonts w:ascii="Arial" w:hAnsi="Arial" w:cs="Arial"/>
        </w:rPr>
        <w:t xml:space="preserve"> </w:t>
      </w:r>
    </w:p>
    <w:p w14:paraId="360EDAC6" w14:textId="6143E5BA" w:rsidR="00AA3ED0" w:rsidRDefault="00AA3ED0" w:rsidP="0081080E">
      <w:pPr>
        <w:pStyle w:val="NoSpacing"/>
        <w:spacing w:line="480" w:lineRule="auto"/>
        <w:jc w:val="both"/>
        <w:rPr>
          <w:rFonts w:ascii="Arial" w:hAnsi="Arial" w:cs="Arial"/>
        </w:rPr>
      </w:pPr>
    </w:p>
    <w:p w14:paraId="04D0F953" w14:textId="531831B1" w:rsidR="00AA3ED0" w:rsidRDefault="00AA3ED0" w:rsidP="00AA3ED0">
      <w:pPr>
        <w:pStyle w:val="NoSpacing"/>
        <w:spacing w:line="480" w:lineRule="auto"/>
        <w:jc w:val="center"/>
        <w:rPr>
          <w:rFonts w:ascii="Arial" w:hAnsi="Arial" w:cs="Arial"/>
        </w:rPr>
      </w:pPr>
      <w:r>
        <w:rPr>
          <w:rFonts w:ascii="Arial" w:hAnsi="Arial" w:cs="Arial"/>
        </w:rPr>
        <w:t>[TABLE 2 ABOUT HERE]</w:t>
      </w:r>
    </w:p>
    <w:p w14:paraId="623743C4" w14:textId="77777777" w:rsidR="00AA3ED0" w:rsidRPr="005957A2" w:rsidRDefault="00AA3ED0" w:rsidP="0081080E">
      <w:pPr>
        <w:pStyle w:val="NoSpacing"/>
        <w:spacing w:line="480" w:lineRule="auto"/>
        <w:jc w:val="both"/>
        <w:rPr>
          <w:rFonts w:ascii="Arial" w:hAnsi="Arial" w:cs="Arial"/>
          <w:b/>
        </w:rPr>
      </w:pPr>
    </w:p>
    <w:p w14:paraId="421A093C" w14:textId="089B50D6" w:rsidR="005957A2" w:rsidRDefault="005957A2" w:rsidP="0081080E">
      <w:pPr>
        <w:pStyle w:val="NoSpacing"/>
        <w:spacing w:line="480" w:lineRule="auto"/>
        <w:jc w:val="both"/>
        <w:rPr>
          <w:rFonts w:ascii="Arial" w:hAnsi="Arial" w:cs="Arial"/>
        </w:rPr>
      </w:pPr>
      <w:r w:rsidRPr="005957A2">
        <w:rPr>
          <w:rFonts w:ascii="Arial" w:hAnsi="Arial" w:cs="Arial"/>
        </w:rPr>
        <w:t xml:space="preserve">There were minor differences in </w:t>
      </w:r>
      <w:r w:rsidR="0081080E">
        <w:rPr>
          <w:rFonts w:ascii="Arial" w:hAnsi="Arial" w:cs="Arial"/>
        </w:rPr>
        <w:t xml:space="preserve">how respondents ranked the </w:t>
      </w:r>
      <w:r w:rsidRPr="005957A2">
        <w:rPr>
          <w:rFonts w:ascii="Arial" w:hAnsi="Arial" w:cs="Arial"/>
        </w:rPr>
        <w:t>attribute</w:t>
      </w:r>
      <w:r w:rsidR="0081080E">
        <w:rPr>
          <w:rFonts w:ascii="Arial" w:hAnsi="Arial" w:cs="Arial"/>
        </w:rPr>
        <w:t>s</w:t>
      </w:r>
      <w:r w:rsidRPr="005957A2">
        <w:rPr>
          <w:rFonts w:ascii="Arial" w:hAnsi="Arial" w:cs="Arial"/>
        </w:rPr>
        <w:t xml:space="preserve"> before and after completing the choice questions</w:t>
      </w:r>
      <w:r w:rsidR="00A71AB9">
        <w:rPr>
          <w:rFonts w:ascii="Arial" w:hAnsi="Arial" w:cs="Arial"/>
        </w:rPr>
        <w:t xml:space="preserve"> (Additional file</w:t>
      </w:r>
      <w:r w:rsidR="00742E94">
        <w:rPr>
          <w:rFonts w:ascii="Arial" w:hAnsi="Arial" w:cs="Arial"/>
        </w:rPr>
        <w:t xml:space="preserve"> 6</w:t>
      </w:r>
      <w:r w:rsidR="0081080E">
        <w:rPr>
          <w:rFonts w:ascii="Arial" w:hAnsi="Arial" w:cs="Arial"/>
        </w:rPr>
        <w:t>)</w:t>
      </w:r>
      <w:r w:rsidRPr="005957A2">
        <w:rPr>
          <w:rFonts w:ascii="Arial" w:hAnsi="Arial" w:cs="Arial"/>
        </w:rPr>
        <w:t>.</w:t>
      </w:r>
      <w:r w:rsidR="0081080E">
        <w:rPr>
          <w:rFonts w:ascii="Arial" w:hAnsi="Arial" w:cs="Arial"/>
        </w:rPr>
        <w:t xml:space="preserve"> </w:t>
      </w:r>
      <w:r w:rsidR="0081080E" w:rsidRPr="00846D65">
        <w:rPr>
          <w:rFonts w:ascii="Arial" w:hAnsi="Arial" w:cs="Arial"/>
        </w:rPr>
        <w:t>Before</w:t>
      </w:r>
      <w:r w:rsidR="0081080E">
        <w:rPr>
          <w:rFonts w:ascii="Arial" w:hAnsi="Arial" w:cs="Arial"/>
        </w:rPr>
        <w:t>hand</w:t>
      </w:r>
      <w:r w:rsidR="0081080E" w:rsidRPr="00846D65">
        <w:rPr>
          <w:rFonts w:ascii="Arial" w:hAnsi="Arial" w:cs="Arial"/>
        </w:rPr>
        <w:t>, the most impo</w:t>
      </w:r>
      <w:r w:rsidR="0081080E">
        <w:rPr>
          <w:rFonts w:ascii="Arial" w:hAnsi="Arial" w:cs="Arial"/>
        </w:rPr>
        <w:t xml:space="preserve">rtant attribute </w:t>
      </w:r>
      <w:r w:rsidR="0081080E" w:rsidRPr="00846D65">
        <w:rPr>
          <w:rFonts w:ascii="Arial" w:hAnsi="Arial" w:cs="Arial"/>
        </w:rPr>
        <w:t>was ‘</w:t>
      </w:r>
      <w:r w:rsidR="0081080E" w:rsidRPr="00A07781">
        <w:rPr>
          <w:rFonts w:ascii="Arial" w:hAnsi="Arial" w:cs="Arial"/>
        </w:rPr>
        <w:t>Patient’s presenting symptoms</w:t>
      </w:r>
      <w:r w:rsidR="0081080E" w:rsidRPr="00846D65">
        <w:rPr>
          <w:rFonts w:ascii="Arial" w:hAnsi="Arial" w:cs="Arial"/>
        </w:rPr>
        <w:t>’, followed by ‘</w:t>
      </w:r>
      <w:r w:rsidR="0081080E" w:rsidRPr="00A07781">
        <w:rPr>
          <w:rFonts w:ascii="Arial" w:hAnsi="Arial" w:cs="Arial"/>
        </w:rPr>
        <w:t>Risk of significant harm arising from discontinuing antibiotic treatment</w:t>
      </w:r>
      <w:r w:rsidR="0081080E">
        <w:rPr>
          <w:rFonts w:ascii="Arial" w:hAnsi="Arial" w:cs="Arial"/>
        </w:rPr>
        <w:t xml:space="preserve">’. </w:t>
      </w:r>
      <w:r w:rsidR="0081080E" w:rsidRPr="00846D65">
        <w:rPr>
          <w:rFonts w:ascii="Arial" w:hAnsi="Arial" w:cs="Arial"/>
        </w:rPr>
        <w:t>The least important attribute was ‘</w:t>
      </w:r>
      <w:r w:rsidR="0081080E" w:rsidRPr="00A07781">
        <w:rPr>
          <w:rFonts w:ascii="Arial" w:hAnsi="Arial" w:cs="Arial"/>
        </w:rPr>
        <w:t>Level of external pressure to continue antibiotic treatment</w:t>
      </w:r>
      <w:r w:rsidR="0081080E" w:rsidRPr="00846D65">
        <w:rPr>
          <w:rFonts w:ascii="Arial" w:hAnsi="Arial" w:cs="Arial"/>
        </w:rPr>
        <w:t>’. The attribute rankings remained the same after completing the survey, except that the order of the first and second most important reversed.</w:t>
      </w:r>
    </w:p>
    <w:p w14:paraId="4D15AD5A" w14:textId="77777777" w:rsidR="005957A2" w:rsidRDefault="005957A2" w:rsidP="0081080E">
      <w:pPr>
        <w:pStyle w:val="NoSpacing"/>
        <w:spacing w:line="480" w:lineRule="auto"/>
        <w:jc w:val="both"/>
        <w:rPr>
          <w:rFonts w:ascii="Arial" w:hAnsi="Arial" w:cs="Arial"/>
        </w:rPr>
      </w:pPr>
    </w:p>
    <w:p w14:paraId="53A83933" w14:textId="5AC473B8" w:rsidR="005957A2" w:rsidRPr="005957A2" w:rsidRDefault="005957A2" w:rsidP="005957A2">
      <w:pPr>
        <w:pStyle w:val="NoSpacing"/>
        <w:spacing w:line="480" w:lineRule="auto"/>
        <w:jc w:val="both"/>
        <w:rPr>
          <w:rFonts w:ascii="Arial" w:hAnsi="Arial" w:cs="Arial"/>
          <w:b/>
        </w:rPr>
      </w:pPr>
      <w:r>
        <w:rPr>
          <w:rFonts w:ascii="Arial" w:hAnsi="Arial" w:cs="Arial"/>
          <w:b/>
        </w:rPr>
        <w:t>C</w:t>
      </w:r>
      <w:r w:rsidR="001D3D3C">
        <w:rPr>
          <w:rFonts w:ascii="Arial" w:hAnsi="Arial" w:cs="Arial"/>
          <w:b/>
        </w:rPr>
        <w:t>hoice experiment results</w:t>
      </w:r>
    </w:p>
    <w:p w14:paraId="0D210518" w14:textId="0DDA9A94" w:rsidR="005957A2" w:rsidRDefault="005957A2" w:rsidP="001D3D3C">
      <w:pPr>
        <w:pStyle w:val="NoSpacing"/>
        <w:spacing w:line="480" w:lineRule="auto"/>
        <w:jc w:val="both"/>
        <w:rPr>
          <w:rFonts w:ascii="Arial" w:hAnsi="Arial" w:cs="Arial"/>
        </w:rPr>
      </w:pPr>
      <w:r w:rsidRPr="00846D65">
        <w:rPr>
          <w:rFonts w:ascii="Arial" w:hAnsi="Arial" w:cs="Arial"/>
        </w:rPr>
        <w:t>All respondents completed all 15 choice questions, yielding 1,500 choices in total. ‘Continue’ was selected in 1,032 (69%) choices. The minimum number of</w:t>
      </w:r>
      <w:r w:rsidR="00A54217">
        <w:rPr>
          <w:rFonts w:ascii="Arial" w:hAnsi="Arial" w:cs="Arial"/>
        </w:rPr>
        <w:t xml:space="preserve"> times any respondent chose to ‘continue’</w:t>
      </w:r>
      <w:r w:rsidRPr="00846D65">
        <w:rPr>
          <w:rFonts w:ascii="Arial" w:hAnsi="Arial" w:cs="Arial"/>
        </w:rPr>
        <w:t xml:space="preserve"> antibiotics across the 15 choice questions was 3, and the maximum was 15 (2 respondents)</w:t>
      </w:r>
      <w:r w:rsidR="00A54217">
        <w:rPr>
          <w:rFonts w:ascii="Arial" w:hAnsi="Arial" w:cs="Arial"/>
        </w:rPr>
        <w:t xml:space="preserve"> (Figure 2).</w:t>
      </w:r>
      <w:r w:rsidR="00C76757">
        <w:rPr>
          <w:rFonts w:ascii="Arial" w:hAnsi="Arial" w:cs="Arial"/>
        </w:rPr>
        <w:t xml:space="preserve"> The number of choices to continue/discontinue varied by question from 99/1 to 29/71, with some close to 50/50 (</w:t>
      </w:r>
      <w:r w:rsidR="00A71AB9">
        <w:rPr>
          <w:rFonts w:ascii="Arial" w:hAnsi="Arial" w:cs="Arial"/>
        </w:rPr>
        <w:t>Additional file</w:t>
      </w:r>
      <w:r w:rsidR="003146E4">
        <w:rPr>
          <w:rFonts w:ascii="Arial" w:hAnsi="Arial" w:cs="Arial"/>
        </w:rPr>
        <w:t xml:space="preserve"> </w:t>
      </w:r>
      <w:r w:rsidR="00742E94">
        <w:rPr>
          <w:rFonts w:ascii="Arial" w:hAnsi="Arial" w:cs="Arial"/>
        </w:rPr>
        <w:t>7</w:t>
      </w:r>
      <w:r w:rsidR="00A71AB9">
        <w:rPr>
          <w:rFonts w:ascii="Arial" w:hAnsi="Arial" w:cs="Arial"/>
        </w:rPr>
        <w:t>: Table S3</w:t>
      </w:r>
      <w:r w:rsidR="003146E4">
        <w:rPr>
          <w:rFonts w:ascii="Arial" w:hAnsi="Arial" w:cs="Arial"/>
        </w:rPr>
        <w:t>)</w:t>
      </w:r>
      <w:r w:rsidR="00CB7EA3">
        <w:rPr>
          <w:rFonts w:ascii="Arial" w:hAnsi="Arial" w:cs="Arial"/>
        </w:rPr>
        <w:t>.</w:t>
      </w:r>
    </w:p>
    <w:p w14:paraId="1668C77B" w14:textId="2B6EE28F" w:rsidR="009D34E0" w:rsidRDefault="009D34E0" w:rsidP="001D3D3C">
      <w:pPr>
        <w:pStyle w:val="NoSpacing"/>
        <w:spacing w:line="480" w:lineRule="auto"/>
        <w:jc w:val="both"/>
        <w:rPr>
          <w:rFonts w:ascii="Arial" w:hAnsi="Arial" w:cs="Arial"/>
        </w:rPr>
      </w:pPr>
    </w:p>
    <w:p w14:paraId="0149920C" w14:textId="1AFA23C1" w:rsidR="009D34E0" w:rsidRDefault="009D34E0" w:rsidP="009D34E0">
      <w:pPr>
        <w:spacing w:after="0" w:line="480" w:lineRule="auto"/>
        <w:jc w:val="center"/>
        <w:rPr>
          <w:rFonts w:ascii="Arial" w:hAnsi="Arial" w:cs="Arial"/>
        </w:rPr>
      </w:pPr>
      <w:r>
        <w:rPr>
          <w:rFonts w:ascii="Arial" w:hAnsi="Arial" w:cs="Arial"/>
        </w:rPr>
        <w:t>[FIGURE 2 ABOUT HERE]</w:t>
      </w:r>
    </w:p>
    <w:p w14:paraId="2CC09353" w14:textId="0E8336E1" w:rsidR="0047128A" w:rsidRDefault="0047128A" w:rsidP="00A54217">
      <w:pPr>
        <w:pStyle w:val="NoSpacing"/>
        <w:spacing w:line="480" w:lineRule="auto"/>
        <w:jc w:val="both"/>
        <w:rPr>
          <w:rFonts w:ascii="Arial" w:hAnsi="Arial" w:cs="Arial"/>
        </w:rPr>
      </w:pPr>
    </w:p>
    <w:p w14:paraId="4D5C9CCD" w14:textId="16264557" w:rsidR="001D3D3C" w:rsidRDefault="001D3D3C" w:rsidP="00A54217">
      <w:pPr>
        <w:pStyle w:val="NoSpacing"/>
        <w:spacing w:line="480" w:lineRule="auto"/>
        <w:jc w:val="both"/>
        <w:rPr>
          <w:rFonts w:ascii="Arial" w:hAnsi="Arial" w:cs="Arial"/>
        </w:rPr>
      </w:pPr>
      <w:r w:rsidRPr="001D3D3C">
        <w:rPr>
          <w:rFonts w:ascii="Arial" w:hAnsi="Arial" w:cs="Arial"/>
        </w:rPr>
        <w:t>The conditional logi</w:t>
      </w:r>
      <w:r w:rsidR="00DD5FA0">
        <w:rPr>
          <w:rFonts w:ascii="Arial" w:hAnsi="Arial" w:cs="Arial"/>
        </w:rPr>
        <w:t>s</w:t>
      </w:r>
      <w:r w:rsidRPr="001D3D3C">
        <w:rPr>
          <w:rFonts w:ascii="Arial" w:hAnsi="Arial" w:cs="Arial"/>
        </w:rPr>
        <w:t>t</w:t>
      </w:r>
      <w:r w:rsidR="00DD5FA0">
        <w:rPr>
          <w:rFonts w:ascii="Arial" w:hAnsi="Arial" w:cs="Arial"/>
        </w:rPr>
        <w:t>ic</w:t>
      </w:r>
      <w:r w:rsidRPr="001D3D3C">
        <w:rPr>
          <w:rFonts w:ascii="Arial" w:hAnsi="Arial" w:cs="Arial"/>
        </w:rPr>
        <w:t xml:space="preserve"> model </w:t>
      </w:r>
      <w:r w:rsidR="00CB7EA3">
        <w:rPr>
          <w:rFonts w:ascii="Arial" w:hAnsi="Arial" w:cs="Arial"/>
        </w:rPr>
        <w:t>for choosing to continue v</w:t>
      </w:r>
      <w:r w:rsidR="00A05970">
        <w:rPr>
          <w:rFonts w:ascii="Arial" w:hAnsi="Arial" w:cs="Arial"/>
        </w:rPr>
        <w:t>er</w:t>
      </w:r>
      <w:r w:rsidR="00CB7EA3">
        <w:rPr>
          <w:rFonts w:ascii="Arial" w:hAnsi="Arial" w:cs="Arial"/>
        </w:rPr>
        <w:t>s</w:t>
      </w:r>
      <w:r w:rsidR="00A05970">
        <w:rPr>
          <w:rFonts w:ascii="Arial" w:hAnsi="Arial" w:cs="Arial"/>
        </w:rPr>
        <w:t>us</w:t>
      </w:r>
      <w:r w:rsidR="00CB7EA3">
        <w:rPr>
          <w:rFonts w:ascii="Arial" w:hAnsi="Arial" w:cs="Arial"/>
        </w:rPr>
        <w:t xml:space="preserve"> discontinue antibiotics </w:t>
      </w:r>
      <w:r w:rsidRPr="001D3D3C">
        <w:rPr>
          <w:rFonts w:ascii="Arial" w:hAnsi="Arial" w:cs="Arial"/>
        </w:rPr>
        <w:t xml:space="preserve">with respondent level fixed effects </w:t>
      </w:r>
      <w:r w:rsidR="00A54217">
        <w:rPr>
          <w:rFonts w:ascii="Arial" w:hAnsi="Arial" w:cs="Arial"/>
        </w:rPr>
        <w:t>(Table 3)</w:t>
      </w:r>
      <w:r w:rsidR="007350E4">
        <w:rPr>
          <w:rFonts w:ascii="Arial" w:hAnsi="Arial" w:cs="Arial"/>
        </w:rPr>
        <w:t xml:space="preserve"> </w:t>
      </w:r>
      <w:r w:rsidR="00C017B6">
        <w:rPr>
          <w:rFonts w:ascii="Arial" w:hAnsi="Arial" w:cs="Arial"/>
        </w:rPr>
        <w:t>had</w:t>
      </w:r>
      <w:r w:rsidRPr="001D3D3C">
        <w:rPr>
          <w:rFonts w:ascii="Arial" w:hAnsi="Arial" w:cs="Arial"/>
        </w:rPr>
        <w:t xml:space="preserve"> a </w:t>
      </w:r>
      <w:r w:rsidR="0053437B">
        <w:rPr>
          <w:rFonts w:ascii="Arial" w:hAnsi="Arial" w:cs="Arial"/>
        </w:rPr>
        <w:t xml:space="preserve">McFadden </w:t>
      </w:r>
      <w:r w:rsidRPr="001D3D3C">
        <w:rPr>
          <w:rFonts w:ascii="Arial" w:hAnsi="Arial" w:cs="Arial"/>
        </w:rPr>
        <w:t xml:space="preserve">pseudo R-squared value of 0.320, </w:t>
      </w:r>
      <w:r w:rsidR="0053437B">
        <w:rPr>
          <w:rFonts w:ascii="Arial" w:hAnsi="Arial" w:cs="Arial"/>
        </w:rPr>
        <w:t>indicating an “excellent fit”</w:t>
      </w:r>
      <w:r w:rsidR="00AF1AEC">
        <w:rPr>
          <w:rFonts w:ascii="Arial" w:hAnsi="Arial" w:cs="Arial"/>
        </w:rPr>
        <w:t xml:space="preserve"> [2</w:t>
      </w:r>
      <w:r w:rsidR="00447EA9">
        <w:rPr>
          <w:rFonts w:ascii="Arial" w:hAnsi="Arial" w:cs="Arial"/>
        </w:rPr>
        <w:t>4</w:t>
      </w:r>
      <w:r w:rsidR="00AF1AEC">
        <w:rPr>
          <w:rFonts w:ascii="Arial" w:hAnsi="Arial" w:cs="Arial"/>
        </w:rPr>
        <w:t>, p.35]</w:t>
      </w:r>
      <w:r>
        <w:rPr>
          <w:rFonts w:ascii="Arial" w:hAnsi="Arial" w:cs="Arial"/>
        </w:rPr>
        <w:t>, with all coefficients having</w:t>
      </w:r>
      <w:r w:rsidRPr="001D3D3C">
        <w:rPr>
          <w:rFonts w:ascii="Arial" w:hAnsi="Arial" w:cs="Arial"/>
        </w:rPr>
        <w:t xml:space="preserve"> the expected sign</w:t>
      </w:r>
      <w:r w:rsidR="00CB7EA3">
        <w:rPr>
          <w:rFonts w:ascii="Arial" w:hAnsi="Arial" w:cs="Arial"/>
        </w:rPr>
        <w:t xml:space="preserve"> indicating face validity</w:t>
      </w:r>
      <w:r w:rsidR="00A6552E">
        <w:rPr>
          <w:rFonts w:ascii="Arial" w:hAnsi="Arial" w:cs="Arial"/>
        </w:rPr>
        <w:t>.</w:t>
      </w:r>
      <w:r w:rsidRPr="001D3D3C">
        <w:rPr>
          <w:rFonts w:ascii="Arial" w:hAnsi="Arial" w:cs="Arial"/>
        </w:rPr>
        <w:t xml:space="preserve"> </w:t>
      </w:r>
      <w:r w:rsidR="00B80531" w:rsidRPr="00A54217">
        <w:rPr>
          <w:rFonts w:ascii="Arial" w:hAnsi="Arial" w:cs="Arial"/>
        </w:rPr>
        <w:t>For eac</w:t>
      </w:r>
      <w:r w:rsidR="00F75D05">
        <w:rPr>
          <w:rFonts w:ascii="Arial" w:hAnsi="Arial" w:cs="Arial"/>
        </w:rPr>
        <w:t>h attribute</w:t>
      </w:r>
      <w:r w:rsidR="00B80531">
        <w:rPr>
          <w:rFonts w:ascii="Arial" w:hAnsi="Arial" w:cs="Arial"/>
        </w:rPr>
        <w:t xml:space="preserve"> at least one level wa</w:t>
      </w:r>
      <w:r w:rsidR="00B80531" w:rsidRPr="00A54217">
        <w:rPr>
          <w:rFonts w:ascii="Arial" w:hAnsi="Arial" w:cs="Arial"/>
        </w:rPr>
        <w:t xml:space="preserve">s highly significant, with sizable </w:t>
      </w:r>
      <w:r w:rsidR="00B80531">
        <w:rPr>
          <w:rFonts w:ascii="Arial" w:hAnsi="Arial" w:cs="Arial"/>
        </w:rPr>
        <w:t>AMEs. T</w:t>
      </w:r>
      <w:r w:rsidR="00B80531" w:rsidRPr="00A54217">
        <w:rPr>
          <w:rFonts w:ascii="Arial" w:hAnsi="Arial" w:cs="Arial"/>
        </w:rPr>
        <w:t xml:space="preserve">he largest </w:t>
      </w:r>
      <w:r w:rsidR="00B80531">
        <w:rPr>
          <w:rFonts w:ascii="Arial" w:hAnsi="Arial" w:cs="Arial"/>
        </w:rPr>
        <w:t>AME</w:t>
      </w:r>
      <w:r w:rsidR="00B80531" w:rsidRPr="00A54217">
        <w:rPr>
          <w:rFonts w:ascii="Arial" w:hAnsi="Arial" w:cs="Arial"/>
        </w:rPr>
        <w:t xml:space="preserve"> c</w:t>
      </w:r>
      <w:r w:rsidR="00B80531">
        <w:rPr>
          <w:rFonts w:ascii="Arial" w:hAnsi="Arial" w:cs="Arial"/>
        </w:rPr>
        <w:t>ame</w:t>
      </w:r>
      <w:r w:rsidR="00B80531" w:rsidRPr="00A54217">
        <w:rPr>
          <w:rFonts w:ascii="Arial" w:hAnsi="Arial" w:cs="Arial"/>
        </w:rPr>
        <w:t xml:space="preserve"> from conflict with local guidelines</w:t>
      </w:r>
      <w:r w:rsidR="00CB7EA3">
        <w:rPr>
          <w:rFonts w:ascii="Arial" w:hAnsi="Arial" w:cs="Arial"/>
        </w:rPr>
        <w:t>, with r</w:t>
      </w:r>
      <w:r w:rsidRPr="001D3D3C">
        <w:rPr>
          <w:rFonts w:ascii="Arial" w:hAnsi="Arial" w:cs="Arial"/>
        </w:rPr>
        <w:t>espondents more likely to continue antibiotic</w:t>
      </w:r>
      <w:r w:rsidR="00C85544">
        <w:rPr>
          <w:rFonts w:ascii="Arial" w:hAnsi="Arial" w:cs="Arial"/>
        </w:rPr>
        <w:t xml:space="preserve">s </w:t>
      </w:r>
      <w:r w:rsidR="00C85544" w:rsidRPr="001D3D3C">
        <w:rPr>
          <w:rFonts w:ascii="Arial" w:hAnsi="Arial" w:cs="Arial"/>
        </w:rPr>
        <w:t xml:space="preserve">when early discontinuation would </w:t>
      </w:r>
      <w:r w:rsidR="00B80531">
        <w:rPr>
          <w:rFonts w:ascii="Arial" w:hAnsi="Arial" w:cs="Arial"/>
        </w:rPr>
        <w:t>‘</w:t>
      </w:r>
      <w:r w:rsidR="00C85544" w:rsidRPr="001D3D3C">
        <w:rPr>
          <w:rFonts w:ascii="Arial" w:hAnsi="Arial" w:cs="Arial"/>
        </w:rPr>
        <w:t>strongly conflict</w:t>
      </w:r>
      <w:r w:rsidR="00B80531">
        <w:rPr>
          <w:rFonts w:ascii="Arial" w:hAnsi="Arial" w:cs="Arial"/>
        </w:rPr>
        <w:t>’</w:t>
      </w:r>
      <w:r w:rsidR="00C85544" w:rsidRPr="001D3D3C">
        <w:rPr>
          <w:rFonts w:ascii="Arial" w:hAnsi="Arial" w:cs="Arial"/>
        </w:rPr>
        <w:t xml:space="preserve"> with local guidelines</w:t>
      </w:r>
      <w:r w:rsidR="00C85544">
        <w:rPr>
          <w:rFonts w:ascii="Arial" w:hAnsi="Arial" w:cs="Arial"/>
        </w:rPr>
        <w:t xml:space="preserve"> </w:t>
      </w:r>
      <w:r w:rsidR="00C85544" w:rsidRPr="00F53CE6">
        <w:rPr>
          <w:rFonts w:ascii="Arial" w:hAnsi="Arial" w:cs="Arial"/>
        </w:rPr>
        <w:t xml:space="preserve">(AME on probability of continuing </w:t>
      </w:r>
      <w:r w:rsidR="00CB7EA3">
        <w:rPr>
          <w:rFonts w:ascii="Arial" w:hAnsi="Arial" w:cs="Arial"/>
        </w:rPr>
        <w:t>+</w:t>
      </w:r>
      <w:r w:rsidR="00C85544" w:rsidRPr="00F53CE6">
        <w:rPr>
          <w:rFonts w:ascii="Arial" w:hAnsi="Arial" w:cs="Arial"/>
        </w:rPr>
        <w:t xml:space="preserve">0.194 (p&lt;0.001) </w:t>
      </w:r>
      <w:r w:rsidR="00CB7EA3">
        <w:rPr>
          <w:rFonts w:ascii="Arial" w:hAnsi="Arial" w:cs="Arial"/>
        </w:rPr>
        <w:t>versus</w:t>
      </w:r>
      <w:r w:rsidR="00C85544" w:rsidRPr="00F53CE6">
        <w:rPr>
          <w:rFonts w:ascii="Arial" w:hAnsi="Arial" w:cs="Arial"/>
        </w:rPr>
        <w:t xml:space="preserve"> ‘no-conflict’)</w:t>
      </w:r>
      <w:r w:rsidR="00B80531">
        <w:rPr>
          <w:rFonts w:ascii="Arial" w:hAnsi="Arial" w:cs="Arial"/>
        </w:rPr>
        <w:t xml:space="preserve">. However, they were no more/less likely to continue antibiotics when there was </w:t>
      </w:r>
      <w:r w:rsidR="00CA149F">
        <w:rPr>
          <w:rFonts w:ascii="Arial" w:hAnsi="Arial" w:cs="Arial"/>
        </w:rPr>
        <w:t xml:space="preserve">only </w:t>
      </w:r>
      <w:r w:rsidR="00B80531">
        <w:rPr>
          <w:rFonts w:ascii="Arial" w:hAnsi="Arial" w:cs="Arial"/>
        </w:rPr>
        <w:t>‘some conflict’.</w:t>
      </w:r>
      <w:r w:rsidRPr="001D3D3C">
        <w:rPr>
          <w:rFonts w:ascii="Arial" w:hAnsi="Arial" w:cs="Arial"/>
        </w:rPr>
        <w:t xml:space="preserve"> </w:t>
      </w:r>
      <w:r w:rsidR="00B80531">
        <w:rPr>
          <w:rFonts w:ascii="Arial" w:hAnsi="Arial" w:cs="Arial"/>
        </w:rPr>
        <w:t xml:space="preserve">The next highest AME was for the </w:t>
      </w:r>
      <w:r w:rsidR="00325524">
        <w:rPr>
          <w:rFonts w:ascii="Arial" w:hAnsi="Arial" w:cs="Arial"/>
        </w:rPr>
        <w:t>‘</w:t>
      </w:r>
      <w:r w:rsidR="00B80531">
        <w:rPr>
          <w:rFonts w:ascii="Arial" w:hAnsi="Arial" w:cs="Arial"/>
        </w:rPr>
        <w:t>presenting symptoms</w:t>
      </w:r>
      <w:r w:rsidR="00325524">
        <w:rPr>
          <w:rFonts w:ascii="Arial" w:hAnsi="Arial" w:cs="Arial"/>
        </w:rPr>
        <w:t>’</w:t>
      </w:r>
      <w:r w:rsidR="00B80531">
        <w:rPr>
          <w:rFonts w:ascii="Arial" w:hAnsi="Arial" w:cs="Arial"/>
        </w:rPr>
        <w:t xml:space="preserve"> level most strongly </w:t>
      </w:r>
      <w:r w:rsidR="00CB7EA3">
        <w:rPr>
          <w:rFonts w:ascii="Arial" w:hAnsi="Arial" w:cs="Arial"/>
        </w:rPr>
        <w:t>supporting</w:t>
      </w:r>
      <w:r w:rsidR="00FE0E83">
        <w:rPr>
          <w:rFonts w:ascii="Arial" w:hAnsi="Arial" w:cs="Arial"/>
        </w:rPr>
        <w:t xml:space="preserve"> need for</w:t>
      </w:r>
      <w:r w:rsidR="00B80531">
        <w:rPr>
          <w:rFonts w:ascii="Arial" w:hAnsi="Arial" w:cs="Arial"/>
        </w:rPr>
        <w:t xml:space="preserve"> antibiotics </w:t>
      </w:r>
      <w:r w:rsidR="00C85544">
        <w:rPr>
          <w:rFonts w:ascii="Arial" w:hAnsi="Arial" w:cs="Arial"/>
        </w:rPr>
        <w:t xml:space="preserve">(AME of typical </w:t>
      </w:r>
      <w:r w:rsidR="00C85544" w:rsidRPr="00C85544">
        <w:rPr>
          <w:rFonts w:ascii="Arial" w:hAnsi="Arial" w:cs="Arial"/>
        </w:rPr>
        <w:t xml:space="preserve">symptoms of urinary tract infection </w:t>
      </w:r>
      <w:r w:rsidR="00CB7EA3">
        <w:rPr>
          <w:rFonts w:ascii="Arial" w:hAnsi="Arial" w:cs="Arial"/>
        </w:rPr>
        <w:t>+</w:t>
      </w:r>
      <w:r w:rsidR="00C85544" w:rsidRPr="00C85544">
        <w:rPr>
          <w:rFonts w:ascii="Arial" w:hAnsi="Arial" w:cs="Arial"/>
        </w:rPr>
        <w:t xml:space="preserve">0.173 (p&lt;0.001) </w:t>
      </w:r>
      <w:r w:rsidR="00CB7EA3">
        <w:rPr>
          <w:rFonts w:ascii="Arial" w:hAnsi="Arial" w:cs="Arial"/>
        </w:rPr>
        <w:t>versus</w:t>
      </w:r>
      <w:r w:rsidR="00C85544" w:rsidRPr="00C85544">
        <w:rPr>
          <w:rFonts w:ascii="Arial" w:hAnsi="Arial" w:cs="Arial"/>
        </w:rPr>
        <w:t xml:space="preserve"> unclear symptoms)</w:t>
      </w:r>
      <w:r w:rsidR="00B80531">
        <w:rPr>
          <w:rFonts w:ascii="Arial" w:hAnsi="Arial" w:cs="Arial"/>
        </w:rPr>
        <w:t>.</w:t>
      </w:r>
      <w:r w:rsidR="00F53CE6">
        <w:rPr>
          <w:rFonts w:ascii="Arial" w:hAnsi="Arial" w:cs="Arial"/>
        </w:rPr>
        <w:t xml:space="preserve"> </w:t>
      </w:r>
      <w:r w:rsidR="00B80531">
        <w:rPr>
          <w:rFonts w:ascii="Arial" w:hAnsi="Arial" w:cs="Arial"/>
        </w:rPr>
        <w:t>Respondents were also more likely to continue antibiotics</w:t>
      </w:r>
      <w:r w:rsidR="00F53CE6" w:rsidRPr="00665568">
        <w:rPr>
          <w:rFonts w:ascii="Arial" w:hAnsi="Arial" w:cs="Arial"/>
        </w:rPr>
        <w:t xml:space="preserve"> when patients had severe frailty and comorbidities (AME=</w:t>
      </w:r>
      <w:r w:rsidR="00CB7EA3">
        <w:rPr>
          <w:rFonts w:ascii="Arial" w:hAnsi="Arial" w:cs="Arial"/>
        </w:rPr>
        <w:t>+</w:t>
      </w:r>
      <w:r w:rsidR="00F53CE6" w:rsidRPr="00665568">
        <w:rPr>
          <w:rFonts w:ascii="Arial" w:hAnsi="Arial" w:cs="Arial"/>
        </w:rPr>
        <w:t xml:space="preserve">0.101 (p&lt;0.001) </w:t>
      </w:r>
      <w:r w:rsidR="00CB7EA3">
        <w:rPr>
          <w:rFonts w:ascii="Arial" w:hAnsi="Arial" w:cs="Arial"/>
        </w:rPr>
        <w:t>versus</w:t>
      </w:r>
      <w:r w:rsidR="00F53CE6" w:rsidRPr="00665568">
        <w:rPr>
          <w:rFonts w:ascii="Arial" w:hAnsi="Arial" w:cs="Arial"/>
        </w:rPr>
        <w:t xml:space="preserve"> patients previously fit and well). </w:t>
      </w:r>
      <w:r w:rsidR="00B80531">
        <w:rPr>
          <w:rFonts w:ascii="Arial" w:hAnsi="Arial" w:cs="Arial"/>
        </w:rPr>
        <w:t>Conversely, they</w:t>
      </w:r>
      <w:r w:rsidR="00F53CE6" w:rsidRPr="00665568">
        <w:rPr>
          <w:rFonts w:ascii="Arial" w:hAnsi="Arial" w:cs="Arial"/>
        </w:rPr>
        <w:t xml:space="preserve"> were less likely to continue antibiotics when there was </w:t>
      </w:r>
      <w:r w:rsidR="00B80531">
        <w:rPr>
          <w:rFonts w:ascii="Arial" w:hAnsi="Arial" w:cs="Arial"/>
        </w:rPr>
        <w:t>no external pressure to do so</w:t>
      </w:r>
      <w:r w:rsidR="00F53CE6" w:rsidRPr="00665568">
        <w:rPr>
          <w:rFonts w:ascii="Arial" w:hAnsi="Arial" w:cs="Arial"/>
        </w:rPr>
        <w:t xml:space="preserve"> (AME=-0.101 (p&lt;0.001) </w:t>
      </w:r>
      <w:r w:rsidR="00CB7EA3">
        <w:rPr>
          <w:rFonts w:ascii="Arial" w:hAnsi="Arial" w:cs="Arial"/>
        </w:rPr>
        <w:t>versus</w:t>
      </w:r>
      <w:r w:rsidR="00F53CE6" w:rsidRPr="00665568">
        <w:rPr>
          <w:rFonts w:ascii="Arial" w:hAnsi="Arial" w:cs="Arial"/>
        </w:rPr>
        <w:t xml:space="preserve"> heavy pressure). Decisions were also influenced by the competing risks of continuing treatment (e.g. antibiotic resistance) (AME of 1% </w:t>
      </w:r>
      <w:r w:rsidR="00F75B32">
        <w:rPr>
          <w:rFonts w:ascii="Arial" w:hAnsi="Arial" w:cs="Arial"/>
        </w:rPr>
        <w:t xml:space="preserve">point </w:t>
      </w:r>
      <w:r w:rsidR="00F53CE6" w:rsidRPr="00665568">
        <w:rPr>
          <w:rFonts w:ascii="Arial" w:hAnsi="Arial" w:cs="Arial"/>
        </w:rPr>
        <w:t>higher risk -0.013 (p&lt;0.001)) versus discontinuing (e.g. treatment failure) (AME of 1%</w:t>
      </w:r>
      <w:r w:rsidR="00F75B32">
        <w:rPr>
          <w:rFonts w:ascii="Arial" w:hAnsi="Arial" w:cs="Arial"/>
        </w:rPr>
        <w:t xml:space="preserve"> point</w:t>
      </w:r>
      <w:r w:rsidR="00F53CE6" w:rsidRPr="00665568">
        <w:rPr>
          <w:rFonts w:ascii="Arial" w:hAnsi="Arial" w:cs="Arial"/>
        </w:rPr>
        <w:t xml:space="preserve"> higher risk </w:t>
      </w:r>
      <w:r w:rsidR="00CB7EA3">
        <w:rPr>
          <w:rFonts w:ascii="Arial" w:hAnsi="Arial" w:cs="Arial"/>
        </w:rPr>
        <w:t>+</w:t>
      </w:r>
      <w:r w:rsidR="00F53CE6" w:rsidRPr="00665568">
        <w:rPr>
          <w:rFonts w:ascii="Arial" w:hAnsi="Arial" w:cs="Arial"/>
        </w:rPr>
        <w:t>0.026 (p&lt;0.001)).</w:t>
      </w:r>
      <w:r w:rsidRPr="001D3D3C">
        <w:rPr>
          <w:rFonts w:ascii="Arial" w:hAnsi="Arial" w:cs="Arial"/>
        </w:rPr>
        <w:t xml:space="preserve"> </w:t>
      </w:r>
      <w:r w:rsidR="00CB7EA3">
        <w:rPr>
          <w:rFonts w:ascii="Arial" w:hAnsi="Arial" w:cs="Arial"/>
        </w:rPr>
        <w:t xml:space="preserve">Sensitivity analyses using </w:t>
      </w:r>
      <w:r w:rsidR="008C14CB">
        <w:rPr>
          <w:rFonts w:ascii="Arial" w:hAnsi="Arial" w:cs="Arial"/>
        </w:rPr>
        <w:t>mixed effect</w:t>
      </w:r>
      <w:r w:rsidR="00CF7474">
        <w:rPr>
          <w:rFonts w:ascii="Arial" w:hAnsi="Arial" w:cs="Arial"/>
        </w:rPr>
        <w:t>s</w:t>
      </w:r>
      <w:r w:rsidR="008C14CB">
        <w:rPr>
          <w:rFonts w:ascii="Arial" w:hAnsi="Arial" w:cs="Arial"/>
        </w:rPr>
        <w:t xml:space="preserve"> logi</w:t>
      </w:r>
      <w:r w:rsidR="00FE0E83">
        <w:rPr>
          <w:rFonts w:ascii="Arial" w:hAnsi="Arial" w:cs="Arial"/>
        </w:rPr>
        <w:t>s</w:t>
      </w:r>
      <w:r w:rsidR="008C14CB">
        <w:rPr>
          <w:rFonts w:ascii="Arial" w:hAnsi="Arial" w:cs="Arial"/>
        </w:rPr>
        <w:t>t</w:t>
      </w:r>
      <w:r w:rsidR="00FE0E83">
        <w:rPr>
          <w:rFonts w:ascii="Arial" w:hAnsi="Arial" w:cs="Arial"/>
        </w:rPr>
        <w:t>ic</w:t>
      </w:r>
      <w:r w:rsidR="008C14CB">
        <w:rPr>
          <w:rFonts w:ascii="Arial" w:hAnsi="Arial" w:cs="Arial"/>
        </w:rPr>
        <w:t xml:space="preserve"> models </w:t>
      </w:r>
      <w:r w:rsidR="004C3452">
        <w:rPr>
          <w:rFonts w:ascii="Arial" w:hAnsi="Arial" w:cs="Arial"/>
        </w:rPr>
        <w:t xml:space="preserve">were broadly similar, with comparable </w:t>
      </w:r>
      <w:r w:rsidR="00E82F21">
        <w:rPr>
          <w:rFonts w:ascii="Arial" w:hAnsi="Arial" w:cs="Arial"/>
        </w:rPr>
        <w:t>AMEs</w:t>
      </w:r>
      <w:r w:rsidR="002B320D">
        <w:rPr>
          <w:rFonts w:ascii="Arial" w:hAnsi="Arial" w:cs="Arial"/>
        </w:rPr>
        <w:t xml:space="preserve"> but poorer model </w:t>
      </w:r>
      <w:r w:rsidR="00CB7EA3">
        <w:rPr>
          <w:rFonts w:ascii="Arial" w:hAnsi="Arial" w:cs="Arial"/>
        </w:rPr>
        <w:t xml:space="preserve">fit </w:t>
      </w:r>
      <w:r w:rsidR="00A71AB9">
        <w:rPr>
          <w:rFonts w:ascii="Arial" w:hAnsi="Arial" w:cs="Arial"/>
        </w:rPr>
        <w:t>(Additional file</w:t>
      </w:r>
      <w:r w:rsidR="003146E4">
        <w:rPr>
          <w:rFonts w:ascii="Arial" w:hAnsi="Arial" w:cs="Arial"/>
        </w:rPr>
        <w:t xml:space="preserve"> </w:t>
      </w:r>
      <w:r w:rsidR="00742E94">
        <w:rPr>
          <w:rFonts w:ascii="Arial" w:hAnsi="Arial" w:cs="Arial"/>
        </w:rPr>
        <w:t>8</w:t>
      </w:r>
      <w:r w:rsidR="004C3452">
        <w:rPr>
          <w:rFonts w:ascii="Arial" w:hAnsi="Arial" w:cs="Arial"/>
        </w:rPr>
        <w:t>).</w:t>
      </w:r>
    </w:p>
    <w:p w14:paraId="542C5FF2" w14:textId="00671017" w:rsidR="00AA3ED0" w:rsidRDefault="00AA3ED0" w:rsidP="00A54217">
      <w:pPr>
        <w:pStyle w:val="NoSpacing"/>
        <w:spacing w:line="480" w:lineRule="auto"/>
        <w:jc w:val="both"/>
        <w:rPr>
          <w:rFonts w:ascii="Arial" w:hAnsi="Arial" w:cs="Arial"/>
        </w:rPr>
      </w:pPr>
    </w:p>
    <w:p w14:paraId="0CE1039F" w14:textId="075CD72A" w:rsidR="00AA3ED0" w:rsidRDefault="00AA3ED0" w:rsidP="00AA3ED0">
      <w:pPr>
        <w:pStyle w:val="NoSpacing"/>
        <w:spacing w:line="480" w:lineRule="auto"/>
        <w:jc w:val="center"/>
        <w:rPr>
          <w:rFonts w:ascii="Arial" w:hAnsi="Arial" w:cs="Arial"/>
        </w:rPr>
      </w:pPr>
      <w:r>
        <w:rPr>
          <w:rFonts w:ascii="Arial" w:hAnsi="Arial" w:cs="Arial"/>
        </w:rPr>
        <w:t>[TABLE 3 ABOUT HERE]</w:t>
      </w:r>
    </w:p>
    <w:p w14:paraId="3055831D" w14:textId="77777777" w:rsidR="00AA3ED0" w:rsidRPr="00A54217" w:rsidRDefault="00AA3ED0" w:rsidP="00A54217">
      <w:pPr>
        <w:pStyle w:val="NoSpacing"/>
        <w:spacing w:line="480" w:lineRule="auto"/>
        <w:jc w:val="both"/>
        <w:rPr>
          <w:rFonts w:ascii="Arial" w:hAnsi="Arial" w:cs="Arial"/>
        </w:rPr>
      </w:pPr>
    </w:p>
    <w:p w14:paraId="0606A798" w14:textId="52BF566C" w:rsidR="001D3D3C" w:rsidRDefault="001D3D3C" w:rsidP="004C3452">
      <w:pPr>
        <w:pStyle w:val="NoSpacing"/>
        <w:spacing w:line="480" w:lineRule="auto"/>
        <w:jc w:val="both"/>
        <w:rPr>
          <w:rFonts w:ascii="Arial" w:hAnsi="Arial" w:cs="Arial"/>
        </w:rPr>
      </w:pPr>
      <w:r w:rsidRPr="00F0299C">
        <w:rPr>
          <w:rFonts w:ascii="Arial" w:hAnsi="Arial" w:cs="Arial"/>
        </w:rPr>
        <w:t>Being a consultant was associated with being less likely to continue prescribing antibiotics</w:t>
      </w:r>
      <w:r w:rsidR="00761E04">
        <w:rPr>
          <w:rFonts w:ascii="Arial" w:hAnsi="Arial" w:cs="Arial"/>
        </w:rPr>
        <w:t>, i.e. in terms of the total number of times respondents chose to continue antibiotics</w:t>
      </w:r>
      <w:r w:rsidR="003146E4">
        <w:rPr>
          <w:rFonts w:ascii="Arial" w:hAnsi="Arial" w:cs="Arial"/>
        </w:rPr>
        <w:t xml:space="preserve"> </w:t>
      </w:r>
      <w:r w:rsidR="00CB7EA3">
        <w:rPr>
          <w:rFonts w:ascii="Arial" w:hAnsi="Arial" w:cs="Arial"/>
        </w:rPr>
        <w:t xml:space="preserve">across the 15 choice questions </w:t>
      </w:r>
      <w:r w:rsidR="00A71AB9">
        <w:rPr>
          <w:rFonts w:ascii="Arial" w:hAnsi="Arial" w:cs="Arial"/>
        </w:rPr>
        <w:t>(Additional file</w:t>
      </w:r>
      <w:r w:rsidR="003146E4">
        <w:rPr>
          <w:rFonts w:ascii="Arial" w:hAnsi="Arial" w:cs="Arial"/>
        </w:rPr>
        <w:t xml:space="preserve"> </w:t>
      </w:r>
      <w:r w:rsidR="00742E94">
        <w:rPr>
          <w:rFonts w:ascii="Arial" w:hAnsi="Arial" w:cs="Arial"/>
        </w:rPr>
        <w:t>9</w:t>
      </w:r>
      <w:r w:rsidR="00F0299C" w:rsidRPr="00F0299C">
        <w:rPr>
          <w:rFonts w:ascii="Arial" w:hAnsi="Arial" w:cs="Arial"/>
        </w:rPr>
        <w:t>)</w:t>
      </w:r>
      <w:r w:rsidRPr="00F0299C">
        <w:rPr>
          <w:rFonts w:ascii="Arial" w:hAnsi="Arial" w:cs="Arial"/>
        </w:rPr>
        <w:t xml:space="preserve">. </w:t>
      </w:r>
      <w:r w:rsidR="00F0299C">
        <w:rPr>
          <w:rFonts w:ascii="Arial" w:hAnsi="Arial" w:cs="Arial"/>
        </w:rPr>
        <w:t xml:space="preserve">However, </w:t>
      </w:r>
      <w:r w:rsidR="00CB7EA3">
        <w:rPr>
          <w:rFonts w:ascii="Arial" w:hAnsi="Arial" w:cs="Arial"/>
        </w:rPr>
        <w:t>we did not find evidence for modification of the effects of attributes in</w:t>
      </w:r>
      <w:r w:rsidR="00F0299C">
        <w:rPr>
          <w:rFonts w:ascii="Arial" w:hAnsi="Arial" w:cs="Arial"/>
        </w:rPr>
        <w:t xml:space="preserve"> the conditional logi</w:t>
      </w:r>
      <w:r w:rsidR="00C96823">
        <w:rPr>
          <w:rFonts w:ascii="Arial" w:hAnsi="Arial" w:cs="Arial"/>
        </w:rPr>
        <w:t>s</w:t>
      </w:r>
      <w:r w:rsidR="00F0299C">
        <w:rPr>
          <w:rFonts w:ascii="Arial" w:hAnsi="Arial" w:cs="Arial"/>
        </w:rPr>
        <w:t>t</w:t>
      </w:r>
      <w:r w:rsidR="00C96823">
        <w:rPr>
          <w:rFonts w:ascii="Arial" w:hAnsi="Arial" w:cs="Arial"/>
        </w:rPr>
        <w:t>ic</w:t>
      </w:r>
      <w:r w:rsidR="00F0299C">
        <w:rPr>
          <w:rFonts w:ascii="Arial" w:hAnsi="Arial" w:cs="Arial"/>
        </w:rPr>
        <w:t xml:space="preserve"> model in Table 3 </w:t>
      </w:r>
      <w:r w:rsidR="00B513A9">
        <w:rPr>
          <w:rFonts w:ascii="Arial" w:hAnsi="Arial" w:cs="Arial"/>
        </w:rPr>
        <w:t xml:space="preserve">by </w:t>
      </w:r>
      <w:r w:rsidR="00F0299C">
        <w:rPr>
          <w:rFonts w:ascii="Arial" w:hAnsi="Arial" w:cs="Arial"/>
        </w:rPr>
        <w:t xml:space="preserve">being a consultant </w:t>
      </w:r>
      <w:r w:rsidR="00B513A9">
        <w:rPr>
          <w:rFonts w:ascii="Arial" w:hAnsi="Arial" w:cs="Arial"/>
        </w:rPr>
        <w:t>versus other grades (interaction p&gt;</w:t>
      </w:r>
      <w:r w:rsidR="00525E81">
        <w:rPr>
          <w:rFonts w:ascii="Arial" w:hAnsi="Arial" w:cs="Arial"/>
        </w:rPr>
        <w:t>0.06 for all attribute-levels</w:t>
      </w:r>
      <w:r w:rsidR="00B513A9">
        <w:rPr>
          <w:rFonts w:ascii="Arial" w:hAnsi="Arial" w:cs="Arial"/>
        </w:rPr>
        <w:t>)</w:t>
      </w:r>
      <w:r w:rsidR="00F0299C">
        <w:rPr>
          <w:rFonts w:ascii="Arial" w:hAnsi="Arial" w:cs="Arial"/>
        </w:rPr>
        <w:t>.</w:t>
      </w:r>
      <w:r w:rsidR="005B597F">
        <w:rPr>
          <w:rFonts w:ascii="Arial" w:hAnsi="Arial" w:cs="Arial"/>
        </w:rPr>
        <w:t xml:space="preserve"> Prescriber personality traits </w:t>
      </w:r>
      <w:r w:rsidR="00A71AB9">
        <w:rPr>
          <w:rFonts w:ascii="Arial" w:hAnsi="Arial" w:cs="Arial"/>
        </w:rPr>
        <w:t>(Additional file</w:t>
      </w:r>
      <w:r w:rsidR="002B79A0">
        <w:rPr>
          <w:rFonts w:ascii="Arial" w:hAnsi="Arial" w:cs="Arial"/>
        </w:rPr>
        <w:t xml:space="preserve"> 5) </w:t>
      </w:r>
      <w:r w:rsidR="005B597F">
        <w:rPr>
          <w:rFonts w:ascii="Arial" w:hAnsi="Arial" w:cs="Arial"/>
        </w:rPr>
        <w:t xml:space="preserve">were also associated with prescribing choices across the 15 questions. </w:t>
      </w:r>
      <w:r w:rsidR="005B597F" w:rsidRPr="0078351D">
        <w:rPr>
          <w:rFonts w:ascii="Arial" w:hAnsi="Arial" w:cs="Arial"/>
        </w:rPr>
        <w:t>Extraversion was associated with being more likely to choose to continue antibiotics; agreeableness was associated with being less likely to continue antibiotics</w:t>
      </w:r>
      <w:r w:rsidR="00A71AB9">
        <w:rPr>
          <w:rFonts w:ascii="Arial" w:hAnsi="Arial" w:cs="Arial"/>
        </w:rPr>
        <w:t xml:space="preserve"> (Additional file</w:t>
      </w:r>
      <w:r w:rsidR="002B79A0">
        <w:rPr>
          <w:rFonts w:ascii="Arial" w:hAnsi="Arial" w:cs="Arial"/>
        </w:rPr>
        <w:t xml:space="preserve"> 9</w:t>
      </w:r>
      <w:r w:rsidR="002B79A0" w:rsidRPr="00F0299C">
        <w:rPr>
          <w:rFonts w:ascii="Arial" w:hAnsi="Arial" w:cs="Arial"/>
        </w:rPr>
        <w:t>)</w:t>
      </w:r>
      <w:r w:rsidR="005B597F" w:rsidRPr="0078351D">
        <w:rPr>
          <w:rFonts w:ascii="Arial" w:hAnsi="Arial" w:cs="Arial"/>
        </w:rPr>
        <w:t xml:space="preserve">. </w:t>
      </w:r>
    </w:p>
    <w:p w14:paraId="0F8D386D" w14:textId="658C6CF5" w:rsidR="004C3452" w:rsidRPr="004C3452" w:rsidRDefault="004C3452" w:rsidP="004C3452">
      <w:pPr>
        <w:autoSpaceDE w:val="0"/>
        <w:autoSpaceDN w:val="0"/>
        <w:adjustRightInd w:val="0"/>
        <w:spacing w:after="0" w:line="480" w:lineRule="auto"/>
        <w:rPr>
          <w:rFonts w:ascii="Arial" w:hAnsi="Arial" w:cs="Arial"/>
        </w:rPr>
      </w:pPr>
      <w:r w:rsidRPr="004C3452">
        <w:rPr>
          <w:rFonts w:ascii="Arial" w:hAnsi="Arial" w:cs="Arial"/>
        </w:rPr>
        <w:t xml:space="preserve"> </w:t>
      </w:r>
    </w:p>
    <w:p w14:paraId="78BEBDD7" w14:textId="157B329D" w:rsidR="004C3452" w:rsidRPr="007322EF" w:rsidRDefault="00F73D47" w:rsidP="004C3452">
      <w:pPr>
        <w:pStyle w:val="NoSpacing"/>
        <w:spacing w:line="480" w:lineRule="auto"/>
        <w:jc w:val="both"/>
        <w:rPr>
          <w:rFonts w:ascii="Arial" w:hAnsi="Arial" w:cs="Arial"/>
          <w:b/>
        </w:rPr>
      </w:pPr>
      <w:r>
        <w:rPr>
          <w:rFonts w:ascii="Arial" w:hAnsi="Arial" w:cs="Arial"/>
          <w:b/>
        </w:rPr>
        <w:t>Comments from respondents</w:t>
      </w:r>
    </w:p>
    <w:p w14:paraId="306C56CE" w14:textId="504EBFEC" w:rsidR="001450DD" w:rsidRDefault="00F73D47" w:rsidP="001450DD">
      <w:pPr>
        <w:pStyle w:val="NoSpacing"/>
        <w:spacing w:line="480" w:lineRule="auto"/>
        <w:jc w:val="both"/>
        <w:rPr>
          <w:rFonts w:ascii="Arial" w:hAnsi="Arial" w:cs="Arial"/>
        </w:rPr>
      </w:pPr>
      <w:r w:rsidRPr="00F73D47">
        <w:rPr>
          <w:rFonts w:ascii="Arial" w:hAnsi="Arial" w:cs="Arial"/>
        </w:rPr>
        <w:t xml:space="preserve">Most respondents found the survey neither easy nor difficult to complete: the </w:t>
      </w:r>
      <w:r w:rsidR="00763EB5">
        <w:rPr>
          <w:rFonts w:ascii="Arial" w:hAnsi="Arial" w:cs="Arial"/>
        </w:rPr>
        <w:t>median</w:t>
      </w:r>
      <w:r w:rsidRPr="00F73D47">
        <w:rPr>
          <w:rFonts w:ascii="Arial" w:hAnsi="Arial" w:cs="Arial"/>
        </w:rPr>
        <w:t xml:space="preserve"> </w:t>
      </w:r>
      <w:r w:rsidR="00B513A9">
        <w:rPr>
          <w:rFonts w:ascii="Arial" w:hAnsi="Arial" w:cs="Arial"/>
        </w:rPr>
        <w:t xml:space="preserve">(IQR) </w:t>
      </w:r>
      <w:r w:rsidRPr="00F73D47">
        <w:rPr>
          <w:rFonts w:ascii="Arial" w:hAnsi="Arial" w:cs="Arial"/>
        </w:rPr>
        <w:t xml:space="preserve">difficulty score was </w:t>
      </w:r>
      <w:r w:rsidR="00763EB5">
        <w:rPr>
          <w:rFonts w:ascii="Arial" w:hAnsi="Arial" w:cs="Arial"/>
        </w:rPr>
        <w:t xml:space="preserve">4 </w:t>
      </w:r>
      <w:r w:rsidR="00B513A9">
        <w:rPr>
          <w:rFonts w:ascii="Arial" w:hAnsi="Arial" w:cs="Arial"/>
        </w:rPr>
        <w:t>(</w:t>
      </w:r>
      <w:r w:rsidR="00184AF2">
        <w:rPr>
          <w:rFonts w:ascii="Arial" w:hAnsi="Arial" w:cs="Arial"/>
        </w:rPr>
        <w:t>3</w:t>
      </w:r>
      <w:r w:rsidR="00B513A9">
        <w:rPr>
          <w:rFonts w:ascii="Arial" w:hAnsi="Arial" w:cs="Arial"/>
        </w:rPr>
        <w:t>-</w:t>
      </w:r>
      <w:r w:rsidR="00184AF2">
        <w:rPr>
          <w:rFonts w:ascii="Arial" w:hAnsi="Arial" w:cs="Arial"/>
        </w:rPr>
        <w:t>5</w:t>
      </w:r>
      <w:r w:rsidR="00B513A9">
        <w:rPr>
          <w:rFonts w:ascii="Arial" w:hAnsi="Arial" w:cs="Arial"/>
        </w:rPr>
        <w:t xml:space="preserve">) </w:t>
      </w:r>
      <w:r w:rsidRPr="00F73D47">
        <w:rPr>
          <w:rFonts w:ascii="Arial" w:hAnsi="Arial" w:cs="Arial"/>
        </w:rPr>
        <w:t xml:space="preserve">on a 1-7 scale (where 1=very easy and 7=very difficult). </w:t>
      </w:r>
    </w:p>
    <w:p w14:paraId="31F796CC" w14:textId="77777777" w:rsidR="0047128A" w:rsidRDefault="0047128A" w:rsidP="0047128A">
      <w:pPr>
        <w:pStyle w:val="NoSpacing"/>
        <w:spacing w:line="480" w:lineRule="auto"/>
        <w:jc w:val="both"/>
        <w:rPr>
          <w:rFonts w:ascii="Arial" w:hAnsi="Arial" w:cs="Arial"/>
        </w:rPr>
      </w:pPr>
    </w:p>
    <w:p w14:paraId="07CDA448" w14:textId="39454868" w:rsidR="00E354CF" w:rsidRDefault="0071724E" w:rsidP="0047128A">
      <w:pPr>
        <w:pStyle w:val="NoSpacing"/>
        <w:spacing w:line="480" w:lineRule="auto"/>
        <w:jc w:val="both"/>
        <w:rPr>
          <w:rFonts w:ascii="Arial" w:hAnsi="Arial" w:cs="Arial"/>
        </w:rPr>
      </w:pPr>
      <w:r>
        <w:rPr>
          <w:rFonts w:ascii="Arial" w:hAnsi="Arial" w:cs="Arial"/>
        </w:rPr>
        <w:t>O</w:t>
      </w:r>
      <w:r w:rsidR="00F73D47" w:rsidRPr="00F73D47">
        <w:rPr>
          <w:rFonts w:ascii="Arial" w:hAnsi="Arial" w:cs="Arial"/>
        </w:rPr>
        <w:t>ne</w:t>
      </w:r>
      <w:r>
        <w:rPr>
          <w:rFonts w:ascii="Arial" w:hAnsi="Arial" w:cs="Arial"/>
        </w:rPr>
        <w:t>-</w:t>
      </w:r>
      <w:r w:rsidR="00F73D47" w:rsidRPr="00F73D47">
        <w:rPr>
          <w:rFonts w:ascii="Arial" w:hAnsi="Arial" w:cs="Arial"/>
        </w:rPr>
        <w:t>third of respondents left feedback</w:t>
      </w:r>
      <w:r w:rsidR="00763EB5">
        <w:rPr>
          <w:rFonts w:ascii="Arial" w:hAnsi="Arial" w:cs="Arial"/>
        </w:rPr>
        <w:t xml:space="preserve"> on the survey</w:t>
      </w:r>
      <w:r w:rsidR="00007580">
        <w:rPr>
          <w:rFonts w:ascii="Arial" w:hAnsi="Arial" w:cs="Arial"/>
        </w:rPr>
        <w:t xml:space="preserve"> (</w:t>
      </w:r>
      <w:r w:rsidR="00A71AB9">
        <w:rPr>
          <w:rFonts w:ascii="Arial" w:hAnsi="Arial" w:cs="Arial"/>
        </w:rPr>
        <w:t>Additional file</w:t>
      </w:r>
      <w:r w:rsidR="003146E4">
        <w:rPr>
          <w:rFonts w:ascii="Arial" w:hAnsi="Arial" w:cs="Arial"/>
        </w:rPr>
        <w:t xml:space="preserve"> </w:t>
      </w:r>
      <w:r w:rsidR="00742E94">
        <w:rPr>
          <w:rFonts w:ascii="Arial" w:hAnsi="Arial" w:cs="Arial"/>
        </w:rPr>
        <w:t>10</w:t>
      </w:r>
      <w:r w:rsidR="00007580">
        <w:rPr>
          <w:rFonts w:ascii="Arial" w:hAnsi="Arial" w:cs="Arial"/>
        </w:rPr>
        <w:t>)</w:t>
      </w:r>
      <w:r w:rsidR="00B513A9">
        <w:rPr>
          <w:rFonts w:ascii="Arial" w:hAnsi="Arial" w:cs="Arial"/>
        </w:rPr>
        <w:t>, falling into</w:t>
      </w:r>
      <w:r w:rsidR="00F73D47" w:rsidRPr="00F73D47">
        <w:rPr>
          <w:rFonts w:ascii="Arial" w:hAnsi="Arial" w:cs="Arial"/>
        </w:rPr>
        <w:t xml:space="preserve"> </w:t>
      </w:r>
      <w:r w:rsidR="00B513A9">
        <w:rPr>
          <w:rFonts w:ascii="Arial" w:hAnsi="Arial" w:cs="Arial"/>
        </w:rPr>
        <w:t>s</w:t>
      </w:r>
      <w:r w:rsidR="001450DD">
        <w:rPr>
          <w:rFonts w:ascii="Arial" w:hAnsi="Arial" w:cs="Arial"/>
        </w:rPr>
        <w:t xml:space="preserve">everal </w:t>
      </w:r>
      <w:r w:rsidR="00C750D5">
        <w:rPr>
          <w:rFonts w:ascii="Arial" w:hAnsi="Arial" w:cs="Arial"/>
        </w:rPr>
        <w:t xml:space="preserve">categories </w:t>
      </w:r>
      <w:r w:rsidR="001450DD">
        <w:rPr>
          <w:rFonts w:ascii="Arial" w:hAnsi="Arial" w:cs="Arial"/>
        </w:rPr>
        <w:t xml:space="preserve">(Table 4). The most common </w:t>
      </w:r>
      <w:r w:rsidR="00C750D5">
        <w:rPr>
          <w:rFonts w:ascii="Arial" w:hAnsi="Arial" w:cs="Arial"/>
        </w:rPr>
        <w:t xml:space="preserve">category </w:t>
      </w:r>
      <w:r w:rsidR="00E354CF">
        <w:rPr>
          <w:rFonts w:ascii="Arial" w:hAnsi="Arial" w:cs="Arial"/>
        </w:rPr>
        <w:t>stressed the importance to review and revise decisions of additional</w:t>
      </w:r>
      <w:r w:rsidR="00F73D47" w:rsidRPr="00F73D47">
        <w:rPr>
          <w:rFonts w:ascii="Arial" w:hAnsi="Arial" w:cs="Arial"/>
        </w:rPr>
        <w:t xml:space="preserve"> clinical information</w:t>
      </w:r>
      <w:r w:rsidR="00E354CF">
        <w:rPr>
          <w:rFonts w:ascii="Arial" w:hAnsi="Arial" w:cs="Arial"/>
        </w:rPr>
        <w:t xml:space="preserve"> not captured in our experiment</w:t>
      </w:r>
      <w:r w:rsidR="00F73D47" w:rsidRPr="00F73D47">
        <w:rPr>
          <w:rFonts w:ascii="Arial" w:hAnsi="Arial" w:cs="Arial"/>
        </w:rPr>
        <w:t>, particularly regarding response to trea</w:t>
      </w:r>
      <w:r w:rsidR="00187561">
        <w:rPr>
          <w:rFonts w:ascii="Arial" w:hAnsi="Arial" w:cs="Arial"/>
        </w:rPr>
        <w:t>tment, and whether the patient wa</w:t>
      </w:r>
      <w:r w:rsidR="00F73D47" w:rsidRPr="00F73D47">
        <w:rPr>
          <w:rFonts w:ascii="Arial" w:hAnsi="Arial" w:cs="Arial"/>
        </w:rPr>
        <w:t>s improving or deteriorating at the ‘</w:t>
      </w:r>
      <w:r w:rsidR="00F3151F">
        <w:rPr>
          <w:rFonts w:ascii="Arial" w:hAnsi="Arial" w:cs="Arial"/>
        </w:rPr>
        <w:t>r</w:t>
      </w:r>
      <w:r w:rsidR="00F73D47" w:rsidRPr="00F73D47">
        <w:rPr>
          <w:rFonts w:ascii="Arial" w:hAnsi="Arial" w:cs="Arial"/>
        </w:rPr>
        <w:t xml:space="preserve">eview and </w:t>
      </w:r>
      <w:r w:rsidR="00F3151F">
        <w:rPr>
          <w:rFonts w:ascii="Arial" w:hAnsi="Arial" w:cs="Arial"/>
        </w:rPr>
        <w:t>r</w:t>
      </w:r>
      <w:r w:rsidR="00F73D47" w:rsidRPr="00F73D47">
        <w:rPr>
          <w:rFonts w:ascii="Arial" w:hAnsi="Arial" w:cs="Arial"/>
        </w:rPr>
        <w:t xml:space="preserve">evise’ stage. </w:t>
      </w:r>
    </w:p>
    <w:p w14:paraId="460F857B" w14:textId="4AEF4009" w:rsidR="00AA3ED0" w:rsidRDefault="00AA3ED0" w:rsidP="00674C6F">
      <w:pPr>
        <w:pStyle w:val="NoSpacing"/>
        <w:spacing w:line="480" w:lineRule="auto"/>
        <w:ind w:firstLine="720"/>
        <w:jc w:val="both"/>
        <w:rPr>
          <w:rFonts w:ascii="Arial" w:hAnsi="Arial" w:cs="Arial"/>
        </w:rPr>
      </w:pPr>
    </w:p>
    <w:p w14:paraId="57787C53" w14:textId="6A2F8F2A" w:rsidR="00AA3ED0" w:rsidRPr="00F14E14" w:rsidRDefault="00AA3ED0" w:rsidP="00AA3ED0">
      <w:pPr>
        <w:pStyle w:val="NoSpacing"/>
        <w:spacing w:line="480" w:lineRule="auto"/>
        <w:ind w:firstLine="720"/>
        <w:jc w:val="center"/>
        <w:rPr>
          <w:rFonts w:ascii="Arial" w:hAnsi="Arial" w:cs="Arial"/>
        </w:rPr>
      </w:pPr>
      <w:r>
        <w:rPr>
          <w:rFonts w:ascii="Arial" w:hAnsi="Arial" w:cs="Arial"/>
        </w:rPr>
        <w:t>[TABLE 4 ABOUT HERE]</w:t>
      </w:r>
    </w:p>
    <w:p w14:paraId="1DE976A6" w14:textId="77777777" w:rsidR="00763EB5" w:rsidRDefault="00763EB5" w:rsidP="009705DD">
      <w:pPr>
        <w:spacing w:after="0" w:line="480" w:lineRule="auto"/>
        <w:rPr>
          <w:rFonts w:ascii="Arial" w:hAnsi="Arial" w:cs="Arial"/>
        </w:rPr>
      </w:pPr>
    </w:p>
    <w:p w14:paraId="29A63781" w14:textId="448B241C" w:rsidR="00A54217" w:rsidRPr="00F73D47" w:rsidRDefault="00A54217" w:rsidP="0086158F">
      <w:pPr>
        <w:spacing w:line="480" w:lineRule="auto"/>
        <w:rPr>
          <w:rFonts w:ascii="Arial" w:hAnsi="Arial" w:cs="Arial"/>
          <w:b/>
        </w:rPr>
      </w:pPr>
      <w:r w:rsidRPr="00F73D47">
        <w:rPr>
          <w:rFonts w:ascii="Arial" w:hAnsi="Arial" w:cs="Arial"/>
          <w:b/>
        </w:rPr>
        <w:t>DISCUSSION</w:t>
      </w:r>
    </w:p>
    <w:p w14:paraId="0E8EC1D7" w14:textId="1B196DBD" w:rsidR="00A70A2C" w:rsidRDefault="00A70A2C" w:rsidP="00A70A2C">
      <w:pPr>
        <w:pStyle w:val="NoSpacing"/>
        <w:spacing w:line="480" w:lineRule="auto"/>
        <w:jc w:val="both"/>
        <w:rPr>
          <w:rFonts w:ascii="Arial" w:hAnsi="Arial" w:cs="Arial"/>
        </w:rPr>
      </w:pPr>
      <w:r>
        <w:rPr>
          <w:rFonts w:ascii="Arial" w:hAnsi="Arial" w:cs="Arial"/>
        </w:rPr>
        <w:t xml:space="preserve">Using a choice experiment, </w:t>
      </w:r>
      <w:r w:rsidR="00F3151F">
        <w:rPr>
          <w:rFonts w:ascii="Arial" w:hAnsi="Arial" w:cs="Arial"/>
        </w:rPr>
        <w:t>we have</w:t>
      </w:r>
      <w:r w:rsidR="00C85128" w:rsidRPr="00C85128">
        <w:rPr>
          <w:rFonts w:ascii="Arial" w:hAnsi="Arial" w:cs="Arial"/>
        </w:rPr>
        <w:t xml:space="preserve"> </w:t>
      </w:r>
      <w:r w:rsidR="00D75170">
        <w:rPr>
          <w:rFonts w:ascii="Arial" w:hAnsi="Arial" w:cs="Arial"/>
        </w:rPr>
        <w:t>quant</w:t>
      </w:r>
      <w:r w:rsidR="00C85128" w:rsidRPr="00C85128">
        <w:rPr>
          <w:rFonts w:ascii="Arial" w:hAnsi="Arial" w:cs="Arial"/>
        </w:rPr>
        <w:t xml:space="preserve">ified </w:t>
      </w:r>
      <w:r w:rsidR="00485677">
        <w:rPr>
          <w:rFonts w:ascii="Arial" w:hAnsi="Arial" w:cs="Arial"/>
        </w:rPr>
        <w:t xml:space="preserve">the relative importance of </w:t>
      </w:r>
      <w:r w:rsidR="00C85128" w:rsidRPr="00C85128">
        <w:rPr>
          <w:rFonts w:ascii="Arial" w:hAnsi="Arial" w:cs="Arial"/>
        </w:rPr>
        <w:t xml:space="preserve">attributes likely to play a </w:t>
      </w:r>
      <w:r w:rsidR="00D75170">
        <w:rPr>
          <w:rFonts w:ascii="Arial" w:hAnsi="Arial" w:cs="Arial"/>
        </w:rPr>
        <w:t>key</w:t>
      </w:r>
      <w:r w:rsidR="00C85128" w:rsidRPr="00C85128">
        <w:rPr>
          <w:rFonts w:ascii="Arial" w:hAnsi="Arial" w:cs="Arial"/>
        </w:rPr>
        <w:t xml:space="preserve"> role in decisions to (dis)continue antibiotics </w:t>
      </w:r>
      <w:r w:rsidR="00F3151F">
        <w:rPr>
          <w:rFonts w:ascii="Arial" w:hAnsi="Arial" w:cs="Arial"/>
        </w:rPr>
        <w:t xml:space="preserve">at the time of </w:t>
      </w:r>
      <w:r w:rsidR="008F1749">
        <w:rPr>
          <w:rFonts w:ascii="Arial" w:hAnsi="Arial" w:cs="Arial"/>
        </w:rPr>
        <w:t>‘</w:t>
      </w:r>
      <w:r w:rsidR="00F3151F">
        <w:rPr>
          <w:rFonts w:ascii="Arial" w:hAnsi="Arial" w:cs="Arial"/>
        </w:rPr>
        <w:t>review</w:t>
      </w:r>
      <w:r w:rsidR="008F1749">
        <w:rPr>
          <w:rFonts w:ascii="Arial" w:hAnsi="Arial" w:cs="Arial"/>
        </w:rPr>
        <w:t xml:space="preserve"> and revise’</w:t>
      </w:r>
      <w:r w:rsidR="00F3151F">
        <w:rPr>
          <w:rFonts w:ascii="Arial" w:hAnsi="Arial" w:cs="Arial"/>
        </w:rPr>
        <w:t xml:space="preserve"> among</w:t>
      </w:r>
      <w:r>
        <w:rPr>
          <w:rFonts w:ascii="Arial" w:hAnsi="Arial" w:cs="Arial"/>
        </w:rPr>
        <w:t xml:space="preserve"> acute/general medi</w:t>
      </w:r>
      <w:r w:rsidR="00F3151F">
        <w:rPr>
          <w:rFonts w:ascii="Arial" w:hAnsi="Arial" w:cs="Arial"/>
        </w:rPr>
        <w:t>cal patients</w:t>
      </w:r>
      <w:r w:rsidR="00C85128" w:rsidRPr="00C85128">
        <w:rPr>
          <w:rFonts w:ascii="Arial" w:hAnsi="Arial" w:cs="Arial"/>
        </w:rPr>
        <w:t xml:space="preserve">. </w:t>
      </w:r>
      <w:r w:rsidR="00E44D0A">
        <w:rPr>
          <w:rFonts w:ascii="Arial" w:hAnsi="Arial" w:cs="Arial"/>
        </w:rPr>
        <w:t xml:space="preserve">The choice of attributes included was informed by literature review and qualitative interviews, </w:t>
      </w:r>
      <w:r w:rsidR="001F230F">
        <w:rPr>
          <w:rFonts w:ascii="Arial" w:hAnsi="Arial" w:cs="Arial"/>
        </w:rPr>
        <w:t>combined with</w:t>
      </w:r>
      <w:r w:rsidR="00E44D0A">
        <w:rPr>
          <w:rFonts w:ascii="Arial" w:hAnsi="Arial" w:cs="Arial"/>
        </w:rPr>
        <w:t xml:space="preserve"> </w:t>
      </w:r>
      <w:r w:rsidR="00E44D0A" w:rsidRPr="00614AB0">
        <w:rPr>
          <w:rFonts w:ascii="Arial" w:hAnsi="Arial" w:cs="Arial"/>
        </w:rPr>
        <w:t>experi</w:t>
      </w:r>
      <w:r w:rsidR="00E44D0A">
        <w:rPr>
          <w:rFonts w:ascii="Arial" w:hAnsi="Arial" w:cs="Arial"/>
        </w:rPr>
        <w:t>ence</w:t>
      </w:r>
      <w:r w:rsidR="00E44D0A" w:rsidRPr="00614AB0">
        <w:rPr>
          <w:rFonts w:ascii="Arial" w:hAnsi="Arial" w:cs="Arial"/>
        </w:rPr>
        <w:t xml:space="preserve"> within </w:t>
      </w:r>
      <w:r w:rsidR="00E44D0A">
        <w:rPr>
          <w:rFonts w:ascii="Arial" w:hAnsi="Arial" w:cs="Arial"/>
        </w:rPr>
        <w:t>the team.</w:t>
      </w:r>
      <w:r w:rsidR="00E44D0A" w:rsidRPr="00C85128">
        <w:rPr>
          <w:rFonts w:ascii="Arial" w:hAnsi="Arial" w:cs="Arial"/>
        </w:rPr>
        <w:t xml:space="preserve"> </w:t>
      </w:r>
      <w:r w:rsidR="00C85128" w:rsidRPr="00C85128">
        <w:rPr>
          <w:rFonts w:ascii="Arial" w:hAnsi="Arial" w:cs="Arial"/>
        </w:rPr>
        <w:t xml:space="preserve">The </w:t>
      </w:r>
      <w:r w:rsidR="009261B0">
        <w:rPr>
          <w:rFonts w:ascii="Arial" w:hAnsi="Arial" w:cs="Arial"/>
        </w:rPr>
        <w:t>attribute</w:t>
      </w:r>
      <w:r w:rsidR="00C85128" w:rsidRPr="00C85128">
        <w:rPr>
          <w:rFonts w:ascii="Arial" w:hAnsi="Arial" w:cs="Arial"/>
        </w:rPr>
        <w:t>-level with the largest marginal effect on prescribing was ‘early discontinuation of antibiotics being in ‘strong conflict’ wi</w:t>
      </w:r>
      <w:r w:rsidR="00B97DB7">
        <w:rPr>
          <w:rFonts w:ascii="Arial" w:hAnsi="Arial" w:cs="Arial"/>
        </w:rPr>
        <w:t xml:space="preserve">th local guidelines’. However, </w:t>
      </w:r>
      <w:r w:rsidR="00C85128" w:rsidRPr="00C85128">
        <w:rPr>
          <w:rFonts w:ascii="Arial" w:hAnsi="Arial" w:cs="Arial"/>
        </w:rPr>
        <w:t xml:space="preserve">early discontinuation ‘somewhat conflicting’ with local guidelines was not significant. This suggests interventions to make guidelines less prescriptive about </w:t>
      </w:r>
      <w:r w:rsidR="00B513A9">
        <w:rPr>
          <w:rFonts w:ascii="Arial" w:hAnsi="Arial" w:cs="Arial"/>
        </w:rPr>
        <w:t xml:space="preserve">antibiotic </w:t>
      </w:r>
      <w:r w:rsidR="00C85128" w:rsidRPr="00C85128">
        <w:rPr>
          <w:rFonts w:ascii="Arial" w:hAnsi="Arial" w:cs="Arial"/>
        </w:rPr>
        <w:t xml:space="preserve">continuation could </w:t>
      </w:r>
      <w:r w:rsidR="004B12D9">
        <w:rPr>
          <w:rFonts w:ascii="Arial" w:hAnsi="Arial" w:cs="Arial"/>
        </w:rPr>
        <w:t xml:space="preserve">help </w:t>
      </w:r>
      <w:r w:rsidR="00C85128" w:rsidRPr="00C85128">
        <w:rPr>
          <w:rFonts w:ascii="Arial" w:hAnsi="Arial" w:cs="Arial"/>
        </w:rPr>
        <w:t>increas</w:t>
      </w:r>
      <w:r w:rsidR="004B12D9">
        <w:rPr>
          <w:rFonts w:ascii="Arial" w:hAnsi="Arial" w:cs="Arial"/>
        </w:rPr>
        <w:t>e</w:t>
      </w:r>
      <w:r w:rsidR="00FA464F">
        <w:rPr>
          <w:rFonts w:ascii="Arial" w:hAnsi="Arial" w:cs="Arial"/>
        </w:rPr>
        <w:t xml:space="preserve"> appropriate</w:t>
      </w:r>
      <w:r w:rsidR="00C85128" w:rsidRPr="00C85128">
        <w:rPr>
          <w:rFonts w:ascii="Arial" w:hAnsi="Arial" w:cs="Arial"/>
        </w:rPr>
        <w:t xml:space="preserve"> early discontinuation. </w:t>
      </w:r>
    </w:p>
    <w:p w14:paraId="64F9EFA6" w14:textId="77777777" w:rsidR="0047128A" w:rsidRDefault="0047128A" w:rsidP="00C54C0C">
      <w:pPr>
        <w:pStyle w:val="NoSpacing"/>
        <w:spacing w:line="480" w:lineRule="auto"/>
        <w:jc w:val="both"/>
        <w:rPr>
          <w:rFonts w:ascii="Arial" w:hAnsi="Arial" w:cs="Arial"/>
        </w:rPr>
      </w:pPr>
    </w:p>
    <w:p w14:paraId="69221368" w14:textId="6F1ED574" w:rsidR="00C54C0C" w:rsidRPr="00A54217" w:rsidRDefault="0019499E" w:rsidP="00C54C0C">
      <w:pPr>
        <w:pStyle w:val="NoSpacing"/>
        <w:spacing w:line="480" w:lineRule="auto"/>
        <w:jc w:val="both"/>
        <w:rPr>
          <w:rFonts w:ascii="Arial" w:hAnsi="Arial" w:cs="Arial"/>
        </w:rPr>
      </w:pPr>
      <w:r>
        <w:rPr>
          <w:rFonts w:ascii="Arial" w:hAnsi="Arial" w:cs="Arial"/>
        </w:rPr>
        <w:t>In NHS hospitals</w:t>
      </w:r>
      <w:r w:rsidR="00B513A9">
        <w:rPr>
          <w:rFonts w:ascii="Arial" w:hAnsi="Arial" w:cs="Arial"/>
        </w:rPr>
        <w:t>,</w:t>
      </w:r>
      <w:r>
        <w:rPr>
          <w:rFonts w:ascii="Arial" w:hAnsi="Arial" w:cs="Arial"/>
        </w:rPr>
        <w:t xml:space="preserve"> antibiotic g</w:t>
      </w:r>
      <w:r w:rsidR="008346A4" w:rsidRPr="008346A4">
        <w:rPr>
          <w:rFonts w:ascii="Arial" w:hAnsi="Arial" w:cs="Arial"/>
        </w:rPr>
        <w:t xml:space="preserve">uidelines </w:t>
      </w:r>
      <w:r>
        <w:rPr>
          <w:rFonts w:ascii="Arial" w:hAnsi="Arial" w:cs="Arial"/>
        </w:rPr>
        <w:t xml:space="preserve">do not generally acknowledge the uncertainty </w:t>
      </w:r>
      <w:r w:rsidR="00441DC6">
        <w:rPr>
          <w:rFonts w:ascii="Arial" w:hAnsi="Arial" w:cs="Arial"/>
        </w:rPr>
        <w:t>that</w:t>
      </w:r>
      <w:r>
        <w:rPr>
          <w:rFonts w:ascii="Arial" w:hAnsi="Arial" w:cs="Arial"/>
        </w:rPr>
        <w:t xml:space="preserve"> exists prior to the ‘review and revise’ </w:t>
      </w:r>
      <w:r w:rsidR="000A242D">
        <w:rPr>
          <w:rFonts w:ascii="Arial" w:hAnsi="Arial" w:cs="Arial"/>
        </w:rPr>
        <w:t>decision,</w:t>
      </w:r>
      <w:r w:rsidRPr="008346A4">
        <w:rPr>
          <w:rFonts w:ascii="Arial" w:hAnsi="Arial" w:cs="Arial"/>
        </w:rPr>
        <w:t xml:space="preserve"> </w:t>
      </w:r>
      <w:r>
        <w:rPr>
          <w:rFonts w:ascii="Arial" w:hAnsi="Arial" w:cs="Arial"/>
        </w:rPr>
        <w:t>but make</w:t>
      </w:r>
      <w:r w:rsidR="008346A4" w:rsidRPr="008346A4">
        <w:rPr>
          <w:rFonts w:ascii="Arial" w:hAnsi="Arial" w:cs="Arial"/>
        </w:rPr>
        <w:t xml:space="preserve"> didactic statements </w:t>
      </w:r>
      <w:r w:rsidR="009F08E3">
        <w:rPr>
          <w:rFonts w:ascii="Arial" w:hAnsi="Arial" w:cs="Arial"/>
        </w:rPr>
        <w:t>stipulating</w:t>
      </w:r>
      <w:r w:rsidR="003D74DB">
        <w:rPr>
          <w:rFonts w:ascii="Arial" w:hAnsi="Arial" w:cs="Arial"/>
        </w:rPr>
        <w:t xml:space="preserve"> </w:t>
      </w:r>
      <w:r w:rsidR="008346A4" w:rsidRPr="008346A4">
        <w:rPr>
          <w:rFonts w:ascii="Arial" w:hAnsi="Arial" w:cs="Arial"/>
        </w:rPr>
        <w:t>duration</w:t>
      </w:r>
      <w:r w:rsidR="009F08E3">
        <w:rPr>
          <w:rFonts w:ascii="Arial" w:hAnsi="Arial" w:cs="Arial"/>
        </w:rPr>
        <w:t>s</w:t>
      </w:r>
      <w:r w:rsidR="008346A4" w:rsidRPr="008346A4">
        <w:rPr>
          <w:rFonts w:ascii="Arial" w:hAnsi="Arial" w:cs="Arial"/>
        </w:rPr>
        <w:t>, such as “Duration: 7 days”</w:t>
      </w:r>
      <w:r w:rsidR="003D74DB">
        <w:rPr>
          <w:rFonts w:ascii="Arial" w:hAnsi="Arial" w:cs="Arial"/>
        </w:rPr>
        <w:t>, which are not likely to be appropriate for many patients</w:t>
      </w:r>
      <w:r w:rsidR="006659E3">
        <w:rPr>
          <w:rFonts w:ascii="Arial" w:hAnsi="Arial" w:cs="Arial"/>
        </w:rPr>
        <w:t xml:space="preserve"> [2</w:t>
      </w:r>
      <w:r w:rsidR="00B6717B">
        <w:rPr>
          <w:rFonts w:ascii="Arial" w:hAnsi="Arial" w:cs="Arial"/>
        </w:rPr>
        <w:t>5</w:t>
      </w:r>
      <w:r w:rsidR="006659E3">
        <w:rPr>
          <w:rFonts w:ascii="Arial" w:hAnsi="Arial" w:cs="Arial"/>
        </w:rPr>
        <w:t>]</w:t>
      </w:r>
      <w:r w:rsidR="008346A4" w:rsidRPr="008346A4">
        <w:rPr>
          <w:rFonts w:ascii="Arial" w:hAnsi="Arial" w:cs="Arial"/>
        </w:rPr>
        <w:t xml:space="preserve">. </w:t>
      </w:r>
      <w:r>
        <w:rPr>
          <w:rFonts w:ascii="Arial" w:hAnsi="Arial" w:cs="Arial"/>
        </w:rPr>
        <w:t xml:space="preserve">Furthermore, </w:t>
      </w:r>
      <w:r w:rsidR="008B57E2">
        <w:rPr>
          <w:rFonts w:ascii="Arial" w:hAnsi="Arial" w:cs="Arial"/>
        </w:rPr>
        <w:t xml:space="preserve">quality improvement assessments of antibiotic prescribing routinely </w:t>
      </w:r>
      <w:r w:rsidR="00B513A9">
        <w:rPr>
          <w:rFonts w:ascii="Arial" w:hAnsi="Arial" w:cs="Arial"/>
        </w:rPr>
        <w:t>audit</w:t>
      </w:r>
      <w:r w:rsidR="008B57E2">
        <w:rPr>
          <w:rFonts w:ascii="Arial" w:hAnsi="Arial" w:cs="Arial"/>
        </w:rPr>
        <w:t xml:space="preserve"> how often prescriptions match guidelines</w:t>
      </w:r>
      <w:r w:rsidR="008F1749">
        <w:rPr>
          <w:rFonts w:ascii="Arial" w:hAnsi="Arial" w:cs="Arial"/>
        </w:rPr>
        <w:t>. Prescribers are therefore confronted with a situation in which a patient has been started on antibiotics, with an indication recorded for which guidelines specify a duration</w:t>
      </w:r>
      <w:r w:rsidR="00B513A9">
        <w:rPr>
          <w:rFonts w:ascii="Arial" w:hAnsi="Arial" w:cs="Arial"/>
        </w:rPr>
        <w:t>, and hence stopping antibiotics early will lead to a poor audit outcome</w:t>
      </w:r>
      <w:r w:rsidR="008F1749">
        <w:rPr>
          <w:rFonts w:ascii="Arial" w:hAnsi="Arial" w:cs="Arial"/>
        </w:rPr>
        <w:t>.</w:t>
      </w:r>
      <w:r w:rsidR="008B57E2">
        <w:rPr>
          <w:rFonts w:ascii="Arial" w:hAnsi="Arial" w:cs="Arial"/>
        </w:rPr>
        <w:t xml:space="preserve"> </w:t>
      </w:r>
      <w:r w:rsidR="00A10467">
        <w:rPr>
          <w:rFonts w:ascii="Arial" w:hAnsi="Arial" w:cs="Arial"/>
        </w:rPr>
        <w:t>G</w:t>
      </w:r>
      <w:r w:rsidR="008346A4">
        <w:rPr>
          <w:rFonts w:ascii="Arial" w:hAnsi="Arial" w:cs="Arial"/>
        </w:rPr>
        <w:t xml:space="preserve">uidelines </w:t>
      </w:r>
      <w:r w:rsidR="00A10467">
        <w:rPr>
          <w:rFonts w:ascii="Arial" w:hAnsi="Arial" w:cs="Arial"/>
        </w:rPr>
        <w:t xml:space="preserve">might </w:t>
      </w:r>
      <w:r w:rsidR="008346A4">
        <w:rPr>
          <w:rFonts w:ascii="Arial" w:hAnsi="Arial" w:cs="Arial"/>
        </w:rPr>
        <w:t>better support bed</w:t>
      </w:r>
      <w:r w:rsidR="00A70A2C" w:rsidRPr="00A70A2C">
        <w:rPr>
          <w:rFonts w:ascii="Arial" w:hAnsi="Arial" w:cs="Arial"/>
        </w:rPr>
        <w:t>side stewardship decision</w:t>
      </w:r>
      <w:r w:rsidR="008346A4">
        <w:rPr>
          <w:rFonts w:ascii="Arial" w:hAnsi="Arial" w:cs="Arial"/>
        </w:rPr>
        <w:t xml:space="preserve">s </w:t>
      </w:r>
      <w:r w:rsidR="00A70A2C" w:rsidRPr="00A70A2C">
        <w:rPr>
          <w:rFonts w:ascii="Arial" w:hAnsi="Arial" w:cs="Arial"/>
        </w:rPr>
        <w:t xml:space="preserve">if they </w:t>
      </w:r>
      <w:r>
        <w:rPr>
          <w:rFonts w:ascii="Arial" w:hAnsi="Arial" w:cs="Arial"/>
        </w:rPr>
        <w:t>ma</w:t>
      </w:r>
      <w:r w:rsidR="00F80350">
        <w:rPr>
          <w:rFonts w:ascii="Arial" w:hAnsi="Arial" w:cs="Arial"/>
        </w:rPr>
        <w:t>d</w:t>
      </w:r>
      <w:r>
        <w:rPr>
          <w:rFonts w:ascii="Arial" w:hAnsi="Arial" w:cs="Arial"/>
        </w:rPr>
        <w:t>e</w:t>
      </w:r>
      <w:r w:rsidR="008F1749">
        <w:rPr>
          <w:rFonts w:ascii="Arial" w:hAnsi="Arial" w:cs="Arial"/>
        </w:rPr>
        <w:t xml:space="preserve"> duration recommendations only for patients in whom ‘review and revise’ has determined that antibiotics are truly indicated. They could also recognise that clinical response </w:t>
      </w:r>
      <w:r w:rsidR="00B513A9">
        <w:rPr>
          <w:rFonts w:ascii="Arial" w:hAnsi="Arial" w:cs="Arial"/>
        </w:rPr>
        <w:t xml:space="preserve">should </w:t>
      </w:r>
      <w:r w:rsidR="008F1749">
        <w:rPr>
          <w:rFonts w:ascii="Arial" w:hAnsi="Arial" w:cs="Arial"/>
        </w:rPr>
        <w:t>be considered</w:t>
      </w:r>
      <w:r w:rsidR="00B513A9">
        <w:rPr>
          <w:rFonts w:ascii="Arial" w:hAnsi="Arial" w:cs="Arial"/>
        </w:rPr>
        <w:t>, f</w:t>
      </w:r>
      <w:r w:rsidR="008346A4">
        <w:rPr>
          <w:rFonts w:ascii="Arial" w:hAnsi="Arial" w:cs="Arial"/>
        </w:rPr>
        <w:t xml:space="preserve">or example, </w:t>
      </w:r>
      <w:r w:rsidR="00B513A9">
        <w:rPr>
          <w:rFonts w:ascii="Arial" w:hAnsi="Arial" w:cs="Arial"/>
        </w:rPr>
        <w:t xml:space="preserve">replacing </w:t>
      </w:r>
      <w:r w:rsidR="008346A4" w:rsidRPr="008346A4">
        <w:rPr>
          <w:rFonts w:ascii="Arial" w:hAnsi="Arial" w:cs="Arial"/>
        </w:rPr>
        <w:t xml:space="preserve">“Duration: 7 days” with “Duration: </w:t>
      </w:r>
      <w:r>
        <w:rPr>
          <w:rFonts w:ascii="Arial" w:hAnsi="Arial" w:cs="Arial"/>
        </w:rPr>
        <w:t xml:space="preserve">up to 7 days </w:t>
      </w:r>
      <w:r w:rsidR="008346A4" w:rsidRPr="008346A4">
        <w:rPr>
          <w:rFonts w:ascii="Arial" w:hAnsi="Arial" w:cs="Arial"/>
        </w:rPr>
        <w:t>depending on patient factors and treatment response”</w:t>
      </w:r>
      <w:r w:rsidR="00A70A2C" w:rsidRPr="00A70A2C">
        <w:rPr>
          <w:rFonts w:ascii="Arial" w:hAnsi="Arial" w:cs="Arial"/>
        </w:rPr>
        <w:t>.</w:t>
      </w:r>
      <w:r w:rsidR="009A0B69">
        <w:rPr>
          <w:rFonts w:ascii="Arial" w:hAnsi="Arial" w:cs="Arial"/>
        </w:rPr>
        <w:t xml:space="preserve"> </w:t>
      </w:r>
      <w:r w:rsidR="00701E96">
        <w:rPr>
          <w:rFonts w:ascii="Arial" w:hAnsi="Arial" w:cs="Arial"/>
        </w:rPr>
        <w:t>This c</w:t>
      </w:r>
      <w:r w:rsidR="00B61533">
        <w:rPr>
          <w:rFonts w:ascii="Arial" w:hAnsi="Arial" w:cs="Arial"/>
        </w:rPr>
        <w:t>ould provide guidance</w:t>
      </w:r>
      <w:r w:rsidR="00491021">
        <w:rPr>
          <w:rFonts w:ascii="Arial" w:hAnsi="Arial" w:cs="Arial"/>
        </w:rPr>
        <w:t xml:space="preserve"> to (often relatively junior) clinicians on duration decisions, minimising potential for poor </w:t>
      </w:r>
      <w:r w:rsidR="00701E96">
        <w:rPr>
          <w:rFonts w:ascii="Arial" w:hAnsi="Arial" w:cs="Arial"/>
        </w:rPr>
        <w:t>patient outcomes</w:t>
      </w:r>
      <w:r w:rsidR="00491021">
        <w:rPr>
          <w:rFonts w:ascii="Arial" w:hAnsi="Arial" w:cs="Arial"/>
        </w:rPr>
        <w:t>, without unnecessarily overriding their clinical judgement.</w:t>
      </w:r>
      <w:r w:rsidR="00637780">
        <w:rPr>
          <w:rFonts w:ascii="Arial" w:hAnsi="Arial" w:cs="Arial"/>
        </w:rPr>
        <w:t xml:space="preserve"> </w:t>
      </w:r>
      <w:r w:rsidR="007A2DCF">
        <w:rPr>
          <w:rFonts w:ascii="Arial" w:hAnsi="Arial" w:cs="Arial"/>
        </w:rPr>
        <w:t xml:space="preserve">The content analysis highlighted </w:t>
      </w:r>
      <w:r w:rsidR="009A0B69">
        <w:rPr>
          <w:rFonts w:ascii="Arial" w:hAnsi="Arial" w:cs="Arial"/>
        </w:rPr>
        <w:t xml:space="preserve">the importance </w:t>
      </w:r>
      <w:r w:rsidR="009A0B69" w:rsidRPr="009A0B69">
        <w:rPr>
          <w:rFonts w:ascii="Arial" w:hAnsi="Arial" w:cs="Arial"/>
        </w:rPr>
        <w:t>of</w:t>
      </w:r>
      <w:r w:rsidR="009A0B69">
        <w:rPr>
          <w:rFonts w:ascii="Arial" w:hAnsi="Arial" w:cs="Arial"/>
        </w:rPr>
        <w:t xml:space="preserve"> </w:t>
      </w:r>
      <w:r w:rsidR="00A10467">
        <w:rPr>
          <w:rFonts w:ascii="Arial" w:hAnsi="Arial" w:cs="Arial"/>
        </w:rPr>
        <w:t xml:space="preserve">treatment </w:t>
      </w:r>
      <w:r w:rsidR="009A0B69">
        <w:rPr>
          <w:rFonts w:ascii="Arial" w:hAnsi="Arial" w:cs="Arial"/>
        </w:rPr>
        <w:t>response</w:t>
      </w:r>
      <w:r w:rsidR="00E46EBC">
        <w:rPr>
          <w:rFonts w:ascii="Arial" w:hAnsi="Arial" w:cs="Arial"/>
        </w:rPr>
        <w:t>;</w:t>
      </w:r>
      <w:r w:rsidR="009A0B69" w:rsidRPr="009A0B69">
        <w:rPr>
          <w:rFonts w:ascii="Arial" w:hAnsi="Arial" w:cs="Arial"/>
        </w:rPr>
        <w:t xml:space="preserve"> whether patients are improving or deteriorating. This suggests respondents are already </w:t>
      </w:r>
      <w:r w:rsidR="00691F92">
        <w:rPr>
          <w:rFonts w:ascii="Arial" w:hAnsi="Arial" w:cs="Arial"/>
        </w:rPr>
        <w:t>using</w:t>
      </w:r>
      <w:r w:rsidR="00691F92" w:rsidRPr="009A0B69">
        <w:rPr>
          <w:rFonts w:ascii="Arial" w:hAnsi="Arial" w:cs="Arial"/>
        </w:rPr>
        <w:t xml:space="preserve"> </w:t>
      </w:r>
      <w:r w:rsidR="009A0B69" w:rsidRPr="009A0B69">
        <w:rPr>
          <w:rFonts w:ascii="Arial" w:hAnsi="Arial" w:cs="Arial"/>
        </w:rPr>
        <w:t xml:space="preserve">clinical judgement </w:t>
      </w:r>
      <w:r w:rsidR="00691F92">
        <w:rPr>
          <w:rFonts w:ascii="Arial" w:hAnsi="Arial" w:cs="Arial"/>
        </w:rPr>
        <w:t xml:space="preserve">when </w:t>
      </w:r>
      <w:r w:rsidR="009A0B69" w:rsidRPr="009A0B69">
        <w:rPr>
          <w:rFonts w:ascii="Arial" w:hAnsi="Arial" w:cs="Arial"/>
        </w:rPr>
        <w:t>making decisions</w:t>
      </w:r>
      <w:r w:rsidR="00B513A9">
        <w:rPr>
          <w:rFonts w:ascii="Arial" w:hAnsi="Arial" w:cs="Arial"/>
        </w:rPr>
        <w:t>;</w:t>
      </w:r>
      <w:r w:rsidR="00691F92">
        <w:rPr>
          <w:rFonts w:ascii="Arial" w:hAnsi="Arial" w:cs="Arial"/>
        </w:rPr>
        <w:t xml:space="preserve"> </w:t>
      </w:r>
      <w:r w:rsidR="00691F92" w:rsidRPr="009A0B69">
        <w:rPr>
          <w:rFonts w:ascii="Arial" w:hAnsi="Arial" w:cs="Arial"/>
        </w:rPr>
        <w:t xml:space="preserve">guidelines </w:t>
      </w:r>
      <w:r>
        <w:rPr>
          <w:rFonts w:ascii="Arial" w:hAnsi="Arial" w:cs="Arial"/>
        </w:rPr>
        <w:t xml:space="preserve">which recognise this </w:t>
      </w:r>
      <w:r w:rsidR="00691F92" w:rsidRPr="009A0B69">
        <w:rPr>
          <w:rFonts w:ascii="Arial" w:hAnsi="Arial" w:cs="Arial"/>
        </w:rPr>
        <w:t xml:space="preserve">might </w:t>
      </w:r>
      <w:r w:rsidR="00E46EBC">
        <w:rPr>
          <w:rFonts w:ascii="Arial" w:hAnsi="Arial" w:cs="Arial"/>
        </w:rPr>
        <w:t>empower</w:t>
      </w:r>
      <w:r w:rsidR="00E46EBC" w:rsidRPr="009A0B69">
        <w:rPr>
          <w:rFonts w:ascii="Arial" w:hAnsi="Arial" w:cs="Arial"/>
        </w:rPr>
        <w:t xml:space="preserve"> </w:t>
      </w:r>
      <w:r w:rsidR="00691F92" w:rsidRPr="009A0B69">
        <w:rPr>
          <w:rFonts w:ascii="Arial" w:hAnsi="Arial" w:cs="Arial"/>
        </w:rPr>
        <w:t xml:space="preserve">them </w:t>
      </w:r>
      <w:r w:rsidR="00691F92">
        <w:rPr>
          <w:rFonts w:ascii="Arial" w:hAnsi="Arial" w:cs="Arial"/>
        </w:rPr>
        <w:t xml:space="preserve">to </w:t>
      </w:r>
      <w:r w:rsidR="00E46EBC">
        <w:rPr>
          <w:rFonts w:ascii="Arial" w:hAnsi="Arial" w:cs="Arial"/>
        </w:rPr>
        <w:t>discontinue</w:t>
      </w:r>
      <w:r w:rsidR="00E46EBC" w:rsidRPr="009A0B69">
        <w:rPr>
          <w:rFonts w:ascii="Arial" w:hAnsi="Arial" w:cs="Arial"/>
        </w:rPr>
        <w:t xml:space="preserve"> </w:t>
      </w:r>
      <w:r w:rsidR="00691F92" w:rsidRPr="009A0B69">
        <w:rPr>
          <w:rFonts w:ascii="Arial" w:hAnsi="Arial" w:cs="Arial"/>
        </w:rPr>
        <w:t>antibiotics more often</w:t>
      </w:r>
      <w:r w:rsidR="00C54C0C">
        <w:rPr>
          <w:rFonts w:ascii="Arial" w:hAnsi="Arial" w:cs="Arial"/>
        </w:rPr>
        <w:t>.</w:t>
      </w:r>
    </w:p>
    <w:p w14:paraId="09A9986D" w14:textId="77777777" w:rsidR="0047128A" w:rsidRDefault="0047128A" w:rsidP="0047128A">
      <w:pPr>
        <w:pStyle w:val="NoSpacing"/>
        <w:spacing w:line="480" w:lineRule="auto"/>
        <w:jc w:val="both"/>
        <w:rPr>
          <w:rFonts w:ascii="Arial" w:hAnsi="Arial" w:cs="Arial"/>
        </w:rPr>
      </w:pPr>
    </w:p>
    <w:p w14:paraId="34161F04" w14:textId="0CEFB81B" w:rsidR="00BD1CCC" w:rsidRDefault="00E46EBC" w:rsidP="0047128A">
      <w:pPr>
        <w:pStyle w:val="NoSpacing"/>
        <w:spacing w:line="480" w:lineRule="auto"/>
        <w:jc w:val="both"/>
        <w:rPr>
          <w:rFonts w:ascii="Arial" w:hAnsi="Arial" w:cs="Arial"/>
        </w:rPr>
      </w:pPr>
      <w:r>
        <w:rPr>
          <w:rFonts w:ascii="Arial" w:hAnsi="Arial" w:cs="Arial"/>
        </w:rPr>
        <w:t>C</w:t>
      </w:r>
      <w:r w:rsidR="00BD1CCC">
        <w:rPr>
          <w:rFonts w:ascii="Arial" w:hAnsi="Arial" w:cs="Arial"/>
        </w:rPr>
        <w:t>onsultant</w:t>
      </w:r>
      <w:r>
        <w:rPr>
          <w:rFonts w:ascii="Arial" w:hAnsi="Arial" w:cs="Arial"/>
        </w:rPr>
        <w:t xml:space="preserve"> respondents</w:t>
      </w:r>
      <w:r w:rsidR="00BD1CCC">
        <w:rPr>
          <w:rFonts w:ascii="Arial" w:hAnsi="Arial" w:cs="Arial"/>
        </w:rPr>
        <w:t xml:space="preserve"> w</w:t>
      </w:r>
      <w:r>
        <w:rPr>
          <w:rFonts w:ascii="Arial" w:hAnsi="Arial" w:cs="Arial"/>
        </w:rPr>
        <w:t>ere</w:t>
      </w:r>
      <w:r w:rsidR="00BD1CCC">
        <w:rPr>
          <w:rFonts w:ascii="Arial" w:hAnsi="Arial" w:cs="Arial"/>
        </w:rPr>
        <w:t xml:space="preserve"> </w:t>
      </w:r>
      <w:r w:rsidR="00C85128" w:rsidRPr="00C85128">
        <w:rPr>
          <w:rFonts w:ascii="Arial" w:hAnsi="Arial" w:cs="Arial"/>
        </w:rPr>
        <w:t xml:space="preserve">significantly </w:t>
      </w:r>
      <w:r w:rsidR="00DD2BA7">
        <w:rPr>
          <w:rFonts w:ascii="Arial" w:hAnsi="Arial" w:cs="Arial"/>
        </w:rPr>
        <w:t>more</w:t>
      </w:r>
      <w:r w:rsidR="00DD2BA7" w:rsidRPr="00C85128">
        <w:rPr>
          <w:rFonts w:ascii="Arial" w:hAnsi="Arial" w:cs="Arial"/>
        </w:rPr>
        <w:t xml:space="preserve"> </w:t>
      </w:r>
      <w:r w:rsidR="00C85128" w:rsidRPr="00C85128">
        <w:rPr>
          <w:rFonts w:ascii="Arial" w:hAnsi="Arial" w:cs="Arial"/>
        </w:rPr>
        <w:t xml:space="preserve">likely to </w:t>
      </w:r>
      <w:r w:rsidR="00DD2BA7">
        <w:rPr>
          <w:rFonts w:ascii="Arial" w:hAnsi="Arial" w:cs="Arial"/>
        </w:rPr>
        <w:t>dis</w:t>
      </w:r>
      <w:r w:rsidR="00C85128" w:rsidRPr="00C85128">
        <w:rPr>
          <w:rFonts w:ascii="Arial" w:hAnsi="Arial" w:cs="Arial"/>
        </w:rPr>
        <w:t>continue antibiotics</w:t>
      </w:r>
      <w:r w:rsidR="00B513A9">
        <w:rPr>
          <w:rFonts w:ascii="Arial" w:hAnsi="Arial" w:cs="Arial"/>
        </w:rPr>
        <w:t xml:space="preserve">, </w:t>
      </w:r>
      <w:r w:rsidR="00A523EB">
        <w:rPr>
          <w:rFonts w:ascii="Arial" w:hAnsi="Arial" w:cs="Arial"/>
        </w:rPr>
        <w:t xml:space="preserve">consistent with previous studies suggesting junior doctors focus more on conservative </w:t>
      </w:r>
      <w:r w:rsidR="000A242D">
        <w:rPr>
          <w:rFonts w:ascii="Arial" w:hAnsi="Arial" w:cs="Arial"/>
        </w:rPr>
        <w:t xml:space="preserve">prescribing </w:t>
      </w:r>
      <w:r w:rsidR="00A523EB">
        <w:rPr>
          <w:rFonts w:ascii="Arial" w:hAnsi="Arial" w:cs="Arial"/>
        </w:rPr>
        <w:t>practice to avoid censure by senior colleagues</w:t>
      </w:r>
      <w:r w:rsidR="00AB4B0F">
        <w:rPr>
          <w:rFonts w:ascii="Arial" w:hAnsi="Arial" w:cs="Arial"/>
        </w:rPr>
        <w:t xml:space="preserve"> [2</w:t>
      </w:r>
      <w:r w:rsidR="00B6717B">
        <w:rPr>
          <w:rFonts w:ascii="Arial" w:hAnsi="Arial" w:cs="Arial"/>
        </w:rPr>
        <w:t>6</w:t>
      </w:r>
      <w:r w:rsidR="00AB4B0F">
        <w:rPr>
          <w:rFonts w:ascii="Arial" w:hAnsi="Arial" w:cs="Arial"/>
        </w:rPr>
        <w:t>]</w:t>
      </w:r>
      <w:r w:rsidR="00A523EB">
        <w:rPr>
          <w:rFonts w:ascii="Arial" w:hAnsi="Arial" w:cs="Arial"/>
        </w:rPr>
        <w:t>. However,</w:t>
      </w:r>
      <w:r w:rsidR="004B39FF">
        <w:rPr>
          <w:rFonts w:ascii="Arial" w:hAnsi="Arial" w:cs="Arial"/>
        </w:rPr>
        <w:t xml:space="preserve"> </w:t>
      </w:r>
      <w:r w:rsidR="00BD1CCC">
        <w:rPr>
          <w:rFonts w:ascii="Arial" w:hAnsi="Arial" w:cs="Arial"/>
        </w:rPr>
        <w:t xml:space="preserve">there was no significant interaction </w:t>
      </w:r>
      <w:r w:rsidR="00F379CB">
        <w:rPr>
          <w:rFonts w:ascii="Arial" w:hAnsi="Arial" w:cs="Arial"/>
        </w:rPr>
        <w:t xml:space="preserve">between </w:t>
      </w:r>
      <w:r w:rsidR="00A523EB">
        <w:rPr>
          <w:rFonts w:ascii="Arial" w:hAnsi="Arial" w:cs="Arial"/>
        </w:rPr>
        <w:t>c</w:t>
      </w:r>
      <w:r w:rsidR="00F379CB">
        <w:rPr>
          <w:rFonts w:ascii="Arial" w:hAnsi="Arial" w:cs="Arial"/>
        </w:rPr>
        <w:t xml:space="preserve">onsultant status and </w:t>
      </w:r>
      <w:r w:rsidR="00BD1CCC">
        <w:rPr>
          <w:rFonts w:ascii="Arial" w:hAnsi="Arial" w:cs="Arial"/>
        </w:rPr>
        <w:t xml:space="preserve">any of the </w:t>
      </w:r>
      <w:r w:rsidR="00512824">
        <w:rPr>
          <w:rFonts w:ascii="Arial" w:hAnsi="Arial" w:cs="Arial"/>
        </w:rPr>
        <w:t>attribute</w:t>
      </w:r>
      <w:r w:rsidR="00BD1CCC">
        <w:rPr>
          <w:rFonts w:ascii="Arial" w:hAnsi="Arial" w:cs="Arial"/>
        </w:rPr>
        <w:t>-levels in the prescribing decision</w:t>
      </w:r>
      <w:r w:rsidR="00F379CB">
        <w:rPr>
          <w:rFonts w:ascii="Arial" w:hAnsi="Arial" w:cs="Arial"/>
        </w:rPr>
        <w:t>. This</w:t>
      </w:r>
      <w:r w:rsidR="00BD1CCC">
        <w:rPr>
          <w:rFonts w:ascii="Arial" w:hAnsi="Arial" w:cs="Arial"/>
        </w:rPr>
        <w:t xml:space="preserve"> suggest</w:t>
      </w:r>
      <w:r w:rsidR="00F379CB">
        <w:rPr>
          <w:rFonts w:ascii="Arial" w:hAnsi="Arial" w:cs="Arial"/>
        </w:rPr>
        <w:t>s</w:t>
      </w:r>
      <w:r w:rsidR="00BD1CCC">
        <w:rPr>
          <w:rFonts w:ascii="Arial" w:hAnsi="Arial" w:cs="Arial"/>
        </w:rPr>
        <w:t xml:space="preserve"> that consultants are more </w:t>
      </w:r>
      <w:r w:rsidR="00FA464F">
        <w:rPr>
          <w:rFonts w:ascii="Arial" w:hAnsi="Arial" w:cs="Arial"/>
        </w:rPr>
        <w:t xml:space="preserve">prone </w:t>
      </w:r>
      <w:r w:rsidR="00BD1CCC">
        <w:rPr>
          <w:rFonts w:ascii="Arial" w:hAnsi="Arial" w:cs="Arial"/>
        </w:rPr>
        <w:t>to discontinue antibiotics</w:t>
      </w:r>
      <w:r w:rsidR="00B513A9">
        <w:rPr>
          <w:rFonts w:ascii="Arial" w:hAnsi="Arial" w:cs="Arial"/>
        </w:rPr>
        <w:t xml:space="preserve"> in general</w:t>
      </w:r>
      <w:r w:rsidR="00BD1CCC">
        <w:rPr>
          <w:rFonts w:ascii="Arial" w:hAnsi="Arial" w:cs="Arial"/>
        </w:rPr>
        <w:t>,</w:t>
      </w:r>
      <w:r w:rsidR="00B15E3A">
        <w:rPr>
          <w:rFonts w:ascii="Arial" w:hAnsi="Arial" w:cs="Arial"/>
        </w:rPr>
        <w:t xml:space="preserve"> </w:t>
      </w:r>
      <w:r w:rsidR="00B513A9">
        <w:rPr>
          <w:rFonts w:ascii="Arial" w:hAnsi="Arial" w:cs="Arial"/>
        </w:rPr>
        <w:t xml:space="preserve">rather than </w:t>
      </w:r>
      <w:r w:rsidR="00A41915">
        <w:rPr>
          <w:rFonts w:ascii="Arial" w:hAnsi="Arial" w:cs="Arial"/>
        </w:rPr>
        <w:t xml:space="preserve">any of </w:t>
      </w:r>
      <w:r w:rsidR="00BD1CCC">
        <w:rPr>
          <w:rFonts w:ascii="Arial" w:hAnsi="Arial" w:cs="Arial"/>
        </w:rPr>
        <w:t>the</w:t>
      </w:r>
      <w:r w:rsidR="00B15E3A">
        <w:rPr>
          <w:rFonts w:ascii="Arial" w:hAnsi="Arial" w:cs="Arial"/>
        </w:rPr>
        <w:t>se</w:t>
      </w:r>
      <w:r w:rsidR="00BD1CCC">
        <w:rPr>
          <w:rFonts w:ascii="Arial" w:hAnsi="Arial" w:cs="Arial"/>
        </w:rPr>
        <w:t xml:space="preserve"> six </w:t>
      </w:r>
      <w:r w:rsidR="00512824">
        <w:rPr>
          <w:rFonts w:ascii="Arial" w:hAnsi="Arial" w:cs="Arial"/>
        </w:rPr>
        <w:t>attributes</w:t>
      </w:r>
      <w:r w:rsidR="00A41915">
        <w:rPr>
          <w:rFonts w:ascii="Arial" w:hAnsi="Arial" w:cs="Arial"/>
        </w:rPr>
        <w:t xml:space="preserve"> influencing their decisions differently to other grades</w:t>
      </w:r>
      <w:r w:rsidR="00BD1CCC">
        <w:rPr>
          <w:rFonts w:ascii="Arial" w:hAnsi="Arial" w:cs="Arial"/>
        </w:rPr>
        <w:t>.</w:t>
      </w:r>
    </w:p>
    <w:p w14:paraId="7506C948" w14:textId="77777777" w:rsidR="0047128A" w:rsidRDefault="0047128A" w:rsidP="0047128A">
      <w:pPr>
        <w:pStyle w:val="NoSpacing"/>
        <w:spacing w:line="480" w:lineRule="auto"/>
        <w:jc w:val="both"/>
        <w:rPr>
          <w:rFonts w:ascii="Arial" w:hAnsi="Arial" w:cs="Arial"/>
        </w:rPr>
      </w:pPr>
    </w:p>
    <w:p w14:paraId="0D436DA6" w14:textId="6376AC1D" w:rsidR="00F27A17" w:rsidRDefault="00F379CB" w:rsidP="0047128A">
      <w:pPr>
        <w:pStyle w:val="NoSpacing"/>
        <w:spacing w:line="480" w:lineRule="auto"/>
        <w:jc w:val="both"/>
        <w:rPr>
          <w:rFonts w:ascii="Arial" w:hAnsi="Arial" w:cs="Arial"/>
        </w:rPr>
      </w:pPr>
      <w:r>
        <w:rPr>
          <w:rFonts w:ascii="Arial" w:hAnsi="Arial" w:cs="Arial"/>
        </w:rPr>
        <w:t>T</w:t>
      </w:r>
      <w:r w:rsidR="00C85128" w:rsidRPr="00C85128">
        <w:rPr>
          <w:rFonts w:ascii="Arial" w:hAnsi="Arial" w:cs="Arial"/>
        </w:rPr>
        <w:t>he competing ris</w:t>
      </w:r>
      <w:r w:rsidR="00B97DB7">
        <w:rPr>
          <w:rFonts w:ascii="Arial" w:hAnsi="Arial" w:cs="Arial"/>
        </w:rPr>
        <w:t>ks of continuing versus discontinuing</w:t>
      </w:r>
      <w:r w:rsidR="00C85128" w:rsidRPr="00C85128">
        <w:rPr>
          <w:rFonts w:ascii="Arial" w:hAnsi="Arial" w:cs="Arial"/>
        </w:rPr>
        <w:t xml:space="preserve"> antibiotics both played an important role</w:t>
      </w:r>
      <w:r>
        <w:rPr>
          <w:rFonts w:ascii="Arial" w:hAnsi="Arial" w:cs="Arial"/>
        </w:rPr>
        <w:t xml:space="preserve"> in review decisions</w:t>
      </w:r>
      <w:r w:rsidR="00C85128" w:rsidRPr="00C85128">
        <w:rPr>
          <w:rFonts w:ascii="Arial" w:hAnsi="Arial" w:cs="Arial"/>
        </w:rPr>
        <w:t xml:space="preserve">. </w:t>
      </w:r>
      <w:r w:rsidR="00A41915">
        <w:rPr>
          <w:rFonts w:ascii="Arial" w:hAnsi="Arial" w:cs="Arial"/>
        </w:rPr>
        <w:t>However, a higher risk of discontinuing affected decisions about twice as much as the same higher risk from continuing. This supports</w:t>
      </w:r>
      <w:r w:rsidR="00F27A17" w:rsidRPr="00A54217">
        <w:rPr>
          <w:rFonts w:ascii="Arial" w:hAnsi="Arial" w:cs="Arial"/>
        </w:rPr>
        <w:t xml:space="preserve"> the </w:t>
      </w:r>
      <w:r w:rsidR="00160635">
        <w:rPr>
          <w:rFonts w:ascii="Arial" w:hAnsi="Arial" w:cs="Arial"/>
        </w:rPr>
        <w:t xml:space="preserve">view that the </w:t>
      </w:r>
      <w:r w:rsidR="00F27A17" w:rsidRPr="00A54217">
        <w:rPr>
          <w:rFonts w:ascii="Arial" w:hAnsi="Arial" w:cs="Arial"/>
        </w:rPr>
        <w:t xml:space="preserve">risk from continuing antibiotics </w:t>
      </w:r>
      <w:r w:rsidR="00160635">
        <w:rPr>
          <w:rFonts w:ascii="Arial" w:hAnsi="Arial" w:cs="Arial"/>
        </w:rPr>
        <w:t>is</w:t>
      </w:r>
      <w:r w:rsidR="00F27A17" w:rsidRPr="00A54217">
        <w:rPr>
          <w:rFonts w:ascii="Arial" w:hAnsi="Arial" w:cs="Arial"/>
        </w:rPr>
        <w:t xml:space="preserve"> much less salient </w:t>
      </w:r>
      <w:r w:rsidR="00160635">
        <w:rPr>
          <w:rFonts w:ascii="Arial" w:hAnsi="Arial" w:cs="Arial"/>
        </w:rPr>
        <w:t>in clinical practice</w:t>
      </w:r>
      <w:r w:rsidR="00160635" w:rsidRPr="00A54217">
        <w:rPr>
          <w:rFonts w:ascii="Arial" w:hAnsi="Arial" w:cs="Arial"/>
        </w:rPr>
        <w:t xml:space="preserve"> </w:t>
      </w:r>
      <w:r w:rsidR="00F27A17" w:rsidRPr="00A54217">
        <w:rPr>
          <w:rFonts w:ascii="Arial" w:hAnsi="Arial" w:cs="Arial"/>
        </w:rPr>
        <w:t xml:space="preserve">than the risk from </w:t>
      </w:r>
      <w:r w:rsidR="00B97DB7">
        <w:rPr>
          <w:rFonts w:ascii="Arial" w:hAnsi="Arial" w:cs="Arial"/>
        </w:rPr>
        <w:t>discontinuing</w:t>
      </w:r>
      <w:r w:rsidR="00F27A17" w:rsidRPr="00A54217">
        <w:rPr>
          <w:rFonts w:ascii="Arial" w:hAnsi="Arial" w:cs="Arial"/>
        </w:rPr>
        <w:t xml:space="preserve"> them</w:t>
      </w:r>
      <w:r w:rsidR="00AB4B0F">
        <w:rPr>
          <w:rFonts w:ascii="Arial" w:hAnsi="Arial" w:cs="Arial"/>
        </w:rPr>
        <w:t xml:space="preserve"> [2</w:t>
      </w:r>
      <w:r w:rsidR="00B6717B">
        <w:rPr>
          <w:rFonts w:ascii="Arial" w:hAnsi="Arial" w:cs="Arial"/>
        </w:rPr>
        <w:t>7</w:t>
      </w:r>
      <w:r w:rsidR="00AB4B0F">
        <w:rPr>
          <w:rFonts w:ascii="Arial" w:hAnsi="Arial" w:cs="Arial"/>
        </w:rPr>
        <w:t>]</w:t>
      </w:r>
      <w:r w:rsidR="00F27A17" w:rsidRPr="00A54217">
        <w:rPr>
          <w:rFonts w:ascii="Arial" w:hAnsi="Arial" w:cs="Arial"/>
        </w:rPr>
        <w:t xml:space="preserve">. </w:t>
      </w:r>
      <w:r w:rsidR="00DD5486">
        <w:rPr>
          <w:rFonts w:ascii="Arial" w:hAnsi="Arial" w:cs="Arial"/>
        </w:rPr>
        <w:t xml:space="preserve">One </w:t>
      </w:r>
      <w:r w:rsidR="00F27A17">
        <w:rPr>
          <w:rFonts w:ascii="Arial" w:hAnsi="Arial" w:cs="Arial"/>
        </w:rPr>
        <w:t>interpret</w:t>
      </w:r>
      <w:r w:rsidR="00DD5486">
        <w:rPr>
          <w:rFonts w:ascii="Arial" w:hAnsi="Arial" w:cs="Arial"/>
        </w:rPr>
        <w:t xml:space="preserve">ation </w:t>
      </w:r>
      <w:r w:rsidR="00A41915">
        <w:rPr>
          <w:rFonts w:ascii="Arial" w:hAnsi="Arial" w:cs="Arial"/>
        </w:rPr>
        <w:t>might be</w:t>
      </w:r>
      <w:r w:rsidR="00DD5486">
        <w:rPr>
          <w:rFonts w:ascii="Arial" w:hAnsi="Arial" w:cs="Arial"/>
        </w:rPr>
        <w:t xml:space="preserve"> that</w:t>
      </w:r>
      <w:r w:rsidR="00F27A17">
        <w:rPr>
          <w:rFonts w:ascii="Arial" w:hAnsi="Arial" w:cs="Arial"/>
        </w:rPr>
        <w:t xml:space="preserve"> it may</w:t>
      </w:r>
      <w:r w:rsidR="00F27A17" w:rsidRPr="00A54217">
        <w:rPr>
          <w:rFonts w:ascii="Arial" w:hAnsi="Arial" w:cs="Arial"/>
        </w:rPr>
        <w:t xml:space="preserve"> be valua</w:t>
      </w:r>
      <w:r w:rsidR="00AD4D97">
        <w:rPr>
          <w:rFonts w:ascii="Arial" w:hAnsi="Arial" w:cs="Arial"/>
        </w:rPr>
        <w:t xml:space="preserve">ble to </w:t>
      </w:r>
      <w:r w:rsidR="00F27A17" w:rsidRPr="00A54217">
        <w:rPr>
          <w:rFonts w:ascii="Arial" w:hAnsi="Arial" w:cs="Arial"/>
        </w:rPr>
        <w:t>make risk</w:t>
      </w:r>
      <w:r w:rsidR="00A41915">
        <w:rPr>
          <w:rFonts w:ascii="Arial" w:hAnsi="Arial" w:cs="Arial"/>
        </w:rPr>
        <w:t xml:space="preserve">s of continuing unnecessary antibiotics, e.g. from </w:t>
      </w:r>
      <w:r w:rsidR="00A41915" w:rsidRPr="00817976">
        <w:rPr>
          <w:rFonts w:ascii="Arial" w:hAnsi="Arial" w:cs="Arial"/>
          <w:i/>
        </w:rPr>
        <w:t>Clostri</w:t>
      </w:r>
      <w:r w:rsidR="00FF6860">
        <w:rPr>
          <w:rFonts w:ascii="Arial" w:hAnsi="Arial" w:cs="Arial"/>
          <w:i/>
        </w:rPr>
        <w:t>dioides</w:t>
      </w:r>
      <w:r w:rsidR="00A41915" w:rsidRPr="00817976">
        <w:rPr>
          <w:rFonts w:ascii="Arial" w:hAnsi="Arial" w:cs="Arial"/>
          <w:i/>
        </w:rPr>
        <w:t xml:space="preserve"> difficile</w:t>
      </w:r>
      <w:r w:rsidR="00A41915">
        <w:rPr>
          <w:rFonts w:ascii="Arial" w:hAnsi="Arial" w:cs="Arial"/>
        </w:rPr>
        <w:t xml:space="preserve"> diarrhoea or adverse drug reactions</w:t>
      </w:r>
      <w:r w:rsidR="00AB4B0F">
        <w:rPr>
          <w:rFonts w:ascii="Arial" w:hAnsi="Arial" w:cs="Arial"/>
        </w:rPr>
        <w:t xml:space="preserve"> [8]</w:t>
      </w:r>
      <w:r w:rsidR="00A41915">
        <w:rPr>
          <w:rFonts w:ascii="Arial" w:hAnsi="Arial" w:cs="Arial"/>
        </w:rPr>
        <w:t>,</w:t>
      </w:r>
      <w:r w:rsidR="00F27A17" w:rsidRPr="00A54217">
        <w:rPr>
          <w:rFonts w:ascii="Arial" w:hAnsi="Arial" w:cs="Arial"/>
        </w:rPr>
        <w:t xml:space="preserve"> more salient</w:t>
      </w:r>
      <w:r w:rsidR="00DD5486">
        <w:rPr>
          <w:rFonts w:ascii="Arial" w:hAnsi="Arial" w:cs="Arial"/>
        </w:rPr>
        <w:t xml:space="preserve"> to clinicians</w:t>
      </w:r>
      <w:r w:rsidR="00F27A17" w:rsidRPr="00A54217">
        <w:rPr>
          <w:rFonts w:ascii="Arial" w:hAnsi="Arial" w:cs="Arial"/>
        </w:rPr>
        <w:t>.</w:t>
      </w:r>
      <w:r w:rsidR="00F27A17">
        <w:rPr>
          <w:rFonts w:ascii="Arial" w:hAnsi="Arial" w:cs="Arial"/>
        </w:rPr>
        <w:t xml:space="preserve"> However, as several respondents </w:t>
      </w:r>
      <w:r w:rsidR="008A61DA">
        <w:rPr>
          <w:rFonts w:ascii="Arial" w:hAnsi="Arial" w:cs="Arial"/>
        </w:rPr>
        <w:t>noted</w:t>
      </w:r>
      <w:r w:rsidR="00F27A17">
        <w:rPr>
          <w:rFonts w:ascii="Arial" w:hAnsi="Arial" w:cs="Arial"/>
        </w:rPr>
        <w:t xml:space="preserve">, </w:t>
      </w:r>
      <w:r w:rsidR="00A41915" w:rsidRPr="00C85128">
        <w:rPr>
          <w:rFonts w:ascii="Arial" w:hAnsi="Arial" w:cs="Arial"/>
        </w:rPr>
        <w:t>in t</w:t>
      </w:r>
      <w:r w:rsidR="00A41915">
        <w:rPr>
          <w:rFonts w:ascii="Arial" w:hAnsi="Arial" w:cs="Arial"/>
        </w:rPr>
        <w:t xml:space="preserve">he choice experiment, </w:t>
      </w:r>
      <w:r w:rsidR="00F27A17">
        <w:rPr>
          <w:rFonts w:ascii="Arial" w:hAnsi="Arial" w:cs="Arial"/>
        </w:rPr>
        <w:t>t</w:t>
      </w:r>
      <w:r w:rsidR="00C85128" w:rsidRPr="00C85128">
        <w:rPr>
          <w:rFonts w:ascii="Arial" w:hAnsi="Arial" w:cs="Arial"/>
        </w:rPr>
        <w:t>he risk</w:t>
      </w:r>
      <w:r w:rsidR="00F27A17">
        <w:rPr>
          <w:rFonts w:ascii="Arial" w:hAnsi="Arial" w:cs="Arial"/>
        </w:rPr>
        <w:t>s</w:t>
      </w:r>
      <w:r w:rsidR="00C85128" w:rsidRPr="00C85128">
        <w:rPr>
          <w:rFonts w:ascii="Arial" w:hAnsi="Arial" w:cs="Arial"/>
        </w:rPr>
        <w:t xml:space="preserve"> from continuing </w:t>
      </w:r>
      <w:r w:rsidR="00F27A17">
        <w:rPr>
          <w:rFonts w:ascii="Arial" w:hAnsi="Arial" w:cs="Arial"/>
        </w:rPr>
        <w:t>and discontinuing antibiotics were</w:t>
      </w:r>
      <w:r w:rsidR="00C85128" w:rsidRPr="00C85128">
        <w:rPr>
          <w:rFonts w:ascii="Arial" w:hAnsi="Arial" w:cs="Arial"/>
        </w:rPr>
        <w:t xml:space="preserve"> quantified and made explicit</w:t>
      </w:r>
      <w:r w:rsidR="00F27A17">
        <w:rPr>
          <w:rFonts w:ascii="Arial" w:hAnsi="Arial" w:cs="Arial"/>
        </w:rPr>
        <w:t xml:space="preserve">, </w:t>
      </w:r>
      <w:r w:rsidR="008A61DA">
        <w:rPr>
          <w:rFonts w:ascii="Arial" w:hAnsi="Arial" w:cs="Arial"/>
        </w:rPr>
        <w:t xml:space="preserve">whereas </w:t>
      </w:r>
      <w:r w:rsidR="005B3C7D">
        <w:rPr>
          <w:rFonts w:ascii="Arial" w:hAnsi="Arial" w:cs="Arial"/>
        </w:rPr>
        <w:t xml:space="preserve">in clinical practice </w:t>
      </w:r>
      <w:r w:rsidR="00F27A17">
        <w:rPr>
          <w:rFonts w:ascii="Arial" w:hAnsi="Arial" w:cs="Arial"/>
        </w:rPr>
        <w:t>th</w:t>
      </w:r>
      <w:r w:rsidR="005B3C7D">
        <w:rPr>
          <w:rFonts w:ascii="Arial" w:hAnsi="Arial" w:cs="Arial"/>
        </w:rPr>
        <w:t>ese risks are harder to quantify</w:t>
      </w:r>
      <w:r w:rsidR="008A61DA">
        <w:rPr>
          <w:rFonts w:ascii="Arial" w:hAnsi="Arial" w:cs="Arial"/>
        </w:rPr>
        <w:t xml:space="preserve">. </w:t>
      </w:r>
      <w:r w:rsidR="002E4611">
        <w:rPr>
          <w:rFonts w:ascii="Arial" w:hAnsi="Arial" w:cs="Arial"/>
        </w:rPr>
        <w:t>Without</w:t>
      </w:r>
      <w:r w:rsidR="008A61DA">
        <w:rPr>
          <w:rFonts w:ascii="Arial" w:hAnsi="Arial" w:cs="Arial"/>
        </w:rPr>
        <w:t xml:space="preserve"> this information</w:t>
      </w:r>
      <w:r w:rsidR="005B3C7D">
        <w:rPr>
          <w:rFonts w:ascii="Arial" w:hAnsi="Arial" w:cs="Arial"/>
        </w:rPr>
        <w:t>, factors such as presenting symptoms and response to treatment may be used to infer these risks.</w:t>
      </w:r>
      <w:r w:rsidR="00F27A17">
        <w:rPr>
          <w:rFonts w:ascii="Arial" w:hAnsi="Arial" w:cs="Arial"/>
        </w:rPr>
        <w:t xml:space="preserve"> </w:t>
      </w:r>
    </w:p>
    <w:p w14:paraId="4FA25151" w14:textId="77777777" w:rsidR="0047128A" w:rsidRDefault="0047128A" w:rsidP="0047128A">
      <w:pPr>
        <w:pStyle w:val="NoSpacing"/>
        <w:spacing w:line="480" w:lineRule="auto"/>
        <w:jc w:val="both"/>
        <w:rPr>
          <w:rFonts w:ascii="Arial" w:hAnsi="Arial" w:cs="Arial"/>
        </w:rPr>
      </w:pPr>
    </w:p>
    <w:p w14:paraId="209BA72A" w14:textId="5AB5B93D" w:rsidR="00010618" w:rsidRDefault="00010618" w:rsidP="0047128A">
      <w:pPr>
        <w:pStyle w:val="NoSpacing"/>
        <w:spacing w:line="480" w:lineRule="auto"/>
        <w:jc w:val="both"/>
        <w:rPr>
          <w:rFonts w:ascii="Arial" w:hAnsi="Arial" w:cs="Arial"/>
        </w:rPr>
      </w:pPr>
      <w:r>
        <w:rPr>
          <w:rFonts w:ascii="Arial" w:hAnsi="Arial" w:cs="Arial"/>
        </w:rPr>
        <w:t xml:space="preserve">We found respondents </w:t>
      </w:r>
      <w:r w:rsidRPr="001D3D3C">
        <w:rPr>
          <w:rFonts w:ascii="Arial" w:hAnsi="Arial" w:cs="Arial"/>
        </w:rPr>
        <w:t xml:space="preserve">were </w:t>
      </w:r>
      <w:r w:rsidR="00306F22">
        <w:rPr>
          <w:rFonts w:ascii="Arial" w:hAnsi="Arial" w:cs="Arial"/>
        </w:rPr>
        <w:t xml:space="preserve">much </w:t>
      </w:r>
      <w:r w:rsidRPr="001D3D3C">
        <w:rPr>
          <w:rFonts w:ascii="Arial" w:hAnsi="Arial" w:cs="Arial"/>
        </w:rPr>
        <w:t>less likely to continue antibiotic</w:t>
      </w:r>
      <w:r>
        <w:rPr>
          <w:rFonts w:ascii="Arial" w:hAnsi="Arial" w:cs="Arial"/>
        </w:rPr>
        <w:t xml:space="preserve">s </w:t>
      </w:r>
      <w:r w:rsidRPr="001D3D3C">
        <w:rPr>
          <w:rFonts w:ascii="Arial" w:hAnsi="Arial" w:cs="Arial"/>
        </w:rPr>
        <w:t xml:space="preserve">when there was </w:t>
      </w:r>
      <w:r>
        <w:rPr>
          <w:rFonts w:ascii="Arial" w:hAnsi="Arial" w:cs="Arial"/>
        </w:rPr>
        <w:t xml:space="preserve">no external pressure to do so – 10% less likely than when faced with </w:t>
      </w:r>
      <w:r w:rsidR="000A242D">
        <w:rPr>
          <w:rFonts w:ascii="Arial" w:hAnsi="Arial" w:cs="Arial"/>
        </w:rPr>
        <w:t>‘</w:t>
      </w:r>
      <w:r>
        <w:rPr>
          <w:rFonts w:ascii="Arial" w:hAnsi="Arial" w:cs="Arial"/>
        </w:rPr>
        <w:t>heavy</w:t>
      </w:r>
      <w:r w:rsidR="000A242D">
        <w:rPr>
          <w:rFonts w:ascii="Arial" w:hAnsi="Arial" w:cs="Arial"/>
        </w:rPr>
        <w:t>’</w:t>
      </w:r>
      <w:r>
        <w:rPr>
          <w:rFonts w:ascii="Arial" w:hAnsi="Arial" w:cs="Arial"/>
        </w:rPr>
        <w:t xml:space="preserve"> external pressure</w:t>
      </w:r>
      <w:r w:rsidRPr="001D3D3C">
        <w:rPr>
          <w:rFonts w:ascii="Arial" w:hAnsi="Arial" w:cs="Arial"/>
        </w:rPr>
        <w:t>.</w:t>
      </w:r>
      <w:r>
        <w:rPr>
          <w:rFonts w:ascii="Arial" w:hAnsi="Arial" w:cs="Arial"/>
        </w:rPr>
        <w:t xml:space="preserve"> </w:t>
      </w:r>
      <w:r w:rsidR="005D1BF2">
        <w:rPr>
          <w:rFonts w:ascii="Arial" w:hAnsi="Arial" w:cs="Arial"/>
        </w:rPr>
        <w:t>T</w:t>
      </w:r>
      <w:r>
        <w:rPr>
          <w:rFonts w:ascii="Arial" w:hAnsi="Arial" w:cs="Arial"/>
        </w:rPr>
        <w:t>his contrasts with respon</w:t>
      </w:r>
      <w:r w:rsidR="00853827">
        <w:rPr>
          <w:rFonts w:ascii="Arial" w:hAnsi="Arial" w:cs="Arial"/>
        </w:rPr>
        <w:t>ses</w:t>
      </w:r>
      <w:r>
        <w:rPr>
          <w:rFonts w:ascii="Arial" w:hAnsi="Arial" w:cs="Arial"/>
        </w:rPr>
        <w:t xml:space="preserve"> </w:t>
      </w:r>
      <w:r w:rsidR="00853827">
        <w:rPr>
          <w:rFonts w:ascii="Arial" w:hAnsi="Arial" w:cs="Arial"/>
        </w:rPr>
        <w:t xml:space="preserve">to </w:t>
      </w:r>
      <w:r>
        <w:rPr>
          <w:rFonts w:ascii="Arial" w:hAnsi="Arial" w:cs="Arial"/>
        </w:rPr>
        <w:t xml:space="preserve">the </w:t>
      </w:r>
      <w:r w:rsidR="00512824">
        <w:rPr>
          <w:rFonts w:ascii="Arial" w:hAnsi="Arial" w:cs="Arial"/>
        </w:rPr>
        <w:t>attribute</w:t>
      </w:r>
      <w:r>
        <w:rPr>
          <w:rFonts w:ascii="Arial" w:hAnsi="Arial" w:cs="Arial"/>
        </w:rPr>
        <w:t xml:space="preserve"> ranking exercise</w:t>
      </w:r>
      <w:r w:rsidRPr="00010618">
        <w:rPr>
          <w:rFonts w:ascii="Arial" w:hAnsi="Arial" w:cs="Arial"/>
        </w:rPr>
        <w:t xml:space="preserve">, where </w:t>
      </w:r>
      <w:r w:rsidR="00B97DB7">
        <w:rPr>
          <w:rFonts w:ascii="Arial" w:hAnsi="Arial" w:cs="Arial"/>
        </w:rPr>
        <w:t xml:space="preserve">external </w:t>
      </w:r>
      <w:r w:rsidRPr="00010618">
        <w:rPr>
          <w:rFonts w:ascii="Arial" w:hAnsi="Arial" w:cs="Arial"/>
        </w:rPr>
        <w:t>pre</w:t>
      </w:r>
      <w:r>
        <w:rPr>
          <w:rFonts w:ascii="Arial" w:hAnsi="Arial" w:cs="Arial"/>
        </w:rPr>
        <w:t>ssure was ranked</w:t>
      </w:r>
      <w:r w:rsidRPr="00010618">
        <w:rPr>
          <w:rFonts w:ascii="Arial" w:hAnsi="Arial" w:cs="Arial"/>
        </w:rPr>
        <w:t xml:space="preserve"> as the least important </w:t>
      </w:r>
      <w:r w:rsidR="00512824">
        <w:rPr>
          <w:rFonts w:ascii="Arial" w:hAnsi="Arial" w:cs="Arial"/>
        </w:rPr>
        <w:t>attribute</w:t>
      </w:r>
      <w:r w:rsidR="00D2696F">
        <w:rPr>
          <w:rFonts w:ascii="Arial" w:hAnsi="Arial" w:cs="Arial"/>
        </w:rPr>
        <w:t>.</w:t>
      </w:r>
      <w:r w:rsidR="00D2696F">
        <w:rPr>
          <w:rFonts w:ascii="Arial" w:hAnsi="Arial" w:cs="Arial"/>
          <w:color w:val="1C1D1E"/>
          <w:shd w:val="clear" w:color="auto" w:fill="FFFFFF"/>
        </w:rPr>
        <w:t xml:space="preserve"> </w:t>
      </w:r>
      <w:r w:rsidR="00B31165">
        <w:rPr>
          <w:rFonts w:ascii="Arial" w:hAnsi="Arial" w:cs="Arial"/>
          <w:color w:val="1C1D1E"/>
          <w:shd w:val="clear" w:color="auto" w:fill="FFFFFF"/>
        </w:rPr>
        <w:t>The</w:t>
      </w:r>
      <w:r w:rsidR="00CE2B37">
        <w:rPr>
          <w:rFonts w:ascii="Arial" w:hAnsi="Arial" w:cs="Arial"/>
          <w:color w:val="1C1D1E"/>
          <w:shd w:val="clear" w:color="auto" w:fill="FFFFFF"/>
        </w:rPr>
        <w:t xml:space="preserve"> ability</w:t>
      </w:r>
      <w:r w:rsidR="00B31165">
        <w:rPr>
          <w:rFonts w:ascii="Arial" w:hAnsi="Arial" w:cs="Arial"/>
          <w:color w:val="1C1D1E"/>
          <w:shd w:val="clear" w:color="auto" w:fill="FFFFFF"/>
        </w:rPr>
        <w:t xml:space="preserve"> of choice experiments</w:t>
      </w:r>
      <w:r w:rsidR="00CE2B37">
        <w:rPr>
          <w:rFonts w:ascii="Arial" w:hAnsi="Arial" w:cs="Arial"/>
          <w:color w:val="1C1D1E"/>
          <w:shd w:val="clear" w:color="auto" w:fill="FFFFFF"/>
        </w:rPr>
        <w:t xml:space="preserve"> to better capture underlying preferences</w:t>
      </w:r>
      <w:r w:rsidR="005D1BF2">
        <w:rPr>
          <w:rFonts w:ascii="Arial" w:hAnsi="Arial" w:cs="Arial"/>
          <w:color w:val="1C1D1E"/>
          <w:shd w:val="clear" w:color="auto" w:fill="FFFFFF"/>
        </w:rPr>
        <w:t xml:space="preserve"> – </w:t>
      </w:r>
      <w:r w:rsidR="00CE2B37">
        <w:rPr>
          <w:rFonts w:ascii="Arial" w:hAnsi="Arial" w:cs="Arial"/>
          <w:color w:val="1C1D1E"/>
          <w:shd w:val="clear" w:color="auto" w:fill="FFFFFF"/>
        </w:rPr>
        <w:t>and thus actual decision making</w:t>
      </w:r>
      <w:r w:rsidR="005D1BF2">
        <w:rPr>
          <w:rFonts w:ascii="Arial" w:hAnsi="Arial" w:cs="Arial"/>
          <w:color w:val="1C1D1E"/>
          <w:shd w:val="clear" w:color="auto" w:fill="FFFFFF"/>
        </w:rPr>
        <w:t xml:space="preserve"> – versus </w:t>
      </w:r>
      <w:r w:rsidR="00CE2B37">
        <w:rPr>
          <w:rFonts w:ascii="Arial" w:hAnsi="Arial" w:cs="Arial"/>
          <w:color w:val="1C1D1E"/>
          <w:shd w:val="clear" w:color="auto" w:fill="FFFFFF"/>
        </w:rPr>
        <w:t xml:space="preserve">direct questions about preferences, </w:t>
      </w:r>
      <w:r w:rsidR="00F857C3">
        <w:rPr>
          <w:rFonts w:ascii="Arial" w:hAnsi="Arial" w:cs="Arial"/>
        </w:rPr>
        <w:t xml:space="preserve">is </w:t>
      </w:r>
      <w:r w:rsidR="00CE2B37">
        <w:rPr>
          <w:rFonts w:ascii="Arial" w:hAnsi="Arial" w:cs="Arial"/>
        </w:rPr>
        <w:t xml:space="preserve">considered </w:t>
      </w:r>
      <w:r w:rsidR="00B31165">
        <w:rPr>
          <w:rFonts w:ascii="Arial" w:hAnsi="Arial" w:cs="Arial"/>
        </w:rPr>
        <w:t>one of their</w:t>
      </w:r>
      <w:r w:rsidR="00F857C3">
        <w:rPr>
          <w:rFonts w:ascii="Arial" w:hAnsi="Arial" w:cs="Arial"/>
        </w:rPr>
        <w:t xml:space="preserve"> key strength</w:t>
      </w:r>
      <w:r w:rsidR="00B31165">
        <w:rPr>
          <w:rFonts w:ascii="Arial" w:hAnsi="Arial" w:cs="Arial"/>
        </w:rPr>
        <w:t>s</w:t>
      </w:r>
      <w:r w:rsidR="00AB4B0F">
        <w:rPr>
          <w:rFonts w:ascii="Arial" w:hAnsi="Arial" w:cs="Arial"/>
        </w:rPr>
        <w:t xml:space="preserve"> [2</w:t>
      </w:r>
      <w:r w:rsidR="00B6717B">
        <w:rPr>
          <w:rFonts w:ascii="Arial" w:hAnsi="Arial" w:cs="Arial"/>
        </w:rPr>
        <w:t>8</w:t>
      </w:r>
      <w:r w:rsidR="00AB4B0F">
        <w:rPr>
          <w:rFonts w:ascii="Arial" w:hAnsi="Arial" w:cs="Arial"/>
        </w:rPr>
        <w:t>]</w:t>
      </w:r>
      <w:r w:rsidR="00F857C3">
        <w:rPr>
          <w:rFonts w:ascii="Arial" w:hAnsi="Arial" w:cs="Arial"/>
        </w:rPr>
        <w:t xml:space="preserve">. </w:t>
      </w:r>
      <w:r w:rsidR="00F8515D">
        <w:rPr>
          <w:rFonts w:ascii="Arial" w:hAnsi="Arial" w:cs="Arial"/>
        </w:rPr>
        <w:t>It is p</w:t>
      </w:r>
      <w:r w:rsidR="003B53DF">
        <w:rPr>
          <w:rFonts w:ascii="Arial" w:hAnsi="Arial" w:cs="Arial"/>
        </w:rPr>
        <w:t>ossible</w:t>
      </w:r>
      <w:r w:rsidR="00F8515D">
        <w:rPr>
          <w:rFonts w:ascii="Arial" w:hAnsi="Arial" w:cs="Arial"/>
        </w:rPr>
        <w:t xml:space="preserve"> </w:t>
      </w:r>
      <w:r w:rsidR="003B53DF">
        <w:rPr>
          <w:rFonts w:ascii="Arial" w:hAnsi="Arial" w:cs="Arial"/>
        </w:rPr>
        <w:t>that respondents were either unaware of the extent to which pressure is an influence or, due to social desirability bias, did no</w:t>
      </w:r>
      <w:r w:rsidR="00F8515D">
        <w:rPr>
          <w:rFonts w:ascii="Arial" w:hAnsi="Arial" w:cs="Arial"/>
        </w:rPr>
        <w:t>t want to admit it</w:t>
      </w:r>
      <w:r w:rsidR="002E4611">
        <w:rPr>
          <w:rFonts w:ascii="Arial" w:hAnsi="Arial" w:cs="Arial"/>
        </w:rPr>
        <w:t xml:space="preserve"> in the ranking exercise</w:t>
      </w:r>
      <w:r w:rsidR="003B53DF">
        <w:rPr>
          <w:rFonts w:ascii="Arial" w:hAnsi="Arial" w:cs="Arial"/>
        </w:rPr>
        <w:t xml:space="preserve">. </w:t>
      </w:r>
      <w:r>
        <w:rPr>
          <w:rFonts w:ascii="Arial" w:hAnsi="Arial" w:cs="Arial"/>
        </w:rPr>
        <w:t>Th</w:t>
      </w:r>
      <w:r w:rsidR="005D1BF2">
        <w:rPr>
          <w:rFonts w:ascii="Arial" w:hAnsi="Arial" w:cs="Arial"/>
        </w:rPr>
        <w:t>is</w:t>
      </w:r>
      <w:r>
        <w:rPr>
          <w:rFonts w:ascii="Arial" w:hAnsi="Arial" w:cs="Arial"/>
        </w:rPr>
        <w:t xml:space="preserve"> raises question</w:t>
      </w:r>
      <w:r w:rsidR="002E4611">
        <w:rPr>
          <w:rFonts w:ascii="Arial" w:hAnsi="Arial" w:cs="Arial"/>
        </w:rPr>
        <w:t>s</w:t>
      </w:r>
      <w:r>
        <w:rPr>
          <w:rFonts w:ascii="Arial" w:hAnsi="Arial" w:cs="Arial"/>
        </w:rPr>
        <w:t xml:space="preserve"> as to whether </w:t>
      </w:r>
      <w:r w:rsidRPr="00A54217">
        <w:rPr>
          <w:rFonts w:ascii="Arial" w:hAnsi="Arial" w:cs="Arial"/>
        </w:rPr>
        <w:t>external pressure to continue antibiotics</w:t>
      </w:r>
      <w:r>
        <w:rPr>
          <w:rFonts w:ascii="Arial" w:hAnsi="Arial" w:cs="Arial"/>
        </w:rPr>
        <w:t xml:space="preserve"> can</w:t>
      </w:r>
      <w:r w:rsidRPr="00A54217">
        <w:rPr>
          <w:rFonts w:ascii="Arial" w:hAnsi="Arial" w:cs="Arial"/>
        </w:rPr>
        <w:t xml:space="preserve"> be reduced, or </w:t>
      </w:r>
      <w:r>
        <w:rPr>
          <w:rFonts w:ascii="Arial" w:hAnsi="Arial" w:cs="Arial"/>
        </w:rPr>
        <w:t xml:space="preserve">whether </w:t>
      </w:r>
      <w:r w:rsidRPr="00A54217">
        <w:rPr>
          <w:rFonts w:ascii="Arial" w:hAnsi="Arial" w:cs="Arial"/>
        </w:rPr>
        <w:t xml:space="preserve">the way prescribers respond to external pressure </w:t>
      </w:r>
      <w:r>
        <w:rPr>
          <w:rFonts w:ascii="Arial" w:hAnsi="Arial" w:cs="Arial"/>
        </w:rPr>
        <w:t xml:space="preserve">can </w:t>
      </w:r>
      <w:r w:rsidRPr="00A54217">
        <w:rPr>
          <w:rFonts w:ascii="Arial" w:hAnsi="Arial" w:cs="Arial"/>
        </w:rPr>
        <w:t xml:space="preserve">be changed, </w:t>
      </w:r>
      <w:r w:rsidR="002E4611">
        <w:rPr>
          <w:rFonts w:ascii="Arial" w:hAnsi="Arial" w:cs="Arial"/>
        </w:rPr>
        <w:t>e.g.</w:t>
      </w:r>
      <w:r w:rsidRPr="00A54217">
        <w:rPr>
          <w:rFonts w:ascii="Arial" w:hAnsi="Arial" w:cs="Arial"/>
        </w:rPr>
        <w:t xml:space="preserve"> thro</w:t>
      </w:r>
      <w:r>
        <w:rPr>
          <w:rFonts w:ascii="Arial" w:hAnsi="Arial" w:cs="Arial"/>
        </w:rPr>
        <w:t>ugh training.</w:t>
      </w:r>
      <w:r w:rsidRPr="00A54217">
        <w:rPr>
          <w:rFonts w:ascii="Arial" w:hAnsi="Arial" w:cs="Arial"/>
        </w:rPr>
        <w:t xml:space="preserve"> </w:t>
      </w:r>
      <w:r w:rsidR="002E4611">
        <w:rPr>
          <w:rFonts w:ascii="Arial" w:hAnsi="Arial" w:cs="Arial"/>
        </w:rPr>
        <w:t xml:space="preserve">One limitation however is </w:t>
      </w:r>
      <w:r w:rsidRPr="00A54217">
        <w:rPr>
          <w:rFonts w:ascii="Arial" w:hAnsi="Arial" w:cs="Arial"/>
        </w:rPr>
        <w:t xml:space="preserve">that different respondents may have interpreted pressure in different ways. </w:t>
      </w:r>
      <w:r w:rsidR="005D1BF2">
        <w:rPr>
          <w:rFonts w:ascii="Arial" w:hAnsi="Arial" w:cs="Arial"/>
        </w:rPr>
        <w:t>O</w:t>
      </w:r>
      <w:r w:rsidRPr="00A54217">
        <w:rPr>
          <w:rFonts w:ascii="Arial" w:hAnsi="Arial" w:cs="Arial"/>
        </w:rPr>
        <w:t>ne respondent commented that the relevance of this attribute depends on where t</w:t>
      </w:r>
      <w:r w:rsidR="00930563">
        <w:rPr>
          <w:rFonts w:ascii="Arial" w:hAnsi="Arial" w:cs="Arial"/>
        </w:rPr>
        <w:t>he pressure is coming from;</w:t>
      </w:r>
      <w:r w:rsidRPr="00A54217">
        <w:rPr>
          <w:rFonts w:ascii="Arial" w:hAnsi="Arial" w:cs="Arial"/>
        </w:rPr>
        <w:t xml:space="preserve"> it would be extremely important if it was coming from within the team, especially a consultant, but much less so if from </w:t>
      </w:r>
      <w:r w:rsidR="00015BF3">
        <w:rPr>
          <w:rFonts w:ascii="Arial" w:hAnsi="Arial" w:cs="Arial"/>
        </w:rPr>
        <w:t>patients</w:t>
      </w:r>
      <w:r w:rsidR="004661CD">
        <w:rPr>
          <w:rFonts w:ascii="Arial" w:hAnsi="Arial" w:cs="Arial"/>
        </w:rPr>
        <w:t>’</w:t>
      </w:r>
      <w:r w:rsidR="00015BF3">
        <w:rPr>
          <w:rFonts w:ascii="Arial" w:hAnsi="Arial" w:cs="Arial"/>
        </w:rPr>
        <w:t xml:space="preserve"> relatives</w:t>
      </w:r>
      <w:r w:rsidRPr="00A54217">
        <w:rPr>
          <w:rFonts w:ascii="Arial" w:hAnsi="Arial" w:cs="Arial"/>
        </w:rPr>
        <w:t>.</w:t>
      </w:r>
    </w:p>
    <w:p w14:paraId="25418733" w14:textId="77777777" w:rsidR="0047128A" w:rsidRDefault="0047128A" w:rsidP="0047128A">
      <w:pPr>
        <w:pStyle w:val="NoSpacing"/>
        <w:spacing w:line="480" w:lineRule="auto"/>
        <w:jc w:val="both"/>
        <w:rPr>
          <w:rFonts w:ascii="Arial" w:hAnsi="Arial" w:cs="Arial"/>
        </w:rPr>
      </w:pPr>
    </w:p>
    <w:p w14:paraId="0DCD3006" w14:textId="5D931BD6" w:rsidR="00C35C7E" w:rsidRDefault="001370A3" w:rsidP="0047128A">
      <w:pPr>
        <w:pStyle w:val="NoSpacing"/>
        <w:spacing w:line="480" w:lineRule="auto"/>
        <w:jc w:val="both"/>
        <w:rPr>
          <w:rFonts w:ascii="Arial" w:hAnsi="Arial" w:cs="Arial"/>
        </w:rPr>
      </w:pPr>
      <w:r>
        <w:rPr>
          <w:rFonts w:ascii="Arial" w:hAnsi="Arial" w:cs="Arial"/>
        </w:rPr>
        <w:t>Previous studies have identified sociocult</w:t>
      </w:r>
      <w:r w:rsidR="00187561">
        <w:rPr>
          <w:rFonts w:ascii="Arial" w:hAnsi="Arial" w:cs="Arial"/>
        </w:rPr>
        <w:t>ural and behavioural factors</w:t>
      </w:r>
      <w:r>
        <w:rPr>
          <w:rFonts w:ascii="Arial" w:hAnsi="Arial" w:cs="Arial"/>
        </w:rPr>
        <w:t xml:space="preserve"> likely to play a role in hospital antibiotic prescribing decisions</w:t>
      </w:r>
      <w:r w:rsidR="00BB4992">
        <w:rPr>
          <w:rFonts w:ascii="Arial" w:hAnsi="Arial" w:cs="Arial"/>
        </w:rPr>
        <w:t>, including attitudes to guidelines and tolerance of risk of undertreating infections</w:t>
      </w:r>
      <w:r w:rsidR="00AB4B0F">
        <w:rPr>
          <w:rFonts w:ascii="Arial" w:hAnsi="Arial" w:cs="Arial"/>
        </w:rPr>
        <w:t xml:space="preserve"> [13]</w:t>
      </w:r>
      <w:r>
        <w:rPr>
          <w:rFonts w:ascii="Arial" w:hAnsi="Arial" w:cs="Arial"/>
        </w:rPr>
        <w:t xml:space="preserve">. </w:t>
      </w:r>
      <w:r w:rsidR="00635960">
        <w:rPr>
          <w:rFonts w:ascii="Arial" w:hAnsi="Arial" w:cs="Arial"/>
        </w:rPr>
        <w:t>Quantitative evidence on the relative importance of different factors can</w:t>
      </w:r>
      <w:r w:rsidR="00C35C7E">
        <w:rPr>
          <w:rFonts w:ascii="Arial" w:hAnsi="Arial" w:cs="Arial"/>
        </w:rPr>
        <w:t xml:space="preserve"> </w:t>
      </w:r>
      <w:r w:rsidR="002E4611">
        <w:rPr>
          <w:rFonts w:ascii="Arial" w:hAnsi="Arial" w:cs="Arial"/>
        </w:rPr>
        <w:t xml:space="preserve">support </w:t>
      </w:r>
      <w:r w:rsidR="00703A3C">
        <w:rPr>
          <w:rFonts w:ascii="Arial" w:hAnsi="Arial" w:cs="Arial"/>
        </w:rPr>
        <w:t>the</w:t>
      </w:r>
      <w:r>
        <w:rPr>
          <w:rFonts w:ascii="Arial" w:hAnsi="Arial" w:cs="Arial"/>
        </w:rPr>
        <w:t xml:space="preserve"> design and implementation of </w:t>
      </w:r>
      <w:r w:rsidR="00635960">
        <w:rPr>
          <w:rFonts w:ascii="Arial" w:hAnsi="Arial" w:cs="Arial"/>
        </w:rPr>
        <w:t xml:space="preserve">more efficient </w:t>
      </w:r>
      <w:r>
        <w:rPr>
          <w:rFonts w:ascii="Arial" w:hAnsi="Arial" w:cs="Arial"/>
        </w:rPr>
        <w:t>stewardship interventions</w:t>
      </w:r>
      <w:r w:rsidR="00635960">
        <w:rPr>
          <w:rFonts w:ascii="Arial" w:hAnsi="Arial" w:cs="Arial"/>
        </w:rPr>
        <w:t>, by directing interventions to target the most influential factors</w:t>
      </w:r>
      <w:r w:rsidR="00AB4B0F">
        <w:rPr>
          <w:rFonts w:ascii="Arial" w:hAnsi="Arial" w:cs="Arial"/>
        </w:rPr>
        <w:t xml:space="preserve"> [13]</w:t>
      </w:r>
      <w:r>
        <w:rPr>
          <w:rFonts w:ascii="Arial" w:hAnsi="Arial" w:cs="Arial"/>
        </w:rPr>
        <w:t xml:space="preserve">. </w:t>
      </w:r>
      <w:r w:rsidR="00635960">
        <w:rPr>
          <w:rFonts w:ascii="Arial" w:hAnsi="Arial" w:cs="Arial"/>
        </w:rPr>
        <w:t>To our knowledge, this is the first study to quantify the relative importance of such factors.</w:t>
      </w:r>
    </w:p>
    <w:p w14:paraId="54F43A2A" w14:textId="77777777" w:rsidR="0047128A" w:rsidRDefault="0047128A" w:rsidP="0047128A">
      <w:pPr>
        <w:pStyle w:val="NoSpacing"/>
        <w:spacing w:line="480" w:lineRule="auto"/>
        <w:jc w:val="both"/>
        <w:rPr>
          <w:rFonts w:ascii="Arial" w:hAnsi="Arial" w:cs="Arial"/>
        </w:rPr>
      </w:pPr>
    </w:p>
    <w:p w14:paraId="12BCB7B9" w14:textId="2AC8C951" w:rsidR="0005650E" w:rsidRDefault="001370A3" w:rsidP="0047128A">
      <w:pPr>
        <w:pStyle w:val="NoSpacing"/>
        <w:spacing w:line="480" w:lineRule="auto"/>
        <w:jc w:val="both"/>
        <w:rPr>
          <w:rFonts w:ascii="Arial" w:hAnsi="Arial" w:cs="Arial"/>
        </w:rPr>
      </w:pPr>
      <w:r>
        <w:rPr>
          <w:rFonts w:ascii="Arial" w:hAnsi="Arial" w:cs="Arial"/>
        </w:rPr>
        <w:t xml:space="preserve">Our study also has limitations. </w:t>
      </w:r>
      <w:r w:rsidR="002C35A3">
        <w:rPr>
          <w:rFonts w:ascii="Arial" w:hAnsi="Arial" w:cs="Arial"/>
        </w:rPr>
        <w:t xml:space="preserve">First, </w:t>
      </w:r>
      <w:r w:rsidR="00DA1C5A">
        <w:rPr>
          <w:rFonts w:ascii="Arial" w:hAnsi="Arial" w:cs="Arial"/>
        </w:rPr>
        <w:t xml:space="preserve">though the research question is of wider relevance, </w:t>
      </w:r>
      <w:r w:rsidR="002C35A3">
        <w:rPr>
          <w:rFonts w:ascii="Arial" w:hAnsi="Arial" w:cs="Arial"/>
        </w:rPr>
        <w:t xml:space="preserve">the setting for the study was the </w:t>
      </w:r>
      <w:r w:rsidR="008B57E2">
        <w:rPr>
          <w:rFonts w:ascii="Arial" w:hAnsi="Arial" w:cs="Arial"/>
        </w:rPr>
        <w:t>NHS in England</w:t>
      </w:r>
      <w:r w:rsidR="002C35A3">
        <w:rPr>
          <w:rFonts w:ascii="Arial" w:hAnsi="Arial" w:cs="Arial"/>
        </w:rPr>
        <w:t>. In other settings the factors driving early discontinuation</w:t>
      </w:r>
      <w:r w:rsidR="00A01608">
        <w:rPr>
          <w:rFonts w:ascii="Arial" w:hAnsi="Arial" w:cs="Arial"/>
        </w:rPr>
        <w:t xml:space="preserve"> of antibiotics may vary.</w:t>
      </w:r>
      <w:r w:rsidR="00883F49">
        <w:rPr>
          <w:rFonts w:ascii="Arial" w:hAnsi="Arial" w:cs="Arial"/>
        </w:rPr>
        <w:t xml:space="preserve"> For example,</w:t>
      </w:r>
      <w:r w:rsidR="00641DC2">
        <w:rPr>
          <w:rFonts w:ascii="Arial" w:hAnsi="Arial" w:cs="Arial"/>
        </w:rPr>
        <w:t xml:space="preserve"> </w:t>
      </w:r>
      <w:r w:rsidR="00641DC2" w:rsidRPr="00641DC2">
        <w:rPr>
          <w:rFonts w:ascii="Arial" w:hAnsi="Arial" w:cs="Arial"/>
        </w:rPr>
        <w:t>i</w:t>
      </w:r>
      <w:r w:rsidR="00641DC2" w:rsidRPr="00461268">
        <w:rPr>
          <w:rFonts w:ascii="Arial" w:hAnsi="Arial" w:cs="Arial"/>
        </w:rPr>
        <w:t xml:space="preserve">n </w:t>
      </w:r>
      <w:r w:rsidR="00641DC2">
        <w:rPr>
          <w:rFonts w:ascii="Arial" w:hAnsi="Arial" w:cs="Arial"/>
        </w:rPr>
        <w:t xml:space="preserve">the United States </w:t>
      </w:r>
      <w:r w:rsidR="008B57E2">
        <w:rPr>
          <w:rFonts w:ascii="Arial" w:hAnsi="Arial" w:cs="Arial"/>
        </w:rPr>
        <w:t>and elsewhere</w:t>
      </w:r>
      <w:r w:rsidR="002E4611">
        <w:rPr>
          <w:rFonts w:ascii="Arial" w:hAnsi="Arial" w:cs="Arial"/>
        </w:rPr>
        <w:t>,</w:t>
      </w:r>
      <w:r w:rsidR="008B57E2">
        <w:rPr>
          <w:rFonts w:ascii="Arial" w:hAnsi="Arial" w:cs="Arial"/>
        </w:rPr>
        <w:t xml:space="preserve"> </w:t>
      </w:r>
      <w:r w:rsidR="00641DC2">
        <w:rPr>
          <w:rFonts w:ascii="Arial" w:hAnsi="Arial" w:cs="Arial"/>
        </w:rPr>
        <w:t xml:space="preserve">procalcitonin measurements </w:t>
      </w:r>
      <w:r w:rsidR="008B57E2">
        <w:rPr>
          <w:rFonts w:ascii="Arial" w:hAnsi="Arial" w:cs="Arial"/>
        </w:rPr>
        <w:t xml:space="preserve">are used widely </w:t>
      </w:r>
      <w:r w:rsidR="00641DC2">
        <w:rPr>
          <w:rFonts w:ascii="Arial" w:hAnsi="Arial" w:cs="Arial"/>
        </w:rPr>
        <w:t>to guide discontinuation decisions</w:t>
      </w:r>
      <w:r w:rsidR="008B57E2">
        <w:rPr>
          <w:rFonts w:ascii="Arial" w:hAnsi="Arial" w:cs="Arial"/>
        </w:rPr>
        <w:t xml:space="preserve"> in some clinical scenarios</w:t>
      </w:r>
      <w:r w:rsidR="00AB4B0F">
        <w:rPr>
          <w:rFonts w:ascii="Arial" w:hAnsi="Arial" w:cs="Arial"/>
        </w:rPr>
        <w:t xml:space="preserve"> [2</w:t>
      </w:r>
      <w:r w:rsidR="00B6717B">
        <w:rPr>
          <w:rFonts w:ascii="Arial" w:hAnsi="Arial" w:cs="Arial"/>
        </w:rPr>
        <w:t>9</w:t>
      </w:r>
      <w:r w:rsidR="00AB4B0F">
        <w:rPr>
          <w:rFonts w:ascii="Arial" w:hAnsi="Arial" w:cs="Arial"/>
        </w:rPr>
        <w:t>,</w:t>
      </w:r>
      <w:r w:rsidR="00B6717B">
        <w:rPr>
          <w:rFonts w:ascii="Arial" w:hAnsi="Arial" w:cs="Arial"/>
        </w:rPr>
        <w:t>30</w:t>
      </w:r>
      <w:r w:rsidR="00AB4B0F">
        <w:rPr>
          <w:rFonts w:ascii="Arial" w:hAnsi="Arial" w:cs="Arial"/>
        </w:rPr>
        <w:t>]</w:t>
      </w:r>
      <w:r w:rsidR="00883F49">
        <w:rPr>
          <w:rFonts w:ascii="Arial" w:hAnsi="Arial" w:cs="Arial"/>
        </w:rPr>
        <w:t>.</w:t>
      </w:r>
      <w:r w:rsidR="00A01608">
        <w:rPr>
          <w:rFonts w:ascii="Arial" w:hAnsi="Arial" w:cs="Arial"/>
        </w:rPr>
        <w:t xml:space="preserve"> </w:t>
      </w:r>
      <w:r w:rsidR="008B57E2">
        <w:rPr>
          <w:rFonts w:ascii="Arial" w:hAnsi="Arial" w:cs="Arial"/>
        </w:rPr>
        <w:t xml:space="preserve">This is not true currently of UK practice outside critical care units. </w:t>
      </w:r>
      <w:r w:rsidR="00A01608">
        <w:rPr>
          <w:rFonts w:ascii="Arial" w:hAnsi="Arial" w:cs="Arial"/>
        </w:rPr>
        <w:t>Second, reported actions in a survey may not reflect actual choices in clinical practice</w:t>
      </w:r>
      <w:r w:rsidR="0018040D">
        <w:rPr>
          <w:rFonts w:ascii="Arial" w:hAnsi="Arial" w:cs="Arial"/>
        </w:rPr>
        <w:t xml:space="preserve">, though </w:t>
      </w:r>
      <w:r w:rsidR="001A24AE">
        <w:rPr>
          <w:rFonts w:ascii="Arial" w:hAnsi="Arial" w:cs="Arial"/>
        </w:rPr>
        <w:t>asking</w:t>
      </w:r>
      <w:r w:rsidR="0018040D">
        <w:rPr>
          <w:rFonts w:ascii="Arial" w:hAnsi="Arial" w:cs="Arial"/>
        </w:rPr>
        <w:t xml:space="preserve"> respondents to make trade-offs rather than state absolute preferences may </w:t>
      </w:r>
      <w:r w:rsidR="005A641F">
        <w:rPr>
          <w:rFonts w:ascii="Arial" w:hAnsi="Arial" w:cs="Arial"/>
        </w:rPr>
        <w:t xml:space="preserve">partially </w:t>
      </w:r>
      <w:r w:rsidR="0018040D">
        <w:rPr>
          <w:rFonts w:ascii="Arial" w:hAnsi="Arial" w:cs="Arial"/>
        </w:rPr>
        <w:t>mitigate this limitation.</w:t>
      </w:r>
      <w:r w:rsidR="00A01608">
        <w:rPr>
          <w:rFonts w:ascii="Arial" w:hAnsi="Arial" w:cs="Arial"/>
        </w:rPr>
        <w:t xml:space="preserve"> </w:t>
      </w:r>
      <w:r w:rsidR="00D36FED">
        <w:rPr>
          <w:rFonts w:ascii="Arial" w:hAnsi="Arial" w:cs="Arial"/>
        </w:rPr>
        <w:t xml:space="preserve">Third, our sample size may be considered small but </w:t>
      </w:r>
      <w:r w:rsidR="00D36FED" w:rsidRPr="00D36FED">
        <w:rPr>
          <w:rFonts w:ascii="Arial" w:hAnsi="Arial" w:cs="Arial"/>
        </w:rPr>
        <w:t>choice experiments such as this one typically require smaller sample sizes than</w:t>
      </w:r>
      <w:r w:rsidR="00B24368">
        <w:rPr>
          <w:rFonts w:ascii="Arial" w:hAnsi="Arial" w:cs="Arial"/>
        </w:rPr>
        <w:t xml:space="preserve"> many other types of regression-</w:t>
      </w:r>
      <w:r w:rsidR="00D36FED" w:rsidRPr="00D36FED">
        <w:rPr>
          <w:rFonts w:ascii="Arial" w:hAnsi="Arial" w:cs="Arial"/>
        </w:rPr>
        <w:t>based analyses. In essence, this is because each respondent completes a number of choice tasks (15 in this study), which multiplies the amount of information captured from each respondent.</w:t>
      </w:r>
      <w:r w:rsidR="00A3186E">
        <w:rPr>
          <w:rFonts w:ascii="Arial" w:hAnsi="Arial" w:cs="Arial"/>
        </w:rPr>
        <w:t xml:space="preserve"> Thus, sample sizes of</w:t>
      </w:r>
      <w:r w:rsidR="00A31002">
        <w:rPr>
          <w:rFonts w:ascii="Arial" w:hAnsi="Arial" w:cs="Arial"/>
        </w:rPr>
        <w:t xml:space="preserve"> 100</w:t>
      </w:r>
      <w:r w:rsidR="00A3186E">
        <w:rPr>
          <w:rFonts w:ascii="Arial" w:hAnsi="Arial" w:cs="Arial"/>
        </w:rPr>
        <w:t xml:space="preserve"> or lower</w:t>
      </w:r>
      <w:r w:rsidR="00A31002">
        <w:rPr>
          <w:rFonts w:ascii="Arial" w:hAnsi="Arial" w:cs="Arial"/>
        </w:rPr>
        <w:t xml:space="preserve"> are not unusual</w:t>
      </w:r>
      <w:r w:rsidR="00B6717B">
        <w:rPr>
          <w:rFonts w:ascii="Arial" w:hAnsi="Arial" w:cs="Arial"/>
        </w:rPr>
        <w:t xml:space="preserve"> [31</w:t>
      </w:r>
      <w:r w:rsidR="00A31002">
        <w:rPr>
          <w:rFonts w:ascii="Arial" w:hAnsi="Arial" w:cs="Arial"/>
        </w:rPr>
        <w:t>].</w:t>
      </w:r>
      <w:r w:rsidR="00D36FED">
        <w:rPr>
          <w:rFonts w:ascii="Times New Roman" w:hAnsi="Times New Roman" w:cs="Times New Roman"/>
          <w:b/>
          <w:i/>
        </w:rPr>
        <w:t xml:space="preserve"> </w:t>
      </w:r>
      <w:r w:rsidR="00D36FED">
        <w:rPr>
          <w:rFonts w:ascii="Arial" w:hAnsi="Arial" w:cs="Arial"/>
        </w:rPr>
        <w:t>Fourth</w:t>
      </w:r>
      <w:r w:rsidR="002C35A3">
        <w:rPr>
          <w:rFonts w:ascii="Arial" w:hAnsi="Arial" w:cs="Arial"/>
        </w:rPr>
        <w:t xml:space="preserve">, </w:t>
      </w:r>
      <w:r w:rsidR="00B15EA8">
        <w:rPr>
          <w:rFonts w:ascii="Arial" w:hAnsi="Arial" w:cs="Arial"/>
        </w:rPr>
        <w:t>though informed by qualitative interviews and literature review,</w:t>
      </w:r>
      <w:r w:rsidR="00B15EA8" w:rsidRPr="00434BAA">
        <w:rPr>
          <w:rFonts w:ascii="Arial" w:hAnsi="Arial" w:cs="Arial"/>
        </w:rPr>
        <w:t xml:space="preserve"> deciding </w:t>
      </w:r>
      <w:r w:rsidR="00B15EA8" w:rsidRPr="00B15EA8">
        <w:rPr>
          <w:rFonts w:ascii="Arial" w:hAnsi="Arial" w:cs="Arial"/>
        </w:rPr>
        <w:t>which</w:t>
      </w:r>
      <w:r w:rsidR="00B15EA8">
        <w:rPr>
          <w:rFonts w:ascii="Arial" w:hAnsi="Arial" w:cs="Arial"/>
        </w:rPr>
        <w:t xml:space="preserve"> factors to include in the choice experiment</w:t>
      </w:r>
      <w:r w:rsidR="00B15EA8" w:rsidRPr="00B15EA8">
        <w:rPr>
          <w:rFonts w:ascii="Arial" w:hAnsi="Arial" w:cs="Arial"/>
        </w:rPr>
        <w:t xml:space="preserve"> </w:t>
      </w:r>
      <w:r w:rsidR="00B15EA8">
        <w:rPr>
          <w:rFonts w:ascii="Arial" w:hAnsi="Arial" w:cs="Arial"/>
        </w:rPr>
        <w:t>inevitably required</w:t>
      </w:r>
      <w:r w:rsidR="00B15EA8" w:rsidRPr="00434BAA">
        <w:rPr>
          <w:rFonts w:ascii="Arial" w:hAnsi="Arial" w:cs="Arial"/>
        </w:rPr>
        <w:t xml:space="preserve"> an element of judgemen</w:t>
      </w:r>
      <w:r w:rsidR="00B15EA8">
        <w:rPr>
          <w:rFonts w:ascii="Arial" w:hAnsi="Arial" w:cs="Arial"/>
        </w:rPr>
        <w:t xml:space="preserve">t, and </w:t>
      </w:r>
      <w:r w:rsidR="002C35A3">
        <w:rPr>
          <w:rFonts w:ascii="Arial" w:hAnsi="Arial" w:cs="Arial"/>
        </w:rPr>
        <w:t xml:space="preserve">the factors we used to characterise the ‘review and revise’ decision are necessarily a simplification. </w:t>
      </w:r>
      <w:r w:rsidR="002559C2">
        <w:rPr>
          <w:rFonts w:ascii="Arial" w:hAnsi="Arial" w:cs="Arial"/>
        </w:rPr>
        <w:t>Several</w:t>
      </w:r>
      <w:r>
        <w:rPr>
          <w:rFonts w:ascii="Arial" w:hAnsi="Arial" w:cs="Arial"/>
        </w:rPr>
        <w:t xml:space="preserve"> respondents said that in clinical practice they would base their decisions on </w:t>
      </w:r>
      <w:r w:rsidR="00A2454D">
        <w:rPr>
          <w:rFonts w:ascii="Arial" w:hAnsi="Arial" w:cs="Arial"/>
        </w:rPr>
        <w:t>treatment response</w:t>
      </w:r>
      <w:r w:rsidR="00B46F57">
        <w:rPr>
          <w:rFonts w:ascii="Arial" w:hAnsi="Arial" w:cs="Arial"/>
        </w:rPr>
        <w:t xml:space="preserve"> evidence</w:t>
      </w:r>
      <w:r w:rsidR="002C35A3">
        <w:rPr>
          <w:rFonts w:ascii="Arial" w:hAnsi="Arial" w:cs="Arial"/>
        </w:rPr>
        <w:t xml:space="preserve">, </w:t>
      </w:r>
      <w:r w:rsidR="00B46F57">
        <w:rPr>
          <w:rFonts w:ascii="Arial" w:hAnsi="Arial" w:cs="Arial"/>
        </w:rPr>
        <w:t>e.g.</w:t>
      </w:r>
      <w:r w:rsidR="00A2454D">
        <w:rPr>
          <w:rFonts w:ascii="Arial" w:hAnsi="Arial" w:cs="Arial"/>
        </w:rPr>
        <w:t xml:space="preserve"> </w:t>
      </w:r>
      <w:r w:rsidR="00B46F57">
        <w:rPr>
          <w:rFonts w:ascii="Arial" w:hAnsi="Arial" w:cs="Arial"/>
        </w:rPr>
        <w:t xml:space="preserve">from </w:t>
      </w:r>
      <w:r w:rsidR="00A2454D">
        <w:rPr>
          <w:rFonts w:ascii="Arial" w:hAnsi="Arial" w:cs="Arial"/>
        </w:rPr>
        <w:t>clinical assessment,</w:t>
      </w:r>
      <w:r w:rsidR="002C35A3">
        <w:rPr>
          <w:rFonts w:ascii="Arial" w:hAnsi="Arial" w:cs="Arial"/>
        </w:rPr>
        <w:t xml:space="preserve"> observations, cultures</w:t>
      </w:r>
      <w:r w:rsidR="00A2454D">
        <w:rPr>
          <w:rFonts w:ascii="Arial" w:hAnsi="Arial" w:cs="Arial"/>
        </w:rPr>
        <w:t xml:space="preserve"> and inflammatory markers</w:t>
      </w:r>
      <w:r w:rsidR="002C35A3">
        <w:rPr>
          <w:rFonts w:ascii="Arial" w:hAnsi="Arial" w:cs="Arial"/>
        </w:rPr>
        <w:t xml:space="preserve">. </w:t>
      </w:r>
      <w:r w:rsidR="002E4611">
        <w:rPr>
          <w:rFonts w:ascii="Arial" w:hAnsi="Arial" w:cs="Arial"/>
        </w:rPr>
        <w:t>However, one important aspect of clinical management is that antibiotics</w:t>
      </w:r>
      <w:r w:rsidR="00694667">
        <w:rPr>
          <w:rFonts w:ascii="Arial" w:hAnsi="Arial" w:cs="Arial"/>
        </w:rPr>
        <w:t xml:space="preserve"> are generally initiated by the admitting clinical team, with a different clinical team responsible for</w:t>
      </w:r>
      <w:r w:rsidR="002E4611">
        <w:rPr>
          <w:rFonts w:ascii="Arial" w:hAnsi="Arial" w:cs="Arial"/>
        </w:rPr>
        <w:t xml:space="preserve"> </w:t>
      </w:r>
      <w:r w:rsidR="00694667">
        <w:rPr>
          <w:rFonts w:ascii="Arial" w:hAnsi="Arial" w:cs="Arial"/>
        </w:rPr>
        <w:t>‘review and revise’</w:t>
      </w:r>
      <w:r w:rsidR="002E4611">
        <w:rPr>
          <w:rFonts w:ascii="Arial" w:hAnsi="Arial" w:cs="Arial"/>
        </w:rPr>
        <w:t xml:space="preserve"> 48-72h later. Lack of clear understanding about the reason that antibiotics were initially started is one specific aspect that the ARK-hospital </w:t>
      </w:r>
      <w:r w:rsidR="000A242D">
        <w:rPr>
          <w:rFonts w:ascii="Arial" w:hAnsi="Arial" w:cs="Arial"/>
        </w:rPr>
        <w:t xml:space="preserve">programme </w:t>
      </w:r>
      <w:r w:rsidR="002E4611">
        <w:rPr>
          <w:rFonts w:ascii="Arial" w:hAnsi="Arial" w:cs="Arial"/>
        </w:rPr>
        <w:t>is designed to address</w:t>
      </w:r>
      <w:r w:rsidR="00AB4B0F">
        <w:rPr>
          <w:rFonts w:ascii="Arial" w:hAnsi="Arial" w:cs="Arial"/>
        </w:rPr>
        <w:t xml:space="preserve"> [</w:t>
      </w:r>
      <w:r w:rsidR="00B6717B">
        <w:rPr>
          <w:rFonts w:ascii="Arial" w:hAnsi="Arial" w:cs="Arial"/>
        </w:rPr>
        <w:t>32</w:t>
      </w:r>
      <w:r w:rsidR="00AB4B0F">
        <w:rPr>
          <w:rFonts w:ascii="Arial" w:hAnsi="Arial" w:cs="Arial"/>
        </w:rPr>
        <w:t>]</w:t>
      </w:r>
      <w:r w:rsidR="002E4611">
        <w:rPr>
          <w:rFonts w:ascii="Arial" w:hAnsi="Arial" w:cs="Arial"/>
        </w:rPr>
        <w:t xml:space="preserve">. </w:t>
      </w:r>
      <w:r w:rsidR="002C35A3">
        <w:rPr>
          <w:rFonts w:ascii="Arial" w:hAnsi="Arial" w:cs="Arial"/>
        </w:rPr>
        <w:t>Some respondents also said that, i</w:t>
      </w:r>
      <w:r w:rsidR="002C35A3" w:rsidRPr="00876602">
        <w:rPr>
          <w:rFonts w:ascii="Arial" w:hAnsi="Arial" w:cs="Arial"/>
        </w:rPr>
        <w:t>n real life</w:t>
      </w:r>
      <w:r w:rsidR="002C35A3">
        <w:rPr>
          <w:rFonts w:ascii="Arial" w:hAnsi="Arial" w:cs="Arial"/>
        </w:rPr>
        <w:t>, levels</w:t>
      </w:r>
      <w:r w:rsidR="002C35A3" w:rsidRPr="00876602">
        <w:rPr>
          <w:rFonts w:ascii="Arial" w:hAnsi="Arial" w:cs="Arial"/>
        </w:rPr>
        <w:t xml:space="preserve"> of harm from continuing/discontinuing antibiotics are harder to quantify</w:t>
      </w:r>
      <w:r w:rsidR="002C35A3">
        <w:rPr>
          <w:rFonts w:ascii="Arial" w:hAnsi="Arial" w:cs="Arial"/>
        </w:rPr>
        <w:t xml:space="preserve"> and felt that the availability of the explicit percentage risks was an oversimplification.</w:t>
      </w:r>
      <w:r w:rsidR="009E1412">
        <w:rPr>
          <w:rFonts w:ascii="Arial" w:hAnsi="Arial" w:cs="Arial"/>
        </w:rPr>
        <w:t xml:space="preserve"> Only a third of respondents</w:t>
      </w:r>
      <w:r w:rsidR="009E1412" w:rsidRPr="009E1412">
        <w:rPr>
          <w:rFonts w:ascii="Arial" w:hAnsi="Arial" w:cs="Arial"/>
        </w:rPr>
        <w:t xml:space="preserve"> provided qualitative data</w:t>
      </w:r>
      <w:r w:rsidR="009E1412">
        <w:rPr>
          <w:rFonts w:ascii="Arial" w:hAnsi="Arial" w:cs="Arial"/>
        </w:rPr>
        <w:t xml:space="preserve"> however, and</w:t>
      </w:r>
      <w:r w:rsidR="009E1412" w:rsidRPr="009E1412">
        <w:rPr>
          <w:rFonts w:ascii="Arial" w:hAnsi="Arial" w:cs="Arial"/>
        </w:rPr>
        <w:t xml:space="preserve"> they may not have been typical of the whole sample.</w:t>
      </w:r>
      <w:r w:rsidR="006F40CB">
        <w:rPr>
          <w:rFonts w:ascii="Arial" w:hAnsi="Arial" w:cs="Arial"/>
        </w:rPr>
        <w:t xml:space="preserve"> </w:t>
      </w:r>
      <w:r w:rsidR="005E0663">
        <w:rPr>
          <w:rFonts w:ascii="Arial" w:hAnsi="Arial" w:cs="Arial"/>
        </w:rPr>
        <w:t>Though it is noteworthy that consultants chose to continue prescribing less often than non-consultants, an analysis of which professional factors are related to continuing antibiotics when they should actually be discontinued was beyond the scope of this study. This would potentially be a valuable avenue for future research.</w:t>
      </w:r>
      <w:r w:rsidR="006F40CB">
        <w:rPr>
          <w:rFonts w:ascii="Arial" w:hAnsi="Arial" w:cs="Arial"/>
        </w:rPr>
        <w:t xml:space="preserve"> </w:t>
      </w:r>
    </w:p>
    <w:p w14:paraId="1F1B5620" w14:textId="7BA70441" w:rsidR="001C352C" w:rsidRDefault="001C352C" w:rsidP="00674C6F">
      <w:pPr>
        <w:pStyle w:val="NoSpacing"/>
        <w:spacing w:line="480" w:lineRule="auto"/>
        <w:ind w:firstLine="720"/>
        <w:jc w:val="both"/>
        <w:rPr>
          <w:rFonts w:ascii="Arial" w:hAnsi="Arial" w:cs="Arial"/>
        </w:rPr>
      </w:pPr>
    </w:p>
    <w:p w14:paraId="515B3A35" w14:textId="67219A42" w:rsidR="001C352C" w:rsidRPr="00FB717C" w:rsidRDefault="001C352C" w:rsidP="00FB717C">
      <w:pPr>
        <w:spacing w:line="480" w:lineRule="auto"/>
        <w:rPr>
          <w:rFonts w:ascii="Arial" w:hAnsi="Arial" w:cs="Arial"/>
          <w:b/>
        </w:rPr>
      </w:pPr>
      <w:r>
        <w:rPr>
          <w:rFonts w:ascii="Arial" w:hAnsi="Arial" w:cs="Arial"/>
          <w:b/>
        </w:rPr>
        <w:t>CONCLUSIONS</w:t>
      </w:r>
    </w:p>
    <w:p w14:paraId="2C19DA7C" w14:textId="510BA3DD" w:rsidR="00A54217" w:rsidRDefault="00D75170" w:rsidP="00FB717C">
      <w:pPr>
        <w:spacing w:line="480" w:lineRule="auto"/>
        <w:jc w:val="both"/>
        <w:rPr>
          <w:rFonts w:ascii="Arial" w:hAnsi="Arial" w:cs="Arial"/>
        </w:rPr>
      </w:pPr>
      <w:r>
        <w:rPr>
          <w:rFonts w:ascii="Arial" w:hAnsi="Arial" w:cs="Arial"/>
        </w:rPr>
        <w:t>In this study w</w:t>
      </w:r>
      <w:r w:rsidR="00A07545">
        <w:rPr>
          <w:rFonts w:ascii="Arial" w:hAnsi="Arial" w:cs="Arial"/>
        </w:rPr>
        <w:t xml:space="preserve">e </w:t>
      </w:r>
      <w:r w:rsidR="008C71DF">
        <w:rPr>
          <w:rFonts w:ascii="Arial" w:hAnsi="Arial" w:cs="Arial"/>
        </w:rPr>
        <w:t xml:space="preserve">have </w:t>
      </w:r>
      <w:r w:rsidR="002D6566">
        <w:rPr>
          <w:rFonts w:ascii="Arial" w:hAnsi="Arial" w:cs="Arial"/>
        </w:rPr>
        <w:t>quantified the relative importance of</w:t>
      </w:r>
      <w:r w:rsidR="00A07545">
        <w:rPr>
          <w:rFonts w:ascii="Arial" w:hAnsi="Arial" w:cs="Arial"/>
        </w:rPr>
        <w:t xml:space="preserve"> </w:t>
      </w:r>
      <w:r w:rsidR="008B5C9E">
        <w:rPr>
          <w:rFonts w:ascii="Arial" w:hAnsi="Arial" w:cs="Arial"/>
        </w:rPr>
        <w:t>factors</w:t>
      </w:r>
      <w:r>
        <w:rPr>
          <w:rFonts w:ascii="Arial" w:hAnsi="Arial" w:cs="Arial"/>
        </w:rPr>
        <w:t xml:space="preserve"> likely to play</w:t>
      </w:r>
      <w:r w:rsidR="00FF594B">
        <w:rPr>
          <w:rFonts w:ascii="Arial" w:hAnsi="Arial" w:cs="Arial"/>
        </w:rPr>
        <w:t xml:space="preserve"> a key role in ‘review and revise’ decisions on (dis)continuing antibiotics in hospitals. Our results are suggestive of </w:t>
      </w:r>
      <w:r w:rsidR="002E4611">
        <w:rPr>
          <w:rFonts w:ascii="Arial" w:hAnsi="Arial" w:cs="Arial"/>
        </w:rPr>
        <w:t>several</w:t>
      </w:r>
      <w:r w:rsidR="00A07545">
        <w:rPr>
          <w:rFonts w:ascii="Arial" w:hAnsi="Arial" w:cs="Arial"/>
        </w:rPr>
        <w:t xml:space="preserve"> potential barriers to safe early discontinuation of antibiotics</w:t>
      </w:r>
      <w:r w:rsidR="002E4611">
        <w:rPr>
          <w:rFonts w:ascii="Arial" w:hAnsi="Arial" w:cs="Arial"/>
        </w:rPr>
        <w:t>, with</w:t>
      </w:r>
      <w:r w:rsidR="00A07545">
        <w:rPr>
          <w:rFonts w:ascii="Arial" w:hAnsi="Arial" w:cs="Arial"/>
        </w:rPr>
        <w:t xml:space="preserve"> </w:t>
      </w:r>
      <w:r w:rsidR="002E4611">
        <w:rPr>
          <w:rFonts w:ascii="Arial" w:hAnsi="Arial" w:cs="Arial"/>
        </w:rPr>
        <w:t>e</w:t>
      </w:r>
      <w:r w:rsidR="00A01608" w:rsidRPr="009F716D">
        <w:rPr>
          <w:rFonts w:ascii="Arial" w:hAnsi="Arial" w:cs="Arial"/>
        </w:rPr>
        <w:t>arly discontinuation ‘strong</w:t>
      </w:r>
      <w:r w:rsidR="001A4209">
        <w:rPr>
          <w:rFonts w:ascii="Arial" w:hAnsi="Arial" w:cs="Arial"/>
        </w:rPr>
        <w:t>ly</w:t>
      </w:r>
      <w:r w:rsidR="00A01608" w:rsidRPr="009F716D">
        <w:rPr>
          <w:rFonts w:ascii="Arial" w:hAnsi="Arial" w:cs="Arial"/>
        </w:rPr>
        <w:t xml:space="preserve"> </w:t>
      </w:r>
      <w:r w:rsidR="00A07545">
        <w:rPr>
          <w:rFonts w:ascii="Arial" w:hAnsi="Arial" w:cs="Arial"/>
        </w:rPr>
        <w:t>conflict</w:t>
      </w:r>
      <w:r w:rsidR="001A4209">
        <w:rPr>
          <w:rFonts w:ascii="Arial" w:hAnsi="Arial" w:cs="Arial"/>
        </w:rPr>
        <w:t>ing</w:t>
      </w:r>
      <w:r w:rsidR="00A07545">
        <w:rPr>
          <w:rFonts w:ascii="Arial" w:hAnsi="Arial" w:cs="Arial"/>
        </w:rPr>
        <w:t>’ with local guidelines</w:t>
      </w:r>
      <w:r w:rsidR="00A01608">
        <w:rPr>
          <w:rFonts w:ascii="Arial" w:hAnsi="Arial" w:cs="Arial"/>
        </w:rPr>
        <w:t xml:space="preserve"> </w:t>
      </w:r>
      <w:r w:rsidR="002E4611">
        <w:rPr>
          <w:rFonts w:ascii="Arial" w:hAnsi="Arial" w:cs="Arial"/>
        </w:rPr>
        <w:t>being</w:t>
      </w:r>
      <w:r w:rsidR="00A07545">
        <w:rPr>
          <w:rFonts w:ascii="Arial" w:hAnsi="Arial" w:cs="Arial"/>
        </w:rPr>
        <w:t xml:space="preserve"> </w:t>
      </w:r>
      <w:r w:rsidR="002559C2">
        <w:rPr>
          <w:rFonts w:ascii="Arial" w:hAnsi="Arial" w:cs="Arial"/>
        </w:rPr>
        <w:t>key</w:t>
      </w:r>
      <w:r w:rsidR="00A01608" w:rsidRPr="009F716D">
        <w:rPr>
          <w:rFonts w:ascii="Arial" w:hAnsi="Arial" w:cs="Arial"/>
        </w:rPr>
        <w:t xml:space="preserve">. </w:t>
      </w:r>
      <w:r w:rsidR="002559C2">
        <w:rPr>
          <w:rFonts w:ascii="Arial" w:hAnsi="Arial" w:cs="Arial"/>
        </w:rPr>
        <w:t>Revising g</w:t>
      </w:r>
      <w:r w:rsidR="00A01608" w:rsidRPr="009F716D">
        <w:rPr>
          <w:rFonts w:ascii="Arial" w:hAnsi="Arial" w:cs="Arial"/>
        </w:rPr>
        <w:t xml:space="preserve">uidelines </w:t>
      </w:r>
      <w:r w:rsidR="002559C2">
        <w:rPr>
          <w:rFonts w:ascii="Arial" w:hAnsi="Arial" w:cs="Arial"/>
        </w:rPr>
        <w:t xml:space="preserve">to be </w:t>
      </w:r>
      <w:r w:rsidR="00A01608" w:rsidRPr="009F716D">
        <w:rPr>
          <w:rFonts w:ascii="Arial" w:hAnsi="Arial" w:cs="Arial"/>
        </w:rPr>
        <w:t xml:space="preserve">less prescriptive about </w:t>
      </w:r>
      <w:r w:rsidR="00A01608">
        <w:rPr>
          <w:rFonts w:ascii="Arial" w:hAnsi="Arial" w:cs="Arial"/>
        </w:rPr>
        <w:t>duration,</w:t>
      </w:r>
      <w:r w:rsidR="00A01608" w:rsidRPr="009F716D">
        <w:rPr>
          <w:rFonts w:ascii="Arial" w:hAnsi="Arial" w:cs="Arial"/>
        </w:rPr>
        <w:t xml:space="preserve"> </w:t>
      </w:r>
      <w:r w:rsidR="008C71DF">
        <w:rPr>
          <w:rFonts w:ascii="Arial" w:hAnsi="Arial" w:cs="Arial"/>
        </w:rPr>
        <w:t>instead</w:t>
      </w:r>
      <w:r w:rsidR="002559C2">
        <w:rPr>
          <w:rFonts w:ascii="Arial" w:hAnsi="Arial" w:cs="Arial"/>
        </w:rPr>
        <w:t xml:space="preserve"> mak</w:t>
      </w:r>
      <w:r w:rsidR="008C71DF">
        <w:rPr>
          <w:rFonts w:ascii="Arial" w:hAnsi="Arial" w:cs="Arial"/>
        </w:rPr>
        <w:t>ing</w:t>
      </w:r>
      <w:r w:rsidR="002559C2">
        <w:rPr>
          <w:rFonts w:ascii="Arial" w:hAnsi="Arial" w:cs="Arial"/>
        </w:rPr>
        <w:t xml:space="preserve"> duration </w:t>
      </w:r>
      <w:r w:rsidR="00A01608">
        <w:rPr>
          <w:rFonts w:ascii="Arial" w:hAnsi="Arial" w:cs="Arial"/>
        </w:rPr>
        <w:t xml:space="preserve">conditional on patient factors and treatment response, </w:t>
      </w:r>
      <w:r w:rsidR="00A01608" w:rsidRPr="009F716D">
        <w:rPr>
          <w:rFonts w:ascii="Arial" w:hAnsi="Arial" w:cs="Arial"/>
        </w:rPr>
        <w:t xml:space="preserve">could </w:t>
      </w:r>
      <w:r w:rsidR="00A01608">
        <w:rPr>
          <w:rFonts w:ascii="Arial" w:hAnsi="Arial" w:cs="Arial"/>
        </w:rPr>
        <w:t>help</w:t>
      </w:r>
      <w:r w:rsidR="00A01608" w:rsidRPr="009F716D">
        <w:rPr>
          <w:rFonts w:ascii="Arial" w:hAnsi="Arial" w:cs="Arial"/>
        </w:rPr>
        <w:t xml:space="preserve"> </w:t>
      </w:r>
      <w:r w:rsidR="002559C2">
        <w:rPr>
          <w:rFonts w:ascii="Arial" w:hAnsi="Arial" w:cs="Arial"/>
        </w:rPr>
        <w:t xml:space="preserve">to </w:t>
      </w:r>
      <w:r w:rsidR="00A01608">
        <w:rPr>
          <w:rFonts w:ascii="Arial" w:hAnsi="Arial" w:cs="Arial"/>
        </w:rPr>
        <w:t xml:space="preserve">safely </w:t>
      </w:r>
      <w:r w:rsidR="00A01608" w:rsidRPr="009F716D">
        <w:rPr>
          <w:rFonts w:ascii="Arial" w:hAnsi="Arial" w:cs="Arial"/>
        </w:rPr>
        <w:t>increas</w:t>
      </w:r>
      <w:r w:rsidR="00A01608">
        <w:rPr>
          <w:rFonts w:ascii="Arial" w:hAnsi="Arial" w:cs="Arial"/>
        </w:rPr>
        <w:t>e</w:t>
      </w:r>
      <w:r w:rsidR="00A01608" w:rsidRPr="009F716D">
        <w:rPr>
          <w:rFonts w:ascii="Arial" w:hAnsi="Arial" w:cs="Arial"/>
        </w:rPr>
        <w:t xml:space="preserve"> </w:t>
      </w:r>
      <w:r w:rsidR="002559C2">
        <w:rPr>
          <w:rFonts w:ascii="Arial" w:hAnsi="Arial" w:cs="Arial"/>
        </w:rPr>
        <w:t xml:space="preserve">the frequency of </w:t>
      </w:r>
      <w:r w:rsidR="00A01608" w:rsidRPr="009F716D">
        <w:rPr>
          <w:rFonts w:ascii="Arial" w:hAnsi="Arial" w:cs="Arial"/>
        </w:rPr>
        <w:t>early discontinuation</w:t>
      </w:r>
      <w:r w:rsidR="002E4611">
        <w:rPr>
          <w:rFonts w:ascii="Arial" w:hAnsi="Arial" w:cs="Arial"/>
        </w:rPr>
        <w:t xml:space="preserve"> of antibiotics</w:t>
      </w:r>
      <w:r w:rsidR="00A01608" w:rsidRPr="00A01608">
        <w:rPr>
          <w:rFonts w:ascii="Arial" w:hAnsi="Arial" w:cs="Arial"/>
        </w:rPr>
        <w:t>.</w:t>
      </w:r>
      <w:r w:rsidR="00187561">
        <w:rPr>
          <w:rFonts w:ascii="Arial" w:hAnsi="Arial" w:cs="Arial"/>
        </w:rPr>
        <w:t xml:space="preserve"> </w:t>
      </w:r>
      <w:r w:rsidR="00A01608">
        <w:rPr>
          <w:rFonts w:ascii="Arial" w:hAnsi="Arial" w:cs="Arial"/>
        </w:rPr>
        <w:t xml:space="preserve">Addressing the other barriers to early discontinuation </w:t>
      </w:r>
      <w:r w:rsidR="00FF594B">
        <w:rPr>
          <w:rFonts w:ascii="Arial" w:hAnsi="Arial" w:cs="Arial"/>
        </w:rPr>
        <w:t xml:space="preserve">suggested by our results </w:t>
      </w:r>
      <w:r w:rsidR="00A01608">
        <w:rPr>
          <w:rFonts w:ascii="Arial" w:hAnsi="Arial" w:cs="Arial"/>
        </w:rPr>
        <w:t xml:space="preserve">may be </w:t>
      </w:r>
      <w:r w:rsidR="002559C2">
        <w:rPr>
          <w:rFonts w:ascii="Arial" w:hAnsi="Arial" w:cs="Arial"/>
        </w:rPr>
        <w:t>more challenging</w:t>
      </w:r>
      <w:r w:rsidR="00A01608">
        <w:rPr>
          <w:rFonts w:ascii="Arial" w:hAnsi="Arial" w:cs="Arial"/>
        </w:rPr>
        <w:t xml:space="preserve">. </w:t>
      </w:r>
      <w:r w:rsidR="0078286B">
        <w:rPr>
          <w:rFonts w:ascii="Arial" w:hAnsi="Arial" w:cs="Arial"/>
        </w:rPr>
        <w:t>More research is urgently</w:t>
      </w:r>
      <w:r w:rsidR="00A07545">
        <w:rPr>
          <w:rFonts w:ascii="Arial" w:hAnsi="Arial" w:cs="Arial"/>
        </w:rPr>
        <w:t xml:space="preserve"> needed to </w:t>
      </w:r>
      <w:r w:rsidR="0078286B">
        <w:rPr>
          <w:rFonts w:ascii="Arial" w:hAnsi="Arial" w:cs="Arial"/>
        </w:rPr>
        <w:t xml:space="preserve">identify and quantify barriers and facilitators of safe early discontinuation of antibiotics in other healthcare settings. </w:t>
      </w:r>
    </w:p>
    <w:p w14:paraId="67E612B0" w14:textId="77777777" w:rsidR="00D110D1" w:rsidRDefault="00D110D1" w:rsidP="00FB717C">
      <w:pPr>
        <w:spacing w:line="480" w:lineRule="auto"/>
        <w:jc w:val="both"/>
        <w:rPr>
          <w:rFonts w:ascii="Arial" w:hAnsi="Arial" w:cs="Arial"/>
        </w:rPr>
      </w:pPr>
    </w:p>
    <w:p w14:paraId="67C3D200" w14:textId="32ACF9E9" w:rsidR="00707B12" w:rsidRPr="00FB717C" w:rsidRDefault="00FB717C" w:rsidP="00707B12">
      <w:pPr>
        <w:spacing w:line="480" w:lineRule="auto"/>
        <w:jc w:val="both"/>
        <w:rPr>
          <w:rStyle w:val="Emphasis"/>
          <w:rFonts w:ascii="Arial" w:hAnsi="Arial" w:cs="Arial"/>
          <w:b/>
          <w:i w:val="0"/>
          <w:iCs w:val="0"/>
        </w:rPr>
      </w:pPr>
      <w:r>
        <w:rPr>
          <w:rStyle w:val="Emphasis"/>
          <w:rFonts w:ascii="Arial" w:hAnsi="Arial" w:cs="Arial"/>
          <w:b/>
          <w:i w:val="0"/>
        </w:rPr>
        <w:t>DECLARATIONS</w:t>
      </w:r>
    </w:p>
    <w:p w14:paraId="5E5C391E" w14:textId="77777777" w:rsidR="00707B12" w:rsidRPr="00FB717C" w:rsidRDefault="00707B12" w:rsidP="00707B12">
      <w:pPr>
        <w:spacing w:line="480" w:lineRule="auto"/>
        <w:jc w:val="both"/>
        <w:rPr>
          <w:rStyle w:val="Emphasis"/>
          <w:rFonts w:ascii="Arial" w:hAnsi="Arial" w:cs="Arial"/>
          <w:b/>
          <w:i w:val="0"/>
          <w:iCs w:val="0"/>
        </w:rPr>
      </w:pPr>
      <w:r w:rsidRPr="00FB717C">
        <w:rPr>
          <w:rStyle w:val="Emphasis"/>
          <w:rFonts w:ascii="Arial" w:hAnsi="Arial" w:cs="Arial"/>
          <w:b/>
          <w:i w:val="0"/>
        </w:rPr>
        <w:t>Ethics approval and consent to participate</w:t>
      </w:r>
    </w:p>
    <w:p w14:paraId="406F4BE4" w14:textId="77777777" w:rsidR="00707B12" w:rsidRPr="00FB717C" w:rsidRDefault="00707B12" w:rsidP="00707B12">
      <w:pPr>
        <w:pStyle w:val="Default"/>
        <w:spacing w:line="480" w:lineRule="auto"/>
        <w:contextualSpacing/>
        <w:jc w:val="both"/>
        <w:rPr>
          <w:rFonts w:ascii="Arial" w:hAnsi="Arial" w:cs="Arial"/>
          <w:sz w:val="22"/>
          <w:szCs w:val="22"/>
        </w:rPr>
      </w:pPr>
      <w:r w:rsidRPr="00707B12">
        <w:rPr>
          <w:rFonts w:ascii="Arial" w:hAnsi="Arial" w:cs="Arial"/>
          <w:color w:val="auto"/>
          <w:sz w:val="22"/>
          <w:szCs w:val="22"/>
        </w:rPr>
        <w:t>The study was approved by the University of Oxford Central University Research Ethics Committee [R56654/RE001]. Written informed consent was obtained from all study participants.</w:t>
      </w:r>
    </w:p>
    <w:p w14:paraId="3A2B4942" w14:textId="75FBDE67" w:rsidR="00A54217" w:rsidRPr="00707B12" w:rsidRDefault="00A54217" w:rsidP="0086158F">
      <w:pPr>
        <w:spacing w:line="480" w:lineRule="auto"/>
        <w:rPr>
          <w:rFonts w:ascii="Arial" w:hAnsi="Arial" w:cs="Arial"/>
        </w:rPr>
      </w:pPr>
    </w:p>
    <w:p w14:paraId="08CF148F" w14:textId="77777777" w:rsidR="00707B12" w:rsidRPr="00FB717C" w:rsidRDefault="00707B12" w:rsidP="00707B12">
      <w:pPr>
        <w:spacing w:line="480" w:lineRule="auto"/>
        <w:jc w:val="both"/>
        <w:rPr>
          <w:rStyle w:val="Emphasis"/>
          <w:rFonts w:ascii="Arial" w:hAnsi="Arial" w:cs="Arial"/>
          <w:b/>
          <w:i w:val="0"/>
          <w:iCs w:val="0"/>
        </w:rPr>
      </w:pPr>
      <w:r w:rsidRPr="00FB717C">
        <w:rPr>
          <w:rStyle w:val="Emphasis"/>
          <w:rFonts w:ascii="Arial" w:hAnsi="Arial" w:cs="Arial"/>
          <w:b/>
          <w:i w:val="0"/>
        </w:rPr>
        <w:t>Consent for publication</w:t>
      </w:r>
    </w:p>
    <w:p w14:paraId="0B54764A" w14:textId="77777777" w:rsidR="00707B12" w:rsidRPr="00FB717C" w:rsidRDefault="00707B12" w:rsidP="00707B12">
      <w:pPr>
        <w:spacing w:line="480" w:lineRule="auto"/>
        <w:jc w:val="both"/>
        <w:rPr>
          <w:rStyle w:val="Emphasis"/>
          <w:rFonts w:ascii="Arial" w:hAnsi="Arial" w:cs="Arial"/>
          <w:i w:val="0"/>
        </w:rPr>
      </w:pPr>
      <w:r w:rsidRPr="00FB717C">
        <w:rPr>
          <w:rStyle w:val="Emphasis"/>
          <w:rFonts w:ascii="Arial" w:hAnsi="Arial" w:cs="Arial"/>
          <w:i w:val="0"/>
        </w:rPr>
        <w:t>Not applicable.</w:t>
      </w:r>
    </w:p>
    <w:p w14:paraId="424A9B2C" w14:textId="77777777" w:rsidR="00707B12" w:rsidRPr="00FB717C" w:rsidRDefault="00707B12" w:rsidP="002B46FE">
      <w:pPr>
        <w:spacing w:line="480" w:lineRule="auto"/>
        <w:jc w:val="both"/>
        <w:rPr>
          <w:rStyle w:val="Emphasis"/>
          <w:rFonts w:ascii="Arial" w:hAnsi="Arial" w:cs="Arial"/>
          <w:b/>
          <w:i w:val="0"/>
          <w:iCs w:val="0"/>
        </w:rPr>
      </w:pPr>
    </w:p>
    <w:p w14:paraId="432FB9DB" w14:textId="77777777" w:rsidR="00707B12" w:rsidRPr="00FB717C" w:rsidRDefault="00707B12" w:rsidP="002B46FE">
      <w:pPr>
        <w:spacing w:line="480" w:lineRule="auto"/>
        <w:jc w:val="both"/>
        <w:rPr>
          <w:rStyle w:val="Emphasis"/>
          <w:rFonts w:ascii="Arial" w:hAnsi="Arial" w:cs="Arial"/>
          <w:b/>
          <w:i w:val="0"/>
          <w:iCs w:val="0"/>
        </w:rPr>
      </w:pPr>
      <w:r w:rsidRPr="00FB717C">
        <w:rPr>
          <w:rStyle w:val="Emphasis"/>
          <w:rFonts w:ascii="Arial" w:hAnsi="Arial" w:cs="Arial"/>
          <w:b/>
          <w:i w:val="0"/>
        </w:rPr>
        <w:t>Availability of data and materials</w:t>
      </w:r>
    </w:p>
    <w:p w14:paraId="18F9DC5B" w14:textId="77777777" w:rsidR="00707B12" w:rsidRPr="00FB717C" w:rsidRDefault="00707B12" w:rsidP="00FB717C">
      <w:pPr>
        <w:spacing w:line="480" w:lineRule="auto"/>
        <w:jc w:val="both"/>
        <w:rPr>
          <w:rStyle w:val="Emphasis"/>
          <w:rFonts w:ascii="Arial" w:hAnsi="Arial" w:cs="Arial"/>
          <w:i w:val="0"/>
        </w:rPr>
      </w:pPr>
      <w:r w:rsidRPr="00FB717C">
        <w:rPr>
          <w:rStyle w:val="Emphasis"/>
          <w:rFonts w:ascii="Arial" w:hAnsi="Arial" w:cs="Arial"/>
          <w:i w:val="0"/>
        </w:rPr>
        <w:t>The datasets generated and analysed during the current study are available from the corresponding author on reasonable request.</w:t>
      </w:r>
    </w:p>
    <w:p w14:paraId="448741B6" w14:textId="77777777" w:rsidR="00707B12" w:rsidRPr="00FB717C" w:rsidRDefault="00707B12" w:rsidP="00FB717C">
      <w:pPr>
        <w:spacing w:line="480" w:lineRule="auto"/>
        <w:jc w:val="both"/>
        <w:rPr>
          <w:rStyle w:val="Emphasis"/>
          <w:rFonts w:ascii="Arial" w:hAnsi="Arial" w:cs="Arial"/>
          <w:i w:val="0"/>
        </w:rPr>
      </w:pPr>
    </w:p>
    <w:p w14:paraId="13F0B4DE" w14:textId="77777777" w:rsidR="00707B12" w:rsidRPr="00FB717C" w:rsidRDefault="00707B12" w:rsidP="00FB717C">
      <w:pPr>
        <w:spacing w:line="480" w:lineRule="auto"/>
        <w:jc w:val="both"/>
        <w:rPr>
          <w:rStyle w:val="Emphasis"/>
          <w:rFonts w:ascii="Arial" w:eastAsia="Times New Roman" w:hAnsi="Arial" w:cs="Arial"/>
          <w:i w:val="0"/>
          <w:iCs w:val="0"/>
          <w:lang w:eastAsia="en-GB"/>
        </w:rPr>
      </w:pPr>
      <w:r w:rsidRPr="00FB717C">
        <w:rPr>
          <w:rStyle w:val="Emphasis"/>
          <w:rFonts w:ascii="Arial" w:hAnsi="Arial" w:cs="Arial"/>
          <w:b/>
          <w:i w:val="0"/>
        </w:rPr>
        <w:t>Competing interests</w:t>
      </w:r>
    </w:p>
    <w:p w14:paraId="145762A5" w14:textId="40655395" w:rsidR="00707B12" w:rsidRDefault="00707B12" w:rsidP="00FB717C">
      <w:pPr>
        <w:spacing w:line="480" w:lineRule="auto"/>
        <w:jc w:val="both"/>
        <w:rPr>
          <w:rStyle w:val="Emphasis"/>
          <w:rFonts w:ascii="Arial" w:hAnsi="Arial" w:cs="Arial"/>
          <w:i w:val="0"/>
        </w:rPr>
      </w:pPr>
      <w:r w:rsidRPr="00FB717C">
        <w:rPr>
          <w:rStyle w:val="Emphasis"/>
          <w:rFonts w:ascii="Arial" w:hAnsi="Arial" w:cs="Arial"/>
          <w:i w:val="0"/>
        </w:rPr>
        <w:t>The authors declare that they have no competing interests.</w:t>
      </w:r>
    </w:p>
    <w:p w14:paraId="0A444683" w14:textId="77777777" w:rsidR="00FB717C" w:rsidRPr="00FB717C" w:rsidRDefault="00FB717C" w:rsidP="00FB717C">
      <w:pPr>
        <w:spacing w:line="480" w:lineRule="auto"/>
        <w:jc w:val="both"/>
        <w:rPr>
          <w:rStyle w:val="Emphasis"/>
          <w:rFonts w:ascii="Arial" w:hAnsi="Arial" w:cs="Arial"/>
          <w:i w:val="0"/>
        </w:rPr>
      </w:pPr>
    </w:p>
    <w:p w14:paraId="5873B1A0" w14:textId="7BC6CFE5" w:rsidR="00707B12" w:rsidRPr="00D22685" w:rsidRDefault="00707B12" w:rsidP="00FB717C">
      <w:pPr>
        <w:spacing w:line="480" w:lineRule="auto"/>
        <w:jc w:val="both"/>
        <w:rPr>
          <w:rStyle w:val="Emphasis"/>
          <w:rFonts w:ascii="Arial" w:eastAsia="Times New Roman" w:hAnsi="Arial" w:cs="Arial"/>
          <w:i w:val="0"/>
          <w:iCs w:val="0"/>
          <w:lang w:eastAsia="en-GB"/>
        </w:rPr>
      </w:pPr>
      <w:r>
        <w:rPr>
          <w:rStyle w:val="Emphasis"/>
          <w:rFonts w:ascii="Arial" w:hAnsi="Arial" w:cs="Arial"/>
          <w:b/>
          <w:i w:val="0"/>
        </w:rPr>
        <w:t>Funding</w:t>
      </w:r>
    </w:p>
    <w:p w14:paraId="5A900D01" w14:textId="70BA7E24" w:rsidR="00707B12" w:rsidRDefault="00707B12" w:rsidP="00FB717C">
      <w:pPr>
        <w:spacing w:line="480" w:lineRule="auto"/>
        <w:jc w:val="both"/>
        <w:rPr>
          <w:rFonts w:ascii="Arial" w:hAnsi="Arial" w:cs="Arial"/>
        </w:rPr>
      </w:pPr>
      <w:r w:rsidRPr="003F4A17">
        <w:rPr>
          <w:rFonts w:ascii="Arial" w:hAnsi="Arial" w:cs="Arial"/>
        </w:rPr>
        <w:t xml:space="preserve">The ARK-hospital study is funded by the National Institute for Health Research (NIHR) Programme Grants for Applied Research (Grant Reference Number RP-PG-0514-20015). </w:t>
      </w:r>
      <w:r>
        <w:rPr>
          <w:rFonts w:ascii="Arial" w:hAnsi="Arial" w:cs="Arial"/>
        </w:rPr>
        <w:t xml:space="preserve">LSJR, JB, TP, </w:t>
      </w:r>
      <w:r w:rsidRPr="003F4A17">
        <w:rPr>
          <w:rFonts w:ascii="Arial" w:hAnsi="Arial" w:cs="Arial"/>
        </w:rPr>
        <w:t>ASW,</w:t>
      </w:r>
      <w:r>
        <w:rPr>
          <w:rFonts w:ascii="Arial" w:hAnsi="Arial" w:cs="Arial"/>
        </w:rPr>
        <w:t xml:space="preserve"> ML and</w:t>
      </w:r>
      <w:r w:rsidRPr="003F4A17">
        <w:rPr>
          <w:rFonts w:ascii="Arial" w:hAnsi="Arial" w:cs="Arial"/>
        </w:rPr>
        <w:t xml:space="preserve"> </w:t>
      </w:r>
      <w:r>
        <w:rPr>
          <w:rFonts w:ascii="Arial" w:hAnsi="Arial" w:cs="Arial"/>
        </w:rPr>
        <w:t>SW</w:t>
      </w:r>
      <w:r w:rsidRPr="003F4A17">
        <w:rPr>
          <w:rFonts w:ascii="Arial" w:hAnsi="Arial" w:cs="Arial"/>
        </w:rPr>
        <w:t xml:space="preserve"> are supported by the </w:t>
      </w:r>
      <w:r>
        <w:rPr>
          <w:rFonts w:ascii="Arial" w:hAnsi="Arial" w:cs="Arial"/>
        </w:rPr>
        <w:t xml:space="preserve">Oxford </w:t>
      </w:r>
      <w:r w:rsidRPr="003F4A17">
        <w:rPr>
          <w:rFonts w:ascii="Arial" w:hAnsi="Arial" w:cs="Arial"/>
        </w:rPr>
        <w:t>NIHR Biomedical Research Centre, Oxford.</w:t>
      </w:r>
      <w:r>
        <w:rPr>
          <w:rFonts w:ascii="Arial" w:hAnsi="Arial" w:cs="Arial"/>
        </w:rPr>
        <w:t xml:space="preserve"> LSJR, JB,</w:t>
      </w:r>
      <w:r w:rsidRPr="003F4A17">
        <w:rPr>
          <w:rFonts w:ascii="Arial" w:hAnsi="Arial" w:cs="Arial"/>
        </w:rPr>
        <w:t xml:space="preserve"> </w:t>
      </w:r>
      <w:r>
        <w:rPr>
          <w:rFonts w:ascii="Arial" w:hAnsi="Arial" w:cs="Arial"/>
        </w:rPr>
        <w:t xml:space="preserve">KBP and ASW are supported by the NIHR Health Protection Research Unit (HPRU) in Healthcare Associated Infections and Antimicrobial Resistance at the University of Oxford in partnership with Public Health England (PHE) [HPRU-2012-10041]. ASW is an NIHR Senior Investigator. </w:t>
      </w:r>
      <w:r w:rsidRPr="00D03E97">
        <w:rPr>
          <w:rFonts w:ascii="Arial" w:hAnsi="Arial" w:cs="Arial"/>
        </w:rPr>
        <w:t>The research programme of Lucy Yardley is partly supported by NIHR Applied Research Collaboration (ARC)-West, NIHR Health Protection Research Unit (HPRU) for Behavioural Science and Evaluation, and the NIHR Southampton Biomedical Research Centre (BRC)</w:t>
      </w:r>
      <w:r>
        <w:rPr>
          <w:rFonts w:ascii="Arial" w:hAnsi="Arial" w:cs="Arial"/>
        </w:rPr>
        <w:t xml:space="preserve">. </w:t>
      </w:r>
      <w:r w:rsidRPr="003F4A17">
        <w:rPr>
          <w:rFonts w:ascii="Arial" w:hAnsi="Arial" w:cs="Arial"/>
        </w:rPr>
        <w:t>The views expressed are those of the author(s) and not necessarily those of the NIHR or the Department of Health and Social Care.</w:t>
      </w:r>
    </w:p>
    <w:p w14:paraId="3D8610E8" w14:textId="4D6B4D9E" w:rsidR="00707B12" w:rsidRDefault="00707B12" w:rsidP="00FB717C">
      <w:pPr>
        <w:spacing w:line="480" w:lineRule="auto"/>
        <w:jc w:val="both"/>
        <w:rPr>
          <w:rFonts w:ascii="Arial" w:hAnsi="Arial" w:cs="Arial"/>
        </w:rPr>
      </w:pPr>
      <w:r w:rsidRPr="00FB717C">
        <w:rPr>
          <w:rFonts w:ascii="Arial" w:hAnsi="Arial" w:cs="Arial"/>
        </w:rPr>
        <w:t>The study funders had no role in the design of the study, in the collection, analysis or interpretation of the data, in the writing of the paper or in the decision to submit for publication.</w:t>
      </w:r>
    </w:p>
    <w:p w14:paraId="288D7646" w14:textId="77777777" w:rsidR="00707B12" w:rsidRDefault="00707B12" w:rsidP="00FB717C">
      <w:pPr>
        <w:spacing w:line="480" w:lineRule="auto"/>
        <w:jc w:val="both"/>
        <w:rPr>
          <w:rFonts w:ascii="Arial" w:hAnsi="Arial" w:cs="Arial"/>
        </w:rPr>
      </w:pPr>
    </w:p>
    <w:p w14:paraId="347C7A12" w14:textId="77777777" w:rsidR="00707B12" w:rsidRPr="00FB717C" w:rsidRDefault="00707B12" w:rsidP="00707B12">
      <w:pPr>
        <w:spacing w:line="480" w:lineRule="auto"/>
        <w:jc w:val="both"/>
        <w:rPr>
          <w:rStyle w:val="Emphasis"/>
          <w:rFonts w:ascii="Arial" w:hAnsi="Arial" w:cs="Arial"/>
          <w:b/>
          <w:i w:val="0"/>
        </w:rPr>
      </w:pPr>
      <w:r w:rsidRPr="00FB717C">
        <w:rPr>
          <w:rStyle w:val="Emphasis"/>
          <w:rFonts w:ascii="Arial" w:hAnsi="Arial" w:cs="Arial"/>
          <w:b/>
          <w:i w:val="0"/>
        </w:rPr>
        <w:t>Authors’ contributions</w:t>
      </w:r>
    </w:p>
    <w:p w14:paraId="2663D397" w14:textId="6E3AFECD" w:rsidR="00707B12" w:rsidRPr="00FB717C" w:rsidRDefault="00707B12" w:rsidP="00707B12">
      <w:pPr>
        <w:spacing w:line="480" w:lineRule="auto"/>
        <w:jc w:val="both"/>
        <w:rPr>
          <w:rStyle w:val="Emphasis"/>
          <w:rFonts w:ascii="Arial" w:hAnsi="Arial" w:cs="Arial"/>
          <w:i w:val="0"/>
          <w:iCs w:val="0"/>
        </w:rPr>
      </w:pPr>
      <w:r w:rsidRPr="00FB717C">
        <w:rPr>
          <w:rStyle w:val="Emphasis"/>
          <w:rFonts w:ascii="Arial" w:hAnsi="Arial" w:cs="Arial"/>
          <w:i w:val="0"/>
        </w:rPr>
        <w:t>LSJR led the design of the survey</w:t>
      </w:r>
      <w:r w:rsidR="00A707C4">
        <w:rPr>
          <w:rStyle w:val="Emphasis"/>
          <w:rFonts w:ascii="Arial" w:hAnsi="Arial" w:cs="Arial"/>
          <w:i w:val="0"/>
        </w:rPr>
        <w:t xml:space="preserve"> experiment</w:t>
      </w:r>
      <w:r w:rsidRPr="00FB717C">
        <w:rPr>
          <w:rStyle w:val="Emphasis"/>
          <w:rFonts w:ascii="Arial" w:hAnsi="Arial" w:cs="Arial"/>
          <w:i w:val="0"/>
        </w:rPr>
        <w:t xml:space="preserve">, with significant contributions </w:t>
      </w:r>
      <w:r w:rsidR="00A707C4" w:rsidRPr="00A707C4">
        <w:rPr>
          <w:rStyle w:val="Emphasis"/>
          <w:rFonts w:ascii="Arial" w:hAnsi="Arial" w:cs="Arial"/>
          <w:i w:val="0"/>
        </w:rPr>
        <w:t>from JB</w:t>
      </w:r>
      <w:r w:rsidR="00A707C4">
        <w:rPr>
          <w:rStyle w:val="Emphasis"/>
          <w:rFonts w:ascii="Arial" w:hAnsi="Arial" w:cs="Arial"/>
          <w:i w:val="0"/>
        </w:rPr>
        <w:t>, ELAC, LY, TP, ASW, MJL and SW</w:t>
      </w:r>
      <w:r w:rsidRPr="00FB717C">
        <w:rPr>
          <w:rStyle w:val="Emphasis"/>
          <w:rFonts w:ascii="Arial" w:hAnsi="Arial" w:cs="Arial"/>
          <w:i w:val="0"/>
        </w:rPr>
        <w:t>. LSJR led the data anal</w:t>
      </w:r>
      <w:r w:rsidR="00A707C4" w:rsidRPr="00A707C4">
        <w:rPr>
          <w:rStyle w:val="Emphasis"/>
          <w:rFonts w:ascii="Arial" w:hAnsi="Arial" w:cs="Arial"/>
          <w:i w:val="0"/>
        </w:rPr>
        <w:t>ysis, with contributions from JB, LM, KBP</w:t>
      </w:r>
      <w:r w:rsidRPr="00FB717C">
        <w:rPr>
          <w:rStyle w:val="Emphasis"/>
          <w:rFonts w:ascii="Arial" w:hAnsi="Arial" w:cs="Arial"/>
          <w:i w:val="0"/>
        </w:rPr>
        <w:t xml:space="preserve"> and ASW. All authors helped to interpret the results of the study. LSJR led the drafting of the paper, with contributions from all authors. All authors read and approved the final manuscript.</w:t>
      </w:r>
    </w:p>
    <w:p w14:paraId="77DC8FA2" w14:textId="77777777" w:rsidR="00707B12" w:rsidRDefault="00707B12" w:rsidP="00A40177">
      <w:pPr>
        <w:spacing w:line="480" w:lineRule="auto"/>
        <w:jc w:val="both"/>
        <w:rPr>
          <w:rFonts w:ascii="Arial" w:hAnsi="Arial" w:cs="Arial"/>
        </w:rPr>
      </w:pPr>
    </w:p>
    <w:p w14:paraId="1F818D83" w14:textId="364B3D99" w:rsidR="00AF3D1B" w:rsidRDefault="00AF3D1B" w:rsidP="00A40177">
      <w:pPr>
        <w:spacing w:line="480" w:lineRule="auto"/>
        <w:jc w:val="both"/>
        <w:rPr>
          <w:rFonts w:ascii="Arial" w:hAnsi="Arial" w:cs="Arial"/>
        </w:rPr>
      </w:pPr>
      <w:r w:rsidRPr="00FB717C">
        <w:rPr>
          <w:rFonts w:ascii="Arial" w:hAnsi="Arial" w:cs="Arial"/>
          <w:b/>
        </w:rPr>
        <w:t>A</w:t>
      </w:r>
      <w:r w:rsidR="00D110D1" w:rsidRPr="00FB717C">
        <w:rPr>
          <w:rFonts w:ascii="Arial" w:hAnsi="Arial" w:cs="Arial"/>
          <w:b/>
        </w:rPr>
        <w:t>cknowledgements</w:t>
      </w:r>
    </w:p>
    <w:p w14:paraId="481EAD4F" w14:textId="561584B0" w:rsidR="00AF3D1B" w:rsidRDefault="00AF3D1B" w:rsidP="00A40177">
      <w:pPr>
        <w:spacing w:line="480" w:lineRule="auto"/>
        <w:jc w:val="both"/>
        <w:rPr>
          <w:rFonts w:ascii="Arial" w:hAnsi="Arial" w:cs="Arial"/>
        </w:rPr>
      </w:pPr>
      <w:r w:rsidRPr="00AD261B">
        <w:rPr>
          <w:rFonts w:ascii="Arial" w:hAnsi="Arial" w:cs="Arial"/>
        </w:rPr>
        <w:t>We acknowledge the Programme Steering Committee: Alison Holmes (Chair), Philip Gothard, Karla Hemming, Cliff Gorton</w:t>
      </w:r>
      <w:r>
        <w:rPr>
          <w:rFonts w:ascii="Arial" w:hAnsi="Arial" w:cs="Arial"/>
        </w:rPr>
        <w:t>.</w:t>
      </w:r>
      <w:r w:rsidR="00A40177">
        <w:rPr>
          <w:rFonts w:ascii="Arial" w:hAnsi="Arial" w:cs="Arial"/>
        </w:rPr>
        <w:t xml:space="preserve"> We also wish to thank the respondents who took part in the survey, as well as the Society for Acute Medicine and three postgraduate Deaneries – Kent Surrey and Sussex, Thames Valley and North East and Cumbria – for facilitating their recruitment.</w:t>
      </w:r>
    </w:p>
    <w:p w14:paraId="23F5EC32" w14:textId="239CACA6" w:rsidR="00250C88" w:rsidRDefault="00250C88" w:rsidP="00AF3D1B">
      <w:pPr>
        <w:spacing w:line="480" w:lineRule="auto"/>
        <w:rPr>
          <w:rFonts w:ascii="Arial" w:hAnsi="Arial" w:cs="Arial"/>
        </w:rPr>
      </w:pPr>
    </w:p>
    <w:p w14:paraId="6F31DEFA" w14:textId="6D3F4894" w:rsidR="00250C88" w:rsidRPr="00FB717C" w:rsidRDefault="00250C88" w:rsidP="00FB717C">
      <w:pPr>
        <w:spacing w:line="480" w:lineRule="auto"/>
        <w:jc w:val="both"/>
        <w:rPr>
          <w:rFonts w:ascii="Arial" w:hAnsi="Arial" w:cs="Arial"/>
        </w:rPr>
      </w:pPr>
      <w:r w:rsidRPr="00FB717C">
        <w:rPr>
          <w:rFonts w:ascii="Arial" w:hAnsi="Arial" w:cs="Arial"/>
          <w:b/>
        </w:rPr>
        <w:t>Abbreviations</w:t>
      </w:r>
    </w:p>
    <w:p w14:paraId="26334804" w14:textId="439EF8A6" w:rsidR="00250C88" w:rsidRDefault="00250C88" w:rsidP="00250C88">
      <w:pPr>
        <w:spacing w:line="360" w:lineRule="auto"/>
        <w:jc w:val="both"/>
        <w:rPr>
          <w:rFonts w:ascii="Arial" w:hAnsi="Arial" w:cs="Arial"/>
        </w:rPr>
      </w:pPr>
      <w:r>
        <w:rPr>
          <w:rFonts w:ascii="Arial" w:hAnsi="Arial" w:cs="Arial"/>
        </w:rPr>
        <w:t>AME: Average marginal effect</w:t>
      </w:r>
    </w:p>
    <w:p w14:paraId="67440771" w14:textId="7F34C33F" w:rsidR="00250C88" w:rsidRPr="00FB717C" w:rsidRDefault="00250C88" w:rsidP="00250C88">
      <w:pPr>
        <w:spacing w:line="360" w:lineRule="auto"/>
        <w:jc w:val="both"/>
        <w:rPr>
          <w:rFonts w:ascii="Arial" w:hAnsi="Arial" w:cs="Arial"/>
        </w:rPr>
      </w:pPr>
      <w:r w:rsidRPr="00FB717C">
        <w:rPr>
          <w:rFonts w:ascii="Arial" w:hAnsi="Arial" w:cs="Arial"/>
        </w:rPr>
        <w:t>AMR: Antimicrobial resistance</w:t>
      </w:r>
    </w:p>
    <w:p w14:paraId="37DE662C" w14:textId="5D008805" w:rsidR="00250C88" w:rsidRPr="00FB717C" w:rsidRDefault="00250C88" w:rsidP="00250C88">
      <w:pPr>
        <w:spacing w:line="360" w:lineRule="auto"/>
        <w:jc w:val="both"/>
        <w:rPr>
          <w:rFonts w:ascii="Arial" w:hAnsi="Arial" w:cs="Arial"/>
        </w:rPr>
      </w:pPr>
      <w:r w:rsidRPr="00250C88">
        <w:rPr>
          <w:rFonts w:ascii="Arial" w:hAnsi="Arial" w:cs="Arial"/>
        </w:rPr>
        <w:t xml:space="preserve">IQR: </w:t>
      </w:r>
      <w:r>
        <w:rPr>
          <w:rFonts w:ascii="Arial" w:hAnsi="Arial" w:cs="Arial"/>
        </w:rPr>
        <w:t>Interquartile range</w:t>
      </w:r>
    </w:p>
    <w:p w14:paraId="7D8CAC35" w14:textId="77777777" w:rsidR="00250C88" w:rsidRPr="00FB717C" w:rsidRDefault="00250C88" w:rsidP="00250C88">
      <w:pPr>
        <w:spacing w:line="360" w:lineRule="auto"/>
        <w:jc w:val="both"/>
        <w:rPr>
          <w:rFonts w:ascii="Arial" w:hAnsi="Arial" w:cs="Arial"/>
        </w:rPr>
      </w:pPr>
      <w:r w:rsidRPr="00FB717C">
        <w:rPr>
          <w:rFonts w:ascii="Arial" w:hAnsi="Arial" w:cs="Arial"/>
        </w:rPr>
        <w:t>NHS: National Health Service</w:t>
      </w:r>
    </w:p>
    <w:p w14:paraId="18B77088" w14:textId="6F0BAEDE" w:rsidR="00250C88" w:rsidRDefault="00250C88" w:rsidP="00250C88">
      <w:pPr>
        <w:spacing w:line="360" w:lineRule="auto"/>
        <w:jc w:val="both"/>
        <w:rPr>
          <w:rFonts w:ascii="Arial" w:hAnsi="Arial" w:cs="Arial"/>
        </w:rPr>
      </w:pPr>
      <w:r w:rsidRPr="00250C88">
        <w:rPr>
          <w:rFonts w:ascii="Arial" w:hAnsi="Arial" w:cs="Arial"/>
        </w:rPr>
        <w:t>SAM: Society for Acute Medicine</w:t>
      </w:r>
    </w:p>
    <w:p w14:paraId="2E406918" w14:textId="77777777" w:rsidR="00FB717C" w:rsidRPr="00FB717C" w:rsidRDefault="00FB717C" w:rsidP="00250C88">
      <w:pPr>
        <w:spacing w:line="360" w:lineRule="auto"/>
        <w:jc w:val="both"/>
        <w:rPr>
          <w:rFonts w:ascii="Arial" w:hAnsi="Arial" w:cs="Arial"/>
        </w:rPr>
      </w:pPr>
    </w:p>
    <w:p w14:paraId="163CE50E" w14:textId="31E4F540" w:rsidR="00E341B3" w:rsidRPr="00E341B3" w:rsidRDefault="00E341B3" w:rsidP="00E341B3">
      <w:pPr>
        <w:spacing w:line="480" w:lineRule="auto"/>
        <w:rPr>
          <w:rStyle w:val="Emphasis"/>
          <w:rFonts w:ascii="Arial" w:hAnsi="Arial" w:cs="Arial"/>
          <w:b/>
          <w:i w:val="0"/>
        </w:rPr>
      </w:pPr>
      <w:r w:rsidRPr="00E341B3">
        <w:rPr>
          <w:rStyle w:val="Emphasis"/>
          <w:rFonts w:ascii="Arial" w:hAnsi="Arial" w:cs="Arial"/>
          <w:b/>
          <w:i w:val="0"/>
        </w:rPr>
        <w:t>Supplementary information</w:t>
      </w:r>
    </w:p>
    <w:p w14:paraId="453B02CC" w14:textId="2A67F863" w:rsidR="00E341B3" w:rsidRPr="00E341B3" w:rsidRDefault="00E341B3" w:rsidP="00E341B3">
      <w:pPr>
        <w:spacing w:line="480" w:lineRule="auto"/>
        <w:rPr>
          <w:rStyle w:val="Emphasis"/>
          <w:rFonts w:ascii="Arial" w:hAnsi="Arial" w:cs="Arial"/>
          <w:b/>
          <w:i w:val="0"/>
        </w:rPr>
      </w:pPr>
      <w:r w:rsidRPr="00E341B3">
        <w:rPr>
          <w:rStyle w:val="Emphasis"/>
          <w:rFonts w:ascii="Arial" w:hAnsi="Arial" w:cs="Arial"/>
          <w:b/>
          <w:i w:val="0"/>
        </w:rPr>
        <w:t>Additional file 1</w:t>
      </w:r>
      <w:r>
        <w:rPr>
          <w:rStyle w:val="Emphasis"/>
          <w:rFonts w:ascii="Arial" w:hAnsi="Arial" w:cs="Arial"/>
          <w:b/>
          <w:i w:val="0"/>
        </w:rPr>
        <w:t>: Literature review</w:t>
      </w:r>
      <w:r w:rsidRPr="00E341B3">
        <w:rPr>
          <w:rStyle w:val="Emphasis"/>
          <w:rFonts w:ascii="Arial" w:hAnsi="Arial" w:cs="Arial"/>
          <w:b/>
          <w:i w:val="0"/>
        </w:rPr>
        <w:t xml:space="preserve"> (.docx)</w:t>
      </w:r>
    </w:p>
    <w:p w14:paraId="683DECFA" w14:textId="4CEFA47F" w:rsidR="00E341B3" w:rsidRDefault="00E341B3" w:rsidP="00E341B3">
      <w:pPr>
        <w:spacing w:line="480" w:lineRule="auto"/>
        <w:rPr>
          <w:rStyle w:val="Emphasis"/>
          <w:rFonts w:ascii="Arial" w:hAnsi="Arial" w:cs="Arial"/>
          <w:b/>
          <w:i w:val="0"/>
        </w:rPr>
      </w:pPr>
      <w:r w:rsidRPr="00E341B3">
        <w:rPr>
          <w:rStyle w:val="Emphasis"/>
          <w:rFonts w:ascii="Arial" w:hAnsi="Arial" w:cs="Arial"/>
          <w:b/>
          <w:i w:val="0"/>
        </w:rPr>
        <w:t>Additional file 2</w:t>
      </w:r>
      <w:r>
        <w:rPr>
          <w:rStyle w:val="Emphasis"/>
          <w:rFonts w:ascii="Arial" w:hAnsi="Arial" w:cs="Arial"/>
          <w:b/>
          <w:i w:val="0"/>
        </w:rPr>
        <w:t>: Experimental design</w:t>
      </w:r>
      <w:r w:rsidRPr="00E341B3">
        <w:rPr>
          <w:rStyle w:val="Emphasis"/>
          <w:rFonts w:ascii="Arial" w:hAnsi="Arial" w:cs="Arial"/>
          <w:b/>
          <w:i w:val="0"/>
        </w:rPr>
        <w:t xml:space="preserve"> (.docx)</w:t>
      </w:r>
    </w:p>
    <w:p w14:paraId="75F2E391" w14:textId="594AC070" w:rsidR="00E341B3" w:rsidRPr="00E341B3" w:rsidRDefault="00E341B3" w:rsidP="00E341B3">
      <w:pPr>
        <w:spacing w:line="480" w:lineRule="auto"/>
        <w:rPr>
          <w:rStyle w:val="Emphasis"/>
          <w:rFonts w:ascii="Arial" w:hAnsi="Arial" w:cs="Arial"/>
          <w:b/>
          <w:i w:val="0"/>
        </w:rPr>
      </w:pPr>
      <w:r>
        <w:rPr>
          <w:rStyle w:val="Emphasis"/>
          <w:rFonts w:ascii="Arial" w:hAnsi="Arial" w:cs="Arial"/>
          <w:b/>
          <w:i w:val="0"/>
        </w:rPr>
        <w:t>Additional file 3</w:t>
      </w:r>
      <w:r w:rsidRPr="00E341B3">
        <w:rPr>
          <w:rStyle w:val="Emphasis"/>
          <w:rFonts w:ascii="Arial" w:hAnsi="Arial" w:cs="Arial"/>
          <w:b/>
          <w:i w:val="0"/>
        </w:rPr>
        <w:t>: Full text of final choice experiment survey (.docx)</w:t>
      </w:r>
    </w:p>
    <w:p w14:paraId="4AB88FD1" w14:textId="6E0F6EE1" w:rsidR="00E341B3" w:rsidRPr="00E341B3" w:rsidRDefault="00E341B3" w:rsidP="00E341B3">
      <w:pPr>
        <w:spacing w:line="480" w:lineRule="auto"/>
        <w:rPr>
          <w:rStyle w:val="Emphasis"/>
          <w:rFonts w:ascii="Arial" w:hAnsi="Arial" w:cs="Arial"/>
          <w:b/>
          <w:i w:val="0"/>
        </w:rPr>
      </w:pPr>
      <w:r>
        <w:rPr>
          <w:rStyle w:val="Emphasis"/>
          <w:rFonts w:ascii="Arial" w:hAnsi="Arial" w:cs="Arial"/>
          <w:b/>
          <w:i w:val="0"/>
        </w:rPr>
        <w:t>Additional file 4</w:t>
      </w:r>
      <w:r w:rsidRPr="00E341B3">
        <w:rPr>
          <w:rStyle w:val="Emphasis"/>
          <w:rFonts w:ascii="Arial" w:hAnsi="Arial" w:cs="Arial"/>
          <w:b/>
          <w:i w:val="0"/>
        </w:rPr>
        <w:t xml:space="preserve">: </w:t>
      </w:r>
      <w:r>
        <w:rPr>
          <w:rStyle w:val="Emphasis"/>
          <w:rFonts w:ascii="Arial" w:hAnsi="Arial" w:cs="Arial"/>
          <w:b/>
          <w:i w:val="0"/>
        </w:rPr>
        <w:t>Recruitment email text</w:t>
      </w:r>
      <w:r w:rsidRPr="00E341B3">
        <w:rPr>
          <w:rStyle w:val="Emphasis"/>
          <w:rFonts w:ascii="Arial" w:hAnsi="Arial" w:cs="Arial"/>
          <w:b/>
          <w:i w:val="0"/>
        </w:rPr>
        <w:t xml:space="preserve"> (.docx)</w:t>
      </w:r>
    </w:p>
    <w:p w14:paraId="6E06FB82" w14:textId="0DACECE1" w:rsidR="005F2CB5" w:rsidRDefault="005F2CB5" w:rsidP="00076666">
      <w:pPr>
        <w:spacing w:line="480" w:lineRule="auto"/>
        <w:rPr>
          <w:rStyle w:val="Emphasis"/>
          <w:rFonts w:ascii="Arial" w:hAnsi="Arial" w:cs="Arial"/>
          <w:b/>
          <w:i w:val="0"/>
        </w:rPr>
      </w:pPr>
      <w:r>
        <w:rPr>
          <w:rStyle w:val="Emphasis"/>
          <w:rFonts w:ascii="Arial" w:hAnsi="Arial" w:cs="Arial"/>
          <w:b/>
          <w:i w:val="0"/>
        </w:rPr>
        <w:t>Additional file 5</w:t>
      </w:r>
      <w:r w:rsidRPr="00E341B3">
        <w:rPr>
          <w:rStyle w:val="Emphasis"/>
          <w:rFonts w:ascii="Arial" w:hAnsi="Arial" w:cs="Arial"/>
          <w:b/>
          <w:i w:val="0"/>
        </w:rPr>
        <w:t xml:space="preserve">: </w:t>
      </w:r>
      <w:r>
        <w:rPr>
          <w:rStyle w:val="Emphasis"/>
          <w:rFonts w:ascii="Arial" w:hAnsi="Arial" w:cs="Arial"/>
          <w:b/>
          <w:i w:val="0"/>
        </w:rPr>
        <w:t>Personality questions</w:t>
      </w:r>
      <w:r w:rsidRPr="00E341B3">
        <w:rPr>
          <w:rStyle w:val="Emphasis"/>
          <w:rFonts w:ascii="Arial" w:hAnsi="Arial" w:cs="Arial"/>
          <w:b/>
          <w:i w:val="0"/>
        </w:rPr>
        <w:t xml:space="preserve"> (.docx)</w:t>
      </w:r>
    </w:p>
    <w:p w14:paraId="3E083F1E" w14:textId="3C2955C7" w:rsidR="005F2CB5" w:rsidRPr="005F2CB5" w:rsidRDefault="005F2CB5" w:rsidP="00076666">
      <w:pPr>
        <w:pStyle w:val="NoSpacing"/>
        <w:spacing w:after="240" w:line="480" w:lineRule="auto"/>
        <w:jc w:val="both"/>
        <w:rPr>
          <w:rFonts w:ascii="Arial" w:hAnsi="Arial" w:cs="Arial"/>
        </w:rPr>
      </w:pPr>
      <w:r w:rsidRPr="005F2CB5">
        <w:rPr>
          <w:rFonts w:ascii="Arial" w:hAnsi="Arial" w:cs="Arial"/>
        </w:rPr>
        <w:t>Table S1: Mean scores for the five key personality traits</w:t>
      </w:r>
    </w:p>
    <w:p w14:paraId="44990234" w14:textId="34883E34" w:rsidR="005F2CB5" w:rsidRDefault="005F2CB5" w:rsidP="00076666">
      <w:pPr>
        <w:spacing w:line="480" w:lineRule="auto"/>
        <w:rPr>
          <w:rStyle w:val="Emphasis"/>
          <w:rFonts w:ascii="Arial" w:hAnsi="Arial" w:cs="Arial"/>
          <w:b/>
          <w:i w:val="0"/>
        </w:rPr>
      </w:pPr>
      <w:r>
        <w:rPr>
          <w:rStyle w:val="Emphasis"/>
          <w:rFonts w:ascii="Arial" w:hAnsi="Arial" w:cs="Arial"/>
          <w:b/>
          <w:i w:val="0"/>
        </w:rPr>
        <w:t>Additional file 6</w:t>
      </w:r>
      <w:r w:rsidRPr="00E341B3">
        <w:rPr>
          <w:rStyle w:val="Emphasis"/>
          <w:rFonts w:ascii="Arial" w:hAnsi="Arial" w:cs="Arial"/>
          <w:b/>
          <w:i w:val="0"/>
        </w:rPr>
        <w:t xml:space="preserve">: </w:t>
      </w:r>
      <w:r>
        <w:rPr>
          <w:rStyle w:val="Emphasis"/>
          <w:rFonts w:ascii="Arial" w:hAnsi="Arial" w:cs="Arial"/>
          <w:b/>
          <w:i w:val="0"/>
        </w:rPr>
        <w:t>Attribute rankings and responses to the practice question</w:t>
      </w:r>
      <w:r w:rsidRPr="00E341B3">
        <w:rPr>
          <w:rStyle w:val="Emphasis"/>
          <w:rFonts w:ascii="Arial" w:hAnsi="Arial" w:cs="Arial"/>
          <w:b/>
          <w:i w:val="0"/>
        </w:rPr>
        <w:t xml:space="preserve"> (.docx)</w:t>
      </w:r>
    </w:p>
    <w:p w14:paraId="69C71034" w14:textId="11E10FD0" w:rsidR="005F2CB5" w:rsidRPr="005F2CB5" w:rsidRDefault="005F2CB5" w:rsidP="005F2CB5">
      <w:pPr>
        <w:spacing w:line="480" w:lineRule="auto"/>
        <w:rPr>
          <w:rStyle w:val="Emphasis"/>
          <w:rFonts w:ascii="Arial" w:hAnsi="Arial" w:cs="Arial"/>
          <w:i w:val="0"/>
        </w:rPr>
      </w:pPr>
      <w:r w:rsidRPr="005F2CB5">
        <w:rPr>
          <w:rStyle w:val="Emphasis"/>
          <w:rFonts w:ascii="Arial" w:hAnsi="Arial" w:cs="Arial"/>
          <w:i w:val="0"/>
        </w:rPr>
        <w:t>Table S2: Attribute rankings</w:t>
      </w:r>
    </w:p>
    <w:p w14:paraId="5715FBD7" w14:textId="2BA9B860" w:rsidR="005F2CB5" w:rsidRPr="005F2CB5" w:rsidRDefault="005F2CB5" w:rsidP="005F2CB5">
      <w:pPr>
        <w:spacing w:line="480" w:lineRule="auto"/>
        <w:rPr>
          <w:rStyle w:val="Emphasis"/>
          <w:rFonts w:ascii="Arial" w:hAnsi="Arial" w:cs="Arial"/>
          <w:b/>
          <w:i w:val="0"/>
        </w:rPr>
      </w:pPr>
      <w:r w:rsidRPr="005F2CB5">
        <w:rPr>
          <w:rStyle w:val="Emphasis"/>
          <w:rFonts w:ascii="Arial" w:hAnsi="Arial" w:cs="Arial"/>
          <w:b/>
          <w:i w:val="0"/>
        </w:rPr>
        <w:t xml:space="preserve">Additional file 7: </w:t>
      </w:r>
      <w:r w:rsidRPr="005F2CB5">
        <w:rPr>
          <w:rFonts w:ascii="Arial" w:hAnsi="Arial" w:cs="Arial"/>
          <w:b/>
        </w:rPr>
        <w:t>Continue/Discontinue split across the 15 choice questions</w:t>
      </w:r>
      <w:r w:rsidRPr="005F2CB5">
        <w:rPr>
          <w:rStyle w:val="Emphasis"/>
          <w:rFonts w:ascii="Arial" w:hAnsi="Arial" w:cs="Arial"/>
          <w:b/>
          <w:i w:val="0"/>
        </w:rPr>
        <w:t xml:space="preserve"> (.docx)</w:t>
      </w:r>
    </w:p>
    <w:p w14:paraId="19CB37A9" w14:textId="3AB22D41" w:rsidR="00E341B3" w:rsidRDefault="005F2CB5" w:rsidP="00076666">
      <w:pPr>
        <w:pStyle w:val="NoSpacing"/>
        <w:spacing w:after="240" w:line="480" w:lineRule="auto"/>
        <w:jc w:val="both"/>
        <w:rPr>
          <w:rStyle w:val="Emphasis"/>
          <w:rFonts w:ascii="Arial" w:hAnsi="Arial" w:cs="Arial"/>
          <w:i w:val="0"/>
        </w:rPr>
      </w:pPr>
      <w:r w:rsidRPr="005F2CB5">
        <w:rPr>
          <w:rStyle w:val="Emphasis"/>
          <w:rFonts w:ascii="Arial" w:hAnsi="Arial" w:cs="Arial"/>
          <w:i w:val="0"/>
        </w:rPr>
        <w:t>Table</w:t>
      </w:r>
      <w:r w:rsidR="00233803">
        <w:rPr>
          <w:rStyle w:val="Emphasis"/>
          <w:rFonts w:ascii="Arial" w:hAnsi="Arial" w:cs="Arial"/>
          <w:i w:val="0"/>
        </w:rPr>
        <w:t xml:space="preserve"> S3: Continue/Discontinue split</w:t>
      </w:r>
    </w:p>
    <w:p w14:paraId="60E67500" w14:textId="4CBF001F" w:rsidR="005F2CB5" w:rsidRDefault="005F2CB5" w:rsidP="00076666">
      <w:pPr>
        <w:spacing w:line="480" w:lineRule="auto"/>
        <w:rPr>
          <w:rFonts w:ascii="Arial" w:hAnsi="Arial" w:cs="Arial"/>
          <w:b/>
        </w:rPr>
      </w:pPr>
      <w:r w:rsidRPr="005F2CB5">
        <w:rPr>
          <w:rFonts w:ascii="Arial" w:hAnsi="Arial" w:cs="Arial"/>
          <w:b/>
        </w:rPr>
        <w:t>Additional file 8: Robustness Analysis: Mixed effects logistic regression analysis</w:t>
      </w:r>
      <w:r>
        <w:rPr>
          <w:rFonts w:ascii="Arial" w:hAnsi="Arial" w:cs="Arial"/>
          <w:b/>
        </w:rPr>
        <w:t xml:space="preserve"> (.docx)</w:t>
      </w:r>
    </w:p>
    <w:p w14:paraId="56747D9A" w14:textId="0E94E3F7" w:rsidR="005F2CB5" w:rsidRDefault="005F2CB5" w:rsidP="00076666">
      <w:pPr>
        <w:spacing w:line="480" w:lineRule="auto"/>
        <w:rPr>
          <w:rFonts w:ascii="Arial" w:hAnsi="Arial" w:cs="Arial"/>
        </w:rPr>
      </w:pPr>
      <w:r w:rsidRPr="00233803">
        <w:rPr>
          <w:rStyle w:val="Emphasis"/>
          <w:rFonts w:ascii="Arial" w:hAnsi="Arial" w:cs="Arial"/>
          <w:i w:val="0"/>
        </w:rPr>
        <w:t xml:space="preserve">Table S4: </w:t>
      </w:r>
      <w:r w:rsidRPr="00233803">
        <w:rPr>
          <w:rFonts w:ascii="Arial" w:hAnsi="Arial" w:cs="Arial"/>
        </w:rPr>
        <w:t>Mixed effects logistic regression analysis</w:t>
      </w:r>
    </w:p>
    <w:p w14:paraId="25C7A06A" w14:textId="144F8502" w:rsidR="00233803" w:rsidRDefault="00233803" w:rsidP="00233803">
      <w:pPr>
        <w:spacing w:line="480" w:lineRule="auto"/>
        <w:rPr>
          <w:rStyle w:val="Emphasis"/>
          <w:rFonts w:ascii="Arial" w:hAnsi="Arial" w:cs="Arial"/>
          <w:b/>
          <w:i w:val="0"/>
        </w:rPr>
      </w:pPr>
      <w:r>
        <w:rPr>
          <w:rStyle w:val="Emphasis"/>
          <w:rFonts w:ascii="Arial" w:hAnsi="Arial" w:cs="Arial"/>
          <w:b/>
          <w:i w:val="0"/>
        </w:rPr>
        <w:t>Additional file 9</w:t>
      </w:r>
      <w:r w:rsidRPr="00233803">
        <w:rPr>
          <w:rStyle w:val="Emphasis"/>
          <w:rFonts w:ascii="Arial" w:hAnsi="Arial" w:cs="Arial"/>
          <w:b/>
          <w:i w:val="0"/>
        </w:rPr>
        <w:t xml:space="preserve">: </w:t>
      </w:r>
      <w:r w:rsidRPr="00233803">
        <w:rPr>
          <w:rFonts w:ascii="Arial" w:hAnsi="Arial" w:cs="Arial"/>
          <w:b/>
        </w:rPr>
        <w:t>Association of choices with respondent characteristics</w:t>
      </w:r>
      <w:r w:rsidRPr="00233803">
        <w:rPr>
          <w:rStyle w:val="Emphasis"/>
          <w:rFonts w:ascii="Arial" w:hAnsi="Arial" w:cs="Arial"/>
          <w:b/>
          <w:i w:val="0"/>
        </w:rPr>
        <w:t xml:space="preserve"> (.docx)</w:t>
      </w:r>
    </w:p>
    <w:p w14:paraId="49AE521A" w14:textId="319FD684" w:rsidR="00233803" w:rsidRDefault="00233803" w:rsidP="00233803">
      <w:pPr>
        <w:spacing w:line="480" w:lineRule="auto"/>
        <w:rPr>
          <w:rFonts w:ascii="Arial" w:hAnsi="Arial" w:cs="Arial"/>
        </w:rPr>
      </w:pPr>
      <w:r w:rsidRPr="00233803">
        <w:rPr>
          <w:rFonts w:ascii="Arial" w:hAnsi="Arial" w:cs="Arial"/>
        </w:rPr>
        <w:t>Table S5. Ordered Probit Models of Continuing Antibiotics</w:t>
      </w:r>
    </w:p>
    <w:p w14:paraId="40B0C58D" w14:textId="2B2B68C6" w:rsidR="00AD261B" w:rsidRPr="00233803" w:rsidRDefault="00233803" w:rsidP="00233803">
      <w:pPr>
        <w:spacing w:line="480" w:lineRule="auto"/>
        <w:rPr>
          <w:rFonts w:ascii="Arial" w:hAnsi="Arial" w:cs="Arial"/>
          <w:iCs/>
        </w:rPr>
      </w:pPr>
      <w:r>
        <w:rPr>
          <w:rStyle w:val="Emphasis"/>
          <w:rFonts w:ascii="Arial" w:hAnsi="Arial" w:cs="Arial"/>
          <w:b/>
          <w:i w:val="0"/>
        </w:rPr>
        <w:t>Additional file 10</w:t>
      </w:r>
      <w:r w:rsidRPr="00233803">
        <w:rPr>
          <w:rStyle w:val="Emphasis"/>
          <w:rFonts w:ascii="Arial" w:hAnsi="Arial" w:cs="Arial"/>
          <w:b/>
          <w:i w:val="0"/>
        </w:rPr>
        <w:t xml:space="preserve">: </w:t>
      </w:r>
      <w:r w:rsidRPr="00233803">
        <w:rPr>
          <w:rFonts w:ascii="Arial" w:hAnsi="Arial" w:cs="Arial"/>
          <w:b/>
        </w:rPr>
        <w:t>Respondent comments on survey</w:t>
      </w:r>
    </w:p>
    <w:p w14:paraId="6554A322" w14:textId="77777777" w:rsidR="00AF3D1B" w:rsidRDefault="00AF3D1B" w:rsidP="0086158F">
      <w:pPr>
        <w:spacing w:line="480" w:lineRule="auto"/>
        <w:rPr>
          <w:rFonts w:ascii="Arial" w:hAnsi="Arial" w:cs="Arial"/>
        </w:rPr>
      </w:pPr>
    </w:p>
    <w:p w14:paraId="35CF16E0" w14:textId="7942DA4C" w:rsidR="0086158F" w:rsidRPr="009F716D" w:rsidRDefault="0086158F" w:rsidP="0086158F">
      <w:pPr>
        <w:spacing w:line="480" w:lineRule="auto"/>
        <w:rPr>
          <w:rFonts w:ascii="Arial" w:hAnsi="Arial" w:cs="Arial"/>
        </w:rPr>
      </w:pPr>
      <w:r>
        <w:rPr>
          <w:rFonts w:ascii="Arial" w:hAnsi="Arial" w:cs="Arial"/>
        </w:rPr>
        <w:t>REFERENCES</w:t>
      </w:r>
    </w:p>
    <w:p w14:paraId="1A1F5871" w14:textId="36FBC723" w:rsidR="007322EF" w:rsidRDefault="0086158F" w:rsidP="0056024B">
      <w:pPr>
        <w:spacing w:line="480" w:lineRule="auto"/>
        <w:jc w:val="both"/>
        <w:rPr>
          <w:rFonts w:ascii="Arial" w:hAnsi="Arial" w:cs="Arial"/>
          <w:color w:val="222222"/>
          <w:sz w:val="20"/>
          <w:szCs w:val="20"/>
          <w:shd w:val="clear" w:color="auto" w:fill="FFFFFF"/>
        </w:rPr>
      </w:pPr>
      <w:r>
        <w:rPr>
          <w:rFonts w:ascii="Arial" w:hAnsi="Arial" w:cs="Arial"/>
        </w:rPr>
        <w:t>1</w:t>
      </w:r>
      <w:r w:rsidR="00700CDC">
        <w:rPr>
          <w:rFonts w:ascii="Arial" w:hAnsi="Arial" w:cs="Arial"/>
        </w:rPr>
        <w:t>.</w:t>
      </w:r>
      <w:r>
        <w:rPr>
          <w:rFonts w:ascii="Arial" w:hAnsi="Arial" w:cs="Arial"/>
        </w:rPr>
        <w:t xml:space="preserve"> </w:t>
      </w:r>
      <w:r w:rsidR="00703B73">
        <w:rPr>
          <w:rFonts w:ascii="Arial" w:hAnsi="Arial" w:cs="Arial"/>
          <w:color w:val="222222"/>
          <w:sz w:val="20"/>
          <w:szCs w:val="20"/>
          <w:shd w:val="clear" w:color="auto" w:fill="FFFFFF"/>
        </w:rPr>
        <w:t>Roope LSJ, Smith RD, Pouwels KB</w:t>
      </w:r>
      <w:r>
        <w:rPr>
          <w:rFonts w:ascii="Arial" w:hAnsi="Arial" w:cs="Arial"/>
          <w:color w:val="222222"/>
          <w:sz w:val="20"/>
          <w:szCs w:val="20"/>
          <w:shd w:val="clear" w:color="auto" w:fill="FFFFFF"/>
        </w:rPr>
        <w:t>, et al. The challenge of antimicrobial resistance: what economics can contribute.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364</w:t>
      </w:r>
      <w:r>
        <w:rPr>
          <w:rFonts w:ascii="Arial" w:hAnsi="Arial" w:cs="Arial"/>
          <w:color w:val="222222"/>
          <w:sz w:val="20"/>
          <w:szCs w:val="20"/>
          <w:shd w:val="clear" w:color="auto" w:fill="FFFFFF"/>
        </w:rPr>
        <w:t>(6435)</w:t>
      </w:r>
      <w:r w:rsidR="00E0234D">
        <w:rPr>
          <w:rFonts w:ascii="Arial" w:hAnsi="Arial" w:cs="Arial"/>
          <w:color w:val="222222"/>
          <w:sz w:val="20"/>
          <w:szCs w:val="20"/>
          <w:shd w:val="clear" w:color="auto" w:fill="FFFFFF"/>
        </w:rPr>
        <w:t xml:space="preserve"> (2019)</w:t>
      </w:r>
      <w:r>
        <w:rPr>
          <w:rFonts w:ascii="Arial" w:hAnsi="Arial" w:cs="Arial"/>
          <w:color w:val="222222"/>
          <w:sz w:val="20"/>
          <w:szCs w:val="20"/>
          <w:shd w:val="clear" w:color="auto" w:fill="FFFFFF"/>
        </w:rPr>
        <w:t>, p.eaau4679.</w:t>
      </w:r>
    </w:p>
    <w:p w14:paraId="76DEB7F3" w14:textId="27748989" w:rsidR="009A7001" w:rsidRPr="00703B73" w:rsidRDefault="009A7001" w:rsidP="009A7001">
      <w:pPr>
        <w:spacing w:line="480" w:lineRule="auto"/>
        <w:jc w:val="both"/>
        <w:rPr>
          <w:rFonts w:ascii="Arial" w:hAnsi="Arial" w:cs="Arial"/>
          <w:sz w:val="20"/>
          <w:szCs w:val="20"/>
        </w:rPr>
      </w:pPr>
      <w:r>
        <w:rPr>
          <w:rFonts w:ascii="Arial" w:hAnsi="Arial" w:cs="Arial"/>
          <w:sz w:val="20"/>
          <w:szCs w:val="20"/>
        </w:rPr>
        <w:t>2</w:t>
      </w:r>
      <w:r w:rsidR="00700CDC">
        <w:rPr>
          <w:rFonts w:ascii="Arial" w:hAnsi="Arial" w:cs="Arial"/>
          <w:sz w:val="20"/>
          <w:szCs w:val="20"/>
        </w:rPr>
        <w:t>.</w:t>
      </w:r>
      <w:r w:rsidRPr="00703B73">
        <w:rPr>
          <w:rFonts w:ascii="Arial" w:hAnsi="Arial" w:cs="Arial"/>
          <w:sz w:val="20"/>
          <w:szCs w:val="20"/>
        </w:rPr>
        <w:t xml:space="preserve"> Rice LB. The Maxwell Finland Lecture: for the duration-rational antibiotic administration in an era of antimicrobial resistance and clostridium difficile. Clin Infect Dis. 2008;46(4):491–6.</w:t>
      </w:r>
    </w:p>
    <w:p w14:paraId="5943EED8" w14:textId="0232C13D" w:rsidR="009A7001" w:rsidRDefault="009A7001" w:rsidP="009A7001">
      <w:pPr>
        <w:spacing w:line="480" w:lineRule="auto"/>
        <w:jc w:val="both"/>
        <w:rPr>
          <w:rFonts w:ascii="Arial" w:hAnsi="Arial" w:cs="Arial"/>
          <w:sz w:val="20"/>
          <w:szCs w:val="20"/>
        </w:rPr>
      </w:pPr>
      <w:r>
        <w:rPr>
          <w:rFonts w:ascii="Arial" w:hAnsi="Arial" w:cs="Arial"/>
          <w:sz w:val="20"/>
          <w:szCs w:val="20"/>
        </w:rPr>
        <w:t>3</w:t>
      </w:r>
      <w:r w:rsidR="00700CDC">
        <w:rPr>
          <w:rFonts w:ascii="Arial" w:hAnsi="Arial" w:cs="Arial"/>
          <w:sz w:val="20"/>
          <w:szCs w:val="20"/>
        </w:rPr>
        <w:t>.</w:t>
      </w:r>
      <w:r w:rsidRPr="00703B73">
        <w:rPr>
          <w:rFonts w:ascii="Arial" w:hAnsi="Arial" w:cs="Arial"/>
          <w:sz w:val="20"/>
          <w:szCs w:val="20"/>
        </w:rPr>
        <w:t xml:space="preserve"> Singh N, Rogers P, Atwood CW, </w:t>
      </w:r>
      <w:r w:rsidR="00E0234D">
        <w:rPr>
          <w:rFonts w:ascii="Arial" w:hAnsi="Arial" w:cs="Arial"/>
          <w:sz w:val="20"/>
          <w:szCs w:val="20"/>
        </w:rPr>
        <w:t>et al</w:t>
      </w:r>
      <w:r w:rsidRPr="00703B73">
        <w:rPr>
          <w:rFonts w:ascii="Arial" w:hAnsi="Arial" w:cs="Arial"/>
          <w:sz w:val="20"/>
          <w:szCs w:val="20"/>
        </w:rPr>
        <w:t>. Short-course empiric antibiotic therapy for patients with pulmonary infiltrates in the intensive</w:t>
      </w:r>
      <w:r>
        <w:rPr>
          <w:rFonts w:ascii="Arial" w:hAnsi="Arial" w:cs="Arial"/>
          <w:sz w:val="20"/>
          <w:szCs w:val="20"/>
        </w:rPr>
        <w:t xml:space="preserve"> care unit. </w:t>
      </w:r>
      <w:r w:rsidRPr="007A4EE8">
        <w:rPr>
          <w:rFonts w:ascii="Arial" w:hAnsi="Arial" w:cs="Arial"/>
          <w:sz w:val="20"/>
          <w:szCs w:val="20"/>
        </w:rPr>
        <w:t>A proposed solution for indiscriminate antibiotic prescription. Am J Respir Crit Care Med. 2000;162(2 Pt 1):505–11.</w:t>
      </w:r>
    </w:p>
    <w:p w14:paraId="27198182" w14:textId="5EB72105" w:rsidR="009A7001" w:rsidRPr="009A7001" w:rsidRDefault="00A801D0" w:rsidP="0086158F">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4</w:t>
      </w:r>
      <w:r w:rsidR="00700CDC">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009A7001" w:rsidRPr="004A469F">
        <w:rPr>
          <w:rFonts w:ascii="Arial" w:hAnsi="Arial" w:cs="Arial"/>
          <w:color w:val="222222"/>
          <w:sz w:val="20"/>
          <w:szCs w:val="20"/>
          <w:shd w:val="clear" w:color="auto" w:fill="FFFFFF"/>
        </w:rPr>
        <w:t>TARGET Antibiotics Toolkit, Royal College of General Practi</w:t>
      </w:r>
      <w:r w:rsidR="009A7001" w:rsidRPr="004F67E6">
        <w:rPr>
          <w:rFonts w:ascii="Arial" w:hAnsi="Arial" w:cs="Arial"/>
          <w:color w:val="222222"/>
          <w:sz w:val="20"/>
          <w:szCs w:val="20"/>
          <w:shd w:val="clear" w:color="auto" w:fill="FFFFFF"/>
        </w:rPr>
        <w:t xml:space="preserve">tioners, available at </w:t>
      </w:r>
      <w:hyperlink r:id="rId11" w:history="1">
        <w:r w:rsidR="009A7001" w:rsidRPr="00A801D0">
          <w:rPr>
            <w:rStyle w:val="Hyperlink"/>
            <w:rFonts w:ascii="Arial" w:hAnsi="Arial" w:cs="Arial"/>
            <w:sz w:val="20"/>
            <w:szCs w:val="20"/>
          </w:rPr>
          <w:t>https://www.rcgp.org.uk/targetantibiotics</w:t>
        </w:r>
      </w:hyperlink>
      <w:r w:rsidR="009A7001" w:rsidRPr="00A801D0">
        <w:rPr>
          <w:rFonts w:ascii="Arial" w:hAnsi="Arial" w:cs="Arial"/>
          <w:sz w:val="20"/>
          <w:szCs w:val="20"/>
        </w:rPr>
        <w:t xml:space="preserve"> [Accessed 17 January 2020]</w:t>
      </w:r>
    </w:p>
    <w:p w14:paraId="097286C7" w14:textId="277ED3D7" w:rsidR="000F3F95" w:rsidRPr="004F67E6" w:rsidRDefault="009A7001" w:rsidP="0086158F">
      <w:pPr>
        <w:spacing w:line="480" w:lineRule="auto"/>
        <w:jc w:val="both"/>
        <w:rPr>
          <w:rFonts w:ascii="Arial" w:hAnsi="Arial" w:cs="Arial"/>
          <w:color w:val="222222"/>
          <w:sz w:val="20"/>
          <w:szCs w:val="20"/>
          <w:shd w:val="clear" w:color="auto" w:fill="FFFFFF"/>
        </w:rPr>
      </w:pPr>
      <w:r w:rsidRPr="004A469F">
        <w:rPr>
          <w:rFonts w:ascii="Arial" w:hAnsi="Arial" w:cs="Arial"/>
          <w:color w:val="222222"/>
          <w:sz w:val="20"/>
          <w:szCs w:val="20"/>
          <w:shd w:val="clear" w:color="auto" w:fill="FFFFFF"/>
        </w:rPr>
        <w:t>5</w:t>
      </w:r>
      <w:r w:rsidR="00700CDC">
        <w:rPr>
          <w:rFonts w:ascii="Arial" w:hAnsi="Arial" w:cs="Arial"/>
          <w:color w:val="222222"/>
          <w:sz w:val="20"/>
          <w:szCs w:val="20"/>
          <w:shd w:val="clear" w:color="auto" w:fill="FFFFFF"/>
        </w:rPr>
        <w:t>.</w:t>
      </w:r>
      <w:r w:rsidR="000F3F95" w:rsidRPr="004F67E6">
        <w:rPr>
          <w:rFonts w:ascii="Arial" w:hAnsi="Arial" w:cs="Arial"/>
          <w:color w:val="222222"/>
          <w:sz w:val="20"/>
          <w:szCs w:val="20"/>
          <w:shd w:val="clear" w:color="auto" w:fill="FFFFFF"/>
        </w:rPr>
        <w:t xml:space="preserve"> Public Health England (PHE): English Surveillance Programme for Antimicrobial Utilisation and Resistance (ESPAUR) Report 2018</w:t>
      </w:r>
      <w:r w:rsidRPr="004F67E6">
        <w:rPr>
          <w:rFonts w:ascii="Arial" w:hAnsi="Arial" w:cs="Arial"/>
          <w:color w:val="222222"/>
          <w:sz w:val="20"/>
          <w:szCs w:val="20"/>
          <w:shd w:val="clear" w:color="auto" w:fill="FFFFFF"/>
        </w:rPr>
        <w:t>-2019</w:t>
      </w:r>
      <w:r w:rsidR="000F3F95" w:rsidRPr="004F67E6">
        <w:rPr>
          <w:rFonts w:ascii="Arial" w:hAnsi="Arial" w:cs="Arial"/>
          <w:color w:val="222222"/>
          <w:sz w:val="20"/>
          <w:szCs w:val="20"/>
          <w:shd w:val="clear" w:color="auto" w:fill="FFFFFF"/>
        </w:rPr>
        <w:t xml:space="preserve">. London: PHE; 2018. </w:t>
      </w:r>
    </w:p>
    <w:p w14:paraId="49B3772F" w14:textId="58643C84" w:rsidR="000F3F95" w:rsidRDefault="006F37E3" w:rsidP="0086158F">
      <w:pPr>
        <w:spacing w:line="480" w:lineRule="auto"/>
        <w:jc w:val="both"/>
        <w:rPr>
          <w:rFonts w:ascii="Arial" w:hAnsi="Arial" w:cs="Arial"/>
          <w:color w:val="222222"/>
          <w:sz w:val="20"/>
          <w:szCs w:val="20"/>
          <w:shd w:val="clear" w:color="auto" w:fill="FFFFFF"/>
        </w:rPr>
      </w:pPr>
      <w:hyperlink r:id="rId12" w:history="1">
        <w:r w:rsidR="009A7001" w:rsidRPr="00A801D0">
          <w:rPr>
            <w:rStyle w:val="Hyperlink"/>
            <w:rFonts w:ascii="Arial" w:hAnsi="Arial" w:cs="Arial"/>
            <w:sz w:val="20"/>
            <w:szCs w:val="20"/>
          </w:rPr>
          <w:t>https://assets.publishing.service.gov.uk/government/uploads/system/uploads/attachment_data/file/843129/English_Surveillance_Programme_for_Antimicrobial_Utilisation_and_Resistance_2019.pdf</w:t>
        </w:r>
      </w:hyperlink>
      <w:r w:rsidR="00C33F89">
        <w:rPr>
          <w:rStyle w:val="Hyperlink"/>
          <w:rFonts w:ascii="Arial" w:hAnsi="Arial" w:cs="Arial"/>
          <w:sz w:val="20"/>
          <w:szCs w:val="20"/>
        </w:rPr>
        <w:t xml:space="preserve"> </w:t>
      </w:r>
      <w:r w:rsidR="000F3F95" w:rsidRPr="004A469F">
        <w:rPr>
          <w:rFonts w:ascii="Arial" w:hAnsi="Arial" w:cs="Arial"/>
          <w:color w:val="222222"/>
          <w:sz w:val="20"/>
          <w:szCs w:val="20"/>
          <w:shd w:val="clear" w:color="auto" w:fill="FFFFFF"/>
        </w:rPr>
        <w:t>[Accessed 1</w:t>
      </w:r>
      <w:r w:rsidR="009A7001" w:rsidRPr="004A469F">
        <w:rPr>
          <w:rFonts w:ascii="Arial" w:hAnsi="Arial" w:cs="Arial"/>
          <w:color w:val="222222"/>
          <w:sz w:val="20"/>
          <w:szCs w:val="20"/>
          <w:shd w:val="clear" w:color="auto" w:fill="FFFFFF"/>
        </w:rPr>
        <w:t>7</w:t>
      </w:r>
      <w:r w:rsidR="000F3F95" w:rsidRPr="004A469F">
        <w:rPr>
          <w:rFonts w:ascii="Arial" w:hAnsi="Arial" w:cs="Arial"/>
          <w:color w:val="222222"/>
          <w:sz w:val="20"/>
          <w:szCs w:val="20"/>
          <w:shd w:val="clear" w:color="auto" w:fill="FFFFFF"/>
        </w:rPr>
        <w:t xml:space="preserve"> </w:t>
      </w:r>
      <w:r w:rsidR="009A7001" w:rsidRPr="004A469F">
        <w:rPr>
          <w:rFonts w:ascii="Arial" w:hAnsi="Arial" w:cs="Arial"/>
          <w:color w:val="222222"/>
          <w:sz w:val="20"/>
          <w:szCs w:val="20"/>
          <w:shd w:val="clear" w:color="auto" w:fill="FFFFFF"/>
        </w:rPr>
        <w:t>January</w:t>
      </w:r>
      <w:r w:rsidR="000F3F95" w:rsidRPr="004A469F">
        <w:rPr>
          <w:rFonts w:ascii="Arial" w:hAnsi="Arial" w:cs="Arial"/>
          <w:color w:val="222222"/>
          <w:sz w:val="20"/>
          <w:szCs w:val="20"/>
          <w:shd w:val="clear" w:color="auto" w:fill="FFFFFF"/>
        </w:rPr>
        <w:t xml:space="preserve"> 20</w:t>
      </w:r>
      <w:r w:rsidR="009A7001" w:rsidRPr="004A469F">
        <w:rPr>
          <w:rFonts w:ascii="Arial" w:hAnsi="Arial" w:cs="Arial"/>
          <w:color w:val="222222"/>
          <w:sz w:val="20"/>
          <w:szCs w:val="20"/>
          <w:shd w:val="clear" w:color="auto" w:fill="FFFFFF"/>
        </w:rPr>
        <w:t>2</w:t>
      </w:r>
      <w:r w:rsidR="009A7001">
        <w:rPr>
          <w:rFonts w:ascii="Arial" w:hAnsi="Arial" w:cs="Arial"/>
          <w:color w:val="222222"/>
          <w:sz w:val="20"/>
          <w:szCs w:val="20"/>
          <w:shd w:val="clear" w:color="auto" w:fill="FFFFFF"/>
        </w:rPr>
        <w:t>0</w:t>
      </w:r>
      <w:r w:rsidR="000F3F95" w:rsidRPr="000F3F95">
        <w:rPr>
          <w:rFonts w:ascii="Arial" w:hAnsi="Arial" w:cs="Arial"/>
          <w:color w:val="222222"/>
          <w:sz w:val="20"/>
          <w:szCs w:val="20"/>
          <w:shd w:val="clear" w:color="auto" w:fill="FFFFFF"/>
        </w:rPr>
        <w:t>]</w:t>
      </w:r>
    </w:p>
    <w:p w14:paraId="5D68A36C" w14:textId="36F06CF5" w:rsidR="004F67E6" w:rsidRDefault="009941BF" w:rsidP="004F67E6">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6</w:t>
      </w:r>
      <w:r w:rsidR="00700CDC">
        <w:rPr>
          <w:rFonts w:ascii="Arial" w:hAnsi="Arial" w:cs="Arial"/>
          <w:color w:val="222222"/>
          <w:sz w:val="20"/>
          <w:szCs w:val="20"/>
          <w:shd w:val="clear" w:color="auto" w:fill="FFFFFF"/>
        </w:rPr>
        <w:t>.</w:t>
      </w:r>
      <w:r w:rsidR="004F67E6" w:rsidRPr="00432614">
        <w:rPr>
          <w:rFonts w:ascii="Arial" w:hAnsi="Arial" w:cs="Arial"/>
          <w:color w:val="222222"/>
          <w:sz w:val="20"/>
          <w:szCs w:val="20"/>
          <w:shd w:val="clear" w:color="auto" w:fill="FFFFFF"/>
        </w:rPr>
        <w:t xml:space="preserve"> Public Health England (PHE). Start Smart - Then Focus: Antimicrobial stewardship toolkit for English hospitals. London: PHE; 2015. </w:t>
      </w:r>
    </w:p>
    <w:p w14:paraId="740AD1E7" w14:textId="551FE309" w:rsidR="009941BF" w:rsidRDefault="006F37E3" w:rsidP="0086158F">
      <w:pPr>
        <w:spacing w:line="480" w:lineRule="auto"/>
        <w:jc w:val="both"/>
        <w:rPr>
          <w:rFonts w:ascii="Arial" w:hAnsi="Arial" w:cs="Arial"/>
          <w:color w:val="222222"/>
          <w:sz w:val="20"/>
          <w:szCs w:val="20"/>
          <w:shd w:val="clear" w:color="auto" w:fill="FFFFFF"/>
        </w:rPr>
      </w:pPr>
      <w:hyperlink r:id="rId13" w:history="1">
        <w:r w:rsidR="004F67E6" w:rsidRPr="00C34253">
          <w:rPr>
            <w:rStyle w:val="Hyperlink"/>
            <w:rFonts w:ascii="Arial" w:hAnsi="Arial" w:cs="Arial"/>
            <w:sz w:val="20"/>
            <w:szCs w:val="20"/>
            <w:shd w:val="clear" w:color="auto" w:fill="FFFFFF"/>
          </w:rPr>
          <w:t>https://assets.publishing.service.gov.uk/government/uploads/system/uploads/attachment_data/file/417032/Start_Smart_Then_Focus_FINAL.PDF</w:t>
        </w:r>
      </w:hyperlink>
      <w:r w:rsidR="004F67E6">
        <w:rPr>
          <w:rFonts w:ascii="Arial" w:hAnsi="Arial" w:cs="Arial"/>
          <w:color w:val="222222"/>
          <w:sz w:val="20"/>
          <w:szCs w:val="20"/>
          <w:shd w:val="clear" w:color="auto" w:fill="FFFFFF"/>
        </w:rPr>
        <w:t xml:space="preserve"> [Accessed 18 September</w:t>
      </w:r>
      <w:r w:rsidR="004F67E6" w:rsidRPr="00432614">
        <w:rPr>
          <w:rFonts w:ascii="Arial" w:hAnsi="Arial" w:cs="Arial"/>
          <w:color w:val="222222"/>
          <w:sz w:val="20"/>
          <w:szCs w:val="20"/>
          <w:shd w:val="clear" w:color="auto" w:fill="FFFFFF"/>
        </w:rPr>
        <w:t xml:space="preserve"> 2019].</w:t>
      </w:r>
    </w:p>
    <w:p w14:paraId="5E238CC4" w14:textId="0577F746" w:rsidR="009941BF" w:rsidRPr="00A801D0" w:rsidRDefault="009941BF" w:rsidP="0086158F">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7</w:t>
      </w:r>
      <w:r w:rsidR="00700CDC">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Pr="00563330">
        <w:rPr>
          <w:rFonts w:ascii="Arial" w:hAnsi="Arial" w:cs="Arial"/>
          <w:color w:val="222222"/>
          <w:sz w:val="20"/>
          <w:szCs w:val="20"/>
          <w:shd w:val="clear" w:color="auto" w:fill="FFFFFF"/>
        </w:rPr>
        <w:t>The National Center for Emerging and Zoonotic Infectious Diseases, Centers for Disease Control and Prevention. Core Elements of Hospital Antibiotic Stewardship Programs. Atlanta, GA: US Department of Health and Human Services, CDC; 2019. Available at</w:t>
      </w:r>
      <w:r>
        <w:t xml:space="preserve"> </w:t>
      </w:r>
      <w:hyperlink r:id="rId14" w:history="1">
        <w:r w:rsidRPr="00563330">
          <w:rPr>
            <w:rStyle w:val="Hyperlink"/>
            <w:rFonts w:ascii="Arial" w:hAnsi="Arial" w:cs="Arial"/>
            <w:sz w:val="20"/>
            <w:szCs w:val="20"/>
          </w:rPr>
          <w:t>https://www.cdc.gov/antibiotic-use/core-elements/hospital.html</w:t>
        </w:r>
      </w:hyperlink>
      <w:r w:rsidRPr="00563330">
        <w:rPr>
          <w:rFonts w:ascii="Arial" w:hAnsi="Arial" w:cs="Arial"/>
        </w:rPr>
        <w:t xml:space="preserve">. </w:t>
      </w:r>
      <w:r w:rsidRPr="00563330">
        <w:rPr>
          <w:rFonts w:ascii="Arial" w:hAnsi="Arial" w:cs="Arial"/>
          <w:color w:val="222222"/>
          <w:sz w:val="20"/>
          <w:szCs w:val="20"/>
          <w:shd w:val="clear" w:color="auto" w:fill="FFFFFF"/>
        </w:rPr>
        <w:t>[accessed 17 January 2020]</w:t>
      </w:r>
    </w:p>
    <w:p w14:paraId="168123DB" w14:textId="5B4CDC07" w:rsidR="007A4EE8" w:rsidRDefault="003D2CAD" w:rsidP="0086158F">
      <w:pPr>
        <w:spacing w:line="480" w:lineRule="auto"/>
        <w:jc w:val="both"/>
        <w:rPr>
          <w:rFonts w:ascii="Arial" w:hAnsi="Arial" w:cs="Arial"/>
          <w:sz w:val="20"/>
          <w:szCs w:val="20"/>
        </w:rPr>
      </w:pPr>
      <w:r>
        <w:rPr>
          <w:rFonts w:ascii="Arial" w:hAnsi="Arial" w:cs="Arial"/>
          <w:sz w:val="20"/>
          <w:szCs w:val="20"/>
          <w:lang w:val="es-ES"/>
        </w:rPr>
        <w:t>8</w:t>
      </w:r>
      <w:r w:rsidR="00700CDC">
        <w:rPr>
          <w:rFonts w:ascii="Arial" w:hAnsi="Arial" w:cs="Arial"/>
          <w:sz w:val="20"/>
          <w:szCs w:val="20"/>
          <w:lang w:val="es-ES"/>
        </w:rPr>
        <w:t>.</w:t>
      </w:r>
      <w:r w:rsidR="007A4EE8" w:rsidRPr="00EA3DF4">
        <w:rPr>
          <w:rFonts w:ascii="Arial" w:hAnsi="Arial" w:cs="Arial"/>
          <w:sz w:val="20"/>
          <w:szCs w:val="20"/>
          <w:lang w:val="es-ES"/>
        </w:rPr>
        <w:t xml:space="preserve"> Tamma PD, Avdic E, Li DX, </w:t>
      </w:r>
      <w:r w:rsidR="00A868CE">
        <w:rPr>
          <w:rFonts w:ascii="Arial" w:hAnsi="Arial" w:cs="Arial"/>
          <w:sz w:val="20"/>
          <w:szCs w:val="20"/>
          <w:lang w:val="es-ES"/>
        </w:rPr>
        <w:t>et al</w:t>
      </w:r>
      <w:r w:rsidR="007A4EE8" w:rsidRPr="00EA3DF4">
        <w:rPr>
          <w:rFonts w:ascii="Arial" w:hAnsi="Arial" w:cs="Arial"/>
          <w:sz w:val="20"/>
          <w:szCs w:val="20"/>
          <w:lang w:val="es-ES"/>
        </w:rPr>
        <w:t xml:space="preserve">. </w:t>
      </w:r>
      <w:r w:rsidR="007A4EE8" w:rsidRPr="007A4EE8">
        <w:rPr>
          <w:rFonts w:ascii="Arial" w:hAnsi="Arial" w:cs="Arial"/>
          <w:sz w:val="20"/>
          <w:szCs w:val="20"/>
        </w:rPr>
        <w:t>Association of adverse events with antibiotic use in hospitalized patients. JAMA Intern Med. 2017; 177(9):1308–15.</w:t>
      </w:r>
    </w:p>
    <w:p w14:paraId="535B0608" w14:textId="4D5543AF" w:rsidR="003D2CAD" w:rsidRPr="00A801D0" w:rsidRDefault="003D2CAD" w:rsidP="00A801D0">
      <w:pPr>
        <w:spacing w:line="480" w:lineRule="auto"/>
        <w:rPr>
          <w:rFonts w:ascii="Arial" w:hAnsi="Arial" w:cs="Arial"/>
          <w:sz w:val="20"/>
          <w:szCs w:val="20"/>
          <w:lang w:val="es-ES"/>
        </w:rPr>
      </w:pPr>
      <w:r w:rsidRPr="003D2CAD">
        <w:rPr>
          <w:rFonts w:ascii="Arial" w:hAnsi="Arial" w:cs="Arial"/>
          <w:sz w:val="20"/>
          <w:szCs w:val="20"/>
          <w:lang w:val="es-ES"/>
        </w:rPr>
        <w:t>9</w:t>
      </w:r>
      <w:r w:rsidR="00700CDC">
        <w:rPr>
          <w:rFonts w:ascii="Arial" w:hAnsi="Arial" w:cs="Arial"/>
          <w:sz w:val="20"/>
          <w:szCs w:val="20"/>
          <w:lang w:val="es-ES"/>
        </w:rPr>
        <w:t>.</w:t>
      </w:r>
      <w:r w:rsidRPr="003D2CAD">
        <w:rPr>
          <w:rFonts w:ascii="Arial" w:hAnsi="Arial" w:cs="Arial"/>
          <w:sz w:val="20"/>
          <w:szCs w:val="20"/>
          <w:lang w:val="es-ES"/>
        </w:rPr>
        <w:t xml:space="preserve"> Dyar OJ, Beović B, Pulcini C, </w:t>
      </w:r>
      <w:r>
        <w:rPr>
          <w:rFonts w:ascii="Arial" w:hAnsi="Arial" w:cs="Arial"/>
          <w:sz w:val="20"/>
          <w:szCs w:val="20"/>
          <w:lang w:val="es-ES"/>
        </w:rPr>
        <w:t>et al</w:t>
      </w:r>
      <w:r w:rsidRPr="003D2CAD">
        <w:rPr>
          <w:rFonts w:ascii="Arial" w:hAnsi="Arial" w:cs="Arial"/>
          <w:sz w:val="20"/>
          <w:szCs w:val="20"/>
          <w:lang w:val="es-ES"/>
        </w:rPr>
        <w:t>. ESCMID generic competencies in antimicrobial prescribing and stewardship: towards a European consensus. Clinical Microbiology and Infection. 2019 Jan 1;25(1):13-9.</w:t>
      </w:r>
    </w:p>
    <w:p w14:paraId="60426731" w14:textId="3724D305" w:rsidR="00201F1F" w:rsidRPr="004761A1" w:rsidRDefault="003D2CAD" w:rsidP="0086158F">
      <w:pPr>
        <w:spacing w:line="480" w:lineRule="auto"/>
        <w:jc w:val="both"/>
        <w:rPr>
          <w:rFonts w:ascii="Arial" w:hAnsi="Arial" w:cs="Arial"/>
          <w:sz w:val="20"/>
          <w:szCs w:val="20"/>
          <w:lang w:val="nl-NL"/>
        </w:rPr>
      </w:pPr>
      <w:r>
        <w:rPr>
          <w:rFonts w:ascii="Arial" w:hAnsi="Arial" w:cs="Arial"/>
          <w:sz w:val="20"/>
          <w:szCs w:val="20"/>
        </w:rPr>
        <w:t>10</w:t>
      </w:r>
      <w:r w:rsidR="00700CDC">
        <w:rPr>
          <w:rFonts w:ascii="Arial" w:hAnsi="Arial" w:cs="Arial"/>
          <w:sz w:val="20"/>
          <w:szCs w:val="20"/>
        </w:rPr>
        <w:t>.</w:t>
      </w:r>
      <w:r w:rsidR="00201F1F">
        <w:rPr>
          <w:rFonts w:ascii="Arial" w:hAnsi="Arial" w:cs="Arial"/>
          <w:sz w:val="20"/>
          <w:szCs w:val="20"/>
        </w:rPr>
        <w:t xml:space="preserve"> </w:t>
      </w:r>
      <w:r w:rsidR="00201F1F">
        <w:rPr>
          <w:rFonts w:ascii="Arial" w:hAnsi="Arial" w:cs="Arial"/>
          <w:color w:val="222222"/>
          <w:sz w:val="20"/>
          <w:szCs w:val="20"/>
          <w:shd w:val="clear" w:color="auto" w:fill="FFFFFF"/>
        </w:rPr>
        <w:t xml:space="preserve">Walker AS, Budgell E, Laskawiec-Szkonter M, et al. Antibiotic Review Kit for Hospitals (ARK-Hospital): study protocol for a stepped-wedge cluster-randomised controlled trial. </w:t>
      </w:r>
      <w:r w:rsidR="00201F1F" w:rsidRPr="004761A1">
        <w:rPr>
          <w:rFonts w:ascii="Arial" w:hAnsi="Arial" w:cs="Arial"/>
          <w:color w:val="222222"/>
          <w:sz w:val="20"/>
          <w:szCs w:val="20"/>
          <w:shd w:val="clear" w:color="auto" w:fill="FFFFFF"/>
          <w:lang w:val="nl-NL"/>
        </w:rPr>
        <w:t>Trials. 2019 Dec; 20(1):421.</w:t>
      </w:r>
    </w:p>
    <w:p w14:paraId="44361439" w14:textId="469A3053" w:rsidR="007C7FF4" w:rsidRPr="007C7FF4" w:rsidRDefault="007C7FF4" w:rsidP="0086158F">
      <w:pPr>
        <w:spacing w:line="480" w:lineRule="auto"/>
        <w:jc w:val="both"/>
        <w:rPr>
          <w:rFonts w:ascii="Arial" w:hAnsi="Arial" w:cs="Arial"/>
          <w:color w:val="222222"/>
          <w:sz w:val="20"/>
          <w:szCs w:val="20"/>
          <w:shd w:val="clear" w:color="auto" w:fill="FFFFFF"/>
        </w:rPr>
      </w:pPr>
      <w:r w:rsidRPr="00EA3DF4">
        <w:rPr>
          <w:rFonts w:ascii="Arial" w:hAnsi="Arial" w:cs="Arial"/>
          <w:color w:val="222222"/>
          <w:sz w:val="20"/>
          <w:szCs w:val="20"/>
          <w:shd w:val="clear" w:color="auto" w:fill="FFFFFF"/>
          <w:lang w:val="es-ES"/>
        </w:rPr>
        <w:t>1</w:t>
      </w:r>
      <w:r w:rsidR="00F4359D">
        <w:rPr>
          <w:rFonts w:ascii="Arial" w:hAnsi="Arial" w:cs="Arial"/>
          <w:color w:val="222222"/>
          <w:sz w:val="20"/>
          <w:szCs w:val="20"/>
          <w:shd w:val="clear" w:color="auto" w:fill="FFFFFF"/>
          <w:lang w:val="es-ES"/>
        </w:rPr>
        <w:t>1</w:t>
      </w:r>
      <w:r w:rsidR="00700CDC">
        <w:rPr>
          <w:rFonts w:ascii="Arial" w:hAnsi="Arial" w:cs="Arial"/>
          <w:color w:val="222222"/>
          <w:sz w:val="20"/>
          <w:szCs w:val="20"/>
          <w:shd w:val="clear" w:color="auto" w:fill="FFFFFF"/>
          <w:lang w:val="es-ES"/>
        </w:rPr>
        <w:t>.</w:t>
      </w:r>
      <w:r w:rsidRPr="00EA3DF4">
        <w:rPr>
          <w:rFonts w:ascii="Arial" w:hAnsi="Arial" w:cs="Arial"/>
          <w:color w:val="222222"/>
          <w:sz w:val="20"/>
          <w:szCs w:val="20"/>
          <w:shd w:val="clear" w:color="auto" w:fill="FFFFFF"/>
          <w:lang w:val="es-ES"/>
        </w:rPr>
        <w:t xml:space="preserve"> Islam J, Ashiru-Oredope D, Budd E, et al. </w:t>
      </w:r>
      <w:r w:rsidRPr="007C7FF4">
        <w:rPr>
          <w:rFonts w:ascii="Arial" w:hAnsi="Arial" w:cs="Arial"/>
          <w:color w:val="222222"/>
          <w:sz w:val="20"/>
          <w:szCs w:val="20"/>
          <w:shd w:val="clear" w:color="auto" w:fill="FFFFFF"/>
        </w:rPr>
        <w:t xml:space="preserve">A national quality incentive scheme to reduce antibiotic overuse in hospitals: evaluation of perceptions and impact. J Antimicrob Chemother. 2018;73(6):1708–13. </w:t>
      </w:r>
    </w:p>
    <w:p w14:paraId="0F2BFB62" w14:textId="2F320EAF" w:rsidR="007C7FF4" w:rsidRPr="004761A1" w:rsidRDefault="007C7FF4" w:rsidP="0086158F">
      <w:pPr>
        <w:spacing w:line="480" w:lineRule="auto"/>
        <w:jc w:val="both"/>
        <w:rPr>
          <w:rFonts w:ascii="Arial" w:hAnsi="Arial" w:cs="Arial"/>
          <w:color w:val="222222"/>
          <w:sz w:val="20"/>
          <w:szCs w:val="20"/>
          <w:shd w:val="clear" w:color="auto" w:fill="FFFFFF"/>
          <w:lang w:val="nl-NL"/>
        </w:rPr>
      </w:pPr>
      <w:r w:rsidRPr="007C7FF4">
        <w:rPr>
          <w:rFonts w:ascii="Arial" w:hAnsi="Arial" w:cs="Arial"/>
          <w:color w:val="222222"/>
          <w:sz w:val="20"/>
          <w:szCs w:val="20"/>
          <w:shd w:val="clear" w:color="auto" w:fill="FFFFFF"/>
        </w:rPr>
        <w:t>1</w:t>
      </w:r>
      <w:r w:rsidR="00F4359D">
        <w:rPr>
          <w:rFonts w:ascii="Arial" w:hAnsi="Arial" w:cs="Arial"/>
          <w:color w:val="222222"/>
          <w:sz w:val="20"/>
          <w:szCs w:val="20"/>
          <w:shd w:val="clear" w:color="auto" w:fill="FFFFFF"/>
        </w:rPr>
        <w:t>2</w:t>
      </w:r>
      <w:r w:rsidR="00700CDC">
        <w:rPr>
          <w:rFonts w:ascii="Arial" w:hAnsi="Arial" w:cs="Arial"/>
          <w:color w:val="222222"/>
          <w:sz w:val="20"/>
          <w:szCs w:val="20"/>
          <w:shd w:val="clear" w:color="auto" w:fill="FFFFFF"/>
        </w:rPr>
        <w:t>.</w:t>
      </w:r>
      <w:r w:rsidRPr="007C7FF4">
        <w:rPr>
          <w:rFonts w:ascii="Arial" w:hAnsi="Arial" w:cs="Arial"/>
          <w:color w:val="222222"/>
          <w:sz w:val="20"/>
          <w:szCs w:val="20"/>
          <w:shd w:val="clear" w:color="auto" w:fill="FFFFFF"/>
        </w:rPr>
        <w:t xml:space="preserve"> Fawcett NJ, Jones N, Quan TP, </w:t>
      </w:r>
      <w:r>
        <w:rPr>
          <w:rFonts w:ascii="Arial" w:hAnsi="Arial" w:cs="Arial"/>
          <w:color w:val="222222"/>
          <w:sz w:val="20"/>
          <w:szCs w:val="20"/>
          <w:shd w:val="clear" w:color="auto" w:fill="FFFFFF"/>
        </w:rPr>
        <w:t>et al</w:t>
      </w:r>
      <w:r w:rsidRPr="007C7FF4">
        <w:rPr>
          <w:rFonts w:ascii="Arial" w:hAnsi="Arial" w:cs="Arial"/>
          <w:color w:val="222222"/>
          <w:sz w:val="20"/>
          <w:szCs w:val="20"/>
          <w:shd w:val="clear" w:color="auto" w:fill="FFFFFF"/>
        </w:rPr>
        <w:t xml:space="preserve">. Antibiotic use and clinical outcomes in the acute setting under management by an infectious diseases acute physician versus other clinical teams: a cohort study. </w:t>
      </w:r>
      <w:r w:rsidRPr="004761A1">
        <w:rPr>
          <w:rFonts w:ascii="Arial" w:hAnsi="Arial" w:cs="Arial"/>
          <w:color w:val="222222"/>
          <w:sz w:val="20"/>
          <w:szCs w:val="20"/>
          <w:shd w:val="clear" w:color="auto" w:fill="FFFFFF"/>
          <w:lang w:val="nl-NL"/>
        </w:rPr>
        <w:t>BMJ Open. 2016;6(8):e010969.</w:t>
      </w:r>
    </w:p>
    <w:p w14:paraId="39174F7C" w14:textId="32F2E783" w:rsidR="00F72B25" w:rsidRDefault="00F72B25" w:rsidP="002B149E">
      <w:pPr>
        <w:spacing w:line="480" w:lineRule="auto"/>
        <w:jc w:val="both"/>
        <w:rPr>
          <w:rFonts w:ascii="Arial" w:hAnsi="Arial" w:cs="Arial"/>
          <w:color w:val="222222"/>
          <w:sz w:val="20"/>
          <w:szCs w:val="20"/>
          <w:shd w:val="clear" w:color="auto" w:fill="FFFFFF"/>
        </w:rPr>
      </w:pPr>
      <w:r w:rsidRPr="004761A1">
        <w:rPr>
          <w:rFonts w:ascii="Arial" w:hAnsi="Arial" w:cs="Arial"/>
          <w:color w:val="222222"/>
          <w:sz w:val="20"/>
          <w:szCs w:val="20"/>
          <w:shd w:val="clear" w:color="auto" w:fill="FFFFFF"/>
          <w:lang w:val="nl-NL"/>
        </w:rPr>
        <w:t>1</w:t>
      </w:r>
      <w:r w:rsidR="00F4359D">
        <w:rPr>
          <w:rFonts w:ascii="Arial" w:hAnsi="Arial" w:cs="Arial"/>
          <w:color w:val="222222"/>
          <w:sz w:val="20"/>
          <w:szCs w:val="20"/>
          <w:shd w:val="clear" w:color="auto" w:fill="FFFFFF"/>
          <w:lang w:val="nl-NL"/>
        </w:rPr>
        <w:t>3</w:t>
      </w:r>
      <w:r w:rsidR="00700CDC">
        <w:rPr>
          <w:rFonts w:ascii="Arial" w:hAnsi="Arial" w:cs="Arial"/>
          <w:color w:val="222222"/>
          <w:sz w:val="20"/>
          <w:szCs w:val="20"/>
          <w:shd w:val="clear" w:color="auto" w:fill="FFFFFF"/>
          <w:lang w:val="nl-NL"/>
        </w:rPr>
        <w:t>.</w:t>
      </w:r>
      <w:r w:rsidRPr="004761A1">
        <w:rPr>
          <w:rFonts w:ascii="Arial" w:hAnsi="Arial" w:cs="Arial"/>
          <w:color w:val="222222"/>
          <w:sz w:val="20"/>
          <w:szCs w:val="20"/>
          <w:shd w:val="clear" w:color="auto" w:fill="FFFFFF"/>
          <w:lang w:val="nl-NL"/>
        </w:rPr>
        <w:t xml:space="preserve"> Warremana EB, Lambregtsa MM, Wouters RH, et al. </w:t>
      </w:r>
      <w:r>
        <w:rPr>
          <w:rFonts w:ascii="Arial" w:hAnsi="Arial" w:cs="Arial"/>
          <w:color w:val="222222"/>
          <w:sz w:val="20"/>
          <w:szCs w:val="20"/>
          <w:shd w:val="clear" w:color="auto" w:fill="FFFFFF"/>
        </w:rPr>
        <w:t>Determinants of in-hospital antibiotic prescription behaviour: a systematic review and formation of a comprehensive framework. Category: systematic review. Clinical Microbiology and Infection. 2018 Sep 27.</w:t>
      </w:r>
    </w:p>
    <w:p w14:paraId="0CA422AA" w14:textId="5B42D7D5" w:rsidR="002B149E" w:rsidRPr="002B149E" w:rsidRDefault="00F4359D" w:rsidP="002B149E">
      <w:pPr>
        <w:autoSpaceDE w:val="0"/>
        <w:autoSpaceDN w:val="0"/>
        <w:adjustRightInd w:val="0"/>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14</w:t>
      </w:r>
      <w:r w:rsidR="00700CDC">
        <w:rPr>
          <w:rFonts w:ascii="Arial" w:hAnsi="Arial" w:cs="Arial"/>
          <w:color w:val="222222"/>
          <w:sz w:val="20"/>
          <w:szCs w:val="20"/>
          <w:shd w:val="clear" w:color="auto" w:fill="FFFFFF"/>
        </w:rPr>
        <w:t>.</w:t>
      </w:r>
      <w:r w:rsidR="002B149E" w:rsidRPr="002B149E">
        <w:rPr>
          <w:rFonts w:ascii="Arial" w:hAnsi="Arial" w:cs="Arial"/>
          <w:color w:val="222222"/>
          <w:sz w:val="20"/>
          <w:szCs w:val="20"/>
          <w:shd w:val="clear" w:color="auto" w:fill="FFFFFF"/>
        </w:rPr>
        <w:t xml:space="preserve"> Buchanan J, Wordsworth S, Schuh A. Patients’ Preferences for Genomic Diagnostic Testing in</w:t>
      </w:r>
      <w:r w:rsidR="002B149E">
        <w:rPr>
          <w:rFonts w:ascii="Arial" w:hAnsi="Arial" w:cs="Arial"/>
          <w:color w:val="222222"/>
          <w:sz w:val="20"/>
          <w:szCs w:val="20"/>
          <w:shd w:val="clear" w:color="auto" w:fill="FFFFFF"/>
        </w:rPr>
        <w:t xml:space="preserve"> </w:t>
      </w:r>
      <w:r w:rsidR="002B149E" w:rsidRPr="002B149E">
        <w:rPr>
          <w:rFonts w:ascii="Arial" w:hAnsi="Arial" w:cs="Arial"/>
          <w:color w:val="222222"/>
          <w:sz w:val="20"/>
          <w:szCs w:val="20"/>
          <w:shd w:val="clear" w:color="auto" w:fill="FFFFFF"/>
        </w:rPr>
        <w:t>Chronic Lymphocytic Leukaemia: A Discrete Choice Experiment. The Patient - Patient-Centered</w:t>
      </w:r>
      <w:r w:rsidR="002B149E">
        <w:rPr>
          <w:rFonts w:ascii="Arial" w:hAnsi="Arial" w:cs="Arial"/>
          <w:color w:val="222222"/>
          <w:sz w:val="20"/>
          <w:szCs w:val="20"/>
          <w:shd w:val="clear" w:color="auto" w:fill="FFFFFF"/>
        </w:rPr>
        <w:t xml:space="preserve"> </w:t>
      </w:r>
      <w:r w:rsidR="002B149E" w:rsidRPr="002B149E">
        <w:rPr>
          <w:rFonts w:ascii="Arial" w:hAnsi="Arial" w:cs="Arial"/>
          <w:color w:val="222222"/>
          <w:sz w:val="20"/>
          <w:szCs w:val="20"/>
          <w:shd w:val="clear" w:color="auto" w:fill="FFFFFF"/>
        </w:rPr>
        <w:t>Outcomes Research 2016:1-12.</w:t>
      </w:r>
    </w:p>
    <w:p w14:paraId="0FD29553" w14:textId="6AAC2D73" w:rsidR="002B149E" w:rsidRPr="002B149E" w:rsidRDefault="00F4359D" w:rsidP="002B149E">
      <w:pPr>
        <w:autoSpaceDE w:val="0"/>
        <w:autoSpaceDN w:val="0"/>
        <w:adjustRightInd w:val="0"/>
        <w:spacing w:after="0"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15</w:t>
      </w:r>
      <w:r w:rsidR="00700CDC">
        <w:rPr>
          <w:rFonts w:ascii="Arial" w:hAnsi="Arial" w:cs="Arial"/>
          <w:color w:val="222222"/>
          <w:sz w:val="20"/>
          <w:szCs w:val="20"/>
          <w:shd w:val="clear" w:color="auto" w:fill="FFFFFF"/>
        </w:rPr>
        <w:t>.</w:t>
      </w:r>
      <w:r w:rsidR="002B149E" w:rsidRPr="002B149E">
        <w:rPr>
          <w:rFonts w:ascii="Arial" w:hAnsi="Arial" w:cs="Arial"/>
          <w:color w:val="222222"/>
          <w:sz w:val="20"/>
          <w:szCs w:val="20"/>
          <w:shd w:val="clear" w:color="auto" w:fill="FFFFFF"/>
        </w:rPr>
        <w:t xml:space="preserve"> Becker F, Anokye N, de Bekker-Grob EW, et al. Women's preferences for alternative financial</w:t>
      </w:r>
    </w:p>
    <w:p w14:paraId="516FA5E4" w14:textId="473D4E32" w:rsidR="002B149E" w:rsidRPr="00A801D0" w:rsidRDefault="002B149E" w:rsidP="002B149E">
      <w:pPr>
        <w:autoSpaceDE w:val="0"/>
        <w:autoSpaceDN w:val="0"/>
        <w:adjustRightInd w:val="0"/>
        <w:spacing w:line="480" w:lineRule="auto"/>
        <w:jc w:val="both"/>
        <w:rPr>
          <w:rFonts w:ascii="Arial" w:hAnsi="Arial" w:cs="Arial"/>
          <w:color w:val="222222"/>
          <w:sz w:val="20"/>
          <w:szCs w:val="20"/>
          <w:shd w:val="clear" w:color="auto" w:fill="FFFFFF"/>
          <w:lang w:val="es-ES"/>
        </w:rPr>
      </w:pPr>
      <w:r w:rsidRPr="002B149E">
        <w:rPr>
          <w:rFonts w:ascii="Arial" w:hAnsi="Arial" w:cs="Arial"/>
          <w:color w:val="222222"/>
          <w:sz w:val="20"/>
          <w:szCs w:val="20"/>
          <w:shd w:val="clear" w:color="auto" w:fill="FFFFFF"/>
        </w:rPr>
        <w:t xml:space="preserve">incentive schemes for breastfeeding: A discrete choice experiment. </w:t>
      </w:r>
      <w:r w:rsidRPr="00A801D0">
        <w:rPr>
          <w:rFonts w:ascii="Arial" w:hAnsi="Arial" w:cs="Arial"/>
          <w:color w:val="222222"/>
          <w:sz w:val="20"/>
          <w:szCs w:val="20"/>
          <w:shd w:val="clear" w:color="auto" w:fill="FFFFFF"/>
          <w:lang w:val="es-ES"/>
        </w:rPr>
        <w:t>PLoS One 2018;13(4):e0194231.</w:t>
      </w:r>
    </w:p>
    <w:p w14:paraId="067752BD" w14:textId="44A99F84" w:rsidR="002B149E" w:rsidRDefault="00F4359D" w:rsidP="002B149E">
      <w:pPr>
        <w:autoSpaceDE w:val="0"/>
        <w:autoSpaceDN w:val="0"/>
        <w:adjustRightInd w:val="0"/>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lang w:val="es-ES"/>
        </w:rPr>
        <w:t>16</w:t>
      </w:r>
      <w:r w:rsidR="00700CDC">
        <w:rPr>
          <w:rFonts w:ascii="Arial" w:hAnsi="Arial" w:cs="Arial"/>
          <w:color w:val="222222"/>
          <w:sz w:val="20"/>
          <w:szCs w:val="20"/>
          <w:shd w:val="clear" w:color="auto" w:fill="FFFFFF"/>
          <w:lang w:val="es-ES"/>
        </w:rPr>
        <w:t>.</w:t>
      </w:r>
      <w:r w:rsidR="002B149E" w:rsidRPr="00A801D0">
        <w:rPr>
          <w:rFonts w:ascii="Arial" w:hAnsi="Arial" w:cs="Arial"/>
          <w:color w:val="222222"/>
          <w:sz w:val="20"/>
          <w:szCs w:val="20"/>
          <w:shd w:val="clear" w:color="auto" w:fill="FFFFFF"/>
          <w:lang w:val="es-ES"/>
        </w:rPr>
        <w:t xml:space="preserve"> Regier DA, Diorio C, Ethier MC, et al. </w:t>
      </w:r>
      <w:r w:rsidR="002B149E" w:rsidRPr="002B149E">
        <w:rPr>
          <w:rFonts w:ascii="Arial" w:hAnsi="Arial" w:cs="Arial"/>
          <w:color w:val="222222"/>
          <w:sz w:val="20"/>
          <w:szCs w:val="20"/>
          <w:shd w:val="clear" w:color="auto" w:fill="FFFFFF"/>
        </w:rPr>
        <w:t>Discrete choice experiment to evaluate factors that influence preferences for antibiotic prophylaxis in pediatric oncology. PLoS One 2012;7(10):e47470.</w:t>
      </w:r>
    </w:p>
    <w:p w14:paraId="39C129CD" w14:textId="3889D104" w:rsidR="002E227A" w:rsidRDefault="00F4359D" w:rsidP="002B149E">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17</w:t>
      </w:r>
      <w:r w:rsidR="00700CDC">
        <w:rPr>
          <w:rFonts w:ascii="Arial" w:hAnsi="Arial" w:cs="Arial"/>
          <w:color w:val="222222"/>
          <w:sz w:val="20"/>
          <w:szCs w:val="20"/>
          <w:shd w:val="clear" w:color="auto" w:fill="FFFFFF"/>
        </w:rPr>
        <w:t>.</w:t>
      </w:r>
      <w:r w:rsidR="002E227A">
        <w:rPr>
          <w:rFonts w:ascii="Arial" w:hAnsi="Arial" w:cs="Arial"/>
          <w:color w:val="222222"/>
          <w:sz w:val="20"/>
          <w:szCs w:val="20"/>
          <w:shd w:val="clear" w:color="auto" w:fill="FFFFFF"/>
        </w:rPr>
        <w:t xml:space="preserve"> </w:t>
      </w:r>
      <w:r w:rsidR="002E227A" w:rsidRPr="002E227A">
        <w:rPr>
          <w:rFonts w:ascii="Arial" w:hAnsi="Arial" w:cs="Arial"/>
          <w:color w:val="222222"/>
          <w:sz w:val="20"/>
          <w:szCs w:val="20"/>
          <w:shd w:val="clear" w:color="auto" w:fill="FFFFFF"/>
        </w:rPr>
        <w:t>Bridges JF, Hauber AB, Marshall D et al. Conjoint a</w:t>
      </w:r>
      <w:r w:rsidR="002E227A">
        <w:rPr>
          <w:rFonts w:ascii="Arial" w:hAnsi="Arial" w:cs="Arial"/>
          <w:color w:val="222222"/>
          <w:sz w:val="20"/>
          <w:szCs w:val="20"/>
          <w:shd w:val="clear" w:color="auto" w:fill="FFFFFF"/>
        </w:rPr>
        <w:t xml:space="preserve">nalysis applications in health - </w:t>
      </w:r>
      <w:r w:rsidR="002E227A" w:rsidRPr="002E227A">
        <w:rPr>
          <w:rFonts w:ascii="Arial" w:hAnsi="Arial" w:cs="Arial"/>
          <w:color w:val="222222"/>
          <w:sz w:val="20"/>
          <w:szCs w:val="20"/>
          <w:shd w:val="clear" w:color="auto" w:fill="FFFFFF"/>
        </w:rPr>
        <w:t xml:space="preserve">a checklist: a report of the ISPOR Good Research Practices for Conjoint Analysis Task Force. </w:t>
      </w:r>
      <w:r w:rsidR="00E378B2">
        <w:rPr>
          <w:rFonts w:ascii="Arial" w:hAnsi="Arial" w:cs="Arial"/>
          <w:color w:val="222222"/>
          <w:sz w:val="20"/>
          <w:szCs w:val="20"/>
          <w:shd w:val="clear" w:color="auto" w:fill="FFFFFF"/>
        </w:rPr>
        <w:t>Value in Health: the J</w:t>
      </w:r>
      <w:r w:rsidR="002E227A" w:rsidRPr="002E227A">
        <w:rPr>
          <w:rFonts w:ascii="Arial" w:hAnsi="Arial" w:cs="Arial"/>
          <w:color w:val="222222"/>
          <w:sz w:val="20"/>
          <w:szCs w:val="20"/>
          <w:shd w:val="clear" w:color="auto" w:fill="FFFFFF"/>
        </w:rPr>
        <w:t>ournal of the International Society for Pharmacoeconomics and Outcomes Research 2011; 14: 403-13.</w:t>
      </w:r>
    </w:p>
    <w:p w14:paraId="08DD9A9D" w14:textId="243CAE3B" w:rsidR="007322EF" w:rsidRPr="007A0DAE" w:rsidRDefault="00D766AB" w:rsidP="007322EF">
      <w:pPr>
        <w:pStyle w:val="EndNoteBibliography"/>
        <w:spacing w:before="240"/>
        <w:rPr>
          <w:rFonts w:ascii="Arial" w:hAnsi="Arial" w:cs="Arial"/>
          <w:noProof w:val="0"/>
          <w:color w:val="222222"/>
          <w:sz w:val="20"/>
          <w:szCs w:val="20"/>
          <w:shd w:val="clear" w:color="auto" w:fill="FFFFFF"/>
          <w:lang w:val="en-GB"/>
        </w:rPr>
      </w:pPr>
      <w:r>
        <w:rPr>
          <w:rFonts w:ascii="Arial" w:hAnsi="Arial" w:cs="Arial"/>
          <w:noProof w:val="0"/>
          <w:color w:val="222222"/>
          <w:sz w:val="20"/>
          <w:szCs w:val="20"/>
          <w:shd w:val="clear" w:color="auto" w:fill="FFFFFF"/>
          <w:lang w:val="en-GB"/>
        </w:rPr>
        <w:t>1</w:t>
      </w:r>
      <w:r w:rsidR="00700CDC">
        <w:rPr>
          <w:rFonts w:ascii="Arial" w:hAnsi="Arial" w:cs="Arial"/>
          <w:noProof w:val="0"/>
          <w:color w:val="222222"/>
          <w:sz w:val="20"/>
          <w:szCs w:val="20"/>
          <w:shd w:val="clear" w:color="auto" w:fill="FFFFFF"/>
          <w:lang w:val="en-GB"/>
        </w:rPr>
        <w:t>8.</w:t>
      </w:r>
      <w:r w:rsidR="007A0DAE" w:rsidRPr="007A0DAE">
        <w:rPr>
          <w:rFonts w:ascii="Arial" w:hAnsi="Arial" w:cs="Arial"/>
          <w:noProof w:val="0"/>
          <w:color w:val="222222"/>
          <w:sz w:val="20"/>
          <w:szCs w:val="20"/>
          <w:shd w:val="clear" w:color="auto" w:fill="FFFFFF"/>
          <w:lang w:val="en-GB"/>
        </w:rPr>
        <w:t xml:space="preserve"> Bech M, Kjaer T, Lauridsen J. Does the number of choice sets matter? Results from a web survey applying a discrete choice experiment. Health economics 2011; 20: 273-86.</w:t>
      </w:r>
    </w:p>
    <w:p w14:paraId="040B445F" w14:textId="7A31F1AB" w:rsidR="007322EF" w:rsidRPr="007A0DAE" w:rsidRDefault="00700CDC" w:rsidP="007322EF">
      <w:pPr>
        <w:pStyle w:val="EndNoteBibliography"/>
        <w:rPr>
          <w:rFonts w:ascii="Arial" w:hAnsi="Arial" w:cs="Arial"/>
          <w:noProof w:val="0"/>
          <w:color w:val="222222"/>
          <w:sz w:val="20"/>
          <w:szCs w:val="20"/>
          <w:shd w:val="clear" w:color="auto" w:fill="FFFFFF"/>
          <w:lang w:val="en-GB"/>
        </w:rPr>
      </w:pPr>
      <w:r>
        <w:rPr>
          <w:rFonts w:ascii="Arial" w:hAnsi="Arial" w:cs="Arial"/>
          <w:noProof w:val="0"/>
          <w:color w:val="222222"/>
          <w:sz w:val="20"/>
          <w:szCs w:val="20"/>
          <w:shd w:val="clear" w:color="auto" w:fill="FFFFFF"/>
          <w:lang w:val="en-GB"/>
        </w:rPr>
        <w:t>19.</w:t>
      </w:r>
      <w:r w:rsidR="007A0DAE" w:rsidRPr="007A0DAE">
        <w:rPr>
          <w:rFonts w:ascii="Arial" w:hAnsi="Arial" w:cs="Arial"/>
          <w:noProof w:val="0"/>
          <w:color w:val="222222"/>
          <w:sz w:val="20"/>
          <w:szCs w:val="20"/>
          <w:shd w:val="clear" w:color="auto" w:fill="FFFFFF"/>
          <w:lang w:val="en-GB"/>
        </w:rPr>
        <w:t xml:space="preserve"> Lancsar E, Louviere J. Deleting 'irrational' responses from discrete choice experiments: a case of investigating or imposing preferences? Health economics 2006; 15: 797-811.</w:t>
      </w:r>
    </w:p>
    <w:p w14:paraId="10E0BC63" w14:textId="1AF5C388" w:rsidR="007E23F4" w:rsidRDefault="00563C4E" w:rsidP="00007022">
      <w:pPr>
        <w:spacing w:line="480" w:lineRule="auto"/>
        <w:jc w:val="both"/>
        <w:rPr>
          <w:rFonts w:ascii="Arial" w:hAnsi="Arial" w:cs="Arial"/>
          <w:color w:val="222222"/>
          <w:sz w:val="20"/>
          <w:szCs w:val="20"/>
          <w:shd w:val="clear" w:color="auto" w:fill="FFFFFF"/>
        </w:rPr>
      </w:pPr>
      <w:r w:rsidRPr="00563C4E">
        <w:rPr>
          <w:rFonts w:ascii="Arial" w:hAnsi="Arial" w:cs="Arial"/>
          <w:color w:val="222222"/>
          <w:sz w:val="20"/>
          <w:szCs w:val="20"/>
          <w:shd w:val="clear" w:color="auto" w:fill="FFFFFF"/>
        </w:rPr>
        <w:t>2</w:t>
      </w:r>
      <w:r w:rsidR="00700CDC">
        <w:rPr>
          <w:rFonts w:ascii="Arial" w:hAnsi="Arial" w:cs="Arial"/>
          <w:color w:val="222222"/>
          <w:sz w:val="20"/>
          <w:szCs w:val="20"/>
          <w:shd w:val="clear" w:color="auto" w:fill="FFFFFF"/>
        </w:rPr>
        <w:t>0.</w:t>
      </w:r>
      <w:r w:rsidRPr="00563C4E">
        <w:rPr>
          <w:rFonts w:ascii="Arial" w:hAnsi="Arial" w:cs="Arial"/>
          <w:color w:val="222222"/>
          <w:sz w:val="20"/>
          <w:szCs w:val="20"/>
          <w:shd w:val="clear" w:color="auto" w:fill="FFFFFF"/>
        </w:rPr>
        <w:t xml:space="preserve"> ChoiceMetrics. Ngene 1.2.0 User Manual &amp; Reference Guide. Australia, 2018.</w:t>
      </w:r>
    </w:p>
    <w:p w14:paraId="567D62A0" w14:textId="7C81A9A7" w:rsidR="00B43C9F" w:rsidRDefault="00B6717B" w:rsidP="00007022">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21</w:t>
      </w:r>
      <w:r w:rsidR="00B43C9F">
        <w:rPr>
          <w:rFonts w:ascii="Arial" w:hAnsi="Arial" w:cs="Arial"/>
          <w:color w:val="222222"/>
          <w:sz w:val="20"/>
          <w:szCs w:val="20"/>
          <w:shd w:val="clear" w:color="auto" w:fill="FFFFFF"/>
        </w:rPr>
        <w:t xml:space="preserve">. </w:t>
      </w:r>
      <w:r w:rsidR="00B43C9F" w:rsidRPr="00B43C9F">
        <w:rPr>
          <w:rFonts w:ascii="Arial" w:hAnsi="Arial" w:cs="Arial"/>
          <w:color w:val="222222"/>
          <w:sz w:val="20"/>
          <w:szCs w:val="20"/>
          <w:shd w:val="clear" w:color="auto" w:fill="FFFFFF"/>
        </w:rPr>
        <w:t>Orme B. Sample size issues for conjoint analysis studies. Sequim: Sawtooth Software Technical Paper. 1998.</w:t>
      </w:r>
    </w:p>
    <w:p w14:paraId="0C0CF446" w14:textId="46F4CB40" w:rsidR="006C0F5D" w:rsidRDefault="00E0660E" w:rsidP="006C0F5D">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2</w:t>
      </w:r>
      <w:r w:rsidR="00700CDC">
        <w:rPr>
          <w:rFonts w:ascii="Arial" w:hAnsi="Arial" w:cs="Arial"/>
          <w:color w:val="222222"/>
          <w:sz w:val="20"/>
          <w:szCs w:val="20"/>
          <w:shd w:val="clear" w:color="auto" w:fill="FFFFFF"/>
        </w:rPr>
        <w:t>.</w:t>
      </w:r>
      <w:r w:rsidR="006C0F5D">
        <w:rPr>
          <w:rFonts w:ascii="Arial" w:hAnsi="Arial" w:cs="Arial"/>
          <w:color w:val="222222"/>
          <w:sz w:val="20"/>
          <w:szCs w:val="20"/>
          <w:shd w:val="clear" w:color="auto" w:fill="FFFFFF"/>
        </w:rPr>
        <w:t xml:space="preserve"> </w:t>
      </w:r>
      <w:r w:rsidR="006C0F5D" w:rsidRPr="006C0F5D">
        <w:rPr>
          <w:rFonts w:ascii="Arial" w:hAnsi="Arial" w:cs="Arial"/>
          <w:color w:val="222222"/>
          <w:sz w:val="20"/>
          <w:szCs w:val="20"/>
          <w:shd w:val="clear" w:color="auto" w:fill="FFFFFF"/>
        </w:rPr>
        <w:t>Vaismoradi M, Turunen H, Bondas T. Content analysis and thematic analysis: Implications for conducting a qualitative descriptive study. Nursing &amp; health sciences. 2013 Sep;15(3):398-405.</w:t>
      </w:r>
    </w:p>
    <w:p w14:paraId="22142BE2" w14:textId="3277F9D9" w:rsidR="006E4DA8" w:rsidRPr="006E4DA8" w:rsidRDefault="00B6717B" w:rsidP="006E4DA8">
      <w:pPr>
        <w:spacing w:before="240"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23</w:t>
      </w:r>
      <w:r w:rsidR="006E4DA8">
        <w:rPr>
          <w:rFonts w:ascii="Arial" w:hAnsi="Arial" w:cs="Arial"/>
          <w:color w:val="222222"/>
          <w:sz w:val="20"/>
          <w:szCs w:val="20"/>
          <w:shd w:val="clear" w:color="auto" w:fill="FFFFFF"/>
        </w:rPr>
        <w:t>. Rammstedt B, John OP. Measuring personality in one minute or less: A 10-item short version of the Big Five Inventory in English and German. Journal of research in Personality. 2007 Feb 1;41(1):203-12.</w:t>
      </w:r>
    </w:p>
    <w:p w14:paraId="18A7E04F" w14:textId="38262A78" w:rsidR="007E23F4" w:rsidRDefault="00E0660E" w:rsidP="006C0F5D">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4</w:t>
      </w:r>
      <w:r w:rsidR="00700CDC">
        <w:rPr>
          <w:rFonts w:ascii="Arial" w:hAnsi="Arial" w:cs="Arial"/>
          <w:color w:val="222222"/>
          <w:sz w:val="20"/>
          <w:szCs w:val="20"/>
          <w:shd w:val="clear" w:color="auto" w:fill="FFFFFF"/>
        </w:rPr>
        <w:t>.</w:t>
      </w:r>
      <w:r w:rsidR="0053437B">
        <w:rPr>
          <w:rFonts w:ascii="Arial" w:hAnsi="Arial" w:cs="Arial"/>
          <w:color w:val="222222"/>
          <w:sz w:val="20"/>
          <w:szCs w:val="20"/>
          <w:shd w:val="clear" w:color="auto" w:fill="FFFFFF"/>
        </w:rPr>
        <w:t xml:space="preserve"> </w:t>
      </w:r>
      <w:r w:rsidR="00BB4992">
        <w:rPr>
          <w:rFonts w:ascii="Arial" w:hAnsi="Arial" w:cs="Arial"/>
          <w:color w:val="222222"/>
          <w:sz w:val="20"/>
          <w:szCs w:val="20"/>
          <w:shd w:val="clear" w:color="auto" w:fill="FFFFFF"/>
        </w:rPr>
        <w:t>McFadden D. Quantitative methods for analyzing travel behaviour of individuals: Some recent developments (Cowles Foundation Discussion Papers No. 474). Cowles Foundation for Research in Economics, Yale University. 1977.</w:t>
      </w:r>
    </w:p>
    <w:p w14:paraId="481E2AEF" w14:textId="2B381DBA" w:rsidR="003D74DB" w:rsidRDefault="003D74DB" w:rsidP="00563330">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5</w:t>
      </w:r>
      <w:r w:rsidR="00700CDC">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Pr="003D74DB">
        <w:rPr>
          <w:rFonts w:ascii="Arial" w:hAnsi="Arial" w:cs="Arial"/>
          <w:color w:val="222222"/>
          <w:sz w:val="20"/>
          <w:szCs w:val="20"/>
          <w:shd w:val="clear" w:color="auto" w:fill="FFFFFF"/>
        </w:rPr>
        <w:t>Hughes S, Kamranpour P, Gibani MM,</w:t>
      </w:r>
      <w:r w:rsidR="00A868CE">
        <w:rPr>
          <w:rFonts w:ascii="Arial" w:hAnsi="Arial" w:cs="Arial"/>
          <w:color w:val="222222"/>
          <w:sz w:val="20"/>
          <w:szCs w:val="20"/>
          <w:shd w:val="clear" w:color="auto" w:fill="FFFFFF"/>
        </w:rPr>
        <w:t xml:space="preserve"> et al</w:t>
      </w:r>
      <w:r w:rsidRPr="003D74DB">
        <w:rPr>
          <w:rFonts w:ascii="Arial" w:hAnsi="Arial" w:cs="Arial"/>
          <w:color w:val="222222"/>
          <w:sz w:val="20"/>
          <w:szCs w:val="20"/>
          <w:shd w:val="clear" w:color="auto" w:fill="FFFFFF"/>
        </w:rPr>
        <w:t>. Short-course Antibiotic Therapy: A Bespoke Approach Is Required. Clinical Infectious Diseases. 2019.</w:t>
      </w:r>
    </w:p>
    <w:p w14:paraId="017C4E58" w14:textId="22D94423" w:rsidR="00BB4992" w:rsidRDefault="00E0660E" w:rsidP="006C0F5D">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6</w:t>
      </w:r>
      <w:r w:rsidR="00700CDC">
        <w:rPr>
          <w:rFonts w:ascii="Arial" w:hAnsi="Arial" w:cs="Arial"/>
          <w:color w:val="222222"/>
          <w:sz w:val="20"/>
          <w:szCs w:val="20"/>
          <w:shd w:val="clear" w:color="auto" w:fill="FFFFFF"/>
        </w:rPr>
        <w:t>.</w:t>
      </w:r>
      <w:r w:rsidR="00BB4992">
        <w:rPr>
          <w:rFonts w:ascii="Arial" w:hAnsi="Arial" w:cs="Arial"/>
          <w:color w:val="222222"/>
          <w:sz w:val="20"/>
          <w:szCs w:val="20"/>
          <w:shd w:val="clear" w:color="auto" w:fill="FFFFFF"/>
        </w:rPr>
        <w:t xml:space="preserve"> Broom A, Broom J, Kirby E. Cultures of resistance? A Bourdieusian analysis of doctors' antibiotic prescribing. Social science &amp; medicine. 2014 Jun 1;110:81-8.</w:t>
      </w:r>
    </w:p>
    <w:p w14:paraId="7B54EEF8" w14:textId="0417A4D9" w:rsidR="007E23F4" w:rsidRDefault="00E0660E" w:rsidP="00DB3931">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7</w:t>
      </w:r>
      <w:r w:rsidR="00700CDC">
        <w:rPr>
          <w:rFonts w:ascii="Arial" w:hAnsi="Arial" w:cs="Arial"/>
          <w:color w:val="222222"/>
          <w:sz w:val="20"/>
          <w:szCs w:val="20"/>
          <w:shd w:val="clear" w:color="auto" w:fill="FFFFFF"/>
        </w:rPr>
        <w:t>.</w:t>
      </w:r>
      <w:r w:rsidR="00796BF7">
        <w:rPr>
          <w:rFonts w:ascii="Arial" w:hAnsi="Arial" w:cs="Arial"/>
          <w:color w:val="222222"/>
          <w:sz w:val="20"/>
          <w:szCs w:val="20"/>
          <w:shd w:val="clear" w:color="auto" w:fill="FFFFFF"/>
        </w:rPr>
        <w:t xml:space="preserve"> Mehrotra A, Linder JA. </w:t>
      </w:r>
      <w:bookmarkStart w:id="1" w:name="OLE_LINK1"/>
      <w:bookmarkStart w:id="2" w:name="OLE_LINK2"/>
      <w:r w:rsidR="00796BF7">
        <w:rPr>
          <w:rFonts w:ascii="Arial" w:hAnsi="Arial" w:cs="Arial"/>
          <w:color w:val="222222"/>
          <w:sz w:val="20"/>
          <w:szCs w:val="20"/>
          <w:shd w:val="clear" w:color="auto" w:fill="FFFFFF"/>
        </w:rPr>
        <w:t xml:space="preserve">Tipping the balance toward fewer antibiotics. </w:t>
      </w:r>
      <w:bookmarkEnd w:id="1"/>
      <w:bookmarkEnd w:id="2"/>
      <w:r w:rsidR="00796BF7">
        <w:rPr>
          <w:rFonts w:ascii="Arial" w:hAnsi="Arial" w:cs="Arial"/>
          <w:color w:val="222222"/>
          <w:sz w:val="20"/>
          <w:szCs w:val="20"/>
          <w:shd w:val="clear" w:color="auto" w:fill="FFFFFF"/>
        </w:rPr>
        <w:t>JAMA internal medicine. 2016 Nov 1;176(11):1649-50.</w:t>
      </w:r>
    </w:p>
    <w:p w14:paraId="05CD72C4" w14:textId="1A1BB9CE" w:rsidR="00DA5395" w:rsidRDefault="00E0660E" w:rsidP="0086158F">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8</w:t>
      </w:r>
      <w:r w:rsidR="00700CDC">
        <w:rPr>
          <w:rFonts w:ascii="Arial" w:hAnsi="Arial" w:cs="Arial"/>
          <w:color w:val="222222"/>
          <w:sz w:val="20"/>
          <w:szCs w:val="20"/>
          <w:shd w:val="clear" w:color="auto" w:fill="FFFFFF"/>
        </w:rPr>
        <w:t>.</w:t>
      </w:r>
      <w:r w:rsidR="00B31165">
        <w:rPr>
          <w:rFonts w:ascii="Arial" w:hAnsi="Arial" w:cs="Arial"/>
          <w:color w:val="222222"/>
          <w:sz w:val="20"/>
          <w:szCs w:val="20"/>
          <w:shd w:val="clear" w:color="auto" w:fill="FFFFFF"/>
        </w:rPr>
        <w:t xml:space="preserve"> Phillips KA, Johnson FR, Maddala T. Measuring what people value: a comparison of “attitude” and “preference” surveys. Health Services Research. 2002 Dec;37(6):1659-79.</w:t>
      </w:r>
    </w:p>
    <w:p w14:paraId="7F89FCE2" w14:textId="34B3C451" w:rsidR="00641DC2" w:rsidRDefault="00E0660E" w:rsidP="0086158F">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B6717B">
        <w:rPr>
          <w:rFonts w:ascii="Arial" w:hAnsi="Arial" w:cs="Arial"/>
          <w:color w:val="222222"/>
          <w:sz w:val="20"/>
          <w:szCs w:val="20"/>
          <w:shd w:val="clear" w:color="auto" w:fill="FFFFFF"/>
        </w:rPr>
        <w:t>9</w:t>
      </w:r>
      <w:r w:rsidR="00700CDC">
        <w:rPr>
          <w:rFonts w:ascii="Arial" w:hAnsi="Arial" w:cs="Arial"/>
          <w:color w:val="222222"/>
          <w:sz w:val="20"/>
          <w:szCs w:val="20"/>
          <w:shd w:val="clear" w:color="auto" w:fill="FFFFFF"/>
        </w:rPr>
        <w:t>.</w:t>
      </w:r>
      <w:r w:rsidR="00641DC2">
        <w:rPr>
          <w:rFonts w:ascii="Arial" w:hAnsi="Arial" w:cs="Arial"/>
          <w:color w:val="222222"/>
          <w:sz w:val="20"/>
          <w:szCs w:val="20"/>
          <w:shd w:val="clear" w:color="auto" w:fill="FFFFFF"/>
        </w:rPr>
        <w:t xml:space="preserve"> Barlam TF, Cosgrove SE, Abbo LM,</w:t>
      </w:r>
      <w:r w:rsidR="00A868CE">
        <w:rPr>
          <w:rFonts w:ascii="Arial" w:hAnsi="Arial" w:cs="Arial"/>
          <w:color w:val="222222"/>
          <w:sz w:val="20"/>
          <w:szCs w:val="20"/>
          <w:shd w:val="clear" w:color="auto" w:fill="FFFFFF"/>
        </w:rPr>
        <w:t xml:space="preserve"> et al</w:t>
      </w:r>
      <w:r w:rsidR="00641DC2">
        <w:rPr>
          <w:rFonts w:ascii="Arial" w:hAnsi="Arial" w:cs="Arial"/>
          <w:color w:val="222222"/>
          <w:sz w:val="20"/>
          <w:szCs w:val="20"/>
          <w:shd w:val="clear" w:color="auto" w:fill="FFFFFF"/>
        </w:rPr>
        <w:t>. Implementing an antibiotic stewardship program: guidelines by the Infectious Diseases Society of America and the Society for Healthcare Epidemiology of America. Clinical Infectious Diseases. 2016 Apr 13;62(10):e51-77.</w:t>
      </w:r>
    </w:p>
    <w:p w14:paraId="35B8848C" w14:textId="7AD18F0E" w:rsidR="00DA5395" w:rsidRDefault="00B6717B" w:rsidP="0086158F">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30</w:t>
      </w:r>
      <w:r w:rsidR="00700CDC">
        <w:rPr>
          <w:rFonts w:ascii="Arial" w:hAnsi="Arial" w:cs="Arial"/>
          <w:color w:val="222222"/>
          <w:sz w:val="20"/>
          <w:szCs w:val="20"/>
          <w:shd w:val="clear" w:color="auto" w:fill="FFFFFF"/>
        </w:rPr>
        <w:t>.</w:t>
      </w:r>
      <w:r w:rsidR="00883F49">
        <w:rPr>
          <w:rFonts w:ascii="Arial" w:hAnsi="Arial" w:cs="Arial"/>
          <w:color w:val="222222"/>
          <w:sz w:val="20"/>
          <w:szCs w:val="20"/>
          <w:shd w:val="clear" w:color="auto" w:fill="FFFFFF"/>
        </w:rPr>
        <w:t xml:space="preserve"> Schuetz P, Muller B, Christ</w:t>
      </w:r>
      <w:r w:rsidR="00883F49" w:rsidRPr="00883F49">
        <w:rPr>
          <w:rFonts w:ascii="Cambria Math" w:hAnsi="Cambria Math" w:cs="Cambria Math"/>
          <w:color w:val="222222"/>
          <w:sz w:val="20"/>
          <w:szCs w:val="20"/>
          <w:shd w:val="clear" w:color="auto" w:fill="FFFFFF"/>
        </w:rPr>
        <w:t>‐</w:t>
      </w:r>
      <w:r w:rsidR="00883F49">
        <w:rPr>
          <w:rFonts w:ascii="Arial" w:hAnsi="Arial" w:cs="Arial"/>
          <w:color w:val="222222"/>
          <w:sz w:val="20"/>
          <w:szCs w:val="20"/>
          <w:shd w:val="clear" w:color="auto" w:fill="FFFFFF"/>
        </w:rPr>
        <w:t>Crain M,</w:t>
      </w:r>
      <w:r w:rsidR="00A868CE">
        <w:rPr>
          <w:rFonts w:ascii="Arial" w:hAnsi="Arial" w:cs="Arial"/>
          <w:color w:val="222222"/>
          <w:sz w:val="20"/>
          <w:szCs w:val="20"/>
          <w:shd w:val="clear" w:color="auto" w:fill="FFFFFF"/>
        </w:rPr>
        <w:t xml:space="preserve"> et al</w:t>
      </w:r>
      <w:r w:rsidR="00883F49">
        <w:rPr>
          <w:rFonts w:ascii="Arial" w:hAnsi="Arial" w:cs="Arial"/>
          <w:color w:val="222222"/>
          <w:sz w:val="20"/>
          <w:szCs w:val="20"/>
          <w:shd w:val="clear" w:color="auto" w:fill="FFFFFF"/>
        </w:rPr>
        <w:t>. Procalcitonin to initiate or discontinue antibiotics in acute respiratory tract infections. Evidence</w:t>
      </w:r>
      <w:r w:rsidR="00883F49" w:rsidRPr="00883F49">
        <w:rPr>
          <w:rFonts w:ascii="Cambria Math" w:hAnsi="Cambria Math" w:cs="Cambria Math"/>
          <w:color w:val="222222"/>
          <w:sz w:val="20"/>
          <w:szCs w:val="20"/>
          <w:shd w:val="clear" w:color="auto" w:fill="FFFFFF"/>
        </w:rPr>
        <w:t>‐</w:t>
      </w:r>
      <w:r w:rsidR="00883F49">
        <w:rPr>
          <w:rFonts w:ascii="Arial" w:hAnsi="Arial" w:cs="Arial"/>
          <w:color w:val="222222"/>
          <w:sz w:val="20"/>
          <w:szCs w:val="20"/>
          <w:shd w:val="clear" w:color="auto" w:fill="FFFFFF"/>
        </w:rPr>
        <w:t>Based Child Health: A Cochrane Review Journal. 2013 Jul;8(4):1297-371.</w:t>
      </w:r>
    </w:p>
    <w:p w14:paraId="739F07E8" w14:textId="7B228AE2" w:rsidR="00A31002" w:rsidRDefault="00B6717B" w:rsidP="00956B3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31</w:t>
      </w:r>
      <w:r w:rsidR="00A31002">
        <w:rPr>
          <w:rFonts w:ascii="Arial" w:hAnsi="Arial" w:cs="Arial"/>
          <w:color w:val="222222"/>
          <w:sz w:val="20"/>
          <w:szCs w:val="20"/>
          <w:shd w:val="clear" w:color="auto" w:fill="FFFFFF"/>
        </w:rPr>
        <w:t>. de Bekker-Grob EW, Donkers B, Jonker MF, Stolk EA. Sample size requirements for discrete-choice experiments in healthcare: a practical guide. The Patient - Patient-Centered Outcomes Research. 2015 Oct 1;8(5):373-84.</w:t>
      </w:r>
    </w:p>
    <w:p w14:paraId="02C1C34F" w14:textId="546A1820" w:rsidR="004277A2" w:rsidRDefault="00B6717B" w:rsidP="00956B3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32</w:t>
      </w:r>
      <w:r w:rsidR="00700CDC">
        <w:rPr>
          <w:rFonts w:ascii="Arial" w:hAnsi="Arial" w:cs="Arial"/>
          <w:color w:val="222222"/>
          <w:sz w:val="20"/>
          <w:szCs w:val="20"/>
          <w:shd w:val="clear" w:color="auto" w:fill="FFFFFF"/>
        </w:rPr>
        <w:t>.</w:t>
      </w:r>
      <w:r w:rsidR="00956B3E">
        <w:rPr>
          <w:rFonts w:ascii="Arial" w:hAnsi="Arial" w:cs="Arial"/>
          <w:color w:val="222222"/>
          <w:sz w:val="20"/>
          <w:szCs w:val="20"/>
          <w:shd w:val="clear" w:color="auto" w:fill="FFFFFF"/>
        </w:rPr>
        <w:t xml:space="preserve"> Santillo M, Sivyer K, Krusche A, et al. Intervention planning for Antibiotic Review Kit (ARK): a digital and behavioural intervention to safely review and reduce antibiotic prescriptions in acute and general medicine. Journal of Antimicrobial Chemotherapy. 2019 Aug 20;74(11):3362-70.</w:t>
      </w:r>
      <w:r w:rsidR="004277A2">
        <w:rPr>
          <w:rFonts w:ascii="Arial" w:hAnsi="Arial" w:cs="Arial"/>
          <w:color w:val="222222"/>
          <w:sz w:val="20"/>
          <w:szCs w:val="20"/>
          <w:shd w:val="clear" w:color="auto" w:fill="FFFFFF"/>
        </w:rPr>
        <w:br w:type="page"/>
      </w:r>
    </w:p>
    <w:p w14:paraId="1DCC4B74" w14:textId="271D138B" w:rsidR="007E23F4" w:rsidRPr="00DA5395" w:rsidRDefault="007E23F4" w:rsidP="0086158F">
      <w:pPr>
        <w:spacing w:line="480" w:lineRule="auto"/>
        <w:jc w:val="both"/>
        <w:rPr>
          <w:rFonts w:ascii="Arial" w:hAnsi="Arial" w:cs="Arial"/>
          <w:b/>
          <w:color w:val="222222"/>
          <w:sz w:val="20"/>
          <w:szCs w:val="20"/>
          <w:shd w:val="clear" w:color="auto" w:fill="FFFFFF"/>
        </w:rPr>
      </w:pPr>
      <w:r w:rsidRPr="00DA5395">
        <w:rPr>
          <w:rFonts w:ascii="Arial" w:hAnsi="Arial" w:cs="Arial"/>
          <w:b/>
          <w:color w:val="222222"/>
          <w:sz w:val="20"/>
          <w:szCs w:val="20"/>
          <w:shd w:val="clear" w:color="auto" w:fill="FFFFFF"/>
        </w:rPr>
        <w:t>TABLES</w:t>
      </w:r>
    </w:p>
    <w:p w14:paraId="5E04D86E" w14:textId="06707139" w:rsidR="007C0CD8" w:rsidRPr="00614CD7" w:rsidRDefault="007C0CD8" w:rsidP="007C0CD8">
      <w:pPr>
        <w:spacing w:after="0" w:line="240" w:lineRule="auto"/>
        <w:rPr>
          <w:rFonts w:ascii="Arial" w:hAnsi="Arial" w:cs="Arial"/>
          <w:b/>
        </w:rPr>
      </w:pPr>
      <w:r w:rsidRPr="00614CD7">
        <w:rPr>
          <w:rFonts w:ascii="Arial" w:hAnsi="Arial" w:cs="Arial"/>
          <w:b/>
        </w:rPr>
        <w:t xml:space="preserve">Table 1: </w:t>
      </w:r>
      <w:r w:rsidR="008835EF">
        <w:rPr>
          <w:rFonts w:ascii="Arial" w:hAnsi="Arial" w:cs="Arial"/>
          <w:b/>
        </w:rPr>
        <w:t>Attributes</w:t>
      </w:r>
      <w:r w:rsidR="008835EF" w:rsidRPr="00614CD7">
        <w:rPr>
          <w:rFonts w:ascii="Arial" w:hAnsi="Arial" w:cs="Arial"/>
          <w:b/>
        </w:rPr>
        <w:t xml:space="preserve"> </w:t>
      </w:r>
      <w:r w:rsidRPr="00614CD7">
        <w:rPr>
          <w:rFonts w:ascii="Arial" w:hAnsi="Arial" w:cs="Arial"/>
          <w:b/>
        </w:rPr>
        <w:t>and levels presented to respondents for each choice alternative</w:t>
      </w:r>
    </w:p>
    <w:p w14:paraId="1554C499" w14:textId="77777777" w:rsidR="007E23F4" w:rsidRDefault="007E23F4" w:rsidP="007E23F4">
      <w:pPr>
        <w:pStyle w:val="NoSpacing"/>
      </w:pPr>
    </w:p>
    <w:tbl>
      <w:tblPr>
        <w:tblStyle w:val="TableGrid"/>
        <w:tblW w:w="10316"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1643"/>
        <w:gridCol w:w="1551"/>
        <w:gridCol w:w="1985"/>
        <w:gridCol w:w="1508"/>
      </w:tblGrid>
      <w:tr w:rsidR="007E23F4" w:rsidRPr="007E23F4" w14:paraId="2D608CB6" w14:textId="77777777" w:rsidTr="009E7385">
        <w:trPr>
          <w:jc w:val="center"/>
        </w:trPr>
        <w:tc>
          <w:tcPr>
            <w:tcW w:w="0" w:type="auto"/>
            <w:vMerge w:val="restart"/>
            <w:tcBorders>
              <w:top w:val="double" w:sz="4" w:space="0" w:color="auto"/>
            </w:tcBorders>
          </w:tcPr>
          <w:p w14:paraId="7006DAE6" w14:textId="66750B94" w:rsidR="007E23F4" w:rsidRPr="007E23F4" w:rsidRDefault="007C0CD8" w:rsidP="00DA5395">
            <w:pPr>
              <w:pStyle w:val="NoSpacing"/>
              <w:jc w:val="center"/>
              <w:rPr>
                <w:rFonts w:ascii="Arial" w:hAnsi="Arial" w:cs="Arial"/>
                <w:sz w:val="20"/>
              </w:rPr>
            </w:pPr>
            <w:r>
              <w:rPr>
                <w:rFonts w:ascii="Arial" w:hAnsi="Arial" w:cs="Arial"/>
                <w:b/>
                <w:sz w:val="20"/>
              </w:rPr>
              <w:t>Factor</w:t>
            </w:r>
          </w:p>
        </w:tc>
        <w:tc>
          <w:tcPr>
            <w:tcW w:w="5035" w:type="dxa"/>
            <w:gridSpan w:val="3"/>
            <w:tcBorders>
              <w:top w:val="double" w:sz="4" w:space="0" w:color="auto"/>
            </w:tcBorders>
          </w:tcPr>
          <w:p w14:paraId="5208A808" w14:textId="77777777" w:rsidR="007E23F4" w:rsidRPr="007E23F4" w:rsidRDefault="007E23F4" w:rsidP="00DA5395">
            <w:pPr>
              <w:pStyle w:val="NoSpacing"/>
              <w:jc w:val="center"/>
              <w:rPr>
                <w:rFonts w:ascii="Arial" w:hAnsi="Arial" w:cs="Arial"/>
                <w:b/>
                <w:sz w:val="20"/>
              </w:rPr>
            </w:pPr>
            <w:r w:rsidRPr="007E23F4">
              <w:rPr>
                <w:rFonts w:ascii="Arial" w:hAnsi="Arial" w:cs="Arial"/>
                <w:b/>
                <w:sz w:val="20"/>
              </w:rPr>
              <w:t>Levels</w:t>
            </w:r>
          </w:p>
        </w:tc>
        <w:tc>
          <w:tcPr>
            <w:tcW w:w="1508" w:type="dxa"/>
            <w:vMerge w:val="restart"/>
            <w:tcBorders>
              <w:top w:val="double" w:sz="4" w:space="0" w:color="auto"/>
            </w:tcBorders>
            <w:shd w:val="clear" w:color="auto" w:fill="auto"/>
          </w:tcPr>
          <w:p w14:paraId="31232C20" w14:textId="77777777" w:rsidR="007E23F4" w:rsidRPr="007E23F4" w:rsidRDefault="007E23F4" w:rsidP="00DA5395">
            <w:pPr>
              <w:pStyle w:val="NoSpacing"/>
              <w:jc w:val="center"/>
              <w:rPr>
                <w:rFonts w:ascii="Arial" w:hAnsi="Arial" w:cs="Arial"/>
                <w:sz w:val="20"/>
              </w:rPr>
            </w:pPr>
            <w:r w:rsidRPr="007E23F4">
              <w:rPr>
                <w:rFonts w:ascii="Arial" w:hAnsi="Arial" w:cs="Arial"/>
                <w:b/>
                <w:sz w:val="20"/>
              </w:rPr>
              <w:t>Coding</w:t>
            </w:r>
          </w:p>
        </w:tc>
      </w:tr>
      <w:tr w:rsidR="007E23F4" w:rsidRPr="007E23F4" w14:paraId="26D29229" w14:textId="77777777" w:rsidTr="009E7385">
        <w:trPr>
          <w:jc w:val="center"/>
        </w:trPr>
        <w:tc>
          <w:tcPr>
            <w:tcW w:w="0" w:type="auto"/>
            <w:vMerge/>
            <w:tcBorders>
              <w:top w:val="nil"/>
              <w:bottom w:val="single" w:sz="4" w:space="0" w:color="auto"/>
            </w:tcBorders>
          </w:tcPr>
          <w:p w14:paraId="6C02E7B9" w14:textId="77777777" w:rsidR="007E23F4" w:rsidRPr="007E23F4" w:rsidRDefault="007E23F4" w:rsidP="00DA5395">
            <w:pPr>
              <w:pStyle w:val="NoSpacing"/>
              <w:rPr>
                <w:rFonts w:ascii="Arial" w:hAnsi="Arial" w:cs="Arial"/>
                <w:sz w:val="20"/>
              </w:rPr>
            </w:pPr>
          </w:p>
        </w:tc>
        <w:tc>
          <w:tcPr>
            <w:tcW w:w="1643" w:type="dxa"/>
            <w:tcBorders>
              <w:top w:val="nil"/>
              <w:bottom w:val="single" w:sz="4" w:space="0" w:color="auto"/>
            </w:tcBorders>
          </w:tcPr>
          <w:p w14:paraId="46809A98" w14:textId="77777777" w:rsidR="007E23F4" w:rsidRPr="007E23F4" w:rsidRDefault="007E23F4" w:rsidP="00DA5395">
            <w:pPr>
              <w:pStyle w:val="NoSpacing"/>
              <w:jc w:val="center"/>
              <w:rPr>
                <w:rFonts w:ascii="Arial" w:hAnsi="Arial" w:cs="Arial"/>
                <w:b/>
                <w:sz w:val="20"/>
              </w:rPr>
            </w:pPr>
            <w:r w:rsidRPr="007E23F4">
              <w:rPr>
                <w:rFonts w:ascii="Arial" w:hAnsi="Arial" w:cs="Arial"/>
                <w:b/>
                <w:sz w:val="20"/>
              </w:rPr>
              <w:t>1</w:t>
            </w:r>
          </w:p>
        </w:tc>
        <w:tc>
          <w:tcPr>
            <w:tcW w:w="1407" w:type="dxa"/>
            <w:tcBorders>
              <w:top w:val="nil"/>
              <w:bottom w:val="single" w:sz="4" w:space="0" w:color="auto"/>
            </w:tcBorders>
          </w:tcPr>
          <w:p w14:paraId="4EB792C2" w14:textId="77777777" w:rsidR="007E23F4" w:rsidRPr="007E23F4" w:rsidRDefault="007E23F4" w:rsidP="00DA5395">
            <w:pPr>
              <w:pStyle w:val="NoSpacing"/>
              <w:jc w:val="center"/>
              <w:rPr>
                <w:rFonts w:ascii="Arial" w:hAnsi="Arial" w:cs="Arial"/>
                <w:b/>
                <w:sz w:val="20"/>
              </w:rPr>
            </w:pPr>
            <w:r w:rsidRPr="007E23F4">
              <w:rPr>
                <w:rFonts w:ascii="Arial" w:hAnsi="Arial" w:cs="Arial"/>
                <w:b/>
                <w:sz w:val="20"/>
              </w:rPr>
              <w:t>2</w:t>
            </w:r>
          </w:p>
        </w:tc>
        <w:tc>
          <w:tcPr>
            <w:tcW w:w="1985" w:type="dxa"/>
            <w:tcBorders>
              <w:top w:val="nil"/>
              <w:bottom w:val="single" w:sz="4" w:space="0" w:color="auto"/>
            </w:tcBorders>
          </w:tcPr>
          <w:p w14:paraId="7385F8A3" w14:textId="77777777" w:rsidR="007E23F4" w:rsidRPr="007E23F4" w:rsidRDefault="007E23F4" w:rsidP="00DA5395">
            <w:pPr>
              <w:pStyle w:val="NoSpacing"/>
              <w:jc w:val="center"/>
              <w:rPr>
                <w:rFonts w:ascii="Arial" w:hAnsi="Arial" w:cs="Arial"/>
                <w:b/>
                <w:sz w:val="20"/>
              </w:rPr>
            </w:pPr>
            <w:r w:rsidRPr="007E23F4">
              <w:rPr>
                <w:rFonts w:ascii="Arial" w:hAnsi="Arial" w:cs="Arial"/>
                <w:b/>
                <w:sz w:val="20"/>
              </w:rPr>
              <w:t>3</w:t>
            </w:r>
          </w:p>
        </w:tc>
        <w:tc>
          <w:tcPr>
            <w:tcW w:w="1508" w:type="dxa"/>
            <w:vMerge/>
            <w:tcBorders>
              <w:top w:val="nil"/>
              <w:bottom w:val="single" w:sz="4" w:space="0" w:color="auto"/>
            </w:tcBorders>
            <w:shd w:val="clear" w:color="auto" w:fill="auto"/>
          </w:tcPr>
          <w:p w14:paraId="75A06F16" w14:textId="77777777" w:rsidR="007E23F4" w:rsidRPr="007E23F4" w:rsidRDefault="007E23F4" w:rsidP="00DA5395">
            <w:pPr>
              <w:pStyle w:val="NoSpacing"/>
              <w:jc w:val="center"/>
              <w:rPr>
                <w:rFonts w:ascii="Arial" w:hAnsi="Arial" w:cs="Arial"/>
                <w:sz w:val="20"/>
              </w:rPr>
            </w:pPr>
          </w:p>
        </w:tc>
      </w:tr>
      <w:tr w:rsidR="007E23F4" w:rsidRPr="007E23F4" w14:paraId="4E7D03FB" w14:textId="77777777" w:rsidTr="009E7385">
        <w:trPr>
          <w:jc w:val="center"/>
        </w:trPr>
        <w:tc>
          <w:tcPr>
            <w:tcW w:w="0" w:type="auto"/>
            <w:tcBorders>
              <w:top w:val="single" w:sz="4" w:space="0" w:color="auto"/>
            </w:tcBorders>
          </w:tcPr>
          <w:p w14:paraId="773DE969" w14:textId="0B956210" w:rsidR="007E23F4" w:rsidRDefault="007E23F4" w:rsidP="00DA5395">
            <w:pPr>
              <w:pStyle w:val="NoSpacing"/>
              <w:rPr>
                <w:rFonts w:ascii="Arial" w:hAnsi="Arial" w:cs="Arial"/>
                <w:sz w:val="20"/>
                <w:szCs w:val="20"/>
              </w:rPr>
            </w:pPr>
            <w:r w:rsidRPr="007E23F4">
              <w:rPr>
                <w:rFonts w:ascii="Arial" w:hAnsi="Arial" w:cs="Arial"/>
                <w:sz w:val="20"/>
                <w:szCs w:val="20"/>
              </w:rPr>
              <w:t>Patient’s Presenting Symptoms</w:t>
            </w:r>
          </w:p>
          <w:p w14:paraId="7CDFA44D" w14:textId="77777777" w:rsidR="00B97DB7" w:rsidRPr="007E23F4" w:rsidRDefault="00B97DB7" w:rsidP="00DA5395">
            <w:pPr>
              <w:pStyle w:val="NoSpacing"/>
              <w:rPr>
                <w:rFonts w:ascii="Arial" w:hAnsi="Arial" w:cs="Arial"/>
                <w:sz w:val="20"/>
                <w:szCs w:val="20"/>
              </w:rPr>
            </w:pPr>
          </w:p>
          <w:p w14:paraId="1D305C08" w14:textId="77777777" w:rsidR="007E23F4" w:rsidRPr="007E23F4" w:rsidRDefault="007E23F4" w:rsidP="00DA5395">
            <w:pPr>
              <w:pStyle w:val="NoSpacing"/>
              <w:jc w:val="both"/>
              <w:rPr>
                <w:rFonts w:ascii="Arial" w:hAnsi="Arial" w:cs="Arial"/>
                <w:sz w:val="20"/>
                <w:szCs w:val="20"/>
              </w:rPr>
            </w:pPr>
            <w:r w:rsidRPr="001C4761">
              <w:rPr>
                <w:rFonts w:ascii="Arial" w:hAnsi="Arial" w:cs="Arial"/>
                <w:sz w:val="20"/>
                <w:szCs w:val="20"/>
              </w:rPr>
              <w:t>[</w:t>
            </w:r>
            <w:r w:rsidRPr="00A801D0">
              <w:rPr>
                <w:rFonts w:ascii="Arial" w:hAnsi="Arial" w:cs="Arial"/>
                <w:sz w:val="20"/>
                <w:szCs w:val="20"/>
              </w:rPr>
              <w:t>SYMPTOMS</w:t>
            </w:r>
            <w:r w:rsidRPr="007E23F4">
              <w:rPr>
                <w:rFonts w:ascii="Arial" w:hAnsi="Arial" w:cs="Arial"/>
                <w:sz w:val="20"/>
                <w:szCs w:val="20"/>
              </w:rPr>
              <w:t>]</w:t>
            </w:r>
          </w:p>
          <w:p w14:paraId="63474E2F" w14:textId="77777777" w:rsidR="007E23F4" w:rsidRPr="007E23F4" w:rsidRDefault="007E23F4" w:rsidP="00DA5395">
            <w:pPr>
              <w:pStyle w:val="NoSpacing"/>
              <w:rPr>
                <w:rFonts w:ascii="Arial" w:hAnsi="Arial" w:cs="Arial"/>
                <w:sz w:val="20"/>
                <w:szCs w:val="20"/>
              </w:rPr>
            </w:pPr>
          </w:p>
        </w:tc>
        <w:tc>
          <w:tcPr>
            <w:tcW w:w="1643" w:type="dxa"/>
            <w:tcBorders>
              <w:top w:val="single" w:sz="4" w:space="0" w:color="auto"/>
            </w:tcBorders>
          </w:tcPr>
          <w:p w14:paraId="325D6BF1" w14:textId="723DA8F8" w:rsidR="007E23F4" w:rsidRDefault="007E23F4" w:rsidP="007C0CD8">
            <w:pPr>
              <w:pStyle w:val="NoSpacing"/>
              <w:rPr>
                <w:rFonts w:ascii="Arial" w:hAnsi="Arial" w:cs="Arial"/>
                <w:sz w:val="20"/>
                <w:szCs w:val="20"/>
              </w:rPr>
            </w:pPr>
            <w:r w:rsidRPr="007E23F4">
              <w:rPr>
                <w:rFonts w:ascii="Arial" w:hAnsi="Arial" w:cs="Arial"/>
                <w:i/>
                <w:sz w:val="20"/>
                <w:szCs w:val="20"/>
              </w:rPr>
              <w:t>Symptoms indicating a urinary tract infection, with kidney pain</w:t>
            </w:r>
            <w:r w:rsidRPr="007E23F4">
              <w:rPr>
                <w:rFonts w:ascii="Arial" w:hAnsi="Arial" w:cs="Arial"/>
                <w:sz w:val="20"/>
                <w:szCs w:val="20"/>
              </w:rPr>
              <w:t xml:space="preserve"> </w:t>
            </w:r>
          </w:p>
          <w:p w14:paraId="42882CD4" w14:textId="77777777" w:rsidR="00B97DB7" w:rsidRPr="007E23F4" w:rsidRDefault="00B97DB7" w:rsidP="007C0CD8">
            <w:pPr>
              <w:pStyle w:val="NoSpacing"/>
              <w:rPr>
                <w:rFonts w:ascii="Arial" w:hAnsi="Arial" w:cs="Arial"/>
                <w:sz w:val="20"/>
                <w:szCs w:val="20"/>
              </w:rPr>
            </w:pPr>
          </w:p>
          <w:p w14:paraId="4502DC29" w14:textId="5B0DC295" w:rsidR="007E23F4" w:rsidRPr="007E23F4" w:rsidRDefault="007E23F4" w:rsidP="007C0CD8">
            <w:pPr>
              <w:pStyle w:val="NoSpacing"/>
              <w:rPr>
                <w:rFonts w:ascii="Arial" w:hAnsi="Arial" w:cs="Arial"/>
                <w:sz w:val="20"/>
                <w:szCs w:val="20"/>
              </w:rPr>
            </w:pPr>
          </w:p>
        </w:tc>
        <w:tc>
          <w:tcPr>
            <w:tcW w:w="1407" w:type="dxa"/>
            <w:tcBorders>
              <w:top w:val="single" w:sz="4" w:space="0" w:color="auto"/>
            </w:tcBorders>
          </w:tcPr>
          <w:p w14:paraId="5FED18EC" w14:textId="77777777" w:rsidR="00B97DB7" w:rsidRDefault="007E23F4" w:rsidP="007C0CD8">
            <w:pPr>
              <w:pStyle w:val="NoSpacing"/>
              <w:rPr>
                <w:rFonts w:ascii="Arial" w:hAnsi="Arial" w:cs="Arial"/>
                <w:color w:val="FF0000"/>
                <w:sz w:val="20"/>
                <w:szCs w:val="20"/>
              </w:rPr>
            </w:pPr>
            <w:r w:rsidRPr="007E23F4">
              <w:rPr>
                <w:rFonts w:ascii="Arial" w:hAnsi="Arial" w:cs="Arial"/>
                <w:i/>
                <w:sz w:val="20"/>
                <w:szCs w:val="20"/>
              </w:rPr>
              <w:t>Fever, cough and possible pulmonary infiltrates on chest X-Ray</w:t>
            </w:r>
            <w:r w:rsidRPr="007E23F4">
              <w:rPr>
                <w:rFonts w:ascii="Arial" w:hAnsi="Arial" w:cs="Arial"/>
                <w:color w:val="FF0000"/>
                <w:sz w:val="20"/>
                <w:szCs w:val="20"/>
              </w:rPr>
              <w:t xml:space="preserve"> </w:t>
            </w:r>
          </w:p>
          <w:p w14:paraId="31208EF9" w14:textId="55619F0B" w:rsidR="007E23F4" w:rsidRPr="007E23F4" w:rsidRDefault="007E23F4" w:rsidP="007C0CD8">
            <w:pPr>
              <w:pStyle w:val="NoSpacing"/>
              <w:rPr>
                <w:rFonts w:ascii="Arial" w:hAnsi="Arial" w:cs="Arial"/>
                <w:sz w:val="20"/>
                <w:szCs w:val="20"/>
              </w:rPr>
            </w:pPr>
          </w:p>
        </w:tc>
        <w:tc>
          <w:tcPr>
            <w:tcW w:w="1985" w:type="dxa"/>
            <w:tcBorders>
              <w:top w:val="single" w:sz="4" w:space="0" w:color="auto"/>
            </w:tcBorders>
          </w:tcPr>
          <w:p w14:paraId="76921791" w14:textId="5D625CEF" w:rsidR="007C0CD8" w:rsidRDefault="007E23F4" w:rsidP="007C0CD8">
            <w:pPr>
              <w:pStyle w:val="NoSpacing"/>
              <w:rPr>
                <w:rFonts w:ascii="Arial" w:hAnsi="Arial" w:cs="Arial"/>
                <w:i/>
                <w:sz w:val="20"/>
                <w:szCs w:val="20"/>
              </w:rPr>
            </w:pPr>
            <w:r w:rsidRPr="007E23F4">
              <w:rPr>
                <w:rFonts w:ascii="Arial" w:hAnsi="Arial" w:cs="Arial"/>
                <w:i/>
                <w:sz w:val="20"/>
                <w:szCs w:val="20"/>
              </w:rPr>
              <w:t>Off-legs and c</w:t>
            </w:r>
            <w:r w:rsidR="007C0CD8">
              <w:rPr>
                <w:rFonts w:ascii="Arial" w:hAnsi="Arial" w:cs="Arial"/>
                <w:i/>
                <w:sz w:val="20"/>
                <w:szCs w:val="20"/>
              </w:rPr>
              <w:t xml:space="preserve">onfused. Possible urinary tract </w:t>
            </w:r>
            <w:r w:rsidRPr="007E23F4">
              <w:rPr>
                <w:rFonts w:ascii="Arial" w:hAnsi="Arial" w:cs="Arial"/>
                <w:i/>
                <w:sz w:val="20"/>
                <w:szCs w:val="20"/>
              </w:rPr>
              <w:t xml:space="preserve">infection. Possible lower respiratory tract </w:t>
            </w:r>
            <w:r w:rsidR="007C0CD8">
              <w:rPr>
                <w:rFonts w:ascii="Arial" w:hAnsi="Arial" w:cs="Arial"/>
                <w:i/>
                <w:sz w:val="20"/>
                <w:szCs w:val="20"/>
              </w:rPr>
              <w:t>infection.</w:t>
            </w:r>
            <w:r w:rsidR="005D1BF2">
              <w:rPr>
                <w:rFonts w:ascii="Arial" w:hAnsi="Arial" w:cs="Arial"/>
                <w:i/>
                <w:sz w:val="20"/>
                <w:szCs w:val="20"/>
              </w:rPr>
              <w:t xml:space="preserve"> </w:t>
            </w:r>
            <w:r w:rsidRPr="007E23F4">
              <w:rPr>
                <w:rFonts w:ascii="Arial" w:hAnsi="Arial" w:cs="Arial"/>
                <w:i/>
                <w:sz w:val="20"/>
                <w:szCs w:val="20"/>
              </w:rPr>
              <w:t>Might have experienced a fall</w:t>
            </w:r>
          </w:p>
          <w:p w14:paraId="38EBAB7C" w14:textId="77777777" w:rsidR="00B97DB7" w:rsidRDefault="00B97DB7" w:rsidP="007C0CD8">
            <w:pPr>
              <w:pStyle w:val="NoSpacing"/>
              <w:rPr>
                <w:rFonts w:ascii="Arial" w:hAnsi="Arial" w:cs="Arial"/>
                <w:i/>
                <w:sz w:val="20"/>
                <w:szCs w:val="20"/>
              </w:rPr>
            </w:pPr>
          </w:p>
          <w:p w14:paraId="2694EFD0" w14:textId="77777777" w:rsidR="007E23F4" w:rsidRDefault="007E23F4" w:rsidP="007C0CD8">
            <w:pPr>
              <w:pStyle w:val="NoSpacing"/>
              <w:rPr>
                <w:rFonts w:ascii="Arial" w:hAnsi="Arial" w:cs="Arial"/>
                <w:sz w:val="20"/>
                <w:szCs w:val="20"/>
                <w:vertAlign w:val="superscript"/>
              </w:rPr>
            </w:pPr>
            <w:r w:rsidRPr="007E23F4">
              <w:rPr>
                <w:rFonts w:ascii="Arial" w:hAnsi="Arial" w:cs="Arial"/>
                <w:sz w:val="20"/>
                <w:szCs w:val="20"/>
              </w:rPr>
              <w:t>[base level so variable not named]</w:t>
            </w:r>
            <w:r w:rsidRPr="007E23F4">
              <w:rPr>
                <w:rFonts w:ascii="Arial" w:hAnsi="Arial" w:cs="Arial"/>
                <w:sz w:val="20"/>
                <w:szCs w:val="20"/>
                <w:vertAlign w:val="superscript"/>
              </w:rPr>
              <w:t>a</w:t>
            </w:r>
          </w:p>
          <w:p w14:paraId="78C859BF" w14:textId="379C1294" w:rsidR="009E7385" w:rsidRPr="007C0CD8" w:rsidRDefault="009E7385" w:rsidP="007C0CD8">
            <w:pPr>
              <w:pStyle w:val="NoSpacing"/>
              <w:rPr>
                <w:rFonts w:ascii="Arial" w:hAnsi="Arial" w:cs="Arial"/>
                <w:i/>
                <w:sz w:val="20"/>
                <w:szCs w:val="20"/>
              </w:rPr>
            </w:pPr>
          </w:p>
        </w:tc>
        <w:tc>
          <w:tcPr>
            <w:tcW w:w="1508" w:type="dxa"/>
            <w:tcBorders>
              <w:top w:val="single" w:sz="4" w:space="0" w:color="auto"/>
            </w:tcBorders>
            <w:shd w:val="clear" w:color="auto" w:fill="auto"/>
          </w:tcPr>
          <w:p w14:paraId="3927FF61" w14:textId="77777777" w:rsidR="007E23F4" w:rsidRPr="007E23F4" w:rsidRDefault="007E23F4" w:rsidP="00DA5395">
            <w:pPr>
              <w:pStyle w:val="NoSpacing"/>
              <w:jc w:val="center"/>
              <w:rPr>
                <w:rFonts w:ascii="Arial" w:hAnsi="Arial" w:cs="Arial"/>
                <w:sz w:val="20"/>
                <w:szCs w:val="20"/>
              </w:rPr>
            </w:pPr>
            <w:r w:rsidRPr="007E23F4">
              <w:rPr>
                <w:rFonts w:ascii="Arial" w:hAnsi="Arial" w:cs="Arial"/>
                <w:sz w:val="20"/>
                <w:szCs w:val="20"/>
              </w:rPr>
              <w:t>Categorical variable – effects coded</w:t>
            </w:r>
          </w:p>
        </w:tc>
      </w:tr>
      <w:tr w:rsidR="007E23F4" w:rsidRPr="007E23F4" w14:paraId="51FF92AD" w14:textId="77777777" w:rsidTr="009E7385">
        <w:trPr>
          <w:jc w:val="center"/>
        </w:trPr>
        <w:tc>
          <w:tcPr>
            <w:tcW w:w="0" w:type="auto"/>
          </w:tcPr>
          <w:p w14:paraId="2D0E828F" w14:textId="3CEAE8AC" w:rsidR="007E23F4" w:rsidRDefault="007E23F4" w:rsidP="00DA5395">
            <w:pPr>
              <w:pStyle w:val="NoSpacing"/>
              <w:jc w:val="both"/>
              <w:rPr>
                <w:rFonts w:ascii="Arial" w:hAnsi="Arial" w:cs="Arial"/>
                <w:sz w:val="20"/>
                <w:szCs w:val="20"/>
              </w:rPr>
            </w:pPr>
            <w:r w:rsidRPr="007E23F4">
              <w:rPr>
                <w:rFonts w:ascii="Arial" w:hAnsi="Arial" w:cs="Arial"/>
                <w:sz w:val="20"/>
                <w:szCs w:val="20"/>
              </w:rPr>
              <w:t>Whether early discontinuation of antibiotic treatment within 72 hours of treatment initiation would be in conflict with local antibiotic guidelines</w:t>
            </w:r>
          </w:p>
          <w:p w14:paraId="1AECE315" w14:textId="77777777" w:rsidR="00B97DB7" w:rsidRPr="007E23F4" w:rsidRDefault="00B97DB7" w:rsidP="00DA5395">
            <w:pPr>
              <w:pStyle w:val="NoSpacing"/>
              <w:jc w:val="both"/>
              <w:rPr>
                <w:rFonts w:ascii="Arial" w:hAnsi="Arial" w:cs="Arial"/>
                <w:sz w:val="20"/>
                <w:szCs w:val="20"/>
              </w:rPr>
            </w:pPr>
          </w:p>
          <w:p w14:paraId="20B381A4" w14:textId="77777777" w:rsidR="007E23F4" w:rsidRPr="007E23F4" w:rsidRDefault="007E23F4" w:rsidP="00DA5395">
            <w:pPr>
              <w:pStyle w:val="NoSpacing"/>
              <w:jc w:val="both"/>
              <w:rPr>
                <w:rFonts w:ascii="Arial" w:hAnsi="Arial" w:cs="Arial"/>
                <w:sz w:val="20"/>
                <w:szCs w:val="20"/>
              </w:rPr>
            </w:pPr>
            <w:r w:rsidRPr="007E23F4">
              <w:rPr>
                <w:rFonts w:ascii="Arial" w:hAnsi="Arial" w:cs="Arial"/>
                <w:sz w:val="20"/>
                <w:szCs w:val="20"/>
              </w:rPr>
              <w:t>[</w:t>
            </w:r>
            <w:r w:rsidRPr="00A801D0">
              <w:rPr>
                <w:rFonts w:ascii="Arial" w:hAnsi="Arial" w:cs="Arial"/>
                <w:sz w:val="20"/>
                <w:szCs w:val="20"/>
              </w:rPr>
              <w:t>CONFLICT</w:t>
            </w:r>
            <w:r w:rsidRPr="007E23F4">
              <w:rPr>
                <w:rFonts w:ascii="Arial" w:hAnsi="Arial" w:cs="Arial"/>
                <w:sz w:val="20"/>
                <w:szCs w:val="20"/>
              </w:rPr>
              <w:t>]</w:t>
            </w:r>
          </w:p>
          <w:p w14:paraId="21813451" w14:textId="77777777" w:rsidR="007E23F4" w:rsidRPr="007E23F4" w:rsidRDefault="007E23F4" w:rsidP="00DA5395">
            <w:pPr>
              <w:pStyle w:val="NoSpacing"/>
              <w:rPr>
                <w:rFonts w:ascii="Arial" w:hAnsi="Arial" w:cs="Arial"/>
                <w:sz w:val="20"/>
                <w:szCs w:val="20"/>
              </w:rPr>
            </w:pPr>
          </w:p>
        </w:tc>
        <w:tc>
          <w:tcPr>
            <w:tcW w:w="1643" w:type="dxa"/>
          </w:tcPr>
          <w:p w14:paraId="43DE3396" w14:textId="2B5076EF" w:rsidR="007E23F4" w:rsidRPr="007E23F4" w:rsidRDefault="007C0CD8" w:rsidP="007C0CD8">
            <w:pPr>
              <w:pStyle w:val="NoSpacing"/>
              <w:rPr>
                <w:rFonts w:ascii="Arial" w:hAnsi="Arial" w:cs="Arial"/>
                <w:i/>
                <w:sz w:val="20"/>
                <w:szCs w:val="20"/>
              </w:rPr>
            </w:pPr>
            <w:r>
              <w:rPr>
                <w:rFonts w:ascii="Arial" w:hAnsi="Arial" w:cs="Arial"/>
                <w:i/>
                <w:sz w:val="20"/>
                <w:szCs w:val="20"/>
              </w:rPr>
              <w:t xml:space="preserve">Early </w:t>
            </w:r>
            <w:r w:rsidR="007E23F4" w:rsidRPr="007E23F4">
              <w:rPr>
                <w:rFonts w:ascii="Arial" w:hAnsi="Arial" w:cs="Arial"/>
                <w:i/>
                <w:sz w:val="20"/>
                <w:szCs w:val="20"/>
              </w:rPr>
              <w:t xml:space="preserve">discontinuation would </w:t>
            </w:r>
            <w:r w:rsidR="007E23F4" w:rsidRPr="007E23F4">
              <w:rPr>
                <w:rFonts w:ascii="Arial" w:hAnsi="Arial" w:cs="Arial"/>
                <w:i/>
                <w:sz w:val="20"/>
                <w:szCs w:val="20"/>
                <w:u w:val="single"/>
              </w:rPr>
              <w:t>strongly conflict</w:t>
            </w:r>
            <w:r w:rsidR="007E23F4" w:rsidRPr="007E23F4">
              <w:rPr>
                <w:rFonts w:ascii="Arial" w:hAnsi="Arial" w:cs="Arial"/>
                <w:i/>
                <w:sz w:val="20"/>
                <w:szCs w:val="20"/>
              </w:rPr>
              <w:t xml:space="preserve"> with local antibiotic guidelines</w:t>
            </w:r>
          </w:p>
          <w:p w14:paraId="21F9F424" w14:textId="77777777" w:rsidR="007E23F4" w:rsidRPr="007E23F4" w:rsidRDefault="007E23F4" w:rsidP="007C0CD8">
            <w:pPr>
              <w:pStyle w:val="NoSpacing"/>
              <w:rPr>
                <w:rFonts w:ascii="Arial" w:hAnsi="Arial" w:cs="Arial"/>
                <w:sz w:val="20"/>
                <w:szCs w:val="20"/>
              </w:rPr>
            </w:pPr>
          </w:p>
          <w:p w14:paraId="0D17DBE1" w14:textId="18AA4A8A" w:rsidR="007E23F4" w:rsidRPr="007E23F4" w:rsidRDefault="007E23F4" w:rsidP="007C0CD8">
            <w:pPr>
              <w:pStyle w:val="NoSpacing"/>
              <w:rPr>
                <w:rFonts w:ascii="Arial" w:hAnsi="Arial" w:cs="Arial"/>
                <w:sz w:val="20"/>
                <w:szCs w:val="20"/>
              </w:rPr>
            </w:pPr>
          </w:p>
        </w:tc>
        <w:tc>
          <w:tcPr>
            <w:tcW w:w="1407" w:type="dxa"/>
          </w:tcPr>
          <w:p w14:paraId="5441038A" w14:textId="48AF58EC" w:rsidR="00B97DB7" w:rsidRDefault="007E23F4" w:rsidP="007C0CD8">
            <w:pPr>
              <w:pStyle w:val="NoSpacing"/>
              <w:rPr>
                <w:rFonts w:ascii="Arial" w:hAnsi="Arial" w:cs="Arial"/>
                <w:sz w:val="20"/>
                <w:szCs w:val="20"/>
              </w:rPr>
            </w:pPr>
            <w:r w:rsidRPr="007E23F4">
              <w:rPr>
                <w:rFonts w:ascii="Arial" w:hAnsi="Arial" w:cs="Arial"/>
                <w:i/>
                <w:sz w:val="20"/>
                <w:szCs w:val="20"/>
              </w:rPr>
              <w:t xml:space="preserve">Early discontinuation would </w:t>
            </w:r>
            <w:r w:rsidRPr="007E23F4">
              <w:rPr>
                <w:rFonts w:ascii="Arial" w:hAnsi="Arial" w:cs="Arial"/>
                <w:i/>
                <w:sz w:val="20"/>
                <w:szCs w:val="20"/>
                <w:u w:val="single"/>
              </w:rPr>
              <w:t xml:space="preserve">somewhat conflict </w:t>
            </w:r>
            <w:r w:rsidR="007C0CD8">
              <w:rPr>
                <w:rFonts w:ascii="Arial" w:hAnsi="Arial" w:cs="Arial"/>
                <w:i/>
                <w:sz w:val="20"/>
                <w:szCs w:val="20"/>
              </w:rPr>
              <w:t xml:space="preserve">with local antibiotic </w:t>
            </w:r>
            <w:r w:rsidRPr="007E23F4">
              <w:rPr>
                <w:rFonts w:ascii="Arial" w:hAnsi="Arial" w:cs="Arial"/>
                <w:i/>
                <w:sz w:val="20"/>
                <w:szCs w:val="20"/>
              </w:rPr>
              <w:t>guidelines</w:t>
            </w:r>
            <w:r w:rsidRPr="007E23F4">
              <w:rPr>
                <w:rFonts w:ascii="Arial" w:hAnsi="Arial" w:cs="Arial"/>
                <w:sz w:val="20"/>
                <w:szCs w:val="20"/>
              </w:rPr>
              <w:t xml:space="preserve"> </w:t>
            </w:r>
          </w:p>
          <w:p w14:paraId="09F3247D" w14:textId="77777777" w:rsidR="00B97DB7" w:rsidRDefault="00B97DB7" w:rsidP="007C0CD8">
            <w:pPr>
              <w:pStyle w:val="NoSpacing"/>
              <w:rPr>
                <w:rFonts w:ascii="Arial" w:hAnsi="Arial" w:cs="Arial"/>
                <w:sz w:val="20"/>
                <w:szCs w:val="20"/>
              </w:rPr>
            </w:pPr>
          </w:p>
          <w:p w14:paraId="269754AA" w14:textId="22C4AA77" w:rsidR="007E23F4" w:rsidRPr="007E23F4" w:rsidRDefault="007E23F4" w:rsidP="007C0CD8">
            <w:pPr>
              <w:pStyle w:val="NoSpacing"/>
              <w:rPr>
                <w:rFonts w:ascii="Arial" w:hAnsi="Arial" w:cs="Arial"/>
                <w:sz w:val="20"/>
                <w:szCs w:val="20"/>
              </w:rPr>
            </w:pPr>
          </w:p>
        </w:tc>
        <w:tc>
          <w:tcPr>
            <w:tcW w:w="1985" w:type="dxa"/>
            <w:shd w:val="clear" w:color="auto" w:fill="auto"/>
          </w:tcPr>
          <w:p w14:paraId="387124A0" w14:textId="3950CE4C" w:rsidR="007C0CD8" w:rsidRDefault="007E23F4" w:rsidP="007C0CD8">
            <w:pPr>
              <w:pStyle w:val="NoSpacing"/>
              <w:rPr>
                <w:rFonts w:ascii="Arial" w:hAnsi="Arial" w:cs="Arial"/>
                <w:b/>
                <w:sz w:val="20"/>
                <w:szCs w:val="20"/>
                <w:u w:val="single"/>
              </w:rPr>
            </w:pPr>
            <w:r w:rsidRPr="007E23F4">
              <w:rPr>
                <w:rFonts w:ascii="Arial" w:hAnsi="Arial" w:cs="Arial"/>
                <w:i/>
                <w:sz w:val="20"/>
                <w:szCs w:val="20"/>
              </w:rPr>
              <w:t xml:space="preserve">Early discontinuation would </w:t>
            </w:r>
            <w:r w:rsidRPr="007E23F4">
              <w:rPr>
                <w:rFonts w:ascii="Arial" w:hAnsi="Arial" w:cs="Arial"/>
                <w:i/>
                <w:sz w:val="20"/>
                <w:szCs w:val="20"/>
                <w:u w:val="single"/>
              </w:rPr>
              <w:t>not conflict</w:t>
            </w:r>
            <w:r w:rsidRPr="007E23F4">
              <w:rPr>
                <w:rFonts w:ascii="Arial" w:hAnsi="Arial" w:cs="Arial"/>
                <w:i/>
                <w:sz w:val="20"/>
                <w:szCs w:val="20"/>
              </w:rPr>
              <w:t xml:space="preserve"> with local antibiotic guidelines</w:t>
            </w:r>
            <w:r w:rsidRPr="007E23F4">
              <w:rPr>
                <w:rFonts w:ascii="Arial" w:hAnsi="Arial" w:cs="Arial"/>
                <w:b/>
                <w:sz w:val="20"/>
                <w:szCs w:val="20"/>
                <w:u w:val="single"/>
              </w:rPr>
              <w:t xml:space="preserve"> </w:t>
            </w:r>
          </w:p>
          <w:p w14:paraId="6C071AA4" w14:textId="77777777" w:rsidR="00B97DB7" w:rsidRDefault="00B97DB7" w:rsidP="007C0CD8">
            <w:pPr>
              <w:pStyle w:val="NoSpacing"/>
              <w:rPr>
                <w:rFonts w:ascii="Arial" w:hAnsi="Arial" w:cs="Arial"/>
                <w:b/>
                <w:sz w:val="20"/>
                <w:szCs w:val="20"/>
                <w:u w:val="single"/>
              </w:rPr>
            </w:pPr>
          </w:p>
          <w:p w14:paraId="3AC0BCC1" w14:textId="77777777" w:rsidR="007E23F4" w:rsidRDefault="007E23F4" w:rsidP="007C0CD8">
            <w:pPr>
              <w:pStyle w:val="NoSpacing"/>
              <w:rPr>
                <w:rFonts w:ascii="Arial" w:hAnsi="Arial" w:cs="Arial"/>
                <w:sz w:val="20"/>
                <w:szCs w:val="20"/>
                <w:vertAlign w:val="superscript"/>
              </w:rPr>
            </w:pPr>
            <w:r w:rsidRPr="007E23F4">
              <w:rPr>
                <w:rFonts w:ascii="Arial" w:hAnsi="Arial" w:cs="Arial"/>
                <w:sz w:val="20"/>
                <w:szCs w:val="20"/>
              </w:rPr>
              <w:t>[base level so variable not named]</w:t>
            </w:r>
            <w:r w:rsidRPr="007E23F4">
              <w:rPr>
                <w:rFonts w:ascii="Arial" w:hAnsi="Arial" w:cs="Arial"/>
                <w:sz w:val="20"/>
                <w:szCs w:val="20"/>
                <w:vertAlign w:val="superscript"/>
              </w:rPr>
              <w:t>a</w:t>
            </w:r>
          </w:p>
          <w:p w14:paraId="58F208DE" w14:textId="6796D801" w:rsidR="009E7385" w:rsidRPr="007E23F4" w:rsidRDefault="009E7385" w:rsidP="007C0CD8">
            <w:pPr>
              <w:pStyle w:val="NoSpacing"/>
              <w:rPr>
                <w:rFonts w:ascii="Arial" w:hAnsi="Arial" w:cs="Arial"/>
                <w:sz w:val="20"/>
                <w:szCs w:val="20"/>
              </w:rPr>
            </w:pPr>
          </w:p>
        </w:tc>
        <w:tc>
          <w:tcPr>
            <w:tcW w:w="1508" w:type="dxa"/>
            <w:shd w:val="clear" w:color="auto" w:fill="auto"/>
          </w:tcPr>
          <w:p w14:paraId="584B0B5B" w14:textId="77777777" w:rsidR="007E23F4" w:rsidRPr="007E23F4" w:rsidRDefault="007E23F4" w:rsidP="00DA5395">
            <w:pPr>
              <w:pStyle w:val="NoSpacing"/>
              <w:jc w:val="center"/>
              <w:rPr>
                <w:rFonts w:ascii="Arial" w:hAnsi="Arial" w:cs="Arial"/>
                <w:sz w:val="20"/>
                <w:szCs w:val="20"/>
              </w:rPr>
            </w:pPr>
            <w:r w:rsidRPr="007E23F4">
              <w:rPr>
                <w:rFonts w:ascii="Arial" w:hAnsi="Arial" w:cs="Arial"/>
                <w:sz w:val="20"/>
                <w:szCs w:val="20"/>
              </w:rPr>
              <w:t>Categorical variable – effects coded</w:t>
            </w:r>
          </w:p>
        </w:tc>
      </w:tr>
      <w:tr w:rsidR="007E23F4" w:rsidRPr="007E23F4" w14:paraId="43710DA4" w14:textId="77777777" w:rsidTr="009E7385">
        <w:trPr>
          <w:jc w:val="center"/>
        </w:trPr>
        <w:tc>
          <w:tcPr>
            <w:tcW w:w="0" w:type="auto"/>
          </w:tcPr>
          <w:p w14:paraId="54AAD0E9" w14:textId="2D8B8090" w:rsidR="007E23F4" w:rsidRDefault="007E23F4" w:rsidP="00DA5395">
            <w:pPr>
              <w:pStyle w:val="NoSpacing"/>
              <w:jc w:val="both"/>
              <w:rPr>
                <w:rFonts w:ascii="Arial" w:hAnsi="Arial" w:cs="Arial"/>
                <w:sz w:val="20"/>
                <w:szCs w:val="20"/>
              </w:rPr>
            </w:pPr>
            <w:r w:rsidRPr="007E23F4">
              <w:rPr>
                <w:rFonts w:ascii="Arial" w:hAnsi="Arial" w:cs="Arial"/>
                <w:sz w:val="20"/>
                <w:szCs w:val="20"/>
              </w:rPr>
              <w:t>Risk of significant harm arising from continued antibiotic treatment</w:t>
            </w:r>
          </w:p>
          <w:p w14:paraId="5BCFE41C" w14:textId="77777777" w:rsidR="00B97DB7" w:rsidRPr="007E23F4" w:rsidRDefault="00B97DB7" w:rsidP="00DA5395">
            <w:pPr>
              <w:pStyle w:val="NoSpacing"/>
              <w:jc w:val="both"/>
              <w:rPr>
                <w:rFonts w:ascii="Arial" w:hAnsi="Arial" w:cs="Arial"/>
                <w:sz w:val="20"/>
                <w:szCs w:val="20"/>
              </w:rPr>
            </w:pPr>
          </w:p>
          <w:p w14:paraId="381D6139" w14:textId="08C5456B" w:rsidR="007E23F4" w:rsidRPr="007E23F4" w:rsidRDefault="007E23F4" w:rsidP="00DA5395">
            <w:pPr>
              <w:pStyle w:val="NoSpacing"/>
              <w:jc w:val="both"/>
              <w:rPr>
                <w:rFonts w:ascii="Arial" w:hAnsi="Arial" w:cs="Arial"/>
                <w:sz w:val="20"/>
                <w:szCs w:val="20"/>
              </w:rPr>
            </w:pPr>
            <w:r w:rsidRPr="007E23F4">
              <w:rPr>
                <w:rFonts w:ascii="Arial" w:hAnsi="Arial" w:cs="Arial"/>
                <w:sz w:val="20"/>
                <w:szCs w:val="20"/>
              </w:rPr>
              <w:t>[</w:t>
            </w:r>
            <w:r w:rsidRPr="00A801D0">
              <w:rPr>
                <w:rFonts w:ascii="Arial" w:hAnsi="Arial" w:cs="Arial"/>
                <w:sz w:val="20"/>
                <w:szCs w:val="20"/>
              </w:rPr>
              <w:t>CONTINUE</w:t>
            </w:r>
            <w:r w:rsidR="00FC48D6" w:rsidRPr="00A801D0">
              <w:rPr>
                <w:rFonts w:ascii="Arial" w:hAnsi="Arial" w:cs="Arial"/>
                <w:sz w:val="20"/>
                <w:szCs w:val="20"/>
              </w:rPr>
              <w:t xml:space="preserve"> </w:t>
            </w:r>
            <w:r w:rsidRPr="00A801D0">
              <w:rPr>
                <w:rFonts w:ascii="Arial" w:hAnsi="Arial" w:cs="Arial"/>
                <w:sz w:val="20"/>
                <w:szCs w:val="20"/>
              </w:rPr>
              <w:t>RISK</w:t>
            </w:r>
            <w:r w:rsidRPr="007E23F4">
              <w:rPr>
                <w:rFonts w:ascii="Arial" w:hAnsi="Arial" w:cs="Arial"/>
                <w:sz w:val="20"/>
                <w:szCs w:val="20"/>
              </w:rPr>
              <w:t>]</w:t>
            </w:r>
          </w:p>
          <w:p w14:paraId="5A2794BB" w14:textId="77777777" w:rsidR="007E23F4" w:rsidRPr="007E23F4" w:rsidRDefault="007E23F4" w:rsidP="00DA5395">
            <w:pPr>
              <w:pStyle w:val="NoSpacing"/>
              <w:rPr>
                <w:rFonts w:ascii="Arial" w:hAnsi="Arial" w:cs="Arial"/>
                <w:sz w:val="20"/>
                <w:szCs w:val="20"/>
              </w:rPr>
            </w:pPr>
          </w:p>
        </w:tc>
        <w:tc>
          <w:tcPr>
            <w:tcW w:w="1643" w:type="dxa"/>
          </w:tcPr>
          <w:p w14:paraId="7BA2047D" w14:textId="755CDCCB" w:rsidR="007E23F4" w:rsidRDefault="007E23F4" w:rsidP="007C0CD8">
            <w:pPr>
              <w:pStyle w:val="NoSpacing"/>
              <w:rPr>
                <w:rFonts w:ascii="Arial" w:hAnsi="Arial" w:cs="Arial"/>
                <w:i/>
                <w:sz w:val="20"/>
                <w:szCs w:val="20"/>
              </w:rPr>
            </w:pPr>
            <w:r w:rsidRPr="007E23F4">
              <w:rPr>
                <w:rFonts w:ascii="Arial" w:hAnsi="Arial" w:cs="Arial"/>
                <w:i/>
                <w:sz w:val="20"/>
                <w:szCs w:val="20"/>
                <w:u w:val="single"/>
              </w:rPr>
              <w:t>Likely</w:t>
            </w:r>
            <w:r w:rsidRPr="007E23F4">
              <w:rPr>
                <w:rFonts w:ascii="Arial" w:hAnsi="Arial" w:cs="Arial"/>
                <w:i/>
                <w:sz w:val="20"/>
                <w:szCs w:val="20"/>
              </w:rPr>
              <w:t xml:space="preserve">. In </w:t>
            </w:r>
            <w:r w:rsidRPr="007E23F4">
              <w:rPr>
                <w:rFonts w:ascii="Arial" w:hAnsi="Arial" w:cs="Arial"/>
                <w:i/>
                <w:sz w:val="20"/>
                <w:szCs w:val="20"/>
                <w:u w:val="single"/>
              </w:rPr>
              <w:t>30</w:t>
            </w:r>
            <w:r w:rsidRPr="007E23F4">
              <w:rPr>
                <w:rFonts w:ascii="Arial" w:hAnsi="Arial" w:cs="Arial"/>
                <w:i/>
                <w:sz w:val="20"/>
                <w:szCs w:val="20"/>
              </w:rPr>
              <w:t xml:space="preserve"> cases out of every 100 like this, the patient will experience an adverse effect from continued antibiotic treatment.</w:t>
            </w:r>
          </w:p>
          <w:p w14:paraId="068F424C" w14:textId="77777777" w:rsidR="00B97DB7" w:rsidRPr="007E23F4" w:rsidRDefault="00B97DB7" w:rsidP="007C0CD8">
            <w:pPr>
              <w:pStyle w:val="NoSpacing"/>
              <w:rPr>
                <w:rFonts w:ascii="Arial" w:hAnsi="Arial" w:cs="Arial"/>
                <w:sz w:val="20"/>
                <w:szCs w:val="20"/>
              </w:rPr>
            </w:pPr>
          </w:p>
          <w:p w14:paraId="119330AA" w14:textId="302A4CAC" w:rsidR="007E23F4" w:rsidRPr="007E23F4" w:rsidRDefault="007E23F4" w:rsidP="007C0CD8">
            <w:pPr>
              <w:pStyle w:val="NoSpacing"/>
              <w:rPr>
                <w:rFonts w:ascii="Arial" w:hAnsi="Arial" w:cs="Arial"/>
                <w:sz w:val="20"/>
                <w:szCs w:val="20"/>
              </w:rPr>
            </w:pPr>
          </w:p>
        </w:tc>
        <w:tc>
          <w:tcPr>
            <w:tcW w:w="1407" w:type="dxa"/>
          </w:tcPr>
          <w:p w14:paraId="2D398C74" w14:textId="1FDC27A0" w:rsidR="00B97DB7" w:rsidRDefault="007E23F4" w:rsidP="007C0CD8">
            <w:pPr>
              <w:pStyle w:val="NoSpacing"/>
              <w:rPr>
                <w:rFonts w:ascii="Arial" w:hAnsi="Arial" w:cs="Arial"/>
                <w:sz w:val="20"/>
                <w:szCs w:val="20"/>
              </w:rPr>
            </w:pPr>
            <w:r w:rsidRPr="007E23F4">
              <w:rPr>
                <w:rFonts w:ascii="Arial" w:hAnsi="Arial" w:cs="Arial"/>
                <w:i/>
                <w:sz w:val="20"/>
                <w:szCs w:val="20"/>
                <w:u w:val="single"/>
              </w:rPr>
              <w:t>Somewhat likely</w:t>
            </w:r>
            <w:r w:rsidRPr="007E23F4">
              <w:rPr>
                <w:rFonts w:ascii="Arial" w:hAnsi="Arial" w:cs="Arial"/>
                <w:i/>
                <w:sz w:val="20"/>
                <w:szCs w:val="20"/>
              </w:rPr>
              <w:t xml:space="preserve">. In </w:t>
            </w:r>
            <w:r w:rsidRPr="007E23F4">
              <w:rPr>
                <w:rFonts w:ascii="Arial" w:hAnsi="Arial" w:cs="Arial"/>
                <w:i/>
                <w:sz w:val="20"/>
                <w:szCs w:val="20"/>
                <w:u w:val="single"/>
              </w:rPr>
              <w:t>10</w:t>
            </w:r>
            <w:r w:rsidRPr="007E23F4">
              <w:rPr>
                <w:rFonts w:ascii="Arial" w:hAnsi="Arial" w:cs="Arial"/>
                <w:i/>
                <w:sz w:val="20"/>
                <w:szCs w:val="20"/>
              </w:rPr>
              <w:t xml:space="preserve"> cases out of every 100 like this, the patient will experience an adverse effect from continued antibiotic treatment.</w:t>
            </w:r>
            <w:r w:rsidRPr="007E23F4">
              <w:rPr>
                <w:rFonts w:ascii="Arial" w:hAnsi="Arial" w:cs="Arial"/>
                <w:sz w:val="20"/>
                <w:szCs w:val="20"/>
              </w:rPr>
              <w:t xml:space="preserve"> </w:t>
            </w:r>
          </w:p>
          <w:p w14:paraId="5BE8DC59" w14:textId="77777777" w:rsidR="00B97DB7" w:rsidRDefault="00B97DB7" w:rsidP="007C0CD8">
            <w:pPr>
              <w:pStyle w:val="NoSpacing"/>
              <w:rPr>
                <w:rFonts w:ascii="Arial" w:hAnsi="Arial" w:cs="Arial"/>
                <w:sz w:val="20"/>
                <w:szCs w:val="20"/>
              </w:rPr>
            </w:pPr>
          </w:p>
          <w:p w14:paraId="6B8B827B" w14:textId="16E75865" w:rsidR="007E23F4" w:rsidRPr="007E23F4" w:rsidRDefault="007E23F4" w:rsidP="007C0CD8">
            <w:pPr>
              <w:pStyle w:val="NoSpacing"/>
              <w:rPr>
                <w:rFonts w:ascii="Arial" w:hAnsi="Arial" w:cs="Arial"/>
                <w:sz w:val="20"/>
                <w:szCs w:val="20"/>
              </w:rPr>
            </w:pPr>
          </w:p>
        </w:tc>
        <w:tc>
          <w:tcPr>
            <w:tcW w:w="1985" w:type="dxa"/>
            <w:shd w:val="clear" w:color="auto" w:fill="auto"/>
          </w:tcPr>
          <w:p w14:paraId="62199E65" w14:textId="38F9B280" w:rsidR="007E23F4" w:rsidRPr="007E23F4" w:rsidRDefault="007E23F4" w:rsidP="007C0CD8">
            <w:pPr>
              <w:pStyle w:val="NoSpacing"/>
              <w:rPr>
                <w:rFonts w:ascii="Arial" w:hAnsi="Arial" w:cs="Arial"/>
                <w:sz w:val="20"/>
                <w:szCs w:val="20"/>
              </w:rPr>
            </w:pPr>
            <w:r w:rsidRPr="007E23F4">
              <w:rPr>
                <w:rFonts w:ascii="Arial" w:hAnsi="Arial" w:cs="Arial"/>
                <w:i/>
                <w:sz w:val="20"/>
                <w:szCs w:val="20"/>
                <w:u w:val="single"/>
              </w:rPr>
              <w:t>Negligible</w:t>
            </w:r>
            <w:r w:rsidRPr="007E23F4">
              <w:rPr>
                <w:rFonts w:ascii="Arial" w:hAnsi="Arial" w:cs="Arial"/>
                <w:i/>
                <w:sz w:val="20"/>
                <w:szCs w:val="20"/>
              </w:rPr>
              <w:t xml:space="preserve">. In </w:t>
            </w:r>
            <w:r w:rsidRPr="007E23F4">
              <w:rPr>
                <w:rFonts w:ascii="Arial" w:hAnsi="Arial" w:cs="Arial"/>
                <w:i/>
                <w:sz w:val="20"/>
                <w:szCs w:val="20"/>
                <w:u w:val="single"/>
              </w:rPr>
              <w:t>1</w:t>
            </w:r>
            <w:r w:rsidRPr="007E23F4">
              <w:rPr>
                <w:rFonts w:ascii="Arial" w:hAnsi="Arial" w:cs="Arial"/>
                <w:i/>
                <w:sz w:val="20"/>
                <w:szCs w:val="20"/>
              </w:rPr>
              <w:t xml:space="preserve"> case out of every 100 like this, the patient will experience an adverse effect from continued antibiotic treatment.</w:t>
            </w:r>
            <w:r w:rsidRPr="007E23F4">
              <w:rPr>
                <w:rFonts w:ascii="Arial" w:hAnsi="Arial" w:cs="Arial"/>
                <w:sz w:val="20"/>
                <w:szCs w:val="20"/>
              </w:rPr>
              <w:t>)</w:t>
            </w:r>
          </w:p>
          <w:p w14:paraId="0BDE7052" w14:textId="77777777" w:rsidR="007E23F4" w:rsidRPr="007E23F4" w:rsidRDefault="007E23F4" w:rsidP="007C0CD8">
            <w:pPr>
              <w:pStyle w:val="NoSpacing"/>
              <w:rPr>
                <w:rFonts w:ascii="Arial" w:hAnsi="Arial" w:cs="Arial"/>
                <w:sz w:val="20"/>
                <w:szCs w:val="20"/>
              </w:rPr>
            </w:pPr>
          </w:p>
          <w:p w14:paraId="6F87B548" w14:textId="7592D1A8" w:rsidR="007E23F4" w:rsidRPr="007E23F4" w:rsidRDefault="007E23F4" w:rsidP="007C0CD8">
            <w:pPr>
              <w:pStyle w:val="NoSpacing"/>
              <w:rPr>
                <w:rFonts w:ascii="Arial" w:hAnsi="Arial" w:cs="Arial"/>
                <w:sz w:val="20"/>
                <w:szCs w:val="20"/>
              </w:rPr>
            </w:pPr>
          </w:p>
        </w:tc>
        <w:tc>
          <w:tcPr>
            <w:tcW w:w="1508" w:type="dxa"/>
            <w:shd w:val="clear" w:color="auto" w:fill="auto"/>
          </w:tcPr>
          <w:p w14:paraId="44426D8A" w14:textId="77777777" w:rsidR="007E23F4" w:rsidRPr="007E23F4" w:rsidRDefault="007E23F4" w:rsidP="00DA5395">
            <w:pPr>
              <w:pStyle w:val="NoSpacing"/>
              <w:jc w:val="center"/>
              <w:rPr>
                <w:rFonts w:ascii="Arial" w:hAnsi="Arial" w:cs="Arial"/>
                <w:sz w:val="20"/>
                <w:szCs w:val="20"/>
              </w:rPr>
            </w:pPr>
            <w:r w:rsidRPr="007E23F4">
              <w:rPr>
                <w:rFonts w:ascii="Arial" w:hAnsi="Arial" w:cs="Arial"/>
                <w:sz w:val="20"/>
                <w:szCs w:val="20"/>
              </w:rPr>
              <w:t>Assumed to be linear – coded as continuous variable</w:t>
            </w:r>
          </w:p>
        </w:tc>
      </w:tr>
      <w:tr w:rsidR="007E23F4" w:rsidRPr="007E23F4" w14:paraId="296F97AE" w14:textId="77777777" w:rsidTr="009E7385">
        <w:trPr>
          <w:jc w:val="center"/>
        </w:trPr>
        <w:tc>
          <w:tcPr>
            <w:tcW w:w="0" w:type="auto"/>
          </w:tcPr>
          <w:p w14:paraId="6325237E" w14:textId="4BF7C63C" w:rsidR="007E23F4" w:rsidRDefault="007E23F4" w:rsidP="00DA5395">
            <w:pPr>
              <w:pStyle w:val="NoSpacing"/>
              <w:jc w:val="both"/>
              <w:rPr>
                <w:rFonts w:ascii="Arial" w:hAnsi="Arial" w:cs="Arial"/>
                <w:sz w:val="20"/>
                <w:szCs w:val="20"/>
              </w:rPr>
            </w:pPr>
            <w:r w:rsidRPr="007E23F4">
              <w:rPr>
                <w:rFonts w:ascii="Arial" w:hAnsi="Arial" w:cs="Arial"/>
                <w:sz w:val="20"/>
                <w:szCs w:val="20"/>
              </w:rPr>
              <w:t>Risk of significant harm arising from discontinuing antibiotic treatment</w:t>
            </w:r>
          </w:p>
          <w:p w14:paraId="7B7CBB84" w14:textId="77777777" w:rsidR="00B97DB7" w:rsidRPr="007E23F4" w:rsidRDefault="00B97DB7" w:rsidP="00DA5395">
            <w:pPr>
              <w:pStyle w:val="NoSpacing"/>
              <w:jc w:val="both"/>
              <w:rPr>
                <w:rFonts w:ascii="Arial" w:hAnsi="Arial" w:cs="Arial"/>
                <w:sz w:val="20"/>
                <w:szCs w:val="20"/>
              </w:rPr>
            </w:pPr>
          </w:p>
          <w:p w14:paraId="22CF8D97" w14:textId="3CD9AAE1" w:rsidR="007E23F4" w:rsidRPr="007E23F4" w:rsidRDefault="007E23F4" w:rsidP="00DA5395">
            <w:pPr>
              <w:pStyle w:val="NoSpacing"/>
              <w:rPr>
                <w:rFonts w:ascii="Arial" w:hAnsi="Arial" w:cs="Arial"/>
                <w:sz w:val="20"/>
                <w:szCs w:val="20"/>
              </w:rPr>
            </w:pPr>
            <w:r w:rsidRPr="007E23F4">
              <w:rPr>
                <w:rFonts w:ascii="Arial" w:hAnsi="Arial" w:cs="Arial"/>
                <w:sz w:val="20"/>
                <w:szCs w:val="20"/>
              </w:rPr>
              <w:t>[</w:t>
            </w:r>
            <w:r w:rsidRPr="00A801D0">
              <w:rPr>
                <w:rFonts w:ascii="Arial" w:hAnsi="Arial" w:cs="Arial"/>
                <w:sz w:val="20"/>
                <w:szCs w:val="20"/>
              </w:rPr>
              <w:t>STOP</w:t>
            </w:r>
            <w:r w:rsidR="00FC48D6" w:rsidRPr="00A801D0">
              <w:rPr>
                <w:rFonts w:ascii="Arial" w:hAnsi="Arial" w:cs="Arial"/>
                <w:sz w:val="20"/>
                <w:szCs w:val="20"/>
              </w:rPr>
              <w:t xml:space="preserve"> </w:t>
            </w:r>
            <w:r w:rsidRPr="00A801D0">
              <w:rPr>
                <w:rFonts w:ascii="Arial" w:hAnsi="Arial" w:cs="Arial"/>
                <w:sz w:val="20"/>
                <w:szCs w:val="20"/>
              </w:rPr>
              <w:t>RISK</w:t>
            </w:r>
            <w:r w:rsidRPr="007E23F4">
              <w:rPr>
                <w:rFonts w:ascii="Arial" w:hAnsi="Arial" w:cs="Arial"/>
                <w:sz w:val="20"/>
                <w:szCs w:val="20"/>
              </w:rPr>
              <w:t>]</w:t>
            </w:r>
          </w:p>
          <w:p w14:paraId="0F779427" w14:textId="77777777" w:rsidR="007E23F4" w:rsidRPr="007E23F4" w:rsidRDefault="007E23F4" w:rsidP="00DA5395">
            <w:pPr>
              <w:pStyle w:val="NoSpacing"/>
              <w:rPr>
                <w:rFonts w:ascii="Arial" w:hAnsi="Arial" w:cs="Arial"/>
                <w:sz w:val="20"/>
                <w:szCs w:val="20"/>
              </w:rPr>
            </w:pPr>
          </w:p>
        </w:tc>
        <w:tc>
          <w:tcPr>
            <w:tcW w:w="1643" w:type="dxa"/>
          </w:tcPr>
          <w:p w14:paraId="0C7CE9AA" w14:textId="6743CA36" w:rsidR="007E23F4" w:rsidRDefault="007E23F4" w:rsidP="007C0CD8">
            <w:pPr>
              <w:pStyle w:val="NoSpacing"/>
              <w:rPr>
                <w:rFonts w:ascii="Arial" w:hAnsi="Arial" w:cs="Arial"/>
                <w:i/>
                <w:sz w:val="20"/>
                <w:szCs w:val="20"/>
              </w:rPr>
            </w:pPr>
            <w:r w:rsidRPr="007E23F4">
              <w:rPr>
                <w:rFonts w:ascii="Arial" w:hAnsi="Arial" w:cs="Arial"/>
                <w:i/>
                <w:sz w:val="20"/>
                <w:szCs w:val="20"/>
                <w:u w:val="single"/>
              </w:rPr>
              <w:t>Likely</w:t>
            </w:r>
            <w:r w:rsidRPr="007E23F4">
              <w:rPr>
                <w:rFonts w:ascii="Arial" w:hAnsi="Arial" w:cs="Arial"/>
                <w:i/>
                <w:sz w:val="20"/>
                <w:szCs w:val="20"/>
              </w:rPr>
              <w:t xml:space="preserve">. In </w:t>
            </w:r>
            <w:r w:rsidRPr="007E23F4">
              <w:rPr>
                <w:rFonts w:ascii="Arial" w:hAnsi="Arial" w:cs="Arial"/>
                <w:i/>
                <w:sz w:val="20"/>
                <w:szCs w:val="20"/>
                <w:u w:val="single"/>
              </w:rPr>
              <w:t>30</w:t>
            </w:r>
            <w:r w:rsidRPr="007E23F4">
              <w:rPr>
                <w:rFonts w:ascii="Arial" w:hAnsi="Arial" w:cs="Arial"/>
                <w:i/>
                <w:sz w:val="20"/>
                <w:szCs w:val="20"/>
              </w:rPr>
              <w:t xml:space="preserve"> cases out of every 100 like this, the patient will have a relapse, recurrence or readmission if antibiotic treatment is discontinued.</w:t>
            </w:r>
          </w:p>
          <w:p w14:paraId="2EB1594D" w14:textId="77777777" w:rsidR="00B97DB7" w:rsidRPr="007E23F4" w:rsidRDefault="00B97DB7" w:rsidP="007C0CD8">
            <w:pPr>
              <w:pStyle w:val="NoSpacing"/>
              <w:rPr>
                <w:rFonts w:ascii="Arial" w:hAnsi="Arial" w:cs="Arial"/>
                <w:sz w:val="20"/>
                <w:szCs w:val="20"/>
              </w:rPr>
            </w:pPr>
          </w:p>
          <w:p w14:paraId="2F1CE8B7" w14:textId="4E5AD1CA" w:rsidR="007E23F4" w:rsidRPr="007E23F4" w:rsidRDefault="007E23F4" w:rsidP="004277A2">
            <w:pPr>
              <w:pStyle w:val="NoSpacing"/>
              <w:rPr>
                <w:rFonts w:ascii="Arial" w:hAnsi="Arial" w:cs="Arial"/>
                <w:sz w:val="20"/>
                <w:szCs w:val="20"/>
              </w:rPr>
            </w:pPr>
            <w:r w:rsidRPr="007E23F4">
              <w:rPr>
                <w:rFonts w:ascii="Arial" w:hAnsi="Arial" w:cs="Arial"/>
                <w:sz w:val="20"/>
                <w:szCs w:val="20"/>
              </w:rPr>
              <w:t xml:space="preserve"> </w:t>
            </w:r>
          </w:p>
        </w:tc>
        <w:tc>
          <w:tcPr>
            <w:tcW w:w="1407" w:type="dxa"/>
          </w:tcPr>
          <w:p w14:paraId="031872AD" w14:textId="7729D241" w:rsidR="007E23F4" w:rsidRDefault="007E23F4" w:rsidP="007C0CD8">
            <w:pPr>
              <w:pStyle w:val="NoSpacing"/>
              <w:rPr>
                <w:rFonts w:ascii="Arial" w:hAnsi="Arial" w:cs="Arial"/>
                <w:sz w:val="20"/>
                <w:szCs w:val="20"/>
              </w:rPr>
            </w:pPr>
            <w:r w:rsidRPr="007E23F4">
              <w:rPr>
                <w:rFonts w:ascii="Arial" w:hAnsi="Arial" w:cs="Arial"/>
                <w:i/>
                <w:sz w:val="20"/>
                <w:szCs w:val="20"/>
                <w:u w:val="single"/>
              </w:rPr>
              <w:t>Somewhat likely</w:t>
            </w:r>
            <w:r w:rsidRPr="007E23F4">
              <w:rPr>
                <w:rFonts w:ascii="Arial" w:hAnsi="Arial" w:cs="Arial"/>
                <w:i/>
                <w:sz w:val="20"/>
                <w:szCs w:val="20"/>
              </w:rPr>
              <w:t xml:space="preserve">. In </w:t>
            </w:r>
            <w:r w:rsidRPr="007E23F4">
              <w:rPr>
                <w:rFonts w:ascii="Arial" w:hAnsi="Arial" w:cs="Arial"/>
                <w:i/>
                <w:sz w:val="20"/>
                <w:szCs w:val="20"/>
                <w:u w:val="single"/>
              </w:rPr>
              <w:t>10</w:t>
            </w:r>
            <w:r w:rsidRPr="007E23F4">
              <w:rPr>
                <w:rFonts w:ascii="Arial" w:hAnsi="Arial" w:cs="Arial"/>
                <w:i/>
                <w:sz w:val="20"/>
                <w:szCs w:val="20"/>
              </w:rPr>
              <w:t xml:space="preserve"> cases out of every 100 like this, the patient will have a relapse, recurrence or readmission if antibiotic treatment is discontinued.</w:t>
            </w:r>
            <w:r w:rsidRPr="007E23F4">
              <w:rPr>
                <w:rFonts w:ascii="Arial" w:hAnsi="Arial" w:cs="Arial"/>
                <w:sz w:val="20"/>
                <w:szCs w:val="20"/>
              </w:rPr>
              <w:t xml:space="preserve"> </w:t>
            </w:r>
          </w:p>
          <w:p w14:paraId="1A740A84" w14:textId="77777777" w:rsidR="00B97DB7" w:rsidRPr="007E23F4" w:rsidRDefault="00B97DB7" w:rsidP="007C0CD8">
            <w:pPr>
              <w:pStyle w:val="NoSpacing"/>
              <w:rPr>
                <w:rFonts w:ascii="Arial" w:hAnsi="Arial" w:cs="Arial"/>
                <w:sz w:val="20"/>
                <w:szCs w:val="20"/>
              </w:rPr>
            </w:pPr>
          </w:p>
          <w:p w14:paraId="0F1608D0" w14:textId="77777777" w:rsidR="007E23F4" w:rsidRDefault="007E23F4" w:rsidP="007C0CD8">
            <w:pPr>
              <w:pStyle w:val="NoSpacing"/>
              <w:rPr>
                <w:rFonts w:ascii="Arial" w:hAnsi="Arial" w:cs="Arial"/>
                <w:sz w:val="20"/>
                <w:szCs w:val="20"/>
              </w:rPr>
            </w:pPr>
          </w:p>
          <w:p w14:paraId="5B5CDF17" w14:textId="77777777" w:rsidR="009E7385" w:rsidRDefault="009E7385" w:rsidP="007C0CD8">
            <w:pPr>
              <w:pStyle w:val="NoSpacing"/>
              <w:rPr>
                <w:rFonts w:ascii="Arial" w:hAnsi="Arial" w:cs="Arial"/>
                <w:sz w:val="20"/>
                <w:szCs w:val="20"/>
              </w:rPr>
            </w:pPr>
          </w:p>
          <w:p w14:paraId="5BF4012E" w14:textId="20042537" w:rsidR="009E7385" w:rsidRPr="007E23F4" w:rsidRDefault="009E7385" w:rsidP="007C0CD8">
            <w:pPr>
              <w:pStyle w:val="NoSpacing"/>
              <w:rPr>
                <w:rFonts w:ascii="Arial" w:hAnsi="Arial" w:cs="Arial"/>
                <w:sz w:val="20"/>
                <w:szCs w:val="20"/>
              </w:rPr>
            </w:pPr>
          </w:p>
        </w:tc>
        <w:tc>
          <w:tcPr>
            <w:tcW w:w="1985" w:type="dxa"/>
            <w:shd w:val="clear" w:color="auto" w:fill="auto"/>
          </w:tcPr>
          <w:p w14:paraId="796E8F61" w14:textId="1F59E520" w:rsidR="007E23F4" w:rsidRDefault="007E23F4" w:rsidP="007C0CD8">
            <w:pPr>
              <w:pStyle w:val="NoSpacing"/>
              <w:rPr>
                <w:rFonts w:ascii="Arial" w:hAnsi="Arial" w:cs="Arial"/>
                <w:i/>
                <w:sz w:val="20"/>
                <w:szCs w:val="20"/>
              </w:rPr>
            </w:pPr>
            <w:r w:rsidRPr="007E23F4">
              <w:rPr>
                <w:rFonts w:ascii="Arial" w:hAnsi="Arial" w:cs="Arial"/>
                <w:i/>
                <w:sz w:val="20"/>
                <w:szCs w:val="20"/>
                <w:u w:val="single"/>
              </w:rPr>
              <w:t>Negligible</w:t>
            </w:r>
            <w:r w:rsidRPr="007E23F4">
              <w:rPr>
                <w:rFonts w:ascii="Arial" w:hAnsi="Arial" w:cs="Arial"/>
                <w:i/>
                <w:sz w:val="20"/>
                <w:szCs w:val="20"/>
              </w:rPr>
              <w:t xml:space="preserve">. In </w:t>
            </w:r>
            <w:r w:rsidRPr="007E23F4">
              <w:rPr>
                <w:rFonts w:ascii="Arial" w:hAnsi="Arial" w:cs="Arial"/>
                <w:i/>
                <w:sz w:val="20"/>
                <w:szCs w:val="20"/>
                <w:u w:val="single"/>
              </w:rPr>
              <w:t>1</w:t>
            </w:r>
            <w:r w:rsidRPr="007E23F4">
              <w:rPr>
                <w:rFonts w:ascii="Arial" w:hAnsi="Arial" w:cs="Arial"/>
                <w:i/>
                <w:sz w:val="20"/>
                <w:szCs w:val="20"/>
              </w:rPr>
              <w:t xml:space="preserve"> case out of every 100 like this, the patient will have a relap</w:t>
            </w:r>
            <w:r w:rsidR="007C0CD8">
              <w:rPr>
                <w:rFonts w:ascii="Arial" w:hAnsi="Arial" w:cs="Arial"/>
                <w:i/>
                <w:sz w:val="20"/>
                <w:szCs w:val="20"/>
              </w:rPr>
              <w:t xml:space="preserve">se, recurrence or </w:t>
            </w:r>
            <w:r w:rsidRPr="007E23F4">
              <w:rPr>
                <w:rFonts w:ascii="Arial" w:hAnsi="Arial" w:cs="Arial"/>
                <w:i/>
                <w:sz w:val="20"/>
                <w:szCs w:val="20"/>
              </w:rPr>
              <w:t>readmission if antibiotic treatment is discontinued.</w:t>
            </w:r>
          </w:p>
          <w:p w14:paraId="56B7C022" w14:textId="77777777" w:rsidR="00B97DB7" w:rsidRPr="007E23F4" w:rsidRDefault="00B97DB7" w:rsidP="007C0CD8">
            <w:pPr>
              <w:pStyle w:val="NoSpacing"/>
              <w:rPr>
                <w:rFonts w:ascii="Arial" w:hAnsi="Arial" w:cs="Arial"/>
                <w:sz w:val="20"/>
                <w:szCs w:val="20"/>
              </w:rPr>
            </w:pPr>
          </w:p>
          <w:p w14:paraId="34627AF4" w14:textId="77777777" w:rsidR="007E23F4" w:rsidRPr="007E23F4" w:rsidRDefault="007E23F4" w:rsidP="004277A2">
            <w:pPr>
              <w:pStyle w:val="NoSpacing"/>
              <w:rPr>
                <w:rFonts w:ascii="Arial" w:hAnsi="Arial" w:cs="Arial"/>
                <w:sz w:val="20"/>
                <w:szCs w:val="20"/>
              </w:rPr>
            </w:pPr>
          </w:p>
        </w:tc>
        <w:tc>
          <w:tcPr>
            <w:tcW w:w="1508" w:type="dxa"/>
            <w:shd w:val="clear" w:color="auto" w:fill="auto"/>
          </w:tcPr>
          <w:p w14:paraId="4113A361" w14:textId="77777777" w:rsidR="007E23F4" w:rsidRPr="007E23F4" w:rsidRDefault="007E23F4" w:rsidP="00DA5395">
            <w:pPr>
              <w:pStyle w:val="NoSpacing"/>
              <w:jc w:val="center"/>
              <w:rPr>
                <w:rFonts w:ascii="Arial" w:hAnsi="Arial" w:cs="Arial"/>
                <w:sz w:val="20"/>
                <w:szCs w:val="20"/>
                <w:vertAlign w:val="superscript"/>
              </w:rPr>
            </w:pPr>
            <w:r w:rsidRPr="007E23F4">
              <w:rPr>
                <w:rFonts w:ascii="Arial" w:hAnsi="Arial" w:cs="Arial"/>
                <w:sz w:val="20"/>
                <w:szCs w:val="20"/>
              </w:rPr>
              <w:t>Assumed to be linear – coded as continuous variable</w:t>
            </w:r>
          </w:p>
        </w:tc>
      </w:tr>
      <w:tr w:rsidR="007E23F4" w:rsidRPr="007E23F4" w14:paraId="1DB212F0" w14:textId="77777777" w:rsidTr="009E7385">
        <w:trPr>
          <w:jc w:val="center"/>
        </w:trPr>
        <w:tc>
          <w:tcPr>
            <w:tcW w:w="0" w:type="auto"/>
            <w:tcBorders>
              <w:bottom w:val="nil"/>
            </w:tcBorders>
          </w:tcPr>
          <w:p w14:paraId="391AC714" w14:textId="5AD5103A" w:rsidR="007E23F4" w:rsidRDefault="007E23F4" w:rsidP="00DA5395">
            <w:pPr>
              <w:pStyle w:val="NoSpacing"/>
              <w:jc w:val="both"/>
              <w:rPr>
                <w:rFonts w:ascii="Arial" w:hAnsi="Arial" w:cs="Arial"/>
                <w:sz w:val="20"/>
                <w:szCs w:val="20"/>
              </w:rPr>
            </w:pPr>
            <w:r w:rsidRPr="007E23F4">
              <w:rPr>
                <w:rFonts w:ascii="Arial" w:hAnsi="Arial" w:cs="Arial"/>
                <w:sz w:val="20"/>
                <w:szCs w:val="20"/>
              </w:rPr>
              <w:t>Premorbid condition of patient</w:t>
            </w:r>
          </w:p>
          <w:p w14:paraId="3ADC6DA4" w14:textId="77777777" w:rsidR="00B97DB7" w:rsidRPr="007E23F4" w:rsidRDefault="00B97DB7" w:rsidP="00DA5395">
            <w:pPr>
              <w:pStyle w:val="NoSpacing"/>
              <w:jc w:val="both"/>
              <w:rPr>
                <w:rFonts w:ascii="Arial" w:hAnsi="Arial" w:cs="Arial"/>
                <w:sz w:val="20"/>
                <w:szCs w:val="20"/>
              </w:rPr>
            </w:pPr>
          </w:p>
          <w:p w14:paraId="53540E13" w14:textId="77777777" w:rsidR="007E23F4" w:rsidRPr="007E23F4" w:rsidRDefault="007E23F4" w:rsidP="00DA5395">
            <w:pPr>
              <w:pStyle w:val="NoSpacing"/>
              <w:rPr>
                <w:rFonts w:ascii="Arial" w:hAnsi="Arial" w:cs="Arial"/>
                <w:sz w:val="20"/>
                <w:szCs w:val="20"/>
              </w:rPr>
            </w:pPr>
            <w:r w:rsidRPr="007E23F4">
              <w:rPr>
                <w:rFonts w:ascii="Arial" w:hAnsi="Arial" w:cs="Arial"/>
                <w:sz w:val="20"/>
                <w:szCs w:val="20"/>
              </w:rPr>
              <w:t>[</w:t>
            </w:r>
            <w:r w:rsidRPr="00A801D0">
              <w:rPr>
                <w:rFonts w:ascii="Arial" w:hAnsi="Arial" w:cs="Arial"/>
                <w:sz w:val="20"/>
                <w:szCs w:val="20"/>
              </w:rPr>
              <w:t>PREMORBID</w:t>
            </w:r>
            <w:r w:rsidRPr="007E23F4">
              <w:rPr>
                <w:rFonts w:ascii="Arial" w:hAnsi="Arial" w:cs="Arial"/>
                <w:sz w:val="20"/>
                <w:szCs w:val="20"/>
              </w:rPr>
              <w:t>]</w:t>
            </w:r>
          </w:p>
        </w:tc>
        <w:tc>
          <w:tcPr>
            <w:tcW w:w="1643" w:type="dxa"/>
            <w:tcBorders>
              <w:bottom w:val="nil"/>
            </w:tcBorders>
          </w:tcPr>
          <w:p w14:paraId="329CC362" w14:textId="62632A7A" w:rsidR="00B97DB7" w:rsidRDefault="007E23F4" w:rsidP="007C0CD8">
            <w:pPr>
              <w:pStyle w:val="NoSpacing"/>
              <w:rPr>
                <w:rFonts w:ascii="Arial" w:hAnsi="Arial" w:cs="Arial"/>
                <w:sz w:val="20"/>
                <w:szCs w:val="20"/>
              </w:rPr>
            </w:pPr>
            <w:r w:rsidRPr="007E23F4">
              <w:rPr>
                <w:rFonts w:ascii="Arial" w:hAnsi="Arial" w:cs="Arial"/>
                <w:i/>
                <w:sz w:val="20"/>
                <w:szCs w:val="20"/>
              </w:rPr>
              <w:t xml:space="preserve">The patient has </w:t>
            </w:r>
            <w:r w:rsidRPr="007E23F4">
              <w:rPr>
                <w:rFonts w:ascii="Arial" w:hAnsi="Arial" w:cs="Arial"/>
                <w:i/>
                <w:sz w:val="20"/>
                <w:szCs w:val="20"/>
                <w:u w:val="single"/>
              </w:rPr>
              <w:t>severe frailty and comorbidities</w:t>
            </w:r>
            <w:r w:rsidRPr="007E23F4">
              <w:rPr>
                <w:rFonts w:ascii="Arial" w:hAnsi="Arial" w:cs="Arial"/>
                <w:i/>
                <w:sz w:val="20"/>
                <w:szCs w:val="20"/>
              </w:rPr>
              <w:t>.</w:t>
            </w:r>
            <w:r w:rsidRPr="007E23F4">
              <w:rPr>
                <w:rFonts w:ascii="Arial" w:hAnsi="Arial" w:cs="Arial"/>
                <w:sz w:val="20"/>
                <w:szCs w:val="20"/>
              </w:rPr>
              <w:t xml:space="preserve"> </w:t>
            </w:r>
          </w:p>
          <w:p w14:paraId="11616D61" w14:textId="77777777" w:rsidR="00B97DB7" w:rsidRDefault="00B97DB7" w:rsidP="007C0CD8">
            <w:pPr>
              <w:pStyle w:val="NoSpacing"/>
              <w:rPr>
                <w:rFonts w:ascii="Arial" w:hAnsi="Arial" w:cs="Arial"/>
                <w:sz w:val="20"/>
                <w:szCs w:val="20"/>
              </w:rPr>
            </w:pPr>
          </w:p>
          <w:p w14:paraId="33D43938" w14:textId="19D0D7BE" w:rsidR="007E23F4" w:rsidRPr="007E23F4" w:rsidRDefault="007E23F4" w:rsidP="007C0CD8">
            <w:pPr>
              <w:pStyle w:val="NoSpacing"/>
              <w:rPr>
                <w:rFonts w:ascii="Arial" w:hAnsi="Arial" w:cs="Arial"/>
                <w:sz w:val="20"/>
                <w:szCs w:val="20"/>
              </w:rPr>
            </w:pPr>
          </w:p>
        </w:tc>
        <w:tc>
          <w:tcPr>
            <w:tcW w:w="1407" w:type="dxa"/>
            <w:tcBorders>
              <w:bottom w:val="nil"/>
            </w:tcBorders>
          </w:tcPr>
          <w:p w14:paraId="0BDC8535" w14:textId="77777777" w:rsidR="00B97DB7" w:rsidRDefault="007E23F4" w:rsidP="007C0CD8">
            <w:pPr>
              <w:pStyle w:val="NoSpacing"/>
              <w:rPr>
                <w:rFonts w:ascii="Arial" w:hAnsi="Arial" w:cs="Arial"/>
                <w:sz w:val="20"/>
                <w:szCs w:val="20"/>
              </w:rPr>
            </w:pPr>
            <w:r w:rsidRPr="007E23F4">
              <w:rPr>
                <w:rFonts w:ascii="Arial" w:hAnsi="Arial" w:cs="Arial"/>
                <w:i/>
                <w:sz w:val="20"/>
                <w:szCs w:val="20"/>
              </w:rPr>
              <w:t xml:space="preserve">The patient has </w:t>
            </w:r>
            <w:r w:rsidRPr="007E23F4">
              <w:rPr>
                <w:rFonts w:ascii="Arial" w:hAnsi="Arial" w:cs="Arial"/>
                <w:i/>
                <w:sz w:val="20"/>
                <w:szCs w:val="20"/>
                <w:u w:val="single"/>
              </w:rPr>
              <w:t>moderate frailty and comorbidities</w:t>
            </w:r>
            <w:r w:rsidRPr="007E23F4">
              <w:rPr>
                <w:rFonts w:ascii="Arial" w:hAnsi="Arial" w:cs="Arial"/>
                <w:i/>
                <w:sz w:val="20"/>
                <w:szCs w:val="20"/>
              </w:rPr>
              <w:t>.</w:t>
            </w:r>
            <w:r w:rsidRPr="007E23F4">
              <w:rPr>
                <w:rFonts w:ascii="Arial" w:hAnsi="Arial" w:cs="Arial"/>
                <w:sz w:val="20"/>
                <w:szCs w:val="20"/>
              </w:rPr>
              <w:t xml:space="preserve"> </w:t>
            </w:r>
          </w:p>
          <w:p w14:paraId="49EEA88C" w14:textId="77777777" w:rsidR="00B97DB7" w:rsidRDefault="00B97DB7" w:rsidP="007C0CD8">
            <w:pPr>
              <w:pStyle w:val="NoSpacing"/>
              <w:rPr>
                <w:rFonts w:ascii="Arial" w:hAnsi="Arial" w:cs="Arial"/>
                <w:sz w:val="20"/>
                <w:szCs w:val="20"/>
              </w:rPr>
            </w:pPr>
          </w:p>
          <w:p w14:paraId="7EB54F41" w14:textId="4BB59D31" w:rsidR="007E23F4" w:rsidRPr="007E23F4" w:rsidRDefault="007E23F4" w:rsidP="004277A2">
            <w:pPr>
              <w:pStyle w:val="NoSpacing"/>
              <w:rPr>
                <w:rFonts w:ascii="Arial" w:hAnsi="Arial" w:cs="Arial"/>
                <w:sz w:val="20"/>
                <w:szCs w:val="20"/>
              </w:rPr>
            </w:pPr>
          </w:p>
        </w:tc>
        <w:tc>
          <w:tcPr>
            <w:tcW w:w="1985" w:type="dxa"/>
            <w:tcBorders>
              <w:bottom w:val="nil"/>
            </w:tcBorders>
            <w:shd w:val="clear" w:color="auto" w:fill="auto"/>
          </w:tcPr>
          <w:p w14:paraId="223C2449" w14:textId="77777777" w:rsidR="007E23F4" w:rsidRDefault="007E23F4" w:rsidP="007C0CD8">
            <w:pPr>
              <w:pStyle w:val="NoSpacing"/>
              <w:rPr>
                <w:rFonts w:ascii="Arial" w:hAnsi="Arial" w:cs="Arial"/>
                <w:sz w:val="20"/>
                <w:szCs w:val="20"/>
              </w:rPr>
            </w:pPr>
            <w:r w:rsidRPr="007E23F4">
              <w:rPr>
                <w:rFonts w:ascii="Arial" w:hAnsi="Arial" w:cs="Arial"/>
                <w:i/>
                <w:sz w:val="20"/>
                <w:szCs w:val="20"/>
              </w:rPr>
              <w:t xml:space="preserve">The patient was previously </w:t>
            </w:r>
            <w:r w:rsidRPr="007E23F4">
              <w:rPr>
                <w:rFonts w:ascii="Arial" w:hAnsi="Arial" w:cs="Arial"/>
                <w:i/>
                <w:sz w:val="20"/>
                <w:szCs w:val="20"/>
                <w:u w:val="single"/>
              </w:rPr>
              <w:t>fit and well</w:t>
            </w:r>
            <w:r w:rsidRPr="007E23F4">
              <w:rPr>
                <w:rFonts w:ascii="Arial" w:hAnsi="Arial" w:cs="Arial"/>
                <w:i/>
                <w:sz w:val="20"/>
                <w:szCs w:val="20"/>
              </w:rPr>
              <w:t>.</w:t>
            </w:r>
            <w:r w:rsidRPr="007E23F4">
              <w:rPr>
                <w:rFonts w:ascii="Arial" w:hAnsi="Arial" w:cs="Arial"/>
                <w:sz w:val="20"/>
                <w:szCs w:val="20"/>
              </w:rPr>
              <w:t xml:space="preserve"> </w:t>
            </w:r>
          </w:p>
          <w:p w14:paraId="3E9D9723" w14:textId="77777777" w:rsidR="008F3FD3" w:rsidRPr="007E23F4" w:rsidRDefault="008F3FD3" w:rsidP="007C0CD8">
            <w:pPr>
              <w:pStyle w:val="NoSpacing"/>
              <w:rPr>
                <w:rFonts w:ascii="Arial" w:hAnsi="Arial" w:cs="Arial"/>
                <w:sz w:val="20"/>
                <w:szCs w:val="20"/>
              </w:rPr>
            </w:pPr>
          </w:p>
          <w:p w14:paraId="1895B16C" w14:textId="7848CC9A" w:rsidR="007E23F4" w:rsidRPr="007E23F4" w:rsidRDefault="007E23F4" w:rsidP="007C0CD8">
            <w:pPr>
              <w:pStyle w:val="NoSpacing"/>
              <w:rPr>
                <w:rFonts w:ascii="Arial" w:hAnsi="Arial" w:cs="Arial"/>
                <w:sz w:val="20"/>
                <w:szCs w:val="20"/>
              </w:rPr>
            </w:pPr>
            <w:r w:rsidRPr="007E23F4">
              <w:rPr>
                <w:rFonts w:ascii="Arial" w:hAnsi="Arial" w:cs="Arial"/>
                <w:sz w:val="20"/>
                <w:szCs w:val="20"/>
              </w:rPr>
              <w:t>[base level so variable not named]</w:t>
            </w:r>
            <w:r w:rsidRPr="007E23F4">
              <w:rPr>
                <w:rFonts w:ascii="Arial" w:hAnsi="Arial" w:cs="Arial"/>
                <w:sz w:val="20"/>
                <w:szCs w:val="20"/>
                <w:vertAlign w:val="superscript"/>
              </w:rPr>
              <w:t>a</w:t>
            </w:r>
          </w:p>
        </w:tc>
        <w:tc>
          <w:tcPr>
            <w:tcW w:w="1508" w:type="dxa"/>
            <w:tcBorders>
              <w:bottom w:val="nil"/>
            </w:tcBorders>
            <w:shd w:val="clear" w:color="auto" w:fill="auto"/>
          </w:tcPr>
          <w:p w14:paraId="41C42AFD" w14:textId="77777777" w:rsidR="007E23F4" w:rsidRPr="007E23F4" w:rsidRDefault="007E23F4" w:rsidP="00DA5395">
            <w:pPr>
              <w:pStyle w:val="NoSpacing"/>
              <w:jc w:val="center"/>
              <w:rPr>
                <w:rFonts w:ascii="Arial" w:hAnsi="Arial" w:cs="Arial"/>
                <w:sz w:val="20"/>
                <w:szCs w:val="20"/>
              </w:rPr>
            </w:pPr>
            <w:r w:rsidRPr="007E23F4">
              <w:rPr>
                <w:rFonts w:ascii="Arial" w:hAnsi="Arial" w:cs="Arial"/>
                <w:sz w:val="20"/>
                <w:szCs w:val="20"/>
              </w:rPr>
              <w:t>Categorical variable – effects coded</w:t>
            </w:r>
          </w:p>
        </w:tc>
      </w:tr>
      <w:tr w:rsidR="007E23F4" w:rsidRPr="007E23F4" w14:paraId="54014FB3" w14:textId="77777777" w:rsidTr="009E7385">
        <w:trPr>
          <w:jc w:val="center"/>
        </w:trPr>
        <w:tc>
          <w:tcPr>
            <w:tcW w:w="0" w:type="auto"/>
            <w:tcBorders>
              <w:top w:val="nil"/>
              <w:bottom w:val="single" w:sz="4" w:space="0" w:color="auto"/>
            </w:tcBorders>
          </w:tcPr>
          <w:p w14:paraId="538D51A9" w14:textId="14B077BC" w:rsidR="007E23F4" w:rsidRDefault="007E23F4" w:rsidP="00DA5395">
            <w:pPr>
              <w:pStyle w:val="NoSpacing"/>
              <w:jc w:val="both"/>
              <w:rPr>
                <w:rFonts w:ascii="Arial" w:hAnsi="Arial" w:cs="Arial"/>
                <w:sz w:val="20"/>
                <w:szCs w:val="20"/>
              </w:rPr>
            </w:pPr>
            <w:r w:rsidRPr="007E23F4">
              <w:rPr>
                <w:rFonts w:ascii="Arial" w:hAnsi="Arial" w:cs="Arial"/>
                <w:sz w:val="20"/>
                <w:szCs w:val="20"/>
              </w:rPr>
              <w:t>Level of external pressure to continue antibiotic treatment</w:t>
            </w:r>
          </w:p>
          <w:p w14:paraId="50EE349F" w14:textId="77777777" w:rsidR="00B97DB7" w:rsidRPr="007E23F4" w:rsidRDefault="00B97DB7" w:rsidP="00DA5395">
            <w:pPr>
              <w:pStyle w:val="NoSpacing"/>
              <w:jc w:val="both"/>
              <w:rPr>
                <w:rFonts w:ascii="Arial" w:hAnsi="Arial" w:cs="Arial"/>
                <w:sz w:val="20"/>
                <w:szCs w:val="20"/>
              </w:rPr>
            </w:pPr>
          </w:p>
          <w:p w14:paraId="6F829D61" w14:textId="60898C10" w:rsidR="007E23F4" w:rsidRPr="007E23F4" w:rsidRDefault="007E23F4" w:rsidP="00DA5395">
            <w:pPr>
              <w:pStyle w:val="NoSpacing"/>
              <w:rPr>
                <w:rFonts w:ascii="Arial" w:hAnsi="Arial" w:cs="Arial"/>
                <w:sz w:val="20"/>
                <w:szCs w:val="20"/>
              </w:rPr>
            </w:pPr>
            <w:r w:rsidRPr="007E23F4">
              <w:rPr>
                <w:rFonts w:ascii="Arial" w:hAnsi="Arial" w:cs="Arial"/>
                <w:sz w:val="20"/>
                <w:szCs w:val="20"/>
              </w:rPr>
              <w:t>[</w:t>
            </w:r>
            <w:r w:rsidR="004277A2" w:rsidRPr="00A801D0">
              <w:rPr>
                <w:rFonts w:ascii="Arial" w:hAnsi="Arial" w:cs="Arial"/>
                <w:sz w:val="20"/>
                <w:szCs w:val="20"/>
              </w:rPr>
              <w:t xml:space="preserve">EXTERNAL </w:t>
            </w:r>
            <w:r w:rsidR="001C4761" w:rsidRPr="001C4761">
              <w:rPr>
                <w:rFonts w:ascii="Arial" w:hAnsi="Arial" w:cs="Arial"/>
                <w:sz w:val="20"/>
                <w:szCs w:val="20"/>
              </w:rPr>
              <w:t>P</w:t>
            </w:r>
            <w:r w:rsidRPr="00A801D0">
              <w:rPr>
                <w:rFonts w:ascii="Arial" w:hAnsi="Arial" w:cs="Arial"/>
                <w:sz w:val="20"/>
                <w:szCs w:val="20"/>
              </w:rPr>
              <w:t>RESSURE</w:t>
            </w:r>
            <w:r w:rsidRPr="007E23F4">
              <w:rPr>
                <w:rFonts w:ascii="Arial" w:hAnsi="Arial" w:cs="Arial"/>
                <w:sz w:val="20"/>
                <w:szCs w:val="20"/>
              </w:rPr>
              <w:t>]</w:t>
            </w:r>
          </w:p>
        </w:tc>
        <w:tc>
          <w:tcPr>
            <w:tcW w:w="1643" w:type="dxa"/>
            <w:tcBorders>
              <w:top w:val="nil"/>
              <w:bottom w:val="single" w:sz="4" w:space="0" w:color="auto"/>
            </w:tcBorders>
          </w:tcPr>
          <w:p w14:paraId="63F02FC6" w14:textId="232D4A57" w:rsidR="007E23F4" w:rsidRDefault="007E23F4" w:rsidP="007C0CD8">
            <w:pPr>
              <w:pStyle w:val="NoSpacing"/>
              <w:rPr>
                <w:rFonts w:ascii="Arial" w:hAnsi="Arial" w:cs="Arial"/>
                <w:i/>
                <w:sz w:val="20"/>
                <w:szCs w:val="20"/>
              </w:rPr>
            </w:pPr>
            <w:r w:rsidRPr="007E23F4">
              <w:rPr>
                <w:rFonts w:ascii="Arial" w:hAnsi="Arial" w:cs="Arial"/>
                <w:i/>
                <w:sz w:val="20"/>
                <w:szCs w:val="20"/>
              </w:rPr>
              <w:t xml:space="preserve">There is </w:t>
            </w:r>
            <w:r w:rsidRPr="007E23F4">
              <w:rPr>
                <w:rFonts w:ascii="Arial" w:hAnsi="Arial" w:cs="Arial"/>
                <w:i/>
                <w:sz w:val="20"/>
                <w:szCs w:val="20"/>
                <w:u w:val="single"/>
              </w:rPr>
              <w:t>no external pressure</w:t>
            </w:r>
            <w:r w:rsidR="007C0CD8">
              <w:rPr>
                <w:rFonts w:ascii="Arial" w:hAnsi="Arial" w:cs="Arial"/>
                <w:i/>
                <w:sz w:val="20"/>
                <w:szCs w:val="20"/>
              </w:rPr>
              <w:t xml:space="preserve"> to continue antibiotic </w:t>
            </w:r>
            <w:r w:rsidRPr="007E23F4">
              <w:rPr>
                <w:rFonts w:ascii="Arial" w:hAnsi="Arial" w:cs="Arial"/>
                <w:i/>
                <w:sz w:val="20"/>
                <w:szCs w:val="20"/>
              </w:rPr>
              <w:t>treatment.</w:t>
            </w:r>
          </w:p>
          <w:p w14:paraId="1B89A587" w14:textId="77777777" w:rsidR="00B97DB7" w:rsidRPr="007E23F4" w:rsidRDefault="00B97DB7" w:rsidP="007C0CD8">
            <w:pPr>
              <w:pStyle w:val="NoSpacing"/>
              <w:rPr>
                <w:rFonts w:ascii="Arial" w:hAnsi="Arial" w:cs="Arial"/>
                <w:i/>
                <w:sz w:val="20"/>
                <w:szCs w:val="20"/>
              </w:rPr>
            </w:pPr>
          </w:p>
          <w:p w14:paraId="258F5165" w14:textId="3408A64B" w:rsidR="007E23F4" w:rsidRPr="007E23F4" w:rsidRDefault="007E23F4" w:rsidP="007C0CD8">
            <w:pPr>
              <w:pStyle w:val="NoSpacing"/>
              <w:rPr>
                <w:rFonts w:ascii="Arial" w:hAnsi="Arial" w:cs="Arial"/>
                <w:sz w:val="20"/>
                <w:szCs w:val="20"/>
              </w:rPr>
            </w:pPr>
          </w:p>
        </w:tc>
        <w:tc>
          <w:tcPr>
            <w:tcW w:w="1407" w:type="dxa"/>
            <w:tcBorders>
              <w:top w:val="nil"/>
              <w:bottom w:val="single" w:sz="4" w:space="0" w:color="auto"/>
            </w:tcBorders>
          </w:tcPr>
          <w:p w14:paraId="2BEC9247" w14:textId="77777777" w:rsidR="00B97DB7" w:rsidRDefault="007E23F4" w:rsidP="007C0CD8">
            <w:pPr>
              <w:pStyle w:val="NoSpacing"/>
              <w:rPr>
                <w:rFonts w:ascii="Arial" w:hAnsi="Arial" w:cs="Arial"/>
                <w:sz w:val="20"/>
                <w:szCs w:val="20"/>
              </w:rPr>
            </w:pPr>
            <w:r w:rsidRPr="007E23F4">
              <w:rPr>
                <w:rFonts w:ascii="Arial" w:hAnsi="Arial" w:cs="Arial"/>
                <w:i/>
                <w:sz w:val="20"/>
                <w:szCs w:val="20"/>
              </w:rPr>
              <w:t xml:space="preserve">There is </w:t>
            </w:r>
            <w:r w:rsidRPr="007E23F4">
              <w:rPr>
                <w:rFonts w:ascii="Arial" w:hAnsi="Arial" w:cs="Arial"/>
                <w:i/>
                <w:sz w:val="20"/>
                <w:szCs w:val="20"/>
                <w:u w:val="single"/>
              </w:rPr>
              <w:t>some external pressure</w:t>
            </w:r>
            <w:r w:rsidRPr="007E23F4">
              <w:rPr>
                <w:rFonts w:ascii="Arial" w:hAnsi="Arial" w:cs="Arial"/>
                <w:i/>
                <w:sz w:val="20"/>
                <w:szCs w:val="20"/>
              </w:rPr>
              <w:t xml:space="preserve"> to continue antibiotic treatment.</w:t>
            </w:r>
            <w:r w:rsidRPr="007E23F4">
              <w:rPr>
                <w:rFonts w:ascii="Arial" w:hAnsi="Arial" w:cs="Arial"/>
                <w:sz w:val="20"/>
                <w:szCs w:val="20"/>
              </w:rPr>
              <w:t xml:space="preserve"> </w:t>
            </w:r>
          </w:p>
          <w:p w14:paraId="168CEC03" w14:textId="77777777" w:rsidR="00B97DB7" w:rsidRDefault="00B97DB7" w:rsidP="007C0CD8">
            <w:pPr>
              <w:pStyle w:val="NoSpacing"/>
              <w:rPr>
                <w:rFonts w:ascii="Arial" w:hAnsi="Arial" w:cs="Arial"/>
                <w:sz w:val="20"/>
                <w:szCs w:val="20"/>
              </w:rPr>
            </w:pPr>
          </w:p>
          <w:p w14:paraId="51E5BEAE" w14:textId="3D530858" w:rsidR="007E23F4" w:rsidRPr="007E23F4" w:rsidRDefault="007E23F4" w:rsidP="007C0CD8">
            <w:pPr>
              <w:pStyle w:val="NoSpacing"/>
              <w:rPr>
                <w:rFonts w:ascii="Arial" w:hAnsi="Arial" w:cs="Arial"/>
                <w:sz w:val="20"/>
                <w:szCs w:val="20"/>
              </w:rPr>
            </w:pPr>
          </w:p>
        </w:tc>
        <w:tc>
          <w:tcPr>
            <w:tcW w:w="1985" w:type="dxa"/>
            <w:tcBorders>
              <w:top w:val="nil"/>
              <w:bottom w:val="single" w:sz="4" w:space="0" w:color="auto"/>
            </w:tcBorders>
            <w:shd w:val="clear" w:color="auto" w:fill="auto"/>
          </w:tcPr>
          <w:p w14:paraId="0C4A1EE3" w14:textId="58D196CC" w:rsidR="007C0CD8" w:rsidRDefault="007E23F4" w:rsidP="007C0CD8">
            <w:pPr>
              <w:pStyle w:val="NoSpacing"/>
              <w:rPr>
                <w:rFonts w:ascii="Arial" w:hAnsi="Arial" w:cs="Arial"/>
                <w:sz w:val="20"/>
                <w:szCs w:val="20"/>
              </w:rPr>
            </w:pPr>
            <w:r w:rsidRPr="007E23F4">
              <w:rPr>
                <w:rFonts w:ascii="Arial" w:hAnsi="Arial" w:cs="Arial"/>
                <w:i/>
                <w:sz w:val="20"/>
                <w:szCs w:val="20"/>
              </w:rPr>
              <w:t xml:space="preserve">There is </w:t>
            </w:r>
            <w:r w:rsidRPr="007E23F4">
              <w:rPr>
                <w:rFonts w:ascii="Arial" w:hAnsi="Arial" w:cs="Arial"/>
                <w:i/>
                <w:sz w:val="20"/>
                <w:szCs w:val="20"/>
                <w:u w:val="single"/>
              </w:rPr>
              <w:t>heavy external pressure</w:t>
            </w:r>
            <w:r w:rsidRPr="007E23F4">
              <w:rPr>
                <w:rFonts w:ascii="Arial" w:hAnsi="Arial" w:cs="Arial"/>
                <w:i/>
                <w:sz w:val="20"/>
                <w:szCs w:val="20"/>
              </w:rPr>
              <w:t xml:space="preserve"> to continue antibiotic treatment.</w:t>
            </w:r>
            <w:r w:rsidRPr="007E23F4">
              <w:rPr>
                <w:rFonts w:ascii="Arial" w:hAnsi="Arial" w:cs="Arial"/>
                <w:sz w:val="20"/>
                <w:szCs w:val="20"/>
              </w:rPr>
              <w:t xml:space="preserve"> </w:t>
            </w:r>
          </w:p>
          <w:p w14:paraId="7B92FABB" w14:textId="77777777" w:rsidR="00B97DB7" w:rsidRDefault="00B97DB7" w:rsidP="007C0CD8">
            <w:pPr>
              <w:pStyle w:val="NoSpacing"/>
              <w:rPr>
                <w:rFonts w:ascii="Arial" w:hAnsi="Arial" w:cs="Arial"/>
                <w:sz w:val="20"/>
                <w:szCs w:val="20"/>
              </w:rPr>
            </w:pPr>
          </w:p>
          <w:p w14:paraId="6EB0DCD8" w14:textId="119762A4" w:rsidR="007E23F4" w:rsidRPr="007E23F4" w:rsidRDefault="007E23F4" w:rsidP="007C0CD8">
            <w:pPr>
              <w:pStyle w:val="NoSpacing"/>
              <w:rPr>
                <w:rFonts w:ascii="Arial" w:hAnsi="Arial" w:cs="Arial"/>
                <w:sz w:val="20"/>
                <w:szCs w:val="20"/>
              </w:rPr>
            </w:pPr>
            <w:r w:rsidRPr="007E23F4">
              <w:rPr>
                <w:rFonts w:ascii="Arial" w:hAnsi="Arial" w:cs="Arial"/>
                <w:sz w:val="20"/>
                <w:szCs w:val="20"/>
              </w:rPr>
              <w:t>[base level so variable not named]</w:t>
            </w:r>
            <w:r w:rsidR="00B70CB4">
              <w:rPr>
                <w:rFonts w:ascii="Arial" w:hAnsi="Arial" w:cs="Arial"/>
                <w:sz w:val="20"/>
                <w:szCs w:val="20"/>
                <w:vertAlign w:val="superscript"/>
              </w:rPr>
              <w:t>1</w:t>
            </w:r>
          </w:p>
        </w:tc>
        <w:tc>
          <w:tcPr>
            <w:tcW w:w="1508" w:type="dxa"/>
            <w:tcBorders>
              <w:top w:val="nil"/>
              <w:bottom w:val="single" w:sz="4" w:space="0" w:color="auto"/>
            </w:tcBorders>
            <w:shd w:val="clear" w:color="auto" w:fill="auto"/>
          </w:tcPr>
          <w:p w14:paraId="12153E3C" w14:textId="77777777" w:rsidR="007E23F4" w:rsidRPr="007E23F4" w:rsidRDefault="007E23F4" w:rsidP="00DA5395">
            <w:pPr>
              <w:pStyle w:val="NoSpacing"/>
              <w:jc w:val="center"/>
              <w:rPr>
                <w:rFonts w:ascii="Arial" w:hAnsi="Arial" w:cs="Arial"/>
                <w:sz w:val="20"/>
                <w:szCs w:val="20"/>
              </w:rPr>
            </w:pPr>
            <w:r w:rsidRPr="007E23F4">
              <w:rPr>
                <w:rFonts w:ascii="Arial" w:hAnsi="Arial" w:cs="Arial"/>
                <w:sz w:val="20"/>
                <w:szCs w:val="20"/>
              </w:rPr>
              <w:t>Categorical variable – effects coded</w:t>
            </w:r>
          </w:p>
        </w:tc>
      </w:tr>
    </w:tbl>
    <w:p w14:paraId="204A86D2" w14:textId="77777777" w:rsidR="009E7385" w:rsidRDefault="009E7385" w:rsidP="007C0CD8">
      <w:pPr>
        <w:pStyle w:val="NoSpacing"/>
        <w:rPr>
          <w:rFonts w:ascii="Arial" w:hAnsi="Arial" w:cs="Arial"/>
          <w:sz w:val="18"/>
        </w:rPr>
      </w:pPr>
    </w:p>
    <w:p w14:paraId="59498228" w14:textId="6ACDEB23" w:rsidR="007C0CD8" w:rsidRPr="00B97DB7" w:rsidRDefault="009E7385" w:rsidP="007C0CD8">
      <w:pPr>
        <w:pStyle w:val="NoSpacing"/>
        <w:rPr>
          <w:rFonts w:ascii="Arial" w:hAnsi="Arial" w:cs="Arial"/>
        </w:rPr>
      </w:pPr>
      <w:r w:rsidRPr="009E7385">
        <w:rPr>
          <w:rFonts w:ascii="Arial" w:hAnsi="Arial" w:cs="Arial"/>
          <w:sz w:val="18"/>
        </w:rPr>
        <w:t xml:space="preserve">NOTE: </w:t>
      </w:r>
      <w:r w:rsidR="00B70CB4">
        <w:rPr>
          <w:rFonts w:ascii="Arial" w:hAnsi="Arial" w:cs="Arial"/>
          <w:sz w:val="18"/>
        </w:rPr>
        <w:t xml:space="preserve">1. </w:t>
      </w:r>
      <w:r w:rsidR="007E23F4" w:rsidRPr="00B97DB7">
        <w:rPr>
          <w:rFonts w:ascii="Arial" w:hAnsi="Arial" w:cs="Arial"/>
          <w:sz w:val="18"/>
        </w:rPr>
        <w:t>NGENE codes the top level as the base variable, rather than the bottom variable</w:t>
      </w:r>
      <w:r w:rsidR="00B97DB7" w:rsidRPr="00B97DB7">
        <w:rPr>
          <w:rFonts w:ascii="Arial" w:hAnsi="Arial" w:cs="Arial"/>
          <w:sz w:val="18"/>
        </w:rPr>
        <w:t>.</w:t>
      </w:r>
      <w:r w:rsidR="007C0CD8" w:rsidRPr="00B97DB7">
        <w:rPr>
          <w:rFonts w:ascii="Arial" w:hAnsi="Arial" w:cs="Arial"/>
        </w:rPr>
        <w:t xml:space="preserve"> </w:t>
      </w:r>
      <w:r w:rsidR="007C0CD8" w:rsidRPr="00B97DB7">
        <w:rPr>
          <w:rFonts w:ascii="Arial" w:hAnsi="Arial" w:cs="Arial"/>
          <w:sz w:val="18"/>
          <w:szCs w:val="18"/>
        </w:rPr>
        <w:t>Factor names in [</w:t>
      </w:r>
      <w:r w:rsidR="00817976">
        <w:rPr>
          <w:rFonts w:ascii="Arial" w:hAnsi="Arial" w:cs="Arial"/>
          <w:sz w:val="18"/>
          <w:szCs w:val="18"/>
        </w:rPr>
        <w:t xml:space="preserve"> </w:t>
      </w:r>
      <w:r w:rsidR="007C0CD8" w:rsidRPr="00B97DB7">
        <w:rPr>
          <w:rFonts w:ascii="Arial" w:hAnsi="Arial" w:cs="Arial"/>
          <w:sz w:val="18"/>
          <w:szCs w:val="18"/>
        </w:rPr>
        <w:t>].</w:t>
      </w:r>
    </w:p>
    <w:p w14:paraId="292CD10A" w14:textId="77777777" w:rsidR="00B97DB7" w:rsidRDefault="00B97DB7" w:rsidP="007C0CD8">
      <w:pPr>
        <w:pStyle w:val="NoSpacing"/>
      </w:pPr>
    </w:p>
    <w:p w14:paraId="219DFD51" w14:textId="77777777" w:rsidR="007322EF" w:rsidRDefault="007322EF" w:rsidP="00DA5395">
      <w:pPr>
        <w:pStyle w:val="NoSpacing"/>
        <w:jc w:val="both"/>
        <w:rPr>
          <w:rFonts w:ascii="Arial" w:hAnsi="Arial" w:cs="Arial"/>
          <w:b/>
        </w:rPr>
      </w:pPr>
    </w:p>
    <w:p w14:paraId="6700935E" w14:textId="31329C59" w:rsidR="004277A2" w:rsidRDefault="004277A2">
      <w:pPr>
        <w:rPr>
          <w:rFonts w:ascii="Arial" w:hAnsi="Arial" w:cs="Arial"/>
          <w:b/>
        </w:rPr>
      </w:pPr>
      <w:r>
        <w:rPr>
          <w:rFonts w:ascii="Arial" w:hAnsi="Arial" w:cs="Arial"/>
          <w:b/>
        </w:rPr>
        <w:br w:type="page"/>
      </w:r>
    </w:p>
    <w:p w14:paraId="18CA0946" w14:textId="11E35BFD" w:rsidR="00DA5395" w:rsidRPr="00DA5395" w:rsidRDefault="00DA5395" w:rsidP="00DA5395">
      <w:pPr>
        <w:pStyle w:val="NoSpacing"/>
        <w:jc w:val="both"/>
        <w:rPr>
          <w:rFonts w:ascii="Arial" w:hAnsi="Arial" w:cs="Arial"/>
          <w:b/>
        </w:rPr>
      </w:pPr>
      <w:r w:rsidRPr="00DA5395">
        <w:rPr>
          <w:rFonts w:ascii="Arial" w:hAnsi="Arial" w:cs="Arial"/>
          <w:b/>
        </w:rPr>
        <w:t xml:space="preserve">Table </w:t>
      </w:r>
      <w:r>
        <w:rPr>
          <w:rFonts w:ascii="Arial" w:hAnsi="Arial" w:cs="Arial"/>
          <w:b/>
        </w:rPr>
        <w:t>2</w:t>
      </w:r>
      <w:r w:rsidRPr="00DA5395">
        <w:rPr>
          <w:rFonts w:ascii="Arial" w:hAnsi="Arial" w:cs="Arial"/>
          <w:b/>
        </w:rPr>
        <w:t>: Descriptive statistics</w:t>
      </w:r>
    </w:p>
    <w:p w14:paraId="19D29321" w14:textId="77777777" w:rsidR="00DA5395" w:rsidRPr="00DA5395" w:rsidRDefault="00DA5395" w:rsidP="00DA5395">
      <w:pPr>
        <w:pStyle w:val="NoSpacing"/>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3"/>
        <w:gridCol w:w="1163"/>
      </w:tblGrid>
      <w:tr w:rsidR="00DA5395" w:rsidRPr="00DA5395" w14:paraId="57E0F836" w14:textId="77777777" w:rsidTr="00EA7E27">
        <w:trPr>
          <w:tblHeader/>
        </w:trPr>
        <w:tc>
          <w:tcPr>
            <w:tcW w:w="8642" w:type="dxa"/>
            <w:tcBorders>
              <w:top w:val="double" w:sz="4" w:space="0" w:color="auto"/>
              <w:bottom w:val="single" w:sz="4" w:space="0" w:color="auto"/>
            </w:tcBorders>
          </w:tcPr>
          <w:p w14:paraId="3E632484" w14:textId="77777777" w:rsidR="00DA5395" w:rsidRPr="00DA5395" w:rsidRDefault="00DA5395" w:rsidP="00392980">
            <w:pPr>
              <w:pStyle w:val="NoSpacing"/>
              <w:rPr>
                <w:rFonts w:ascii="Arial" w:hAnsi="Arial" w:cs="Arial"/>
                <w:b/>
                <w:sz w:val="20"/>
                <w:szCs w:val="20"/>
              </w:rPr>
            </w:pPr>
            <w:r w:rsidRPr="00DA5395">
              <w:rPr>
                <w:rFonts w:ascii="Arial" w:hAnsi="Arial" w:cs="Arial"/>
                <w:b/>
                <w:sz w:val="20"/>
                <w:szCs w:val="20"/>
              </w:rPr>
              <w:t>Variable</w:t>
            </w:r>
          </w:p>
        </w:tc>
        <w:tc>
          <w:tcPr>
            <w:tcW w:w="1212" w:type="dxa"/>
            <w:tcBorders>
              <w:top w:val="double" w:sz="4" w:space="0" w:color="auto"/>
              <w:bottom w:val="single" w:sz="4" w:space="0" w:color="auto"/>
            </w:tcBorders>
          </w:tcPr>
          <w:p w14:paraId="7C7CB963" w14:textId="7A43B4FC" w:rsidR="00392980" w:rsidRPr="00DA5395" w:rsidRDefault="00DA5395" w:rsidP="00DA5395">
            <w:pPr>
              <w:pStyle w:val="NoSpacing"/>
              <w:jc w:val="center"/>
              <w:rPr>
                <w:rFonts w:ascii="Arial" w:hAnsi="Arial" w:cs="Arial"/>
                <w:b/>
                <w:sz w:val="20"/>
                <w:szCs w:val="20"/>
              </w:rPr>
            </w:pPr>
            <w:r w:rsidRPr="00DA5395">
              <w:rPr>
                <w:rFonts w:ascii="Arial" w:hAnsi="Arial" w:cs="Arial"/>
                <w:b/>
                <w:sz w:val="20"/>
                <w:szCs w:val="20"/>
              </w:rPr>
              <w:t>n/%</w:t>
            </w:r>
          </w:p>
        </w:tc>
      </w:tr>
      <w:tr w:rsidR="00392980" w:rsidRPr="00DA5395" w14:paraId="102BA9A2" w14:textId="77777777" w:rsidTr="00EA7E27">
        <w:trPr>
          <w:tblHeader/>
        </w:trPr>
        <w:tc>
          <w:tcPr>
            <w:tcW w:w="8642" w:type="dxa"/>
            <w:tcBorders>
              <w:top w:val="single" w:sz="4" w:space="0" w:color="auto"/>
            </w:tcBorders>
          </w:tcPr>
          <w:p w14:paraId="3DB99B73" w14:textId="77777777" w:rsidR="00392980" w:rsidRPr="00DA5395" w:rsidRDefault="00392980" w:rsidP="00392980">
            <w:pPr>
              <w:pStyle w:val="NoSpacing"/>
              <w:rPr>
                <w:rFonts w:ascii="Arial" w:hAnsi="Arial" w:cs="Arial"/>
                <w:b/>
                <w:sz w:val="20"/>
                <w:szCs w:val="20"/>
              </w:rPr>
            </w:pPr>
          </w:p>
        </w:tc>
        <w:tc>
          <w:tcPr>
            <w:tcW w:w="1212" w:type="dxa"/>
            <w:tcBorders>
              <w:top w:val="single" w:sz="4" w:space="0" w:color="auto"/>
            </w:tcBorders>
          </w:tcPr>
          <w:p w14:paraId="148D6A17" w14:textId="77777777" w:rsidR="00392980" w:rsidRPr="00DA5395" w:rsidRDefault="00392980" w:rsidP="00DA5395">
            <w:pPr>
              <w:pStyle w:val="NoSpacing"/>
              <w:jc w:val="center"/>
              <w:rPr>
                <w:rFonts w:ascii="Arial" w:hAnsi="Arial" w:cs="Arial"/>
                <w:b/>
                <w:sz w:val="20"/>
                <w:szCs w:val="20"/>
              </w:rPr>
            </w:pPr>
          </w:p>
        </w:tc>
      </w:tr>
      <w:tr w:rsidR="00DA5395" w:rsidRPr="00DA5395" w14:paraId="5451C824" w14:textId="77777777" w:rsidTr="00DB60B5">
        <w:tc>
          <w:tcPr>
            <w:tcW w:w="8642" w:type="dxa"/>
          </w:tcPr>
          <w:p w14:paraId="6C9F030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Male</w:t>
            </w:r>
          </w:p>
        </w:tc>
        <w:tc>
          <w:tcPr>
            <w:tcW w:w="1212" w:type="dxa"/>
          </w:tcPr>
          <w:p w14:paraId="2B436A4D"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49 (49%)</w:t>
            </w:r>
          </w:p>
        </w:tc>
      </w:tr>
      <w:tr w:rsidR="00DA5395" w:rsidRPr="00DA5395" w14:paraId="1F833E61" w14:textId="77777777" w:rsidTr="00392980">
        <w:tc>
          <w:tcPr>
            <w:tcW w:w="8642" w:type="dxa"/>
          </w:tcPr>
          <w:p w14:paraId="6077E172" w14:textId="299D4F3C" w:rsidR="00DA5395" w:rsidRPr="00DA5395" w:rsidRDefault="00DA5395" w:rsidP="00DA5395">
            <w:pPr>
              <w:pStyle w:val="NoSpacing"/>
              <w:rPr>
                <w:rFonts w:ascii="Arial" w:hAnsi="Arial" w:cs="Arial"/>
                <w:sz w:val="20"/>
                <w:szCs w:val="20"/>
              </w:rPr>
            </w:pPr>
            <w:r w:rsidRPr="00DA5395">
              <w:rPr>
                <w:rFonts w:ascii="Arial" w:hAnsi="Arial" w:cs="Arial"/>
                <w:sz w:val="20"/>
                <w:szCs w:val="20"/>
              </w:rPr>
              <w:t>Age of respondents</w:t>
            </w:r>
            <w:r w:rsidR="00CD0BE3">
              <w:rPr>
                <w:rFonts w:ascii="Arial" w:hAnsi="Arial" w:cs="Arial"/>
                <w:sz w:val="20"/>
                <w:szCs w:val="20"/>
              </w:rPr>
              <w:t xml:space="preserve"> (n=100)</w:t>
            </w:r>
          </w:p>
          <w:p w14:paraId="7210C07B"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Under 25 years</w:t>
            </w:r>
          </w:p>
          <w:p w14:paraId="07B5285F"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25 to 34 years</w:t>
            </w:r>
          </w:p>
          <w:p w14:paraId="4BDA776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35 to 44 years</w:t>
            </w:r>
          </w:p>
          <w:p w14:paraId="1722F79F"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45 to 54 years</w:t>
            </w:r>
          </w:p>
          <w:p w14:paraId="33823C65"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55 to 64 years</w:t>
            </w:r>
          </w:p>
          <w:p w14:paraId="2653B9EC"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65 years and over</w:t>
            </w:r>
          </w:p>
          <w:p w14:paraId="7510544B" w14:textId="77777777" w:rsidR="00DA5395" w:rsidRPr="00DA5395" w:rsidRDefault="00DA5395" w:rsidP="00DA5395">
            <w:pPr>
              <w:pStyle w:val="NoSpacing"/>
              <w:rPr>
                <w:rFonts w:ascii="Arial" w:hAnsi="Arial" w:cs="Arial"/>
                <w:sz w:val="20"/>
                <w:szCs w:val="20"/>
              </w:rPr>
            </w:pPr>
          </w:p>
        </w:tc>
        <w:tc>
          <w:tcPr>
            <w:tcW w:w="1212" w:type="dxa"/>
          </w:tcPr>
          <w:p w14:paraId="0E7EBEFB" w14:textId="77777777" w:rsidR="00DA5395" w:rsidRPr="00DA5395" w:rsidRDefault="00DA5395" w:rsidP="00DA5395">
            <w:pPr>
              <w:pStyle w:val="NoSpacing"/>
              <w:jc w:val="right"/>
              <w:rPr>
                <w:rFonts w:ascii="Arial" w:hAnsi="Arial" w:cs="Arial"/>
                <w:sz w:val="20"/>
                <w:szCs w:val="20"/>
              </w:rPr>
            </w:pPr>
          </w:p>
          <w:p w14:paraId="2F714EB8"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 (3%)</w:t>
            </w:r>
          </w:p>
          <w:p w14:paraId="28E5B0C7"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 xml:space="preserve">49 (49%) </w:t>
            </w:r>
          </w:p>
          <w:p w14:paraId="0EBB8429"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33 (33%)</w:t>
            </w:r>
          </w:p>
          <w:p w14:paraId="4AC9BF68"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14 (14%)</w:t>
            </w:r>
          </w:p>
          <w:p w14:paraId="38C0E08F"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 (1%)</w:t>
            </w:r>
          </w:p>
          <w:p w14:paraId="5A739761"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0 (0%)</w:t>
            </w:r>
          </w:p>
        </w:tc>
      </w:tr>
      <w:tr w:rsidR="00DA5395" w:rsidRPr="00DA5395" w14:paraId="22122111" w14:textId="77777777" w:rsidTr="00392980">
        <w:tc>
          <w:tcPr>
            <w:tcW w:w="8642" w:type="dxa"/>
          </w:tcPr>
          <w:p w14:paraId="08FCD66D"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Number of beds in hospital (n=98)</w:t>
            </w:r>
          </w:p>
          <w:p w14:paraId="66BAB62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Less than 500</w:t>
            </w:r>
          </w:p>
          <w:p w14:paraId="23EA52CE"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500-1000</w:t>
            </w:r>
          </w:p>
          <w:p w14:paraId="6F776680"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More than 1000</w:t>
            </w:r>
          </w:p>
        </w:tc>
        <w:tc>
          <w:tcPr>
            <w:tcW w:w="1212" w:type="dxa"/>
          </w:tcPr>
          <w:p w14:paraId="52A42925" w14:textId="77777777" w:rsidR="00DA5395" w:rsidRPr="00DA5395" w:rsidRDefault="00DA5395" w:rsidP="00DA5395">
            <w:pPr>
              <w:pStyle w:val="NoSpacing"/>
              <w:jc w:val="right"/>
              <w:rPr>
                <w:rFonts w:ascii="Arial" w:hAnsi="Arial" w:cs="Arial"/>
                <w:sz w:val="20"/>
                <w:szCs w:val="20"/>
              </w:rPr>
            </w:pPr>
          </w:p>
          <w:p w14:paraId="7ECB58D0"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21 (21%)</w:t>
            </w:r>
          </w:p>
          <w:p w14:paraId="5A1B24BD"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47 (48%)</w:t>
            </w:r>
          </w:p>
          <w:p w14:paraId="5E5D4631"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30 (31%)</w:t>
            </w:r>
          </w:p>
          <w:p w14:paraId="3B5AB658" w14:textId="77777777" w:rsidR="00DA5395" w:rsidRPr="00DA5395" w:rsidRDefault="00DA5395" w:rsidP="00DA5395">
            <w:pPr>
              <w:pStyle w:val="NoSpacing"/>
              <w:jc w:val="right"/>
              <w:rPr>
                <w:rFonts w:ascii="Arial" w:hAnsi="Arial" w:cs="Arial"/>
                <w:sz w:val="20"/>
                <w:szCs w:val="20"/>
              </w:rPr>
            </w:pPr>
          </w:p>
        </w:tc>
      </w:tr>
      <w:tr w:rsidR="00DA5395" w:rsidRPr="00DA5395" w14:paraId="27FAAE03" w14:textId="77777777" w:rsidTr="00392980">
        <w:tc>
          <w:tcPr>
            <w:tcW w:w="8642" w:type="dxa"/>
            <w:tcMar>
              <w:right w:w="57" w:type="dxa"/>
            </w:tcMar>
          </w:tcPr>
          <w:p w14:paraId="2C8B4D8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Main occupation (n=98)</w:t>
            </w:r>
          </w:p>
          <w:p w14:paraId="7729673D"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Consultant</w:t>
            </w:r>
          </w:p>
          <w:p w14:paraId="0A6A8866"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Staff Grade or Associate Specialist</w:t>
            </w:r>
          </w:p>
          <w:p w14:paraId="33FF607C" w14:textId="69467A24"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w:t>
            </w:r>
            <w:r w:rsidR="00817976">
              <w:rPr>
                <w:rFonts w:ascii="Arial" w:hAnsi="Arial" w:cs="Arial"/>
                <w:sz w:val="20"/>
                <w:szCs w:val="20"/>
              </w:rPr>
              <w:t>Pre-registration Doctors</w:t>
            </w:r>
          </w:p>
          <w:p w14:paraId="1D308D90"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Core Medical Trainee</w:t>
            </w:r>
          </w:p>
          <w:p w14:paraId="6AB3874E" w14:textId="0E35D7D9"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Specialty Registrar</w:t>
            </w:r>
            <w:r w:rsidR="00817976">
              <w:rPr>
                <w:rFonts w:ascii="Arial" w:hAnsi="Arial" w:cs="Arial"/>
                <w:sz w:val="20"/>
                <w:szCs w:val="20"/>
              </w:rPr>
              <w:t>s</w:t>
            </w:r>
          </w:p>
          <w:p w14:paraId="045AABCF"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Non-medical Prescriber (e.g. Nurse or Pharmacist)</w:t>
            </w:r>
          </w:p>
          <w:p w14:paraId="257DC9F7"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Other occupation</w:t>
            </w:r>
          </w:p>
          <w:p w14:paraId="65B9D12F" w14:textId="77777777" w:rsidR="00DA5395" w:rsidRPr="00DA5395" w:rsidRDefault="00DA5395" w:rsidP="00DA5395">
            <w:pPr>
              <w:pStyle w:val="NoSpacing"/>
              <w:rPr>
                <w:rFonts w:ascii="Arial" w:hAnsi="Arial" w:cs="Arial"/>
                <w:sz w:val="20"/>
                <w:szCs w:val="20"/>
              </w:rPr>
            </w:pPr>
          </w:p>
        </w:tc>
        <w:tc>
          <w:tcPr>
            <w:tcW w:w="1212" w:type="dxa"/>
          </w:tcPr>
          <w:p w14:paraId="249AEAB7" w14:textId="77777777" w:rsidR="00DA5395" w:rsidRPr="00DA5395" w:rsidRDefault="00DA5395" w:rsidP="00DA5395">
            <w:pPr>
              <w:pStyle w:val="NoSpacing"/>
              <w:jc w:val="right"/>
              <w:rPr>
                <w:rFonts w:ascii="Arial" w:hAnsi="Arial" w:cs="Arial"/>
                <w:sz w:val="20"/>
                <w:szCs w:val="20"/>
              </w:rPr>
            </w:pPr>
          </w:p>
          <w:p w14:paraId="662B44DF"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 xml:space="preserve">30 (31%) </w:t>
            </w:r>
          </w:p>
          <w:p w14:paraId="24FE0969"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4 (4%)</w:t>
            </w:r>
          </w:p>
          <w:p w14:paraId="40BBD849" w14:textId="01D10FA2" w:rsidR="00DA5395" w:rsidRPr="00DA5395" w:rsidRDefault="00817976" w:rsidP="00DA5395">
            <w:pPr>
              <w:pStyle w:val="NoSpacing"/>
              <w:jc w:val="right"/>
              <w:rPr>
                <w:rFonts w:ascii="Arial" w:hAnsi="Arial" w:cs="Arial"/>
                <w:sz w:val="20"/>
                <w:szCs w:val="20"/>
              </w:rPr>
            </w:pPr>
            <w:r>
              <w:rPr>
                <w:rFonts w:ascii="Arial" w:hAnsi="Arial" w:cs="Arial"/>
                <w:sz w:val="20"/>
                <w:szCs w:val="20"/>
              </w:rPr>
              <w:t>9</w:t>
            </w:r>
            <w:r w:rsidR="00DA5395" w:rsidRPr="00DA5395">
              <w:rPr>
                <w:rFonts w:ascii="Arial" w:hAnsi="Arial" w:cs="Arial"/>
                <w:sz w:val="20"/>
                <w:szCs w:val="20"/>
              </w:rPr>
              <w:t xml:space="preserve"> (</w:t>
            </w:r>
            <w:r>
              <w:rPr>
                <w:rFonts w:ascii="Arial" w:hAnsi="Arial" w:cs="Arial"/>
                <w:sz w:val="20"/>
                <w:szCs w:val="20"/>
              </w:rPr>
              <w:t>9</w:t>
            </w:r>
            <w:r w:rsidR="00DA5395" w:rsidRPr="00DA5395">
              <w:rPr>
                <w:rFonts w:ascii="Arial" w:hAnsi="Arial" w:cs="Arial"/>
                <w:sz w:val="20"/>
                <w:szCs w:val="20"/>
              </w:rPr>
              <w:t>%)</w:t>
            </w:r>
          </w:p>
          <w:p w14:paraId="261CA4AC"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16 (16%)</w:t>
            </w:r>
          </w:p>
          <w:p w14:paraId="33E61B3A"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35 (36%)</w:t>
            </w:r>
          </w:p>
          <w:p w14:paraId="1DAF3CA7"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 (1%)</w:t>
            </w:r>
          </w:p>
          <w:p w14:paraId="66B693D1"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 (3%)</w:t>
            </w:r>
          </w:p>
          <w:p w14:paraId="0551A384" w14:textId="77777777" w:rsidR="00DA5395" w:rsidRPr="00DA5395" w:rsidRDefault="00DA5395" w:rsidP="00DA5395">
            <w:pPr>
              <w:pStyle w:val="NoSpacing"/>
              <w:jc w:val="right"/>
              <w:rPr>
                <w:rFonts w:ascii="Arial" w:hAnsi="Arial" w:cs="Arial"/>
                <w:sz w:val="20"/>
                <w:szCs w:val="20"/>
              </w:rPr>
            </w:pPr>
          </w:p>
        </w:tc>
      </w:tr>
      <w:tr w:rsidR="00DA5395" w:rsidRPr="00DA5395" w14:paraId="77A6D6A7" w14:textId="77777777" w:rsidTr="00392980">
        <w:tc>
          <w:tcPr>
            <w:tcW w:w="8642" w:type="dxa"/>
          </w:tcPr>
          <w:p w14:paraId="56F25F4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Primary Clinical Specialty (n=98)</w:t>
            </w:r>
          </w:p>
          <w:p w14:paraId="2B3D73B2"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Acute or General Medicine</w:t>
            </w:r>
          </w:p>
          <w:p w14:paraId="6F8C2BC8"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Microbiology or Infectious Diseases</w:t>
            </w:r>
          </w:p>
          <w:p w14:paraId="6F7899BB"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Non-infection related medical specialty</w:t>
            </w:r>
          </w:p>
          <w:p w14:paraId="00AE815D"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 xml:space="preserve">  No primary clinical specialty</w:t>
            </w:r>
          </w:p>
          <w:p w14:paraId="41A58BF3" w14:textId="77777777" w:rsidR="00DA5395" w:rsidRPr="00DA5395" w:rsidRDefault="00DA5395" w:rsidP="00DA5395">
            <w:pPr>
              <w:pStyle w:val="NoSpacing"/>
              <w:rPr>
                <w:rFonts w:ascii="Arial" w:hAnsi="Arial" w:cs="Arial"/>
                <w:sz w:val="20"/>
                <w:szCs w:val="20"/>
              </w:rPr>
            </w:pPr>
            <w:r w:rsidRPr="00DA5395">
              <w:rPr>
                <w:rFonts w:ascii="Arial" w:hAnsi="Arial" w:cs="Arial"/>
                <w:sz w:val="20"/>
                <w:szCs w:val="20"/>
              </w:rPr>
              <w:t>Other</w:t>
            </w:r>
          </w:p>
        </w:tc>
        <w:tc>
          <w:tcPr>
            <w:tcW w:w="1212" w:type="dxa"/>
          </w:tcPr>
          <w:p w14:paraId="06F6C7D8" w14:textId="77777777" w:rsidR="00DA5395" w:rsidRPr="00DA5395" w:rsidRDefault="00DA5395" w:rsidP="00DA5395">
            <w:pPr>
              <w:pStyle w:val="NoSpacing"/>
              <w:jc w:val="right"/>
              <w:rPr>
                <w:rFonts w:ascii="Arial" w:hAnsi="Arial" w:cs="Arial"/>
                <w:sz w:val="20"/>
                <w:szCs w:val="20"/>
              </w:rPr>
            </w:pPr>
          </w:p>
          <w:p w14:paraId="445D4AE3"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57 (58%)</w:t>
            </w:r>
          </w:p>
          <w:p w14:paraId="4A0EC0C1"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14 (14%)</w:t>
            </w:r>
          </w:p>
          <w:p w14:paraId="3305813C"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 xml:space="preserve">9 (9%) </w:t>
            </w:r>
          </w:p>
          <w:p w14:paraId="753B9B75"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3 (3%)</w:t>
            </w:r>
          </w:p>
          <w:p w14:paraId="0AC7CE58"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15 (15%)</w:t>
            </w:r>
          </w:p>
          <w:p w14:paraId="2E43BC98"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 xml:space="preserve"> </w:t>
            </w:r>
          </w:p>
        </w:tc>
      </w:tr>
      <w:tr w:rsidR="00DA5395" w:rsidRPr="00DA5395" w14:paraId="52E1C823" w14:textId="77777777" w:rsidTr="00392980">
        <w:tc>
          <w:tcPr>
            <w:tcW w:w="8642" w:type="dxa"/>
            <w:tcBorders>
              <w:bottom w:val="single" w:sz="4" w:space="0" w:color="auto"/>
            </w:tcBorders>
          </w:tcPr>
          <w:p w14:paraId="5685B0CA" w14:textId="2A20CE97" w:rsidR="00DA5395" w:rsidRPr="00CD0BE3" w:rsidRDefault="00DA5395" w:rsidP="00DA5395">
            <w:pPr>
              <w:pStyle w:val="NoSpacing"/>
              <w:rPr>
                <w:rFonts w:ascii="Arial" w:hAnsi="Arial" w:cs="Arial"/>
                <w:sz w:val="20"/>
                <w:szCs w:val="20"/>
                <w:vertAlign w:val="superscript"/>
              </w:rPr>
            </w:pPr>
            <w:r w:rsidRPr="00DA5395">
              <w:rPr>
                <w:rFonts w:ascii="Arial" w:hAnsi="Arial" w:cs="Arial"/>
                <w:sz w:val="20"/>
                <w:szCs w:val="20"/>
              </w:rPr>
              <w:t>Risk score out of 10, mean (SD) (n=97)</w:t>
            </w:r>
            <w:r w:rsidR="004C59EA">
              <w:rPr>
                <w:rFonts w:ascii="Arial" w:hAnsi="Arial" w:cs="Arial"/>
                <w:sz w:val="20"/>
                <w:szCs w:val="20"/>
                <w:vertAlign w:val="superscript"/>
              </w:rPr>
              <w:t>1</w:t>
            </w:r>
          </w:p>
        </w:tc>
        <w:tc>
          <w:tcPr>
            <w:tcW w:w="1212" w:type="dxa"/>
            <w:tcBorders>
              <w:bottom w:val="single" w:sz="4" w:space="0" w:color="auto"/>
            </w:tcBorders>
          </w:tcPr>
          <w:p w14:paraId="61DC136B" w14:textId="77777777" w:rsidR="00DA5395" w:rsidRPr="00DA5395" w:rsidRDefault="00DA5395" w:rsidP="00DA5395">
            <w:pPr>
              <w:pStyle w:val="NoSpacing"/>
              <w:jc w:val="right"/>
              <w:rPr>
                <w:rFonts w:ascii="Arial" w:hAnsi="Arial" w:cs="Arial"/>
                <w:sz w:val="20"/>
                <w:szCs w:val="20"/>
              </w:rPr>
            </w:pPr>
            <w:r w:rsidRPr="00DA5395">
              <w:rPr>
                <w:rFonts w:ascii="Arial" w:hAnsi="Arial" w:cs="Arial"/>
                <w:sz w:val="20"/>
                <w:szCs w:val="20"/>
              </w:rPr>
              <w:t>6.1 (1.8)</w:t>
            </w:r>
          </w:p>
        </w:tc>
      </w:tr>
    </w:tbl>
    <w:p w14:paraId="5FEA536D" w14:textId="77777777" w:rsidR="00392980" w:rsidRDefault="00392980" w:rsidP="00DA5395">
      <w:pPr>
        <w:pStyle w:val="NoSpacing"/>
        <w:jc w:val="both"/>
        <w:rPr>
          <w:rFonts w:ascii="Arial" w:hAnsi="Arial" w:cs="Arial"/>
          <w:sz w:val="18"/>
        </w:rPr>
      </w:pPr>
    </w:p>
    <w:p w14:paraId="3AC7BF81" w14:textId="083D6BD1" w:rsidR="00DA5395" w:rsidRPr="00183FF1" w:rsidRDefault="00392980" w:rsidP="00DA5395">
      <w:pPr>
        <w:pStyle w:val="NoSpacing"/>
        <w:jc w:val="both"/>
        <w:rPr>
          <w:rFonts w:ascii="Arial" w:hAnsi="Arial" w:cs="Arial"/>
          <w:sz w:val="18"/>
        </w:rPr>
      </w:pPr>
      <w:r>
        <w:rPr>
          <w:rFonts w:ascii="Arial" w:hAnsi="Arial" w:cs="Arial"/>
          <w:sz w:val="18"/>
        </w:rPr>
        <w:t xml:space="preserve">NOTES: </w:t>
      </w:r>
      <w:r w:rsidR="004C59EA">
        <w:rPr>
          <w:rFonts w:ascii="Arial" w:hAnsi="Arial" w:cs="Arial"/>
          <w:sz w:val="18"/>
        </w:rPr>
        <w:t xml:space="preserve">1. </w:t>
      </w:r>
      <w:r w:rsidR="00DA5395" w:rsidRPr="00DA5395">
        <w:rPr>
          <w:rFonts w:ascii="Arial" w:hAnsi="Arial" w:cs="Arial"/>
          <w:sz w:val="18"/>
        </w:rPr>
        <w:t xml:space="preserve">SD = standard deviation. </w:t>
      </w:r>
      <w:r w:rsidR="00183FF1" w:rsidRPr="00183FF1">
        <w:rPr>
          <w:rFonts w:ascii="Arial" w:hAnsi="Arial" w:cs="Arial"/>
          <w:sz w:val="18"/>
        </w:rPr>
        <w:t>Respondents were asked to rate their attitude to risk on a zero to ten scale, where zero means “risk averse” and ten means “fully prepared to take risks”.</w:t>
      </w:r>
    </w:p>
    <w:p w14:paraId="365F1391" w14:textId="08121290" w:rsidR="00DA5395" w:rsidRDefault="00DA5395" w:rsidP="00614CD7">
      <w:pPr>
        <w:spacing w:line="480" w:lineRule="auto"/>
        <w:jc w:val="both"/>
        <w:rPr>
          <w:rFonts w:ascii="Arial" w:hAnsi="Arial" w:cs="Arial"/>
          <w:b/>
          <w:color w:val="222222"/>
          <w:sz w:val="20"/>
          <w:szCs w:val="20"/>
          <w:shd w:val="clear" w:color="auto" w:fill="FFFFFF"/>
        </w:rPr>
      </w:pPr>
    </w:p>
    <w:p w14:paraId="385EC068" w14:textId="5A8EF41E" w:rsidR="004277A2" w:rsidRDefault="004277A2">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br w:type="page"/>
      </w:r>
    </w:p>
    <w:p w14:paraId="674365AF" w14:textId="1DCFFE39" w:rsidR="001D3D3C" w:rsidRPr="001D3D3C" w:rsidRDefault="001D3D3C" w:rsidP="001D3D3C">
      <w:pPr>
        <w:pStyle w:val="NoSpacing"/>
        <w:rPr>
          <w:rFonts w:ascii="Arial" w:hAnsi="Arial" w:cs="Arial"/>
          <w:b/>
        </w:rPr>
      </w:pPr>
      <w:r w:rsidRPr="001D3D3C">
        <w:rPr>
          <w:rFonts w:ascii="Arial" w:hAnsi="Arial" w:cs="Arial"/>
          <w:b/>
        </w:rPr>
        <w:t>Table 3: Conditional logi</w:t>
      </w:r>
      <w:r w:rsidR="0063571B">
        <w:rPr>
          <w:rFonts w:ascii="Arial" w:hAnsi="Arial" w:cs="Arial"/>
          <w:b/>
        </w:rPr>
        <w:t>s</w:t>
      </w:r>
      <w:r w:rsidRPr="001D3D3C">
        <w:rPr>
          <w:rFonts w:ascii="Arial" w:hAnsi="Arial" w:cs="Arial"/>
          <w:b/>
        </w:rPr>
        <w:t>t</w:t>
      </w:r>
      <w:r w:rsidR="0063571B">
        <w:rPr>
          <w:rFonts w:ascii="Arial" w:hAnsi="Arial" w:cs="Arial"/>
          <w:b/>
        </w:rPr>
        <w:t>ic</w:t>
      </w:r>
      <w:r w:rsidRPr="001D3D3C">
        <w:rPr>
          <w:rFonts w:ascii="Arial" w:hAnsi="Arial" w:cs="Arial"/>
          <w:b/>
        </w:rPr>
        <w:t xml:space="preserve"> regression analysis</w:t>
      </w:r>
    </w:p>
    <w:p w14:paraId="1FA0D679" w14:textId="77777777" w:rsidR="001D3D3C" w:rsidRPr="001D3D3C" w:rsidRDefault="001D3D3C" w:rsidP="001D3D3C">
      <w:pPr>
        <w:pStyle w:val="NoSpacing"/>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1668"/>
        <w:gridCol w:w="667"/>
        <w:gridCol w:w="825"/>
        <w:gridCol w:w="815"/>
        <w:gridCol w:w="1623"/>
        <w:gridCol w:w="772"/>
      </w:tblGrid>
      <w:tr w:rsidR="00F451C3" w:rsidRPr="001D3D3C" w14:paraId="062E105E" w14:textId="77777777" w:rsidTr="00041D77">
        <w:trPr>
          <w:trHeight w:val="113"/>
          <w:jc w:val="center"/>
        </w:trPr>
        <w:tc>
          <w:tcPr>
            <w:tcW w:w="0" w:type="auto"/>
            <w:tcBorders>
              <w:top w:val="double" w:sz="4" w:space="0" w:color="auto"/>
              <w:bottom w:val="single" w:sz="4" w:space="0" w:color="auto"/>
            </w:tcBorders>
          </w:tcPr>
          <w:p w14:paraId="7850A902" w14:textId="447AF1B0" w:rsidR="001D3D3C" w:rsidRPr="001D3D3C" w:rsidRDefault="007F7BF2" w:rsidP="00CC3D1F">
            <w:pPr>
              <w:pStyle w:val="NoSpacing"/>
              <w:jc w:val="center"/>
              <w:rPr>
                <w:rFonts w:ascii="Arial" w:hAnsi="Arial" w:cs="Arial"/>
                <w:b/>
                <w:sz w:val="18"/>
                <w:szCs w:val="18"/>
                <w:vertAlign w:val="superscript"/>
              </w:rPr>
            </w:pPr>
            <w:r>
              <w:rPr>
                <w:rFonts w:ascii="Arial" w:hAnsi="Arial" w:cs="Arial"/>
                <w:b/>
                <w:sz w:val="18"/>
                <w:szCs w:val="18"/>
              </w:rPr>
              <w:t>Attribute</w:t>
            </w:r>
            <w:r>
              <w:rPr>
                <w:rFonts w:ascii="Arial" w:hAnsi="Arial" w:cs="Arial"/>
                <w:b/>
                <w:sz w:val="18"/>
                <w:szCs w:val="18"/>
                <w:vertAlign w:val="superscript"/>
              </w:rPr>
              <w:t>2</w:t>
            </w:r>
          </w:p>
        </w:tc>
        <w:tc>
          <w:tcPr>
            <w:tcW w:w="0" w:type="auto"/>
            <w:tcBorders>
              <w:top w:val="double" w:sz="4" w:space="0" w:color="auto"/>
              <w:bottom w:val="single" w:sz="4" w:space="0" w:color="auto"/>
            </w:tcBorders>
          </w:tcPr>
          <w:p w14:paraId="4970B5C0" w14:textId="77777777" w:rsidR="001D3D3C" w:rsidRPr="001D3D3C" w:rsidRDefault="001D3D3C" w:rsidP="00CC3D1F">
            <w:pPr>
              <w:pStyle w:val="NoSpacing"/>
              <w:jc w:val="center"/>
              <w:rPr>
                <w:rFonts w:ascii="Arial" w:hAnsi="Arial" w:cs="Arial"/>
                <w:b/>
                <w:sz w:val="18"/>
                <w:szCs w:val="18"/>
              </w:rPr>
            </w:pPr>
            <w:r w:rsidRPr="001D3D3C">
              <w:rPr>
                <w:rFonts w:ascii="Arial" w:hAnsi="Arial" w:cs="Arial"/>
                <w:b/>
                <w:sz w:val="18"/>
                <w:szCs w:val="18"/>
              </w:rPr>
              <w:t>Coefficient</w:t>
            </w:r>
          </w:p>
        </w:tc>
        <w:tc>
          <w:tcPr>
            <w:tcW w:w="0" w:type="auto"/>
            <w:tcBorders>
              <w:top w:val="double" w:sz="4" w:space="0" w:color="auto"/>
              <w:bottom w:val="single" w:sz="4" w:space="0" w:color="auto"/>
            </w:tcBorders>
          </w:tcPr>
          <w:p w14:paraId="03F9628B" w14:textId="77777777" w:rsidR="001D3D3C" w:rsidRPr="001D3D3C" w:rsidRDefault="001D3D3C" w:rsidP="00CC3D1F">
            <w:pPr>
              <w:pStyle w:val="NoSpacing"/>
              <w:jc w:val="center"/>
              <w:rPr>
                <w:rFonts w:ascii="Arial" w:hAnsi="Arial" w:cs="Arial"/>
                <w:b/>
                <w:sz w:val="18"/>
                <w:szCs w:val="18"/>
              </w:rPr>
            </w:pPr>
            <w:r w:rsidRPr="001D3D3C">
              <w:rPr>
                <w:rFonts w:ascii="Arial" w:hAnsi="Arial" w:cs="Arial"/>
                <w:b/>
                <w:sz w:val="18"/>
                <w:szCs w:val="18"/>
              </w:rPr>
              <w:t>SE</w:t>
            </w:r>
          </w:p>
        </w:tc>
        <w:tc>
          <w:tcPr>
            <w:tcW w:w="0" w:type="auto"/>
            <w:tcBorders>
              <w:top w:val="double" w:sz="4" w:space="0" w:color="auto"/>
              <w:bottom w:val="single" w:sz="4" w:space="0" w:color="auto"/>
            </w:tcBorders>
          </w:tcPr>
          <w:p w14:paraId="11460F2B" w14:textId="77777777" w:rsidR="001D3D3C" w:rsidRPr="001D3D3C" w:rsidRDefault="001D3D3C" w:rsidP="00CC3D1F">
            <w:pPr>
              <w:pStyle w:val="NoSpacing"/>
              <w:jc w:val="center"/>
              <w:rPr>
                <w:rFonts w:ascii="Arial" w:hAnsi="Arial" w:cs="Arial"/>
                <w:b/>
                <w:sz w:val="18"/>
                <w:szCs w:val="18"/>
              </w:rPr>
            </w:pPr>
            <w:r w:rsidRPr="001D3D3C">
              <w:rPr>
                <w:rFonts w:ascii="Arial" w:hAnsi="Arial" w:cs="Arial"/>
                <w:b/>
                <w:sz w:val="18"/>
                <w:szCs w:val="18"/>
              </w:rPr>
              <w:t>Lower CI</w:t>
            </w:r>
          </w:p>
        </w:tc>
        <w:tc>
          <w:tcPr>
            <w:tcW w:w="0" w:type="auto"/>
            <w:tcBorders>
              <w:top w:val="double" w:sz="4" w:space="0" w:color="auto"/>
              <w:bottom w:val="single" w:sz="4" w:space="0" w:color="auto"/>
            </w:tcBorders>
          </w:tcPr>
          <w:p w14:paraId="47C09F97" w14:textId="77777777" w:rsidR="001D3D3C" w:rsidRPr="001D3D3C" w:rsidRDefault="001D3D3C" w:rsidP="00CC3D1F">
            <w:pPr>
              <w:pStyle w:val="NoSpacing"/>
              <w:jc w:val="center"/>
              <w:rPr>
                <w:rFonts w:ascii="Arial" w:hAnsi="Arial" w:cs="Arial"/>
                <w:b/>
                <w:sz w:val="18"/>
                <w:szCs w:val="18"/>
              </w:rPr>
            </w:pPr>
            <w:r w:rsidRPr="001D3D3C">
              <w:rPr>
                <w:rFonts w:ascii="Arial" w:hAnsi="Arial" w:cs="Arial"/>
                <w:b/>
                <w:sz w:val="18"/>
                <w:szCs w:val="18"/>
              </w:rPr>
              <w:t>Upper CI</w:t>
            </w:r>
          </w:p>
        </w:tc>
        <w:tc>
          <w:tcPr>
            <w:tcW w:w="0" w:type="auto"/>
            <w:tcBorders>
              <w:top w:val="double" w:sz="4" w:space="0" w:color="auto"/>
              <w:bottom w:val="single" w:sz="4" w:space="0" w:color="auto"/>
            </w:tcBorders>
          </w:tcPr>
          <w:p w14:paraId="43B73BD2" w14:textId="39C0DBC9" w:rsidR="001D3D3C" w:rsidRPr="001D3D3C" w:rsidRDefault="00CD0BE3" w:rsidP="00CC3D1F">
            <w:pPr>
              <w:pStyle w:val="NoSpacing"/>
              <w:jc w:val="center"/>
              <w:rPr>
                <w:rFonts w:ascii="Arial" w:hAnsi="Arial" w:cs="Arial"/>
                <w:b/>
                <w:sz w:val="18"/>
                <w:szCs w:val="18"/>
              </w:rPr>
            </w:pPr>
            <w:r>
              <w:rPr>
                <w:rFonts w:ascii="Arial" w:hAnsi="Arial" w:cs="Arial"/>
                <w:b/>
                <w:sz w:val="18"/>
                <w:szCs w:val="18"/>
              </w:rPr>
              <w:t>Average m</w:t>
            </w:r>
            <w:r w:rsidR="001D3D3C" w:rsidRPr="001D3D3C">
              <w:rPr>
                <w:rFonts w:ascii="Arial" w:hAnsi="Arial" w:cs="Arial"/>
                <w:b/>
                <w:sz w:val="18"/>
                <w:szCs w:val="18"/>
              </w:rPr>
              <w:t>arginal effect</w:t>
            </w:r>
            <w:r>
              <w:rPr>
                <w:rFonts w:ascii="Arial" w:hAnsi="Arial" w:cs="Arial"/>
                <w:b/>
                <w:sz w:val="18"/>
                <w:szCs w:val="18"/>
              </w:rPr>
              <w:t xml:space="preserve"> (AME)</w:t>
            </w:r>
            <w:r w:rsidR="007F7BF2">
              <w:rPr>
                <w:rFonts w:ascii="Arial" w:hAnsi="Arial" w:cs="Arial"/>
                <w:sz w:val="18"/>
                <w:szCs w:val="18"/>
                <w:vertAlign w:val="superscript"/>
              </w:rPr>
              <w:t>1</w:t>
            </w:r>
          </w:p>
        </w:tc>
        <w:tc>
          <w:tcPr>
            <w:tcW w:w="0" w:type="auto"/>
            <w:tcBorders>
              <w:top w:val="double" w:sz="4" w:space="0" w:color="auto"/>
              <w:bottom w:val="single" w:sz="4" w:space="0" w:color="auto"/>
            </w:tcBorders>
          </w:tcPr>
          <w:p w14:paraId="677ECA91" w14:textId="77777777" w:rsidR="001D3D3C" w:rsidRPr="001D3D3C" w:rsidRDefault="001D3D3C" w:rsidP="00CC3D1F">
            <w:pPr>
              <w:pStyle w:val="NoSpacing"/>
              <w:jc w:val="center"/>
              <w:rPr>
                <w:rFonts w:ascii="Arial" w:hAnsi="Arial" w:cs="Arial"/>
                <w:b/>
                <w:i/>
                <w:sz w:val="18"/>
                <w:szCs w:val="18"/>
              </w:rPr>
            </w:pPr>
            <w:r w:rsidRPr="001D3D3C">
              <w:rPr>
                <w:rFonts w:ascii="Arial" w:hAnsi="Arial" w:cs="Arial"/>
                <w:b/>
                <w:i/>
                <w:sz w:val="18"/>
                <w:szCs w:val="18"/>
              </w:rPr>
              <w:t>P</w:t>
            </w:r>
          </w:p>
        </w:tc>
      </w:tr>
      <w:tr w:rsidR="00F451C3" w:rsidRPr="001D3D3C" w14:paraId="1E07DDB1" w14:textId="77777777" w:rsidTr="00041D77">
        <w:trPr>
          <w:trHeight w:val="113"/>
          <w:jc w:val="center"/>
        </w:trPr>
        <w:tc>
          <w:tcPr>
            <w:tcW w:w="0" w:type="auto"/>
            <w:tcBorders>
              <w:top w:val="single" w:sz="4" w:space="0" w:color="auto"/>
            </w:tcBorders>
          </w:tcPr>
          <w:p w14:paraId="722F3FB9" w14:textId="0E1BB858" w:rsidR="00F451C3" w:rsidRDefault="00F451C3" w:rsidP="000A58EA">
            <w:pPr>
              <w:pStyle w:val="NoSpacing"/>
              <w:rPr>
                <w:rFonts w:ascii="Arial" w:hAnsi="Arial" w:cs="Arial"/>
                <w:sz w:val="18"/>
                <w:szCs w:val="18"/>
              </w:rPr>
            </w:pPr>
            <w:r>
              <w:rPr>
                <w:rFonts w:ascii="Arial" w:hAnsi="Arial" w:cs="Arial"/>
                <w:sz w:val="18"/>
                <w:szCs w:val="18"/>
              </w:rPr>
              <w:t>SYMPTOMS</w:t>
            </w:r>
          </w:p>
          <w:p w14:paraId="19AC9D50" w14:textId="77777777" w:rsidR="00F451C3" w:rsidRDefault="00F451C3" w:rsidP="00321EC7">
            <w:pPr>
              <w:pStyle w:val="NoSpacing"/>
              <w:rPr>
                <w:rFonts w:ascii="Arial" w:hAnsi="Arial" w:cs="Arial"/>
                <w:sz w:val="18"/>
                <w:szCs w:val="18"/>
              </w:rPr>
            </w:pPr>
          </w:p>
          <w:p w14:paraId="3036AB02" w14:textId="2AF4F2AF" w:rsidR="001D3D3C" w:rsidRPr="001D3D3C" w:rsidRDefault="00F451C3" w:rsidP="00A07781">
            <w:pPr>
              <w:pStyle w:val="NoSpacing"/>
              <w:rPr>
                <w:rFonts w:ascii="Arial" w:hAnsi="Arial" w:cs="Arial"/>
                <w:sz w:val="18"/>
                <w:szCs w:val="18"/>
              </w:rPr>
            </w:pPr>
            <w:r>
              <w:rPr>
                <w:rFonts w:ascii="Arial" w:hAnsi="Arial" w:cs="Arial"/>
                <w:sz w:val="18"/>
                <w:szCs w:val="18"/>
              </w:rPr>
              <w:t>UTI symptoms with kidney pain</w:t>
            </w:r>
          </w:p>
        </w:tc>
        <w:tc>
          <w:tcPr>
            <w:tcW w:w="0" w:type="auto"/>
            <w:tcBorders>
              <w:top w:val="single" w:sz="4" w:space="0" w:color="auto"/>
            </w:tcBorders>
            <w:vAlign w:val="bottom"/>
          </w:tcPr>
          <w:p w14:paraId="3C4B42CB"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1.132</w:t>
            </w:r>
          </w:p>
        </w:tc>
        <w:tc>
          <w:tcPr>
            <w:tcW w:w="0" w:type="auto"/>
            <w:tcBorders>
              <w:top w:val="single" w:sz="4" w:space="0" w:color="auto"/>
            </w:tcBorders>
            <w:vAlign w:val="bottom"/>
          </w:tcPr>
          <w:p w14:paraId="2E4E4222" w14:textId="1D496049" w:rsidR="001D3D3C" w:rsidRPr="001D3D3C" w:rsidRDefault="001D3D3C" w:rsidP="00CC3D1F">
            <w:pPr>
              <w:jc w:val="right"/>
              <w:rPr>
                <w:rFonts w:ascii="Arial" w:hAnsi="Arial" w:cs="Arial"/>
                <w:sz w:val="18"/>
                <w:szCs w:val="18"/>
              </w:rPr>
            </w:pPr>
            <w:r w:rsidRPr="001D3D3C">
              <w:rPr>
                <w:rFonts w:ascii="Arial" w:hAnsi="Arial" w:cs="Arial"/>
                <w:sz w:val="18"/>
                <w:szCs w:val="18"/>
              </w:rPr>
              <w:t>0.1</w:t>
            </w:r>
            <w:r w:rsidR="00B062B2">
              <w:rPr>
                <w:rFonts w:ascii="Arial" w:hAnsi="Arial" w:cs="Arial"/>
                <w:sz w:val="18"/>
                <w:szCs w:val="18"/>
              </w:rPr>
              <w:t>55</w:t>
            </w:r>
          </w:p>
        </w:tc>
        <w:tc>
          <w:tcPr>
            <w:tcW w:w="0" w:type="auto"/>
            <w:tcBorders>
              <w:top w:val="single" w:sz="4" w:space="0" w:color="auto"/>
            </w:tcBorders>
            <w:vAlign w:val="bottom"/>
          </w:tcPr>
          <w:p w14:paraId="0B4BEAC5" w14:textId="3F1023F7" w:rsidR="001D3D3C" w:rsidRPr="001D3D3C" w:rsidRDefault="001D3D3C" w:rsidP="00CC3D1F">
            <w:pPr>
              <w:jc w:val="right"/>
              <w:rPr>
                <w:rFonts w:ascii="Arial" w:hAnsi="Arial" w:cs="Arial"/>
                <w:sz w:val="18"/>
                <w:szCs w:val="18"/>
              </w:rPr>
            </w:pPr>
            <w:r w:rsidRPr="001D3D3C">
              <w:rPr>
                <w:rFonts w:ascii="Arial" w:hAnsi="Arial" w:cs="Arial"/>
                <w:sz w:val="18"/>
                <w:szCs w:val="18"/>
              </w:rPr>
              <w:t>0.8</w:t>
            </w:r>
            <w:r w:rsidR="00B062B2">
              <w:rPr>
                <w:rFonts w:ascii="Arial" w:hAnsi="Arial" w:cs="Arial"/>
                <w:sz w:val="18"/>
                <w:szCs w:val="18"/>
              </w:rPr>
              <w:t>29</w:t>
            </w:r>
          </w:p>
        </w:tc>
        <w:tc>
          <w:tcPr>
            <w:tcW w:w="0" w:type="auto"/>
            <w:tcBorders>
              <w:top w:val="single" w:sz="4" w:space="0" w:color="auto"/>
            </w:tcBorders>
            <w:vAlign w:val="bottom"/>
          </w:tcPr>
          <w:p w14:paraId="7A7A47ED" w14:textId="6CBBC047" w:rsidR="001D3D3C" w:rsidRPr="001D3D3C" w:rsidRDefault="001D3D3C" w:rsidP="00CC3D1F">
            <w:pPr>
              <w:jc w:val="right"/>
              <w:rPr>
                <w:rFonts w:ascii="Arial" w:hAnsi="Arial" w:cs="Arial"/>
                <w:sz w:val="18"/>
                <w:szCs w:val="18"/>
              </w:rPr>
            </w:pPr>
            <w:r w:rsidRPr="001D3D3C">
              <w:rPr>
                <w:rFonts w:ascii="Arial" w:hAnsi="Arial" w:cs="Arial"/>
                <w:sz w:val="18"/>
                <w:szCs w:val="18"/>
              </w:rPr>
              <w:t>1.4</w:t>
            </w:r>
            <w:r w:rsidR="00B062B2">
              <w:rPr>
                <w:rFonts w:ascii="Arial" w:hAnsi="Arial" w:cs="Arial"/>
                <w:sz w:val="18"/>
                <w:szCs w:val="18"/>
              </w:rPr>
              <w:t>36</w:t>
            </w:r>
          </w:p>
        </w:tc>
        <w:tc>
          <w:tcPr>
            <w:tcW w:w="0" w:type="auto"/>
            <w:tcBorders>
              <w:top w:val="single" w:sz="4" w:space="0" w:color="auto"/>
            </w:tcBorders>
            <w:vAlign w:val="bottom"/>
          </w:tcPr>
          <w:p w14:paraId="4026506D"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0.173</w:t>
            </w:r>
          </w:p>
        </w:tc>
        <w:tc>
          <w:tcPr>
            <w:tcW w:w="0" w:type="auto"/>
            <w:tcBorders>
              <w:top w:val="single" w:sz="4" w:space="0" w:color="auto"/>
            </w:tcBorders>
            <w:vAlign w:val="bottom"/>
          </w:tcPr>
          <w:p w14:paraId="18E82CB5"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&lt;0.001</w:t>
            </w:r>
          </w:p>
        </w:tc>
      </w:tr>
      <w:tr w:rsidR="00F451C3" w:rsidRPr="001D3D3C" w14:paraId="765A1F95" w14:textId="77777777" w:rsidTr="00041D77">
        <w:trPr>
          <w:trHeight w:val="113"/>
          <w:jc w:val="center"/>
        </w:trPr>
        <w:tc>
          <w:tcPr>
            <w:tcW w:w="0" w:type="auto"/>
          </w:tcPr>
          <w:p w14:paraId="2ED0A326" w14:textId="32AA58C0" w:rsidR="001D3D3C" w:rsidRPr="001D3D3C" w:rsidRDefault="00F451C3" w:rsidP="00A07781">
            <w:pPr>
              <w:pStyle w:val="NoSpacing"/>
              <w:rPr>
                <w:rFonts w:ascii="Arial" w:hAnsi="Arial" w:cs="Arial"/>
                <w:sz w:val="18"/>
                <w:szCs w:val="18"/>
              </w:rPr>
            </w:pPr>
            <w:r w:rsidRPr="002939F7">
              <w:rPr>
                <w:rFonts w:ascii="Arial" w:hAnsi="Arial" w:cs="Arial"/>
                <w:sz w:val="18"/>
                <w:szCs w:val="18"/>
              </w:rPr>
              <w:t xml:space="preserve">Fever, cough and possible pulmonary infiltrates on chest X-Ray </w:t>
            </w:r>
          </w:p>
        </w:tc>
        <w:tc>
          <w:tcPr>
            <w:tcW w:w="0" w:type="auto"/>
            <w:vAlign w:val="bottom"/>
          </w:tcPr>
          <w:p w14:paraId="150FA619"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0.246</w:t>
            </w:r>
          </w:p>
        </w:tc>
        <w:tc>
          <w:tcPr>
            <w:tcW w:w="0" w:type="auto"/>
            <w:vAlign w:val="bottom"/>
          </w:tcPr>
          <w:p w14:paraId="1463D6E4" w14:textId="30C90386" w:rsidR="001D3D3C" w:rsidRPr="001D3D3C" w:rsidRDefault="001D3D3C" w:rsidP="00CC3D1F">
            <w:pPr>
              <w:jc w:val="right"/>
              <w:rPr>
                <w:rFonts w:ascii="Arial" w:hAnsi="Arial" w:cs="Arial"/>
                <w:sz w:val="18"/>
                <w:szCs w:val="18"/>
              </w:rPr>
            </w:pPr>
            <w:r w:rsidRPr="001D3D3C">
              <w:rPr>
                <w:rFonts w:ascii="Arial" w:hAnsi="Arial" w:cs="Arial"/>
                <w:sz w:val="18"/>
                <w:szCs w:val="18"/>
              </w:rPr>
              <w:t>0.1</w:t>
            </w:r>
            <w:r w:rsidR="00B062B2">
              <w:rPr>
                <w:rFonts w:ascii="Arial" w:hAnsi="Arial" w:cs="Arial"/>
                <w:sz w:val="18"/>
                <w:szCs w:val="18"/>
              </w:rPr>
              <w:t>08</w:t>
            </w:r>
          </w:p>
        </w:tc>
        <w:tc>
          <w:tcPr>
            <w:tcW w:w="0" w:type="auto"/>
            <w:vAlign w:val="bottom"/>
          </w:tcPr>
          <w:p w14:paraId="55379915" w14:textId="4936AADA" w:rsidR="001D3D3C" w:rsidRPr="001D3D3C" w:rsidRDefault="001D3D3C" w:rsidP="00CC3D1F">
            <w:pPr>
              <w:jc w:val="right"/>
              <w:rPr>
                <w:rFonts w:ascii="Arial" w:hAnsi="Arial" w:cs="Arial"/>
                <w:sz w:val="18"/>
                <w:szCs w:val="18"/>
              </w:rPr>
            </w:pPr>
            <w:r w:rsidRPr="001D3D3C">
              <w:rPr>
                <w:rFonts w:ascii="Arial" w:hAnsi="Arial" w:cs="Arial"/>
                <w:sz w:val="18"/>
                <w:szCs w:val="18"/>
              </w:rPr>
              <w:t>0.0</w:t>
            </w:r>
            <w:r w:rsidR="00B062B2">
              <w:rPr>
                <w:rFonts w:ascii="Arial" w:hAnsi="Arial" w:cs="Arial"/>
                <w:sz w:val="18"/>
                <w:szCs w:val="18"/>
              </w:rPr>
              <w:t>34</w:t>
            </w:r>
          </w:p>
        </w:tc>
        <w:tc>
          <w:tcPr>
            <w:tcW w:w="0" w:type="auto"/>
            <w:vAlign w:val="bottom"/>
          </w:tcPr>
          <w:p w14:paraId="50F89391" w14:textId="5145592B" w:rsidR="001D3D3C" w:rsidRPr="001D3D3C" w:rsidRDefault="001D3D3C" w:rsidP="00CC3D1F">
            <w:pPr>
              <w:jc w:val="right"/>
              <w:rPr>
                <w:rFonts w:ascii="Arial" w:hAnsi="Arial" w:cs="Arial"/>
                <w:sz w:val="18"/>
                <w:szCs w:val="18"/>
              </w:rPr>
            </w:pPr>
            <w:r w:rsidRPr="001D3D3C">
              <w:rPr>
                <w:rFonts w:ascii="Arial" w:hAnsi="Arial" w:cs="Arial"/>
                <w:sz w:val="18"/>
                <w:szCs w:val="18"/>
              </w:rPr>
              <w:t>0.4</w:t>
            </w:r>
            <w:r w:rsidR="00B062B2">
              <w:rPr>
                <w:rFonts w:ascii="Arial" w:hAnsi="Arial" w:cs="Arial"/>
                <w:sz w:val="18"/>
                <w:szCs w:val="18"/>
              </w:rPr>
              <w:t>5</w:t>
            </w:r>
            <w:r w:rsidRPr="001D3D3C">
              <w:rPr>
                <w:rFonts w:ascii="Arial" w:hAnsi="Arial" w:cs="Arial"/>
                <w:sz w:val="18"/>
                <w:szCs w:val="18"/>
              </w:rPr>
              <w:t>9</w:t>
            </w:r>
          </w:p>
        </w:tc>
        <w:tc>
          <w:tcPr>
            <w:tcW w:w="0" w:type="auto"/>
            <w:vAlign w:val="bottom"/>
          </w:tcPr>
          <w:p w14:paraId="6B4212D1"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0.038</w:t>
            </w:r>
          </w:p>
        </w:tc>
        <w:tc>
          <w:tcPr>
            <w:tcW w:w="0" w:type="auto"/>
            <w:vAlign w:val="bottom"/>
          </w:tcPr>
          <w:p w14:paraId="60D8C067" w14:textId="35F2117B"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0.0</w:t>
            </w:r>
            <w:r w:rsidR="00B062B2">
              <w:rPr>
                <w:rFonts w:ascii="Arial" w:hAnsi="Arial" w:cs="Arial"/>
                <w:sz w:val="18"/>
                <w:szCs w:val="18"/>
              </w:rPr>
              <w:t>23</w:t>
            </w:r>
          </w:p>
        </w:tc>
      </w:tr>
      <w:tr w:rsidR="00F451C3" w:rsidRPr="001D3D3C" w14:paraId="2EF60998" w14:textId="77777777" w:rsidTr="00041D77">
        <w:trPr>
          <w:trHeight w:val="113"/>
          <w:jc w:val="center"/>
        </w:trPr>
        <w:tc>
          <w:tcPr>
            <w:tcW w:w="0" w:type="auto"/>
            <w:vAlign w:val="bottom"/>
          </w:tcPr>
          <w:p w14:paraId="7A7A941B" w14:textId="42DC09C0" w:rsidR="001D3D3C" w:rsidRPr="001D3D3C" w:rsidRDefault="006B073C" w:rsidP="00A07781">
            <w:pPr>
              <w:pStyle w:val="NoSpacing"/>
              <w:rPr>
                <w:rFonts w:ascii="Arial" w:hAnsi="Arial" w:cs="Arial"/>
                <w:sz w:val="18"/>
                <w:szCs w:val="18"/>
              </w:rPr>
            </w:pPr>
            <w:r>
              <w:rPr>
                <w:rFonts w:ascii="Arial" w:hAnsi="Arial" w:cs="Arial"/>
                <w:sz w:val="18"/>
                <w:szCs w:val="18"/>
              </w:rPr>
              <w:t xml:space="preserve">Unclear symptoms </w:t>
            </w:r>
            <w:r w:rsidR="007F7BF2">
              <w:rPr>
                <w:rFonts w:ascii="Arial" w:hAnsi="Arial" w:cs="Arial"/>
                <w:sz w:val="18"/>
                <w:szCs w:val="18"/>
                <w:vertAlign w:val="superscript"/>
              </w:rPr>
              <w:t>3</w:t>
            </w:r>
          </w:p>
        </w:tc>
        <w:tc>
          <w:tcPr>
            <w:tcW w:w="0" w:type="auto"/>
            <w:vAlign w:val="bottom"/>
          </w:tcPr>
          <w:p w14:paraId="4B90CF1D"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-1.379</w:t>
            </w:r>
          </w:p>
        </w:tc>
        <w:tc>
          <w:tcPr>
            <w:tcW w:w="0" w:type="auto"/>
            <w:vAlign w:val="bottom"/>
          </w:tcPr>
          <w:p w14:paraId="0D665664"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2A0CFF6A"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4FAF4B1E"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12E18DED"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6533A673" w14:textId="0114DD88" w:rsidR="001D3D3C" w:rsidRDefault="001D3D3C" w:rsidP="001C61A1">
            <w:pPr>
              <w:jc w:val="center"/>
              <w:rPr>
                <w:rFonts w:ascii="Arial" w:hAnsi="Arial" w:cs="Arial"/>
                <w:sz w:val="18"/>
                <w:szCs w:val="18"/>
              </w:rPr>
            </w:pPr>
          </w:p>
          <w:p w14:paraId="720E7045" w14:textId="3A7321D9" w:rsidR="004277A2" w:rsidRPr="001D3D3C" w:rsidRDefault="004277A2" w:rsidP="001C61A1">
            <w:pPr>
              <w:jc w:val="center"/>
              <w:rPr>
                <w:rFonts w:ascii="Arial" w:hAnsi="Arial" w:cs="Arial"/>
                <w:sz w:val="18"/>
                <w:szCs w:val="18"/>
              </w:rPr>
            </w:pPr>
            <w:r>
              <w:rPr>
                <w:rFonts w:ascii="Arial" w:hAnsi="Arial" w:cs="Arial"/>
                <w:sz w:val="18"/>
                <w:szCs w:val="18"/>
              </w:rPr>
              <w:t>-</w:t>
            </w:r>
          </w:p>
        </w:tc>
      </w:tr>
      <w:tr w:rsidR="00F451C3" w:rsidRPr="001D3D3C" w14:paraId="68C539EB" w14:textId="77777777" w:rsidTr="00041D77">
        <w:trPr>
          <w:trHeight w:val="113"/>
          <w:jc w:val="center"/>
        </w:trPr>
        <w:tc>
          <w:tcPr>
            <w:tcW w:w="0" w:type="auto"/>
          </w:tcPr>
          <w:p w14:paraId="4CF6603F" w14:textId="77777777" w:rsidR="004277A2" w:rsidRDefault="004277A2" w:rsidP="000A58EA">
            <w:pPr>
              <w:pStyle w:val="NoSpacing"/>
              <w:rPr>
                <w:rFonts w:ascii="Arial" w:hAnsi="Arial" w:cs="Arial"/>
                <w:sz w:val="18"/>
                <w:szCs w:val="18"/>
              </w:rPr>
            </w:pPr>
          </w:p>
          <w:p w14:paraId="587BB6DF" w14:textId="5CCD59AE" w:rsidR="00F451C3" w:rsidRDefault="00F451C3" w:rsidP="000A58EA">
            <w:pPr>
              <w:pStyle w:val="NoSpacing"/>
              <w:rPr>
                <w:rFonts w:ascii="Arial" w:hAnsi="Arial" w:cs="Arial"/>
                <w:sz w:val="18"/>
                <w:szCs w:val="18"/>
              </w:rPr>
            </w:pPr>
            <w:r>
              <w:rPr>
                <w:rFonts w:ascii="Arial" w:hAnsi="Arial" w:cs="Arial"/>
                <w:sz w:val="18"/>
                <w:szCs w:val="18"/>
              </w:rPr>
              <w:t>CONFLICT WITH GUIDELINES</w:t>
            </w:r>
          </w:p>
          <w:p w14:paraId="1D237DFA" w14:textId="77777777" w:rsidR="00F451C3" w:rsidRDefault="00F451C3" w:rsidP="00321EC7">
            <w:pPr>
              <w:pStyle w:val="NoSpacing"/>
              <w:rPr>
                <w:rFonts w:ascii="Arial" w:hAnsi="Arial" w:cs="Arial"/>
                <w:sz w:val="18"/>
                <w:szCs w:val="18"/>
              </w:rPr>
            </w:pPr>
          </w:p>
          <w:p w14:paraId="2FDACFBB" w14:textId="05DE4029" w:rsidR="001D3D3C" w:rsidRPr="001D3D3C" w:rsidRDefault="006B073C" w:rsidP="00A07781">
            <w:pPr>
              <w:pStyle w:val="NoSpacing"/>
              <w:rPr>
                <w:rFonts w:ascii="Arial" w:hAnsi="Arial" w:cs="Arial"/>
                <w:sz w:val="18"/>
                <w:szCs w:val="18"/>
              </w:rPr>
            </w:pPr>
            <w:r>
              <w:rPr>
                <w:rFonts w:ascii="Arial" w:hAnsi="Arial" w:cs="Arial"/>
                <w:sz w:val="18"/>
                <w:szCs w:val="18"/>
              </w:rPr>
              <w:t>Strongly conflict</w:t>
            </w:r>
          </w:p>
        </w:tc>
        <w:tc>
          <w:tcPr>
            <w:tcW w:w="0" w:type="auto"/>
            <w:vAlign w:val="bottom"/>
          </w:tcPr>
          <w:p w14:paraId="786005A8"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1.275</w:t>
            </w:r>
          </w:p>
        </w:tc>
        <w:tc>
          <w:tcPr>
            <w:tcW w:w="0" w:type="auto"/>
            <w:vAlign w:val="bottom"/>
          </w:tcPr>
          <w:p w14:paraId="16C5FE3D" w14:textId="229577EC" w:rsidR="001D3D3C" w:rsidRPr="001D3D3C" w:rsidRDefault="001D3D3C" w:rsidP="00CC3D1F">
            <w:pPr>
              <w:jc w:val="right"/>
              <w:rPr>
                <w:rFonts w:ascii="Arial" w:hAnsi="Arial" w:cs="Arial"/>
                <w:sz w:val="18"/>
                <w:szCs w:val="18"/>
              </w:rPr>
            </w:pPr>
            <w:r w:rsidRPr="001D3D3C">
              <w:rPr>
                <w:rFonts w:ascii="Arial" w:hAnsi="Arial" w:cs="Arial"/>
                <w:sz w:val="18"/>
                <w:szCs w:val="18"/>
              </w:rPr>
              <w:t>0.13</w:t>
            </w:r>
            <w:r w:rsidR="00B062B2">
              <w:rPr>
                <w:rFonts w:ascii="Arial" w:hAnsi="Arial" w:cs="Arial"/>
                <w:sz w:val="18"/>
                <w:szCs w:val="18"/>
              </w:rPr>
              <w:t>1</w:t>
            </w:r>
          </w:p>
        </w:tc>
        <w:tc>
          <w:tcPr>
            <w:tcW w:w="0" w:type="auto"/>
            <w:vAlign w:val="bottom"/>
          </w:tcPr>
          <w:p w14:paraId="44B7158B" w14:textId="5B266336" w:rsidR="001D3D3C" w:rsidRPr="001D3D3C" w:rsidRDefault="001D3D3C" w:rsidP="00CC3D1F">
            <w:pPr>
              <w:jc w:val="right"/>
              <w:rPr>
                <w:rFonts w:ascii="Arial" w:hAnsi="Arial" w:cs="Arial"/>
                <w:sz w:val="18"/>
                <w:szCs w:val="18"/>
              </w:rPr>
            </w:pPr>
            <w:r w:rsidRPr="001D3D3C">
              <w:rPr>
                <w:rFonts w:ascii="Arial" w:hAnsi="Arial" w:cs="Arial"/>
                <w:sz w:val="18"/>
                <w:szCs w:val="18"/>
              </w:rPr>
              <w:t>1.0</w:t>
            </w:r>
            <w:r w:rsidR="00B062B2">
              <w:rPr>
                <w:rFonts w:ascii="Arial" w:hAnsi="Arial" w:cs="Arial"/>
                <w:sz w:val="18"/>
                <w:szCs w:val="18"/>
              </w:rPr>
              <w:t>18</w:t>
            </w:r>
          </w:p>
        </w:tc>
        <w:tc>
          <w:tcPr>
            <w:tcW w:w="0" w:type="auto"/>
            <w:vAlign w:val="bottom"/>
          </w:tcPr>
          <w:p w14:paraId="3EC255DB" w14:textId="55E53DB4" w:rsidR="001D3D3C" w:rsidRPr="001D3D3C" w:rsidRDefault="001D3D3C" w:rsidP="00CC3D1F">
            <w:pPr>
              <w:jc w:val="right"/>
              <w:rPr>
                <w:rFonts w:ascii="Arial" w:hAnsi="Arial" w:cs="Arial"/>
                <w:sz w:val="18"/>
                <w:szCs w:val="18"/>
              </w:rPr>
            </w:pPr>
            <w:r w:rsidRPr="001D3D3C">
              <w:rPr>
                <w:rFonts w:ascii="Arial" w:hAnsi="Arial" w:cs="Arial"/>
                <w:sz w:val="18"/>
                <w:szCs w:val="18"/>
              </w:rPr>
              <w:t>1.5</w:t>
            </w:r>
            <w:r w:rsidR="00B062B2">
              <w:rPr>
                <w:rFonts w:ascii="Arial" w:hAnsi="Arial" w:cs="Arial"/>
                <w:sz w:val="18"/>
                <w:szCs w:val="18"/>
              </w:rPr>
              <w:t>32</w:t>
            </w:r>
          </w:p>
        </w:tc>
        <w:tc>
          <w:tcPr>
            <w:tcW w:w="0" w:type="auto"/>
            <w:vAlign w:val="bottom"/>
          </w:tcPr>
          <w:p w14:paraId="40647CAA"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0.194</w:t>
            </w:r>
          </w:p>
        </w:tc>
        <w:tc>
          <w:tcPr>
            <w:tcW w:w="0" w:type="auto"/>
            <w:vAlign w:val="bottom"/>
          </w:tcPr>
          <w:p w14:paraId="6A0F51E2"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&lt;0.001</w:t>
            </w:r>
          </w:p>
        </w:tc>
      </w:tr>
      <w:tr w:rsidR="00F451C3" w:rsidRPr="001D3D3C" w14:paraId="1DFCF25E" w14:textId="77777777" w:rsidTr="00041D77">
        <w:trPr>
          <w:trHeight w:val="113"/>
          <w:jc w:val="center"/>
        </w:trPr>
        <w:tc>
          <w:tcPr>
            <w:tcW w:w="0" w:type="auto"/>
          </w:tcPr>
          <w:p w14:paraId="714BDF02" w14:textId="3A501F0A" w:rsidR="001D3D3C" w:rsidRPr="001D3D3C" w:rsidRDefault="006B073C" w:rsidP="000A58EA">
            <w:pPr>
              <w:pStyle w:val="NoSpacing"/>
              <w:rPr>
                <w:rFonts w:ascii="Arial" w:hAnsi="Arial" w:cs="Arial"/>
                <w:sz w:val="18"/>
                <w:szCs w:val="18"/>
                <w:vertAlign w:val="superscript"/>
              </w:rPr>
            </w:pPr>
            <w:r>
              <w:rPr>
                <w:rFonts w:ascii="Arial" w:hAnsi="Arial" w:cs="Arial"/>
                <w:sz w:val="18"/>
                <w:szCs w:val="18"/>
              </w:rPr>
              <w:t>Somewhat conflict</w:t>
            </w:r>
          </w:p>
        </w:tc>
        <w:tc>
          <w:tcPr>
            <w:tcW w:w="0" w:type="auto"/>
            <w:vAlign w:val="bottom"/>
          </w:tcPr>
          <w:p w14:paraId="06B74C7C"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0.073</w:t>
            </w:r>
          </w:p>
        </w:tc>
        <w:tc>
          <w:tcPr>
            <w:tcW w:w="0" w:type="auto"/>
            <w:vAlign w:val="bottom"/>
          </w:tcPr>
          <w:p w14:paraId="40FDF528" w14:textId="351E6746" w:rsidR="001D3D3C" w:rsidRPr="001D3D3C" w:rsidRDefault="001D3D3C" w:rsidP="00CC3D1F">
            <w:pPr>
              <w:jc w:val="center"/>
              <w:rPr>
                <w:rFonts w:ascii="Arial" w:hAnsi="Arial" w:cs="Arial"/>
                <w:sz w:val="18"/>
                <w:szCs w:val="18"/>
              </w:rPr>
            </w:pPr>
            <w:r w:rsidRPr="001D3D3C">
              <w:rPr>
                <w:rFonts w:ascii="Arial" w:hAnsi="Arial" w:cs="Arial"/>
                <w:sz w:val="18"/>
                <w:szCs w:val="18"/>
              </w:rPr>
              <w:t>0.</w:t>
            </w:r>
            <w:r w:rsidR="00B062B2">
              <w:rPr>
                <w:rFonts w:ascii="Arial" w:hAnsi="Arial" w:cs="Arial"/>
                <w:sz w:val="18"/>
                <w:szCs w:val="18"/>
              </w:rPr>
              <w:t>089</w:t>
            </w:r>
          </w:p>
        </w:tc>
        <w:tc>
          <w:tcPr>
            <w:tcW w:w="0" w:type="auto"/>
            <w:vAlign w:val="bottom"/>
          </w:tcPr>
          <w:p w14:paraId="69B2DDA4" w14:textId="6A65773A" w:rsidR="001D3D3C" w:rsidRPr="001D3D3C" w:rsidRDefault="001D3D3C" w:rsidP="00CC3D1F">
            <w:pPr>
              <w:jc w:val="center"/>
              <w:rPr>
                <w:rFonts w:ascii="Arial" w:hAnsi="Arial" w:cs="Arial"/>
                <w:sz w:val="18"/>
                <w:szCs w:val="18"/>
              </w:rPr>
            </w:pPr>
            <w:r w:rsidRPr="001D3D3C">
              <w:rPr>
                <w:rFonts w:ascii="Arial" w:hAnsi="Arial" w:cs="Arial"/>
                <w:sz w:val="18"/>
                <w:szCs w:val="18"/>
              </w:rPr>
              <w:t>-0.1</w:t>
            </w:r>
            <w:r w:rsidR="00B062B2">
              <w:rPr>
                <w:rFonts w:ascii="Arial" w:hAnsi="Arial" w:cs="Arial"/>
                <w:sz w:val="18"/>
                <w:szCs w:val="18"/>
              </w:rPr>
              <w:t>01</w:t>
            </w:r>
          </w:p>
        </w:tc>
        <w:tc>
          <w:tcPr>
            <w:tcW w:w="0" w:type="auto"/>
            <w:vAlign w:val="bottom"/>
          </w:tcPr>
          <w:p w14:paraId="0DEDBBD1" w14:textId="6279D0FE" w:rsidR="001D3D3C" w:rsidRPr="001D3D3C" w:rsidRDefault="001D3D3C" w:rsidP="00CC3D1F">
            <w:pPr>
              <w:jc w:val="center"/>
              <w:rPr>
                <w:rFonts w:ascii="Arial" w:hAnsi="Arial" w:cs="Arial"/>
                <w:sz w:val="18"/>
                <w:szCs w:val="18"/>
              </w:rPr>
            </w:pPr>
            <w:r w:rsidRPr="001D3D3C">
              <w:rPr>
                <w:rFonts w:ascii="Arial" w:hAnsi="Arial" w:cs="Arial"/>
                <w:sz w:val="18"/>
                <w:szCs w:val="18"/>
              </w:rPr>
              <w:t>0.2</w:t>
            </w:r>
            <w:r w:rsidR="00B062B2">
              <w:rPr>
                <w:rFonts w:ascii="Arial" w:hAnsi="Arial" w:cs="Arial"/>
                <w:sz w:val="18"/>
                <w:szCs w:val="18"/>
              </w:rPr>
              <w:t>48</w:t>
            </w:r>
          </w:p>
        </w:tc>
        <w:tc>
          <w:tcPr>
            <w:tcW w:w="0" w:type="auto"/>
            <w:vAlign w:val="center"/>
          </w:tcPr>
          <w:p w14:paraId="744AEF3B"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0.011</w:t>
            </w:r>
          </w:p>
        </w:tc>
        <w:tc>
          <w:tcPr>
            <w:tcW w:w="0" w:type="auto"/>
            <w:vAlign w:val="bottom"/>
          </w:tcPr>
          <w:p w14:paraId="79C88E03" w14:textId="7E29BD8E"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0.4</w:t>
            </w:r>
            <w:r w:rsidR="00B062B2">
              <w:rPr>
                <w:rFonts w:ascii="Arial" w:hAnsi="Arial" w:cs="Arial"/>
                <w:sz w:val="18"/>
                <w:szCs w:val="18"/>
              </w:rPr>
              <w:t>11</w:t>
            </w:r>
          </w:p>
        </w:tc>
      </w:tr>
      <w:tr w:rsidR="00F451C3" w:rsidRPr="001D3D3C" w14:paraId="461CE374" w14:textId="77777777" w:rsidTr="00041D77">
        <w:trPr>
          <w:trHeight w:val="113"/>
          <w:jc w:val="center"/>
        </w:trPr>
        <w:tc>
          <w:tcPr>
            <w:tcW w:w="0" w:type="auto"/>
          </w:tcPr>
          <w:p w14:paraId="0BEABB92" w14:textId="4820D630" w:rsidR="001D3D3C" w:rsidRPr="001D3D3C" w:rsidRDefault="006B073C" w:rsidP="000A58EA">
            <w:pPr>
              <w:pStyle w:val="NoSpacing"/>
              <w:rPr>
                <w:rFonts w:ascii="Arial" w:hAnsi="Arial" w:cs="Arial"/>
                <w:sz w:val="18"/>
                <w:szCs w:val="18"/>
              </w:rPr>
            </w:pPr>
            <w:r>
              <w:rPr>
                <w:rFonts w:ascii="Arial" w:hAnsi="Arial" w:cs="Arial"/>
                <w:sz w:val="18"/>
                <w:szCs w:val="18"/>
              </w:rPr>
              <w:t>No conflict</w:t>
            </w:r>
            <w:r w:rsidR="007F7BF2">
              <w:rPr>
                <w:rFonts w:ascii="Arial" w:hAnsi="Arial" w:cs="Arial"/>
                <w:sz w:val="18"/>
                <w:szCs w:val="18"/>
                <w:vertAlign w:val="superscript"/>
              </w:rPr>
              <w:t xml:space="preserve"> 3</w:t>
            </w:r>
          </w:p>
        </w:tc>
        <w:tc>
          <w:tcPr>
            <w:tcW w:w="0" w:type="auto"/>
            <w:vAlign w:val="bottom"/>
          </w:tcPr>
          <w:p w14:paraId="472A8517"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-1.348</w:t>
            </w:r>
          </w:p>
        </w:tc>
        <w:tc>
          <w:tcPr>
            <w:tcW w:w="0" w:type="auto"/>
            <w:vAlign w:val="bottom"/>
          </w:tcPr>
          <w:p w14:paraId="45408DE9"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5890F338"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4BCF8170"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center"/>
          </w:tcPr>
          <w:p w14:paraId="72A57436"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5068233E" w14:textId="34B635EB" w:rsidR="004277A2" w:rsidRPr="001D3D3C" w:rsidRDefault="001D3D3C" w:rsidP="001C61A1">
            <w:pPr>
              <w:pStyle w:val="NoSpacing"/>
              <w:jc w:val="center"/>
              <w:rPr>
                <w:rFonts w:ascii="Arial" w:hAnsi="Arial" w:cs="Arial"/>
                <w:sz w:val="18"/>
                <w:szCs w:val="18"/>
              </w:rPr>
            </w:pPr>
            <w:r w:rsidRPr="001D3D3C">
              <w:rPr>
                <w:rFonts w:ascii="Arial" w:hAnsi="Arial" w:cs="Arial"/>
                <w:sz w:val="18"/>
                <w:szCs w:val="18"/>
              </w:rPr>
              <w:t>-</w:t>
            </w:r>
          </w:p>
        </w:tc>
      </w:tr>
      <w:tr w:rsidR="00F451C3" w:rsidRPr="001D3D3C" w14:paraId="2CCD2414" w14:textId="77777777" w:rsidTr="00041D77">
        <w:trPr>
          <w:trHeight w:val="113"/>
          <w:jc w:val="center"/>
        </w:trPr>
        <w:tc>
          <w:tcPr>
            <w:tcW w:w="0" w:type="auto"/>
            <w:vAlign w:val="bottom"/>
          </w:tcPr>
          <w:p w14:paraId="5D4EC27D" w14:textId="4A419190" w:rsidR="001D3D3C" w:rsidRPr="001D3D3C" w:rsidRDefault="004277A2" w:rsidP="000A58EA">
            <w:pPr>
              <w:pStyle w:val="NoSpacing"/>
              <w:rPr>
                <w:rFonts w:ascii="Arial" w:hAnsi="Arial" w:cs="Arial"/>
                <w:sz w:val="18"/>
                <w:szCs w:val="18"/>
              </w:rPr>
            </w:pPr>
            <w:r>
              <w:rPr>
                <w:rFonts w:ascii="Arial" w:hAnsi="Arial" w:cs="Arial"/>
                <w:sz w:val="18"/>
                <w:szCs w:val="18"/>
              </w:rPr>
              <w:t>CONTINUE RISK</w:t>
            </w:r>
          </w:p>
        </w:tc>
        <w:tc>
          <w:tcPr>
            <w:tcW w:w="0" w:type="auto"/>
            <w:vAlign w:val="bottom"/>
          </w:tcPr>
          <w:p w14:paraId="31881E16"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-0.085</w:t>
            </w:r>
          </w:p>
        </w:tc>
        <w:tc>
          <w:tcPr>
            <w:tcW w:w="0" w:type="auto"/>
            <w:vAlign w:val="bottom"/>
          </w:tcPr>
          <w:p w14:paraId="4DF70251" w14:textId="2259DECF" w:rsidR="001D3D3C" w:rsidRPr="001D3D3C" w:rsidRDefault="001D3D3C" w:rsidP="00CC3D1F">
            <w:pPr>
              <w:jc w:val="right"/>
              <w:rPr>
                <w:rFonts w:ascii="Arial" w:hAnsi="Arial" w:cs="Arial"/>
                <w:sz w:val="18"/>
                <w:szCs w:val="18"/>
              </w:rPr>
            </w:pPr>
            <w:r w:rsidRPr="001D3D3C">
              <w:rPr>
                <w:rFonts w:ascii="Arial" w:hAnsi="Arial" w:cs="Arial"/>
                <w:sz w:val="18"/>
                <w:szCs w:val="18"/>
              </w:rPr>
              <w:t>0.01</w:t>
            </w:r>
            <w:r w:rsidR="000A06CA">
              <w:rPr>
                <w:rFonts w:ascii="Arial" w:hAnsi="Arial" w:cs="Arial"/>
                <w:sz w:val="18"/>
                <w:szCs w:val="18"/>
              </w:rPr>
              <w:t>2</w:t>
            </w:r>
          </w:p>
        </w:tc>
        <w:tc>
          <w:tcPr>
            <w:tcW w:w="0" w:type="auto"/>
            <w:vAlign w:val="bottom"/>
          </w:tcPr>
          <w:p w14:paraId="1820AC7A" w14:textId="6CC5662A" w:rsidR="001D3D3C" w:rsidRPr="001D3D3C" w:rsidRDefault="001D3D3C" w:rsidP="00CC3D1F">
            <w:pPr>
              <w:jc w:val="right"/>
              <w:rPr>
                <w:rFonts w:ascii="Arial" w:hAnsi="Arial" w:cs="Arial"/>
                <w:sz w:val="18"/>
                <w:szCs w:val="18"/>
              </w:rPr>
            </w:pPr>
            <w:r w:rsidRPr="001D3D3C">
              <w:rPr>
                <w:rFonts w:ascii="Arial" w:hAnsi="Arial" w:cs="Arial"/>
                <w:sz w:val="18"/>
                <w:szCs w:val="18"/>
              </w:rPr>
              <w:t>-0.10</w:t>
            </w:r>
            <w:r w:rsidR="000A06CA">
              <w:rPr>
                <w:rFonts w:ascii="Arial" w:hAnsi="Arial" w:cs="Arial"/>
                <w:sz w:val="18"/>
                <w:szCs w:val="18"/>
              </w:rPr>
              <w:t>8</w:t>
            </w:r>
          </w:p>
        </w:tc>
        <w:tc>
          <w:tcPr>
            <w:tcW w:w="0" w:type="auto"/>
            <w:vAlign w:val="bottom"/>
          </w:tcPr>
          <w:p w14:paraId="38859000" w14:textId="6BED5796" w:rsidR="001D3D3C" w:rsidRPr="001D3D3C" w:rsidRDefault="001D3D3C" w:rsidP="00CC3D1F">
            <w:pPr>
              <w:jc w:val="right"/>
              <w:rPr>
                <w:rFonts w:ascii="Arial" w:hAnsi="Arial" w:cs="Arial"/>
                <w:sz w:val="18"/>
                <w:szCs w:val="18"/>
              </w:rPr>
            </w:pPr>
            <w:r w:rsidRPr="001D3D3C">
              <w:rPr>
                <w:rFonts w:ascii="Arial" w:hAnsi="Arial" w:cs="Arial"/>
                <w:sz w:val="18"/>
                <w:szCs w:val="18"/>
              </w:rPr>
              <w:t>-0.06</w:t>
            </w:r>
            <w:r w:rsidR="000A06CA">
              <w:rPr>
                <w:rFonts w:ascii="Arial" w:hAnsi="Arial" w:cs="Arial"/>
                <w:sz w:val="18"/>
                <w:szCs w:val="18"/>
              </w:rPr>
              <w:t>1</w:t>
            </w:r>
          </w:p>
        </w:tc>
        <w:tc>
          <w:tcPr>
            <w:tcW w:w="0" w:type="auto"/>
            <w:vAlign w:val="bottom"/>
          </w:tcPr>
          <w:p w14:paraId="76F21502"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-0.013</w:t>
            </w:r>
          </w:p>
        </w:tc>
        <w:tc>
          <w:tcPr>
            <w:tcW w:w="0" w:type="auto"/>
            <w:vAlign w:val="bottom"/>
          </w:tcPr>
          <w:p w14:paraId="1FF5DB30" w14:textId="5435BF70" w:rsidR="001D3D3C" w:rsidRDefault="001D3D3C" w:rsidP="00041D77">
            <w:pPr>
              <w:pStyle w:val="NoSpacing"/>
              <w:jc w:val="center"/>
              <w:rPr>
                <w:rFonts w:ascii="Arial" w:hAnsi="Arial" w:cs="Arial"/>
                <w:sz w:val="18"/>
                <w:szCs w:val="18"/>
              </w:rPr>
            </w:pPr>
          </w:p>
          <w:p w14:paraId="401CD2BB" w14:textId="4AA76062" w:rsidR="004277A2" w:rsidRPr="001D3D3C" w:rsidRDefault="004277A2" w:rsidP="00041D77">
            <w:pPr>
              <w:pStyle w:val="NoSpacing"/>
              <w:jc w:val="center"/>
              <w:rPr>
                <w:rFonts w:ascii="Arial" w:hAnsi="Arial" w:cs="Arial"/>
                <w:sz w:val="18"/>
                <w:szCs w:val="18"/>
              </w:rPr>
            </w:pPr>
            <w:r>
              <w:rPr>
                <w:rFonts w:ascii="Arial" w:hAnsi="Arial" w:cs="Arial"/>
                <w:sz w:val="18"/>
                <w:szCs w:val="18"/>
              </w:rPr>
              <w:t>&lt;0.001</w:t>
            </w:r>
          </w:p>
        </w:tc>
      </w:tr>
      <w:tr w:rsidR="00F451C3" w:rsidRPr="001D3D3C" w14:paraId="7A92E14F" w14:textId="77777777" w:rsidTr="00041D77">
        <w:trPr>
          <w:trHeight w:val="113"/>
          <w:jc w:val="center"/>
        </w:trPr>
        <w:tc>
          <w:tcPr>
            <w:tcW w:w="0" w:type="auto"/>
            <w:vAlign w:val="bottom"/>
          </w:tcPr>
          <w:p w14:paraId="54EDEC6E" w14:textId="6E6CE087" w:rsidR="001D3D3C" w:rsidRPr="001D3D3C" w:rsidRDefault="004277A2" w:rsidP="000A58EA">
            <w:pPr>
              <w:pStyle w:val="NoSpacing"/>
              <w:rPr>
                <w:rFonts w:ascii="Arial" w:hAnsi="Arial" w:cs="Arial"/>
                <w:sz w:val="18"/>
                <w:szCs w:val="18"/>
                <w:vertAlign w:val="superscript"/>
              </w:rPr>
            </w:pPr>
            <w:r>
              <w:rPr>
                <w:rFonts w:ascii="Arial" w:hAnsi="Arial" w:cs="Arial"/>
                <w:sz w:val="18"/>
                <w:szCs w:val="18"/>
              </w:rPr>
              <w:t>STOP RISK</w:t>
            </w:r>
          </w:p>
        </w:tc>
        <w:tc>
          <w:tcPr>
            <w:tcW w:w="0" w:type="auto"/>
            <w:vAlign w:val="bottom"/>
          </w:tcPr>
          <w:p w14:paraId="469417A5"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0.172</w:t>
            </w:r>
          </w:p>
        </w:tc>
        <w:tc>
          <w:tcPr>
            <w:tcW w:w="0" w:type="auto"/>
            <w:vAlign w:val="bottom"/>
          </w:tcPr>
          <w:p w14:paraId="3A5BED0F" w14:textId="0B45F8C7" w:rsidR="001D3D3C" w:rsidRPr="001D3D3C" w:rsidRDefault="001D3D3C" w:rsidP="00CC3D1F">
            <w:pPr>
              <w:jc w:val="center"/>
              <w:rPr>
                <w:rFonts w:ascii="Arial" w:hAnsi="Arial" w:cs="Arial"/>
                <w:sz w:val="18"/>
                <w:szCs w:val="18"/>
              </w:rPr>
            </w:pPr>
            <w:r w:rsidRPr="001D3D3C">
              <w:rPr>
                <w:rFonts w:ascii="Arial" w:hAnsi="Arial" w:cs="Arial"/>
                <w:sz w:val="18"/>
                <w:szCs w:val="18"/>
              </w:rPr>
              <w:t>0.01</w:t>
            </w:r>
            <w:r w:rsidR="000A06CA">
              <w:rPr>
                <w:rFonts w:ascii="Arial" w:hAnsi="Arial" w:cs="Arial"/>
                <w:sz w:val="18"/>
                <w:szCs w:val="18"/>
              </w:rPr>
              <w:t>7</w:t>
            </w:r>
          </w:p>
        </w:tc>
        <w:tc>
          <w:tcPr>
            <w:tcW w:w="0" w:type="auto"/>
            <w:vAlign w:val="bottom"/>
          </w:tcPr>
          <w:p w14:paraId="73A2234D" w14:textId="518535B5" w:rsidR="001D3D3C" w:rsidRPr="001D3D3C" w:rsidRDefault="001D3D3C" w:rsidP="00CC3D1F">
            <w:pPr>
              <w:jc w:val="center"/>
              <w:rPr>
                <w:rFonts w:ascii="Arial" w:hAnsi="Arial" w:cs="Arial"/>
                <w:sz w:val="18"/>
                <w:szCs w:val="18"/>
              </w:rPr>
            </w:pPr>
            <w:r w:rsidRPr="001D3D3C">
              <w:rPr>
                <w:rFonts w:ascii="Arial" w:hAnsi="Arial" w:cs="Arial"/>
                <w:sz w:val="18"/>
                <w:szCs w:val="18"/>
              </w:rPr>
              <w:t>0.1</w:t>
            </w:r>
            <w:r w:rsidR="000A06CA">
              <w:rPr>
                <w:rFonts w:ascii="Arial" w:hAnsi="Arial" w:cs="Arial"/>
                <w:sz w:val="18"/>
                <w:szCs w:val="18"/>
              </w:rPr>
              <w:t>39</w:t>
            </w:r>
          </w:p>
        </w:tc>
        <w:tc>
          <w:tcPr>
            <w:tcW w:w="0" w:type="auto"/>
            <w:vAlign w:val="bottom"/>
          </w:tcPr>
          <w:p w14:paraId="2E312C6C" w14:textId="1298B848" w:rsidR="001D3D3C" w:rsidRPr="001D3D3C" w:rsidRDefault="001D3D3C" w:rsidP="00CC3D1F">
            <w:pPr>
              <w:jc w:val="center"/>
              <w:rPr>
                <w:rFonts w:ascii="Arial" w:hAnsi="Arial" w:cs="Arial"/>
                <w:sz w:val="18"/>
                <w:szCs w:val="18"/>
              </w:rPr>
            </w:pPr>
            <w:r w:rsidRPr="001D3D3C">
              <w:rPr>
                <w:rFonts w:ascii="Arial" w:hAnsi="Arial" w:cs="Arial"/>
                <w:sz w:val="18"/>
                <w:szCs w:val="18"/>
              </w:rPr>
              <w:t>0.</w:t>
            </w:r>
            <w:r w:rsidR="000A06CA">
              <w:rPr>
                <w:rFonts w:ascii="Arial" w:hAnsi="Arial" w:cs="Arial"/>
                <w:sz w:val="18"/>
                <w:szCs w:val="18"/>
              </w:rPr>
              <w:t>205</w:t>
            </w:r>
          </w:p>
        </w:tc>
        <w:tc>
          <w:tcPr>
            <w:tcW w:w="0" w:type="auto"/>
            <w:vAlign w:val="bottom"/>
          </w:tcPr>
          <w:p w14:paraId="2F81F0D8"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0.026</w:t>
            </w:r>
          </w:p>
        </w:tc>
        <w:tc>
          <w:tcPr>
            <w:tcW w:w="0" w:type="auto"/>
            <w:vAlign w:val="bottom"/>
          </w:tcPr>
          <w:p w14:paraId="25F386AD" w14:textId="1FD60E3B" w:rsidR="001D3D3C" w:rsidRDefault="001D3D3C" w:rsidP="00041D77">
            <w:pPr>
              <w:pStyle w:val="NoSpacing"/>
              <w:jc w:val="center"/>
              <w:rPr>
                <w:rFonts w:ascii="Arial" w:hAnsi="Arial" w:cs="Arial"/>
                <w:sz w:val="18"/>
                <w:szCs w:val="18"/>
              </w:rPr>
            </w:pPr>
          </w:p>
          <w:p w14:paraId="27015E7E" w14:textId="0E399636" w:rsidR="00FA21EF" w:rsidRPr="001D3D3C" w:rsidRDefault="004277A2" w:rsidP="00041D77">
            <w:pPr>
              <w:pStyle w:val="NoSpacing"/>
              <w:jc w:val="center"/>
              <w:rPr>
                <w:rFonts w:ascii="Arial" w:hAnsi="Arial" w:cs="Arial"/>
                <w:sz w:val="18"/>
                <w:szCs w:val="18"/>
              </w:rPr>
            </w:pPr>
            <w:r>
              <w:rPr>
                <w:rFonts w:ascii="Arial" w:hAnsi="Arial" w:cs="Arial"/>
                <w:sz w:val="18"/>
                <w:szCs w:val="18"/>
              </w:rPr>
              <w:t>&lt;0.001</w:t>
            </w:r>
          </w:p>
        </w:tc>
      </w:tr>
      <w:tr w:rsidR="00F451C3" w:rsidRPr="001D3D3C" w14:paraId="4C4ECBE1" w14:textId="77777777" w:rsidTr="00041D77">
        <w:trPr>
          <w:trHeight w:val="113"/>
          <w:jc w:val="center"/>
        </w:trPr>
        <w:tc>
          <w:tcPr>
            <w:tcW w:w="0" w:type="auto"/>
          </w:tcPr>
          <w:p w14:paraId="524448CB" w14:textId="77777777" w:rsidR="00FA21EF" w:rsidRDefault="00FA21EF" w:rsidP="000A58EA">
            <w:pPr>
              <w:pStyle w:val="NoSpacing"/>
              <w:rPr>
                <w:rFonts w:ascii="Arial" w:hAnsi="Arial" w:cs="Arial"/>
                <w:sz w:val="18"/>
                <w:szCs w:val="18"/>
              </w:rPr>
            </w:pPr>
          </w:p>
          <w:p w14:paraId="68AFE355" w14:textId="2CC396D9" w:rsidR="00F451C3" w:rsidRDefault="00F451C3" w:rsidP="000A58EA">
            <w:pPr>
              <w:pStyle w:val="NoSpacing"/>
              <w:rPr>
                <w:rFonts w:ascii="Arial" w:hAnsi="Arial" w:cs="Arial"/>
                <w:sz w:val="18"/>
                <w:szCs w:val="18"/>
              </w:rPr>
            </w:pPr>
            <w:r>
              <w:rPr>
                <w:rFonts w:ascii="Arial" w:hAnsi="Arial" w:cs="Arial"/>
                <w:sz w:val="18"/>
                <w:szCs w:val="18"/>
              </w:rPr>
              <w:t>PREMORBID CONDITION</w:t>
            </w:r>
          </w:p>
          <w:p w14:paraId="3EB1241F" w14:textId="77777777" w:rsidR="00F451C3" w:rsidRDefault="00F451C3" w:rsidP="00321EC7">
            <w:pPr>
              <w:pStyle w:val="NoSpacing"/>
              <w:rPr>
                <w:rFonts w:ascii="Arial" w:hAnsi="Arial" w:cs="Arial"/>
                <w:sz w:val="18"/>
                <w:szCs w:val="18"/>
              </w:rPr>
            </w:pPr>
          </w:p>
          <w:p w14:paraId="6FDA9639" w14:textId="19046746" w:rsidR="001D3D3C" w:rsidRPr="001D3D3C" w:rsidRDefault="001F5448" w:rsidP="00A07781">
            <w:pPr>
              <w:pStyle w:val="NoSpacing"/>
              <w:rPr>
                <w:rFonts w:ascii="Arial" w:hAnsi="Arial" w:cs="Arial"/>
                <w:sz w:val="18"/>
                <w:szCs w:val="18"/>
              </w:rPr>
            </w:pPr>
            <w:r>
              <w:rPr>
                <w:rFonts w:ascii="Arial" w:hAnsi="Arial" w:cs="Arial"/>
                <w:sz w:val="18"/>
                <w:szCs w:val="18"/>
              </w:rPr>
              <w:t>Severe frailty &amp; comorbidities</w:t>
            </w:r>
          </w:p>
        </w:tc>
        <w:tc>
          <w:tcPr>
            <w:tcW w:w="0" w:type="auto"/>
            <w:vAlign w:val="bottom"/>
          </w:tcPr>
          <w:p w14:paraId="2FC1F295"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0.660</w:t>
            </w:r>
          </w:p>
        </w:tc>
        <w:tc>
          <w:tcPr>
            <w:tcW w:w="0" w:type="auto"/>
            <w:vAlign w:val="bottom"/>
          </w:tcPr>
          <w:p w14:paraId="3E840AEE" w14:textId="0FD3E6D9" w:rsidR="001D3D3C" w:rsidRPr="001D3D3C" w:rsidRDefault="001D3D3C" w:rsidP="00CC3D1F">
            <w:pPr>
              <w:jc w:val="right"/>
              <w:rPr>
                <w:rFonts w:ascii="Arial" w:hAnsi="Arial" w:cs="Arial"/>
                <w:sz w:val="18"/>
                <w:szCs w:val="18"/>
              </w:rPr>
            </w:pPr>
            <w:r w:rsidRPr="001D3D3C">
              <w:rPr>
                <w:rFonts w:ascii="Arial" w:hAnsi="Arial" w:cs="Arial"/>
                <w:sz w:val="18"/>
                <w:szCs w:val="18"/>
              </w:rPr>
              <w:t>0.1</w:t>
            </w:r>
            <w:r w:rsidR="000A06CA">
              <w:rPr>
                <w:rFonts w:ascii="Arial" w:hAnsi="Arial" w:cs="Arial"/>
                <w:sz w:val="18"/>
                <w:szCs w:val="18"/>
              </w:rPr>
              <w:t>38</w:t>
            </w:r>
          </w:p>
        </w:tc>
        <w:tc>
          <w:tcPr>
            <w:tcW w:w="0" w:type="auto"/>
            <w:vAlign w:val="bottom"/>
          </w:tcPr>
          <w:p w14:paraId="6AA42D44" w14:textId="295132E2" w:rsidR="001D3D3C" w:rsidRPr="001D3D3C" w:rsidRDefault="001D3D3C" w:rsidP="00CC3D1F">
            <w:pPr>
              <w:jc w:val="right"/>
              <w:rPr>
                <w:rFonts w:ascii="Arial" w:hAnsi="Arial" w:cs="Arial"/>
                <w:sz w:val="18"/>
                <w:szCs w:val="18"/>
              </w:rPr>
            </w:pPr>
            <w:r w:rsidRPr="001D3D3C">
              <w:rPr>
                <w:rFonts w:ascii="Arial" w:hAnsi="Arial" w:cs="Arial"/>
                <w:sz w:val="18"/>
                <w:szCs w:val="18"/>
              </w:rPr>
              <w:t>0.3</w:t>
            </w:r>
            <w:r w:rsidR="000A06CA">
              <w:rPr>
                <w:rFonts w:ascii="Arial" w:hAnsi="Arial" w:cs="Arial"/>
                <w:sz w:val="18"/>
                <w:szCs w:val="18"/>
              </w:rPr>
              <w:t>90</w:t>
            </w:r>
          </w:p>
        </w:tc>
        <w:tc>
          <w:tcPr>
            <w:tcW w:w="0" w:type="auto"/>
            <w:vAlign w:val="bottom"/>
          </w:tcPr>
          <w:p w14:paraId="37697D9E" w14:textId="2B19BEF3" w:rsidR="001D3D3C" w:rsidRPr="001D3D3C" w:rsidRDefault="001D3D3C" w:rsidP="00CC3D1F">
            <w:pPr>
              <w:jc w:val="right"/>
              <w:rPr>
                <w:rFonts w:ascii="Arial" w:hAnsi="Arial" w:cs="Arial"/>
                <w:sz w:val="18"/>
                <w:szCs w:val="18"/>
              </w:rPr>
            </w:pPr>
            <w:r w:rsidRPr="001D3D3C">
              <w:rPr>
                <w:rFonts w:ascii="Arial" w:hAnsi="Arial" w:cs="Arial"/>
                <w:sz w:val="18"/>
                <w:szCs w:val="18"/>
              </w:rPr>
              <w:t>0.93</w:t>
            </w:r>
            <w:r w:rsidR="000A06CA">
              <w:rPr>
                <w:rFonts w:ascii="Arial" w:hAnsi="Arial" w:cs="Arial"/>
                <w:sz w:val="18"/>
                <w:szCs w:val="18"/>
              </w:rPr>
              <w:t>0</w:t>
            </w:r>
          </w:p>
        </w:tc>
        <w:tc>
          <w:tcPr>
            <w:tcW w:w="0" w:type="auto"/>
            <w:vAlign w:val="bottom"/>
          </w:tcPr>
          <w:p w14:paraId="6504F029"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0.101</w:t>
            </w:r>
          </w:p>
        </w:tc>
        <w:tc>
          <w:tcPr>
            <w:tcW w:w="0" w:type="auto"/>
            <w:vAlign w:val="bottom"/>
          </w:tcPr>
          <w:p w14:paraId="097E45F7" w14:textId="77777777"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&lt;0.001</w:t>
            </w:r>
          </w:p>
        </w:tc>
      </w:tr>
      <w:tr w:rsidR="00F451C3" w:rsidRPr="001D3D3C" w14:paraId="70B4EC61" w14:textId="77777777" w:rsidTr="00041D77">
        <w:trPr>
          <w:trHeight w:val="113"/>
          <w:jc w:val="center"/>
        </w:trPr>
        <w:tc>
          <w:tcPr>
            <w:tcW w:w="0" w:type="auto"/>
          </w:tcPr>
          <w:p w14:paraId="05F04498" w14:textId="58FA9C5B" w:rsidR="001D3D3C" w:rsidRPr="001D3D3C" w:rsidRDefault="001F5448" w:rsidP="000A58EA">
            <w:pPr>
              <w:pStyle w:val="NoSpacing"/>
              <w:rPr>
                <w:rFonts w:ascii="Arial" w:hAnsi="Arial" w:cs="Arial"/>
                <w:sz w:val="18"/>
                <w:szCs w:val="18"/>
              </w:rPr>
            </w:pPr>
            <w:r>
              <w:rPr>
                <w:rFonts w:ascii="Arial" w:hAnsi="Arial" w:cs="Arial"/>
                <w:sz w:val="18"/>
                <w:szCs w:val="18"/>
              </w:rPr>
              <w:t>Moderate frailty &amp; comorbidities</w:t>
            </w:r>
          </w:p>
        </w:tc>
        <w:tc>
          <w:tcPr>
            <w:tcW w:w="0" w:type="auto"/>
            <w:vAlign w:val="bottom"/>
          </w:tcPr>
          <w:p w14:paraId="6D842421"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0.300</w:t>
            </w:r>
          </w:p>
        </w:tc>
        <w:tc>
          <w:tcPr>
            <w:tcW w:w="0" w:type="auto"/>
            <w:vAlign w:val="bottom"/>
          </w:tcPr>
          <w:p w14:paraId="016AE693" w14:textId="679F9E9D" w:rsidR="001D3D3C" w:rsidRPr="001D3D3C" w:rsidRDefault="001D3D3C" w:rsidP="00CC3D1F">
            <w:pPr>
              <w:jc w:val="right"/>
              <w:rPr>
                <w:rFonts w:ascii="Arial" w:hAnsi="Arial" w:cs="Arial"/>
                <w:sz w:val="18"/>
                <w:szCs w:val="18"/>
              </w:rPr>
            </w:pPr>
            <w:r w:rsidRPr="001D3D3C">
              <w:rPr>
                <w:rFonts w:ascii="Arial" w:hAnsi="Arial" w:cs="Arial"/>
                <w:sz w:val="18"/>
                <w:szCs w:val="18"/>
              </w:rPr>
              <w:t>0.</w:t>
            </w:r>
            <w:r w:rsidR="000A06CA">
              <w:rPr>
                <w:rFonts w:ascii="Arial" w:hAnsi="Arial" w:cs="Arial"/>
                <w:sz w:val="18"/>
                <w:szCs w:val="18"/>
              </w:rPr>
              <w:t>098</w:t>
            </w:r>
          </w:p>
        </w:tc>
        <w:tc>
          <w:tcPr>
            <w:tcW w:w="0" w:type="auto"/>
            <w:vAlign w:val="bottom"/>
          </w:tcPr>
          <w:p w14:paraId="7D1C4E1F" w14:textId="504860B9" w:rsidR="001D3D3C" w:rsidRPr="001D3D3C" w:rsidRDefault="001D3D3C" w:rsidP="00CC3D1F">
            <w:pPr>
              <w:jc w:val="right"/>
              <w:rPr>
                <w:rFonts w:ascii="Arial" w:hAnsi="Arial" w:cs="Arial"/>
                <w:sz w:val="18"/>
                <w:szCs w:val="18"/>
              </w:rPr>
            </w:pPr>
            <w:r w:rsidRPr="001D3D3C">
              <w:rPr>
                <w:rFonts w:ascii="Arial" w:hAnsi="Arial" w:cs="Arial"/>
                <w:sz w:val="18"/>
                <w:szCs w:val="18"/>
              </w:rPr>
              <w:t>0.</w:t>
            </w:r>
            <w:r w:rsidR="000A06CA">
              <w:rPr>
                <w:rFonts w:ascii="Arial" w:hAnsi="Arial" w:cs="Arial"/>
                <w:sz w:val="18"/>
                <w:szCs w:val="18"/>
              </w:rPr>
              <w:t>108</w:t>
            </w:r>
          </w:p>
        </w:tc>
        <w:tc>
          <w:tcPr>
            <w:tcW w:w="0" w:type="auto"/>
            <w:vAlign w:val="bottom"/>
          </w:tcPr>
          <w:p w14:paraId="41EDE85C" w14:textId="72A0776D" w:rsidR="001D3D3C" w:rsidRPr="001D3D3C" w:rsidRDefault="001D3D3C" w:rsidP="00CC3D1F">
            <w:pPr>
              <w:jc w:val="right"/>
              <w:rPr>
                <w:rFonts w:ascii="Arial" w:hAnsi="Arial" w:cs="Arial"/>
                <w:sz w:val="18"/>
                <w:szCs w:val="18"/>
              </w:rPr>
            </w:pPr>
            <w:r w:rsidRPr="001D3D3C">
              <w:rPr>
                <w:rFonts w:ascii="Arial" w:hAnsi="Arial" w:cs="Arial"/>
                <w:sz w:val="18"/>
                <w:szCs w:val="18"/>
              </w:rPr>
              <w:t>0.</w:t>
            </w:r>
            <w:r w:rsidR="000A06CA">
              <w:rPr>
                <w:rFonts w:ascii="Arial" w:hAnsi="Arial" w:cs="Arial"/>
                <w:sz w:val="18"/>
                <w:szCs w:val="18"/>
              </w:rPr>
              <w:t>492</w:t>
            </w:r>
          </w:p>
        </w:tc>
        <w:tc>
          <w:tcPr>
            <w:tcW w:w="0" w:type="auto"/>
            <w:vAlign w:val="bottom"/>
          </w:tcPr>
          <w:p w14:paraId="5EF7E26B"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0.046</w:t>
            </w:r>
          </w:p>
        </w:tc>
        <w:tc>
          <w:tcPr>
            <w:tcW w:w="0" w:type="auto"/>
            <w:vAlign w:val="bottom"/>
          </w:tcPr>
          <w:p w14:paraId="66B60A45" w14:textId="11128364"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0.00</w:t>
            </w:r>
            <w:r w:rsidR="000A06CA">
              <w:rPr>
                <w:rFonts w:ascii="Arial" w:hAnsi="Arial" w:cs="Arial"/>
                <w:sz w:val="18"/>
                <w:szCs w:val="18"/>
              </w:rPr>
              <w:t>2</w:t>
            </w:r>
          </w:p>
        </w:tc>
      </w:tr>
      <w:tr w:rsidR="00F451C3" w:rsidRPr="001D3D3C" w14:paraId="27C05B99" w14:textId="77777777" w:rsidTr="00041D77">
        <w:trPr>
          <w:trHeight w:val="113"/>
          <w:jc w:val="center"/>
        </w:trPr>
        <w:tc>
          <w:tcPr>
            <w:tcW w:w="0" w:type="auto"/>
          </w:tcPr>
          <w:p w14:paraId="67DD33FB" w14:textId="0C43BE53" w:rsidR="004277A2" w:rsidRPr="004277A2" w:rsidRDefault="001F5448" w:rsidP="000A58EA">
            <w:pPr>
              <w:pStyle w:val="NoSpacing"/>
              <w:rPr>
                <w:rFonts w:ascii="Arial" w:hAnsi="Arial" w:cs="Arial"/>
                <w:sz w:val="18"/>
                <w:szCs w:val="18"/>
                <w:vertAlign w:val="superscript"/>
              </w:rPr>
            </w:pPr>
            <w:r>
              <w:rPr>
                <w:rFonts w:ascii="Arial" w:hAnsi="Arial" w:cs="Arial"/>
                <w:sz w:val="18"/>
                <w:szCs w:val="18"/>
              </w:rPr>
              <w:t>Fit and well</w:t>
            </w:r>
            <w:r w:rsidR="007F7BF2">
              <w:rPr>
                <w:rFonts w:ascii="Arial" w:hAnsi="Arial" w:cs="Arial"/>
                <w:sz w:val="18"/>
                <w:szCs w:val="18"/>
                <w:vertAlign w:val="superscript"/>
              </w:rPr>
              <w:t xml:space="preserve"> 3</w:t>
            </w:r>
          </w:p>
        </w:tc>
        <w:tc>
          <w:tcPr>
            <w:tcW w:w="0" w:type="auto"/>
            <w:vAlign w:val="bottom"/>
          </w:tcPr>
          <w:p w14:paraId="2C200FDB"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-0.960</w:t>
            </w:r>
          </w:p>
        </w:tc>
        <w:tc>
          <w:tcPr>
            <w:tcW w:w="0" w:type="auto"/>
            <w:vAlign w:val="bottom"/>
          </w:tcPr>
          <w:p w14:paraId="650D1F12"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436DDF90"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692671F9"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02EF556C" w14:textId="77777777" w:rsidR="001D3D3C" w:rsidRPr="001D3D3C" w:rsidRDefault="001D3D3C" w:rsidP="001C61A1">
            <w:pPr>
              <w:jc w:val="center"/>
              <w:rPr>
                <w:rFonts w:ascii="Arial" w:hAnsi="Arial" w:cs="Arial"/>
                <w:sz w:val="18"/>
                <w:szCs w:val="18"/>
              </w:rPr>
            </w:pPr>
            <w:r w:rsidRPr="001D3D3C">
              <w:rPr>
                <w:rFonts w:ascii="Arial" w:hAnsi="Arial" w:cs="Arial"/>
                <w:sz w:val="18"/>
                <w:szCs w:val="18"/>
              </w:rPr>
              <w:t>-</w:t>
            </w:r>
          </w:p>
        </w:tc>
        <w:tc>
          <w:tcPr>
            <w:tcW w:w="0" w:type="auto"/>
            <w:vAlign w:val="bottom"/>
          </w:tcPr>
          <w:p w14:paraId="32ACBC4B" w14:textId="281DE5D5" w:rsidR="004277A2" w:rsidRPr="001D3D3C" w:rsidRDefault="001D3D3C" w:rsidP="001C61A1">
            <w:pPr>
              <w:pStyle w:val="NoSpacing"/>
              <w:jc w:val="center"/>
              <w:rPr>
                <w:rFonts w:ascii="Arial" w:hAnsi="Arial" w:cs="Arial"/>
                <w:sz w:val="18"/>
                <w:szCs w:val="18"/>
              </w:rPr>
            </w:pPr>
            <w:r w:rsidRPr="001D3D3C">
              <w:rPr>
                <w:rFonts w:ascii="Arial" w:hAnsi="Arial" w:cs="Arial"/>
                <w:sz w:val="18"/>
                <w:szCs w:val="18"/>
              </w:rPr>
              <w:t>-</w:t>
            </w:r>
          </w:p>
        </w:tc>
      </w:tr>
      <w:tr w:rsidR="00F451C3" w:rsidRPr="001D3D3C" w14:paraId="5DCC40DE" w14:textId="77777777" w:rsidTr="00041D77">
        <w:trPr>
          <w:trHeight w:val="113"/>
          <w:jc w:val="center"/>
        </w:trPr>
        <w:tc>
          <w:tcPr>
            <w:tcW w:w="0" w:type="auto"/>
          </w:tcPr>
          <w:p w14:paraId="7D1D5E19" w14:textId="77777777" w:rsidR="004277A2" w:rsidRDefault="004277A2" w:rsidP="000A58EA">
            <w:pPr>
              <w:pStyle w:val="NoSpacing"/>
              <w:rPr>
                <w:rFonts w:ascii="Arial" w:hAnsi="Arial" w:cs="Arial"/>
                <w:sz w:val="18"/>
                <w:szCs w:val="18"/>
              </w:rPr>
            </w:pPr>
          </w:p>
          <w:p w14:paraId="667ED7A6" w14:textId="27943E0E" w:rsidR="00F451C3" w:rsidRDefault="00F451C3" w:rsidP="000A58EA">
            <w:pPr>
              <w:pStyle w:val="NoSpacing"/>
              <w:rPr>
                <w:rFonts w:ascii="Arial" w:hAnsi="Arial" w:cs="Arial"/>
                <w:sz w:val="18"/>
                <w:szCs w:val="18"/>
              </w:rPr>
            </w:pPr>
            <w:r>
              <w:rPr>
                <w:rFonts w:ascii="Arial" w:hAnsi="Arial" w:cs="Arial"/>
                <w:sz w:val="18"/>
                <w:szCs w:val="18"/>
              </w:rPr>
              <w:t>EXTERNAL PRESSURE</w:t>
            </w:r>
          </w:p>
          <w:p w14:paraId="2B23ECD3" w14:textId="77777777" w:rsidR="00F451C3" w:rsidRDefault="00F451C3" w:rsidP="00321EC7">
            <w:pPr>
              <w:pStyle w:val="NoSpacing"/>
              <w:rPr>
                <w:rFonts w:ascii="Arial" w:hAnsi="Arial" w:cs="Arial"/>
                <w:sz w:val="18"/>
                <w:szCs w:val="18"/>
              </w:rPr>
            </w:pPr>
          </w:p>
          <w:p w14:paraId="1986B89A" w14:textId="2771B960" w:rsidR="001D3D3C" w:rsidRPr="001D3D3C" w:rsidRDefault="001F5448" w:rsidP="00A07781">
            <w:pPr>
              <w:pStyle w:val="NoSpacing"/>
              <w:rPr>
                <w:rFonts w:ascii="Arial" w:hAnsi="Arial" w:cs="Arial"/>
                <w:sz w:val="18"/>
                <w:szCs w:val="18"/>
              </w:rPr>
            </w:pPr>
            <w:r>
              <w:rPr>
                <w:rFonts w:ascii="Arial" w:hAnsi="Arial" w:cs="Arial"/>
                <w:sz w:val="18"/>
                <w:szCs w:val="18"/>
              </w:rPr>
              <w:t>No pressure</w:t>
            </w:r>
          </w:p>
        </w:tc>
        <w:tc>
          <w:tcPr>
            <w:tcW w:w="0" w:type="auto"/>
            <w:vAlign w:val="bottom"/>
          </w:tcPr>
          <w:p w14:paraId="6064B260"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-0.660</w:t>
            </w:r>
          </w:p>
        </w:tc>
        <w:tc>
          <w:tcPr>
            <w:tcW w:w="0" w:type="auto"/>
            <w:vAlign w:val="bottom"/>
          </w:tcPr>
          <w:p w14:paraId="121C0331" w14:textId="5345234F" w:rsidR="001D3D3C" w:rsidRPr="001D3D3C" w:rsidRDefault="001D3D3C" w:rsidP="00CC3D1F">
            <w:pPr>
              <w:jc w:val="right"/>
              <w:rPr>
                <w:rFonts w:ascii="Arial" w:hAnsi="Arial" w:cs="Arial"/>
                <w:sz w:val="18"/>
                <w:szCs w:val="18"/>
              </w:rPr>
            </w:pPr>
            <w:r w:rsidRPr="001D3D3C">
              <w:rPr>
                <w:rFonts w:ascii="Arial" w:hAnsi="Arial" w:cs="Arial"/>
                <w:sz w:val="18"/>
                <w:szCs w:val="18"/>
              </w:rPr>
              <w:t>0.</w:t>
            </w:r>
            <w:r w:rsidR="006816F0">
              <w:rPr>
                <w:rFonts w:ascii="Arial" w:hAnsi="Arial" w:cs="Arial"/>
                <w:sz w:val="18"/>
                <w:szCs w:val="18"/>
              </w:rPr>
              <w:t>097</w:t>
            </w:r>
          </w:p>
        </w:tc>
        <w:tc>
          <w:tcPr>
            <w:tcW w:w="0" w:type="auto"/>
            <w:vAlign w:val="bottom"/>
          </w:tcPr>
          <w:p w14:paraId="57B31B02" w14:textId="1E686A03" w:rsidR="001D3D3C" w:rsidRPr="001D3D3C" w:rsidRDefault="001D3D3C" w:rsidP="00CC3D1F">
            <w:pPr>
              <w:jc w:val="right"/>
              <w:rPr>
                <w:rFonts w:ascii="Arial" w:hAnsi="Arial" w:cs="Arial"/>
                <w:sz w:val="18"/>
                <w:szCs w:val="18"/>
              </w:rPr>
            </w:pPr>
            <w:r w:rsidRPr="001D3D3C">
              <w:rPr>
                <w:rFonts w:ascii="Arial" w:hAnsi="Arial" w:cs="Arial"/>
                <w:sz w:val="18"/>
                <w:szCs w:val="18"/>
              </w:rPr>
              <w:t>-0.85</w:t>
            </w:r>
            <w:r w:rsidR="006816F0">
              <w:rPr>
                <w:rFonts w:ascii="Arial" w:hAnsi="Arial" w:cs="Arial"/>
                <w:sz w:val="18"/>
                <w:szCs w:val="18"/>
              </w:rPr>
              <w:t>1</w:t>
            </w:r>
          </w:p>
        </w:tc>
        <w:tc>
          <w:tcPr>
            <w:tcW w:w="0" w:type="auto"/>
            <w:vAlign w:val="bottom"/>
          </w:tcPr>
          <w:p w14:paraId="0D1FFC03" w14:textId="26B7C68A" w:rsidR="001D3D3C" w:rsidRPr="001D3D3C" w:rsidRDefault="001D3D3C" w:rsidP="00CC3D1F">
            <w:pPr>
              <w:jc w:val="right"/>
              <w:rPr>
                <w:rFonts w:ascii="Arial" w:hAnsi="Arial" w:cs="Arial"/>
                <w:sz w:val="18"/>
                <w:szCs w:val="18"/>
              </w:rPr>
            </w:pPr>
            <w:r w:rsidRPr="001D3D3C">
              <w:rPr>
                <w:rFonts w:ascii="Arial" w:hAnsi="Arial" w:cs="Arial"/>
                <w:sz w:val="18"/>
                <w:szCs w:val="18"/>
              </w:rPr>
              <w:t>-0.46</w:t>
            </w:r>
            <w:r w:rsidR="006816F0">
              <w:rPr>
                <w:rFonts w:ascii="Arial" w:hAnsi="Arial" w:cs="Arial"/>
                <w:sz w:val="18"/>
                <w:szCs w:val="18"/>
              </w:rPr>
              <w:t>9</w:t>
            </w:r>
          </w:p>
        </w:tc>
        <w:tc>
          <w:tcPr>
            <w:tcW w:w="0" w:type="auto"/>
            <w:vAlign w:val="bottom"/>
          </w:tcPr>
          <w:p w14:paraId="1F13C23A"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-0.101</w:t>
            </w:r>
          </w:p>
        </w:tc>
        <w:tc>
          <w:tcPr>
            <w:tcW w:w="0" w:type="auto"/>
            <w:vAlign w:val="bottom"/>
          </w:tcPr>
          <w:p w14:paraId="540EFB51" w14:textId="77777777"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&lt;0.001</w:t>
            </w:r>
          </w:p>
        </w:tc>
      </w:tr>
      <w:tr w:rsidR="00F451C3" w:rsidRPr="001D3D3C" w14:paraId="7FAD4DE3" w14:textId="77777777" w:rsidTr="00041D77">
        <w:trPr>
          <w:trHeight w:val="113"/>
          <w:jc w:val="center"/>
        </w:trPr>
        <w:tc>
          <w:tcPr>
            <w:tcW w:w="0" w:type="auto"/>
          </w:tcPr>
          <w:p w14:paraId="7FE17ACF" w14:textId="50E16859" w:rsidR="001D3D3C" w:rsidRPr="001D3D3C" w:rsidRDefault="001F5448" w:rsidP="000A58EA">
            <w:pPr>
              <w:pStyle w:val="NoSpacing"/>
              <w:rPr>
                <w:rFonts w:ascii="Arial" w:hAnsi="Arial" w:cs="Arial"/>
                <w:sz w:val="18"/>
                <w:szCs w:val="18"/>
                <w:vertAlign w:val="superscript"/>
              </w:rPr>
            </w:pPr>
            <w:r>
              <w:rPr>
                <w:rFonts w:ascii="Arial" w:hAnsi="Arial" w:cs="Arial"/>
                <w:sz w:val="18"/>
                <w:szCs w:val="18"/>
              </w:rPr>
              <w:t>Some pressure</w:t>
            </w:r>
          </w:p>
        </w:tc>
        <w:tc>
          <w:tcPr>
            <w:tcW w:w="0" w:type="auto"/>
            <w:vAlign w:val="bottom"/>
          </w:tcPr>
          <w:p w14:paraId="08314233"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-0.104</w:t>
            </w:r>
          </w:p>
        </w:tc>
        <w:tc>
          <w:tcPr>
            <w:tcW w:w="0" w:type="auto"/>
            <w:vAlign w:val="bottom"/>
          </w:tcPr>
          <w:p w14:paraId="64C560B0" w14:textId="76351F9C" w:rsidR="001D3D3C" w:rsidRPr="001D3D3C" w:rsidRDefault="001D3D3C" w:rsidP="00CC3D1F">
            <w:pPr>
              <w:jc w:val="center"/>
              <w:rPr>
                <w:rFonts w:ascii="Arial" w:hAnsi="Arial" w:cs="Arial"/>
                <w:sz w:val="18"/>
                <w:szCs w:val="18"/>
              </w:rPr>
            </w:pPr>
            <w:r w:rsidRPr="001D3D3C">
              <w:rPr>
                <w:rFonts w:ascii="Arial" w:hAnsi="Arial" w:cs="Arial"/>
                <w:sz w:val="18"/>
                <w:szCs w:val="18"/>
              </w:rPr>
              <w:t>0.</w:t>
            </w:r>
            <w:r w:rsidR="006816F0">
              <w:rPr>
                <w:rFonts w:ascii="Arial" w:hAnsi="Arial" w:cs="Arial"/>
                <w:sz w:val="18"/>
                <w:szCs w:val="18"/>
              </w:rPr>
              <w:t>094</w:t>
            </w:r>
          </w:p>
        </w:tc>
        <w:tc>
          <w:tcPr>
            <w:tcW w:w="0" w:type="auto"/>
            <w:vAlign w:val="bottom"/>
          </w:tcPr>
          <w:p w14:paraId="031B28B1" w14:textId="1FC5DC78" w:rsidR="001D3D3C" w:rsidRPr="001D3D3C" w:rsidRDefault="001D3D3C" w:rsidP="00CC3D1F">
            <w:pPr>
              <w:jc w:val="center"/>
              <w:rPr>
                <w:rFonts w:ascii="Arial" w:hAnsi="Arial" w:cs="Arial"/>
                <w:sz w:val="18"/>
                <w:szCs w:val="18"/>
              </w:rPr>
            </w:pPr>
            <w:r w:rsidRPr="001D3D3C">
              <w:rPr>
                <w:rFonts w:ascii="Arial" w:hAnsi="Arial" w:cs="Arial"/>
                <w:sz w:val="18"/>
                <w:szCs w:val="18"/>
              </w:rPr>
              <w:t>-0.</w:t>
            </w:r>
            <w:r w:rsidR="006816F0">
              <w:rPr>
                <w:rFonts w:ascii="Arial" w:hAnsi="Arial" w:cs="Arial"/>
                <w:sz w:val="18"/>
                <w:szCs w:val="18"/>
              </w:rPr>
              <w:t>289</w:t>
            </w:r>
          </w:p>
        </w:tc>
        <w:tc>
          <w:tcPr>
            <w:tcW w:w="0" w:type="auto"/>
            <w:vAlign w:val="bottom"/>
          </w:tcPr>
          <w:p w14:paraId="43F4BF3B" w14:textId="1BAD4A00" w:rsidR="001D3D3C" w:rsidRPr="001D3D3C" w:rsidRDefault="001D3D3C" w:rsidP="00CC3D1F">
            <w:pPr>
              <w:jc w:val="center"/>
              <w:rPr>
                <w:rFonts w:ascii="Arial" w:hAnsi="Arial" w:cs="Arial"/>
                <w:sz w:val="18"/>
                <w:szCs w:val="18"/>
              </w:rPr>
            </w:pPr>
            <w:r w:rsidRPr="001D3D3C">
              <w:rPr>
                <w:rFonts w:ascii="Arial" w:hAnsi="Arial" w:cs="Arial"/>
                <w:sz w:val="18"/>
                <w:szCs w:val="18"/>
              </w:rPr>
              <w:t>0.</w:t>
            </w:r>
            <w:r w:rsidR="006816F0">
              <w:rPr>
                <w:rFonts w:ascii="Arial" w:hAnsi="Arial" w:cs="Arial"/>
                <w:sz w:val="18"/>
                <w:szCs w:val="18"/>
              </w:rPr>
              <w:t>080</w:t>
            </w:r>
          </w:p>
        </w:tc>
        <w:tc>
          <w:tcPr>
            <w:tcW w:w="0" w:type="auto"/>
            <w:vAlign w:val="center"/>
          </w:tcPr>
          <w:p w14:paraId="1F59055E" w14:textId="77777777" w:rsidR="001D3D3C" w:rsidRPr="001D3D3C" w:rsidRDefault="001D3D3C" w:rsidP="00041D77">
            <w:pPr>
              <w:jc w:val="center"/>
              <w:rPr>
                <w:rFonts w:ascii="Arial" w:hAnsi="Arial" w:cs="Arial"/>
                <w:sz w:val="18"/>
                <w:szCs w:val="18"/>
              </w:rPr>
            </w:pPr>
            <w:r w:rsidRPr="001D3D3C">
              <w:rPr>
                <w:rFonts w:ascii="Arial" w:hAnsi="Arial" w:cs="Arial"/>
                <w:sz w:val="18"/>
                <w:szCs w:val="18"/>
              </w:rPr>
              <w:t>-0.016</w:t>
            </w:r>
          </w:p>
        </w:tc>
        <w:tc>
          <w:tcPr>
            <w:tcW w:w="0" w:type="auto"/>
            <w:vAlign w:val="bottom"/>
          </w:tcPr>
          <w:p w14:paraId="352FA3D7" w14:textId="7BBD908B" w:rsidR="001D3D3C" w:rsidRPr="001D3D3C" w:rsidRDefault="001D3D3C" w:rsidP="00041D77">
            <w:pPr>
              <w:pStyle w:val="NoSpacing"/>
              <w:jc w:val="center"/>
              <w:rPr>
                <w:rFonts w:ascii="Arial" w:hAnsi="Arial" w:cs="Arial"/>
                <w:sz w:val="18"/>
                <w:szCs w:val="18"/>
              </w:rPr>
            </w:pPr>
            <w:r w:rsidRPr="001D3D3C">
              <w:rPr>
                <w:rFonts w:ascii="Arial" w:hAnsi="Arial" w:cs="Arial"/>
                <w:sz w:val="18"/>
                <w:szCs w:val="18"/>
              </w:rPr>
              <w:t>0.</w:t>
            </w:r>
            <w:r w:rsidR="006816F0">
              <w:rPr>
                <w:rFonts w:ascii="Arial" w:hAnsi="Arial" w:cs="Arial"/>
                <w:sz w:val="18"/>
                <w:szCs w:val="18"/>
              </w:rPr>
              <w:t>268</w:t>
            </w:r>
          </w:p>
        </w:tc>
      </w:tr>
      <w:tr w:rsidR="00F451C3" w:rsidRPr="001D3D3C" w14:paraId="61A72A47" w14:textId="77777777" w:rsidTr="00041D77">
        <w:trPr>
          <w:trHeight w:val="113"/>
          <w:jc w:val="center"/>
        </w:trPr>
        <w:tc>
          <w:tcPr>
            <w:tcW w:w="0" w:type="auto"/>
          </w:tcPr>
          <w:p w14:paraId="3691F50D" w14:textId="7CCB78BE" w:rsidR="001D3D3C" w:rsidRPr="001D3D3C" w:rsidRDefault="001F5448" w:rsidP="000A58EA">
            <w:pPr>
              <w:pStyle w:val="NoSpacing"/>
              <w:rPr>
                <w:rFonts w:ascii="Arial" w:hAnsi="Arial" w:cs="Arial"/>
                <w:sz w:val="18"/>
                <w:szCs w:val="18"/>
              </w:rPr>
            </w:pPr>
            <w:r>
              <w:rPr>
                <w:rFonts w:ascii="Arial" w:hAnsi="Arial" w:cs="Arial"/>
                <w:sz w:val="18"/>
                <w:szCs w:val="18"/>
              </w:rPr>
              <w:t>Heavy pressure</w:t>
            </w:r>
            <w:r w:rsidR="007F7BF2">
              <w:rPr>
                <w:rFonts w:ascii="Arial" w:hAnsi="Arial" w:cs="Arial"/>
                <w:sz w:val="18"/>
                <w:szCs w:val="18"/>
                <w:vertAlign w:val="superscript"/>
              </w:rPr>
              <w:t xml:space="preserve"> 3</w:t>
            </w:r>
          </w:p>
        </w:tc>
        <w:tc>
          <w:tcPr>
            <w:tcW w:w="0" w:type="auto"/>
            <w:vAlign w:val="bottom"/>
          </w:tcPr>
          <w:p w14:paraId="1872C9AB" w14:textId="77777777" w:rsidR="001D3D3C" w:rsidRPr="001D3D3C" w:rsidRDefault="001D3D3C" w:rsidP="00CC3D1F">
            <w:pPr>
              <w:jc w:val="right"/>
              <w:rPr>
                <w:rFonts w:ascii="Arial" w:hAnsi="Arial" w:cs="Arial"/>
                <w:sz w:val="18"/>
                <w:szCs w:val="18"/>
              </w:rPr>
            </w:pPr>
            <w:r w:rsidRPr="001D3D3C">
              <w:rPr>
                <w:rFonts w:ascii="Arial" w:hAnsi="Arial" w:cs="Arial"/>
                <w:sz w:val="18"/>
                <w:szCs w:val="18"/>
              </w:rPr>
              <w:t>0.764</w:t>
            </w:r>
          </w:p>
        </w:tc>
        <w:tc>
          <w:tcPr>
            <w:tcW w:w="0" w:type="auto"/>
            <w:vAlign w:val="bottom"/>
          </w:tcPr>
          <w:p w14:paraId="06AF65B7" w14:textId="01D160C9" w:rsidR="001D3D3C" w:rsidRPr="001D3D3C" w:rsidRDefault="0077258F" w:rsidP="001C61A1">
            <w:pPr>
              <w:jc w:val="center"/>
              <w:rPr>
                <w:rFonts w:ascii="Arial" w:hAnsi="Arial" w:cs="Arial"/>
                <w:sz w:val="18"/>
                <w:szCs w:val="18"/>
              </w:rPr>
            </w:pPr>
            <w:r>
              <w:rPr>
                <w:rFonts w:ascii="Arial" w:hAnsi="Arial" w:cs="Arial"/>
                <w:sz w:val="18"/>
                <w:szCs w:val="18"/>
              </w:rPr>
              <w:t>-</w:t>
            </w:r>
          </w:p>
        </w:tc>
        <w:tc>
          <w:tcPr>
            <w:tcW w:w="0" w:type="auto"/>
            <w:vAlign w:val="bottom"/>
          </w:tcPr>
          <w:p w14:paraId="11DDC0A0" w14:textId="743FB50C" w:rsidR="001D3D3C" w:rsidRPr="001D3D3C" w:rsidRDefault="0077258F" w:rsidP="001C61A1">
            <w:pPr>
              <w:jc w:val="center"/>
              <w:rPr>
                <w:rFonts w:ascii="Arial" w:hAnsi="Arial" w:cs="Arial"/>
                <w:sz w:val="18"/>
                <w:szCs w:val="18"/>
              </w:rPr>
            </w:pPr>
            <w:r>
              <w:rPr>
                <w:rFonts w:ascii="Arial" w:hAnsi="Arial" w:cs="Arial"/>
                <w:sz w:val="18"/>
                <w:szCs w:val="18"/>
              </w:rPr>
              <w:t>-</w:t>
            </w:r>
          </w:p>
        </w:tc>
        <w:tc>
          <w:tcPr>
            <w:tcW w:w="0" w:type="auto"/>
            <w:vAlign w:val="bottom"/>
          </w:tcPr>
          <w:p w14:paraId="033374DF" w14:textId="269DCA10" w:rsidR="001D3D3C" w:rsidRPr="001D3D3C" w:rsidRDefault="0077258F" w:rsidP="001C61A1">
            <w:pPr>
              <w:jc w:val="center"/>
              <w:rPr>
                <w:rFonts w:ascii="Arial" w:hAnsi="Arial" w:cs="Arial"/>
                <w:sz w:val="18"/>
                <w:szCs w:val="18"/>
              </w:rPr>
            </w:pPr>
            <w:r>
              <w:rPr>
                <w:rFonts w:ascii="Arial" w:hAnsi="Arial" w:cs="Arial"/>
                <w:sz w:val="18"/>
                <w:szCs w:val="18"/>
              </w:rPr>
              <w:t>-</w:t>
            </w:r>
          </w:p>
        </w:tc>
        <w:tc>
          <w:tcPr>
            <w:tcW w:w="0" w:type="auto"/>
            <w:vAlign w:val="center"/>
          </w:tcPr>
          <w:p w14:paraId="68175212" w14:textId="59F23C39" w:rsidR="001D3D3C" w:rsidRPr="001D3D3C" w:rsidRDefault="001D3D3C" w:rsidP="001C61A1">
            <w:pPr>
              <w:jc w:val="center"/>
              <w:rPr>
                <w:rFonts w:ascii="Arial" w:hAnsi="Arial" w:cs="Arial"/>
                <w:sz w:val="18"/>
                <w:szCs w:val="18"/>
              </w:rPr>
            </w:pPr>
          </w:p>
        </w:tc>
        <w:tc>
          <w:tcPr>
            <w:tcW w:w="0" w:type="auto"/>
            <w:vAlign w:val="bottom"/>
          </w:tcPr>
          <w:p w14:paraId="61B46C2F" w14:textId="191508A7" w:rsidR="001D3D3C" w:rsidRPr="001D3D3C" w:rsidRDefault="0077258F" w:rsidP="001C61A1">
            <w:pPr>
              <w:pStyle w:val="NoSpacing"/>
              <w:jc w:val="center"/>
              <w:rPr>
                <w:rFonts w:ascii="Arial" w:hAnsi="Arial" w:cs="Arial"/>
                <w:sz w:val="18"/>
                <w:szCs w:val="18"/>
              </w:rPr>
            </w:pPr>
            <w:r>
              <w:rPr>
                <w:rFonts w:ascii="Arial" w:hAnsi="Arial" w:cs="Arial"/>
                <w:sz w:val="18"/>
                <w:szCs w:val="18"/>
              </w:rPr>
              <w:t>-</w:t>
            </w:r>
          </w:p>
        </w:tc>
      </w:tr>
      <w:tr w:rsidR="00F451C3" w:rsidRPr="001D3D3C" w14:paraId="08A21C52" w14:textId="77777777" w:rsidTr="00041D77">
        <w:trPr>
          <w:trHeight w:val="113"/>
          <w:jc w:val="center"/>
        </w:trPr>
        <w:tc>
          <w:tcPr>
            <w:tcW w:w="0" w:type="auto"/>
          </w:tcPr>
          <w:p w14:paraId="20A96FE9" w14:textId="77777777" w:rsidR="00FA21EF" w:rsidRDefault="00FA21EF" w:rsidP="00CC3D1F">
            <w:pPr>
              <w:pStyle w:val="NoSpacing"/>
              <w:jc w:val="both"/>
              <w:rPr>
                <w:rFonts w:ascii="Arial" w:hAnsi="Arial" w:cs="Arial"/>
                <w:sz w:val="18"/>
                <w:szCs w:val="18"/>
              </w:rPr>
            </w:pPr>
          </w:p>
          <w:p w14:paraId="650DD283" w14:textId="77777777" w:rsidR="001D3D3C" w:rsidRPr="001D3D3C" w:rsidRDefault="001D3D3C" w:rsidP="00CC3D1F">
            <w:pPr>
              <w:pStyle w:val="NoSpacing"/>
              <w:jc w:val="both"/>
              <w:rPr>
                <w:rFonts w:ascii="Arial" w:hAnsi="Arial" w:cs="Arial"/>
                <w:sz w:val="18"/>
                <w:szCs w:val="18"/>
              </w:rPr>
            </w:pPr>
            <w:r w:rsidRPr="001D3D3C">
              <w:rPr>
                <w:rFonts w:ascii="Arial" w:hAnsi="Arial" w:cs="Arial"/>
                <w:sz w:val="18"/>
                <w:szCs w:val="18"/>
              </w:rPr>
              <w:t>McFadden’s R</w:t>
            </w:r>
            <w:r w:rsidRPr="001D3D3C">
              <w:rPr>
                <w:rFonts w:ascii="Arial" w:hAnsi="Arial" w:cs="Arial"/>
                <w:sz w:val="18"/>
                <w:szCs w:val="18"/>
                <w:vertAlign w:val="superscript"/>
              </w:rPr>
              <w:t>2</w:t>
            </w:r>
            <w:r w:rsidRPr="001D3D3C">
              <w:rPr>
                <w:rFonts w:ascii="Arial" w:hAnsi="Arial" w:cs="Arial"/>
                <w:sz w:val="18"/>
                <w:szCs w:val="18"/>
              </w:rPr>
              <w:t xml:space="preserve"> (pseudo R</w:t>
            </w:r>
            <w:r w:rsidRPr="001D3D3C">
              <w:rPr>
                <w:rFonts w:ascii="Arial" w:hAnsi="Arial" w:cs="Arial"/>
                <w:sz w:val="18"/>
                <w:szCs w:val="18"/>
                <w:vertAlign w:val="superscript"/>
              </w:rPr>
              <w:t>2</w:t>
            </w:r>
            <w:r w:rsidRPr="001D3D3C">
              <w:rPr>
                <w:rFonts w:ascii="Arial" w:hAnsi="Arial" w:cs="Arial"/>
                <w:sz w:val="18"/>
                <w:szCs w:val="18"/>
              </w:rPr>
              <w:t>)</w:t>
            </w:r>
          </w:p>
        </w:tc>
        <w:tc>
          <w:tcPr>
            <w:tcW w:w="0" w:type="auto"/>
          </w:tcPr>
          <w:p w14:paraId="1F370128" w14:textId="77777777" w:rsidR="00FA21EF" w:rsidRDefault="00FA21EF" w:rsidP="00CC3D1F">
            <w:pPr>
              <w:pStyle w:val="NoSpacing"/>
              <w:jc w:val="right"/>
              <w:rPr>
                <w:rFonts w:ascii="Arial" w:hAnsi="Arial" w:cs="Arial"/>
                <w:sz w:val="18"/>
                <w:szCs w:val="18"/>
              </w:rPr>
            </w:pPr>
          </w:p>
          <w:p w14:paraId="5E51DAEF" w14:textId="77777777" w:rsidR="001D3D3C" w:rsidRPr="001D3D3C" w:rsidRDefault="001D3D3C" w:rsidP="00CC3D1F">
            <w:pPr>
              <w:pStyle w:val="NoSpacing"/>
              <w:jc w:val="right"/>
              <w:rPr>
                <w:rFonts w:ascii="Arial" w:hAnsi="Arial" w:cs="Arial"/>
                <w:sz w:val="18"/>
                <w:szCs w:val="18"/>
              </w:rPr>
            </w:pPr>
            <w:r w:rsidRPr="001D3D3C">
              <w:rPr>
                <w:rFonts w:ascii="Arial" w:hAnsi="Arial" w:cs="Arial"/>
                <w:sz w:val="18"/>
                <w:szCs w:val="18"/>
              </w:rPr>
              <w:t>0.320</w:t>
            </w:r>
          </w:p>
        </w:tc>
        <w:tc>
          <w:tcPr>
            <w:tcW w:w="0" w:type="auto"/>
          </w:tcPr>
          <w:p w14:paraId="0548D985" w14:textId="77777777" w:rsidR="001D3D3C" w:rsidRPr="001D3D3C" w:rsidRDefault="001D3D3C" w:rsidP="00CC3D1F">
            <w:pPr>
              <w:pStyle w:val="NoSpacing"/>
              <w:rPr>
                <w:rFonts w:ascii="Arial" w:hAnsi="Arial" w:cs="Arial"/>
                <w:sz w:val="18"/>
                <w:szCs w:val="18"/>
              </w:rPr>
            </w:pPr>
          </w:p>
        </w:tc>
        <w:tc>
          <w:tcPr>
            <w:tcW w:w="0" w:type="auto"/>
          </w:tcPr>
          <w:p w14:paraId="56CD7CDC" w14:textId="77777777" w:rsidR="001D3D3C" w:rsidRPr="001D3D3C" w:rsidRDefault="001D3D3C" w:rsidP="00CC3D1F">
            <w:pPr>
              <w:pStyle w:val="NoSpacing"/>
              <w:rPr>
                <w:rFonts w:ascii="Arial" w:hAnsi="Arial" w:cs="Arial"/>
                <w:sz w:val="18"/>
                <w:szCs w:val="18"/>
              </w:rPr>
            </w:pPr>
          </w:p>
        </w:tc>
        <w:tc>
          <w:tcPr>
            <w:tcW w:w="0" w:type="auto"/>
          </w:tcPr>
          <w:p w14:paraId="243BF0F2" w14:textId="77777777" w:rsidR="001D3D3C" w:rsidRPr="001D3D3C" w:rsidRDefault="001D3D3C" w:rsidP="00CC3D1F">
            <w:pPr>
              <w:pStyle w:val="NoSpacing"/>
              <w:rPr>
                <w:rFonts w:ascii="Arial" w:hAnsi="Arial" w:cs="Arial"/>
                <w:sz w:val="18"/>
                <w:szCs w:val="18"/>
              </w:rPr>
            </w:pPr>
          </w:p>
        </w:tc>
        <w:tc>
          <w:tcPr>
            <w:tcW w:w="0" w:type="auto"/>
          </w:tcPr>
          <w:p w14:paraId="2A973268" w14:textId="77777777" w:rsidR="001D3D3C" w:rsidRPr="001D3D3C" w:rsidRDefault="001D3D3C" w:rsidP="00041D77">
            <w:pPr>
              <w:pStyle w:val="NoSpacing"/>
              <w:jc w:val="center"/>
              <w:rPr>
                <w:rFonts w:ascii="Arial" w:hAnsi="Arial" w:cs="Arial"/>
                <w:sz w:val="18"/>
                <w:szCs w:val="18"/>
              </w:rPr>
            </w:pPr>
          </w:p>
        </w:tc>
        <w:tc>
          <w:tcPr>
            <w:tcW w:w="0" w:type="auto"/>
          </w:tcPr>
          <w:p w14:paraId="057585FE" w14:textId="77777777" w:rsidR="001D3D3C" w:rsidRPr="001D3D3C" w:rsidRDefault="001D3D3C" w:rsidP="00041D77">
            <w:pPr>
              <w:pStyle w:val="NoSpacing"/>
              <w:jc w:val="center"/>
              <w:rPr>
                <w:rFonts w:ascii="Arial" w:hAnsi="Arial" w:cs="Arial"/>
                <w:sz w:val="18"/>
                <w:szCs w:val="18"/>
              </w:rPr>
            </w:pPr>
          </w:p>
        </w:tc>
      </w:tr>
      <w:tr w:rsidR="00F451C3" w:rsidRPr="001D3D3C" w14:paraId="1F28E4A6" w14:textId="77777777" w:rsidTr="00041D77">
        <w:trPr>
          <w:trHeight w:val="113"/>
          <w:jc w:val="center"/>
        </w:trPr>
        <w:tc>
          <w:tcPr>
            <w:tcW w:w="0" w:type="auto"/>
          </w:tcPr>
          <w:p w14:paraId="4E252E5C" w14:textId="77777777" w:rsidR="001D3D3C" w:rsidRPr="001D3D3C" w:rsidRDefault="001D3D3C" w:rsidP="00CC3D1F">
            <w:pPr>
              <w:pStyle w:val="NoSpacing"/>
              <w:jc w:val="both"/>
              <w:rPr>
                <w:rFonts w:ascii="Arial" w:hAnsi="Arial" w:cs="Arial"/>
                <w:sz w:val="18"/>
                <w:szCs w:val="18"/>
              </w:rPr>
            </w:pPr>
            <w:r w:rsidRPr="001D3D3C">
              <w:rPr>
                <w:rFonts w:ascii="Arial" w:hAnsi="Arial" w:cs="Arial"/>
                <w:sz w:val="18"/>
                <w:szCs w:val="18"/>
              </w:rPr>
              <w:t>AIC / BIC</w:t>
            </w:r>
          </w:p>
        </w:tc>
        <w:tc>
          <w:tcPr>
            <w:tcW w:w="0" w:type="auto"/>
          </w:tcPr>
          <w:p w14:paraId="03705E96" w14:textId="77777777" w:rsidR="001D3D3C" w:rsidRPr="001D3D3C" w:rsidRDefault="001D3D3C" w:rsidP="00CC3D1F">
            <w:pPr>
              <w:pStyle w:val="NoSpacing"/>
              <w:jc w:val="right"/>
              <w:rPr>
                <w:rFonts w:ascii="Arial" w:hAnsi="Arial" w:cs="Arial"/>
                <w:sz w:val="18"/>
                <w:szCs w:val="18"/>
              </w:rPr>
            </w:pPr>
            <w:r w:rsidRPr="001D3D3C">
              <w:rPr>
                <w:rFonts w:ascii="Arial" w:hAnsi="Arial" w:cs="Arial"/>
                <w:sz w:val="18"/>
                <w:szCs w:val="18"/>
              </w:rPr>
              <w:t>976.767/1029.697</w:t>
            </w:r>
          </w:p>
        </w:tc>
        <w:tc>
          <w:tcPr>
            <w:tcW w:w="0" w:type="auto"/>
          </w:tcPr>
          <w:p w14:paraId="08E947D5" w14:textId="77777777" w:rsidR="001D3D3C" w:rsidRPr="001D3D3C" w:rsidRDefault="001D3D3C" w:rsidP="00CC3D1F">
            <w:pPr>
              <w:pStyle w:val="NoSpacing"/>
              <w:rPr>
                <w:rFonts w:ascii="Arial" w:hAnsi="Arial" w:cs="Arial"/>
                <w:sz w:val="18"/>
                <w:szCs w:val="18"/>
              </w:rPr>
            </w:pPr>
          </w:p>
        </w:tc>
        <w:tc>
          <w:tcPr>
            <w:tcW w:w="0" w:type="auto"/>
          </w:tcPr>
          <w:p w14:paraId="787577B7" w14:textId="77777777" w:rsidR="001D3D3C" w:rsidRPr="001D3D3C" w:rsidRDefault="001D3D3C" w:rsidP="00CC3D1F">
            <w:pPr>
              <w:pStyle w:val="NoSpacing"/>
              <w:rPr>
                <w:rFonts w:ascii="Arial" w:hAnsi="Arial" w:cs="Arial"/>
                <w:sz w:val="18"/>
                <w:szCs w:val="18"/>
              </w:rPr>
            </w:pPr>
          </w:p>
        </w:tc>
        <w:tc>
          <w:tcPr>
            <w:tcW w:w="0" w:type="auto"/>
          </w:tcPr>
          <w:p w14:paraId="4D7E904E" w14:textId="77777777" w:rsidR="001D3D3C" w:rsidRPr="001D3D3C" w:rsidRDefault="001D3D3C" w:rsidP="00CC3D1F">
            <w:pPr>
              <w:pStyle w:val="NoSpacing"/>
              <w:rPr>
                <w:rFonts w:ascii="Arial" w:hAnsi="Arial" w:cs="Arial"/>
                <w:sz w:val="18"/>
                <w:szCs w:val="18"/>
              </w:rPr>
            </w:pPr>
          </w:p>
        </w:tc>
        <w:tc>
          <w:tcPr>
            <w:tcW w:w="0" w:type="auto"/>
          </w:tcPr>
          <w:p w14:paraId="0B72DEAD" w14:textId="77777777" w:rsidR="001D3D3C" w:rsidRPr="001D3D3C" w:rsidRDefault="001D3D3C" w:rsidP="00041D77">
            <w:pPr>
              <w:pStyle w:val="NoSpacing"/>
              <w:jc w:val="center"/>
              <w:rPr>
                <w:rFonts w:ascii="Arial" w:hAnsi="Arial" w:cs="Arial"/>
                <w:sz w:val="18"/>
                <w:szCs w:val="18"/>
              </w:rPr>
            </w:pPr>
          </w:p>
        </w:tc>
        <w:tc>
          <w:tcPr>
            <w:tcW w:w="0" w:type="auto"/>
          </w:tcPr>
          <w:p w14:paraId="50D53A42" w14:textId="77777777" w:rsidR="001D3D3C" w:rsidRPr="001D3D3C" w:rsidRDefault="001D3D3C" w:rsidP="00041D77">
            <w:pPr>
              <w:pStyle w:val="NoSpacing"/>
              <w:jc w:val="center"/>
              <w:rPr>
                <w:rFonts w:ascii="Arial" w:hAnsi="Arial" w:cs="Arial"/>
                <w:sz w:val="18"/>
                <w:szCs w:val="18"/>
              </w:rPr>
            </w:pPr>
          </w:p>
        </w:tc>
      </w:tr>
      <w:tr w:rsidR="00F451C3" w:rsidRPr="001D3D3C" w14:paraId="41FE9D92" w14:textId="77777777" w:rsidTr="00041D77">
        <w:trPr>
          <w:trHeight w:val="113"/>
          <w:jc w:val="center"/>
        </w:trPr>
        <w:tc>
          <w:tcPr>
            <w:tcW w:w="0" w:type="auto"/>
          </w:tcPr>
          <w:p w14:paraId="7ED872A4" w14:textId="77777777" w:rsidR="001D3D3C" w:rsidRPr="001D3D3C" w:rsidRDefault="001D3D3C" w:rsidP="00CC3D1F">
            <w:pPr>
              <w:pStyle w:val="NoSpacing"/>
              <w:jc w:val="both"/>
              <w:rPr>
                <w:rFonts w:ascii="Arial" w:hAnsi="Arial" w:cs="Arial"/>
                <w:sz w:val="18"/>
                <w:szCs w:val="18"/>
              </w:rPr>
            </w:pPr>
            <w:r w:rsidRPr="001D3D3C">
              <w:rPr>
                <w:rFonts w:ascii="Arial" w:hAnsi="Arial" w:cs="Arial"/>
                <w:sz w:val="18"/>
                <w:szCs w:val="18"/>
              </w:rPr>
              <w:t>Log-likelihood</w:t>
            </w:r>
          </w:p>
        </w:tc>
        <w:tc>
          <w:tcPr>
            <w:tcW w:w="0" w:type="auto"/>
          </w:tcPr>
          <w:p w14:paraId="50B30293" w14:textId="77777777" w:rsidR="001D3D3C" w:rsidRPr="001D3D3C" w:rsidRDefault="001D3D3C" w:rsidP="00CC3D1F">
            <w:pPr>
              <w:pStyle w:val="NoSpacing"/>
              <w:jc w:val="right"/>
              <w:rPr>
                <w:rFonts w:ascii="Arial" w:hAnsi="Arial" w:cs="Arial"/>
                <w:sz w:val="18"/>
                <w:szCs w:val="18"/>
              </w:rPr>
            </w:pPr>
            <w:r w:rsidRPr="001D3D3C">
              <w:rPr>
                <w:rFonts w:ascii="Arial" w:hAnsi="Arial" w:cs="Arial"/>
                <w:sz w:val="18"/>
                <w:szCs w:val="18"/>
              </w:rPr>
              <w:t>-478.384</w:t>
            </w:r>
          </w:p>
        </w:tc>
        <w:tc>
          <w:tcPr>
            <w:tcW w:w="0" w:type="auto"/>
          </w:tcPr>
          <w:p w14:paraId="7E76AB1F" w14:textId="77777777" w:rsidR="001D3D3C" w:rsidRPr="001D3D3C" w:rsidRDefault="001D3D3C" w:rsidP="00CC3D1F">
            <w:pPr>
              <w:pStyle w:val="NoSpacing"/>
              <w:rPr>
                <w:rFonts w:ascii="Arial" w:hAnsi="Arial" w:cs="Arial"/>
                <w:sz w:val="18"/>
                <w:szCs w:val="18"/>
              </w:rPr>
            </w:pPr>
          </w:p>
        </w:tc>
        <w:tc>
          <w:tcPr>
            <w:tcW w:w="0" w:type="auto"/>
          </w:tcPr>
          <w:p w14:paraId="298FCFC8" w14:textId="77777777" w:rsidR="001D3D3C" w:rsidRPr="001D3D3C" w:rsidRDefault="001D3D3C" w:rsidP="00CC3D1F">
            <w:pPr>
              <w:pStyle w:val="NoSpacing"/>
              <w:rPr>
                <w:rFonts w:ascii="Arial" w:hAnsi="Arial" w:cs="Arial"/>
                <w:sz w:val="18"/>
                <w:szCs w:val="18"/>
              </w:rPr>
            </w:pPr>
          </w:p>
        </w:tc>
        <w:tc>
          <w:tcPr>
            <w:tcW w:w="0" w:type="auto"/>
          </w:tcPr>
          <w:p w14:paraId="0D22E761" w14:textId="77777777" w:rsidR="001D3D3C" w:rsidRPr="001D3D3C" w:rsidRDefault="001D3D3C" w:rsidP="00CC3D1F">
            <w:pPr>
              <w:pStyle w:val="NoSpacing"/>
              <w:rPr>
                <w:rFonts w:ascii="Arial" w:hAnsi="Arial" w:cs="Arial"/>
                <w:sz w:val="18"/>
                <w:szCs w:val="18"/>
              </w:rPr>
            </w:pPr>
          </w:p>
        </w:tc>
        <w:tc>
          <w:tcPr>
            <w:tcW w:w="0" w:type="auto"/>
          </w:tcPr>
          <w:p w14:paraId="0F131ECD" w14:textId="77777777" w:rsidR="001D3D3C" w:rsidRPr="001D3D3C" w:rsidRDefault="001D3D3C" w:rsidP="00041D77">
            <w:pPr>
              <w:pStyle w:val="NoSpacing"/>
              <w:jc w:val="center"/>
              <w:rPr>
                <w:rFonts w:ascii="Arial" w:hAnsi="Arial" w:cs="Arial"/>
                <w:sz w:val="18"/>
                <w:szCs w:val="18"/>
              </w:rPr>
            </w:pPr>
          </w:p>
        </w:tc>
        <w:tc>
          <w:tcPr>
            <w:tcW w:w="0" w:type="auto"/>
          </w:tcPr>
          <w:p w14:paraId="6B91588A" w14:textId="77777777" w:rsidR="001D3D3C" w:rsidRPr="001D3D3C" w:rsidRDefault="001D3D3C" w:rsidP="00041D77">
            <w:pPr>
              <w:pStyle w:val="NoSpacing"/>
              <w:jc w:val="center"/>
              <w:rPr>
                <w:rFonts w:ascii="Arial" w:hAnsi="Arial" w:cs="Arial"/>
                <w:sz w:val="18"/>
                <w:szCs w:val="18"/>
              </w:rPr>
            </w:pPr>
          </w:p>
        </w:tc>
      </w:tr>
      <w:tr w:rsidR="00F451C3" w:rsidRPr="001D3D3C" w14:paraId="5541540E" w14:textId="77777777" w:rsidTr="00041D77">
        <w:trPr>
          <w:trHeight w:val="113"/>
          <w:jc w:val="center"/>
        </w:trPr>
        <w:tc>
          <w:tcPr>
            <w:tcW w:w="0" w:type="auto"/>
            <w:tcBorders>
              <w:bottom w:val="single" w:sz="4" w:space="0" w:color="auto"/>
            </w:tcBorders>
          </w:tcPr>
          <w:p w14:paraId="5FEFB20B" w14:textId="77777777" w:rsidR="001D3D3C" w:rsidRPr="001D3D3C" w:rsidRDefault="001D3D3C" w:rsidP="00CC3D1F">
            <w:pPr>
              <w:pStyle w:val="NoSpacing"/>
              <w:jc w:val="both"/>
              <w:rPr>
                <w:rFonts w:ascii="Arial" w:hAnsi="Arial" w:cs="Arial"/>
                <w:sz w:val="18"/>
                <w:szCs w:val="18"/>
              </w:rPr>
            </w:pPr>
            <w:r w:rsidRPr="001D3D3C">
              <w:rPr>
                <w:rFonts w:ascii="Arial" w:hAnsi="Arial" w:cs="Arial"/>
                <w:sz w:val="18"/>
                <w:szCs w:val="18"/>
              </w:rPr>
              <w:t>N</w:t>
            </w:r>
          </w:p>
        </w:tc>
        <w:tc>
          <w:tcPr>
            <w:tcW w:w="0" w:type="auto"/>
            <w:tcBorders>
              <w:bottom w:val="single" w:sz="4" w:space="0" w:color="auto"/>
            </w:tcBorders>
          </w:tcPr>
          <w:p w14:paraId="098E3F31" w14:textId="77777777" w:rsidR="001D3D3C" w:rsidRPr="001D3D3C" w:rsidRDefault="001D3D3C" w:rsidP="00CC3D1F">
            <w:pPr>
              <w:pStyle w:val="NoSpacing"/>
              <w:jc w:val="right"/>
              <w:rPr>
                <w:rFonts w:ascii="Arial" w:hAnsi="Arial" w:cs="Arial"/>
                <w:sz w:val="18"/>
                <w:szCs w:val="18"/>
              </w:rPr>
            </w:pPr>
            <w:r w:rsidRPr="001D3D3C">
              <w:rPr>
                <w:rFonts w:ascii="Arial" w:hAnsi="Arial" w:cs="Arial"/>
                <w:sz w:val="18"/>
                <w:szCs w:val="18"/>
              </w:rPr>
              <w:t>1,470</w:t>
            </w:r>
          </w:p>
        </w:tc>
        <w:tc>
          <w:tcPr>
            <w:tcW w:w="0" w:type="auto"/>
            <w:tcBorders>
              <w:bottom w:val="single" w:sz="4" w:space="0" w:color="auto"/>
            </w:tcBorders>
          </w:tcPr>
          <w:p w14:paraId="311B038F" w14:textId="77777777" w:rsidR="001D3D3C" w:rsidRPr="001D3D3C" w:rsidRDefault="001D3D3C" w:rsidP="00CC3D1F">
            <w:pPr>
              <w:pStyle w:val="NoSpacing"/>
              <w:rPr>
                <w:rFonts w:ascii="Arial" w:hAnsi="Arial" w:cs="Arial"/>
                <w:sz w:val="18"/>
                <w:szCs w:val="18"/>
              </w:rPr>
            </w:pPr>
          </w:p>
        </w:tc>
        <w:tc>
          <w:tcPr>
            <w:tcW w:w="0" w:type="auto"/>
            <w:tcBorders>
              <w:bottom w:val="single" w:sz="4" w:space="0" w:color="auto"/>
            </w:tcBorders>
          </w:tcPr>
          <w:p w14:paraId="746446BC" w14:textId="77777777" w:rsidR="001D3D3C" w:rsidRPr="001D3D3C" w:rsidRDefault="001D3D3C" w:rsidP="00CC3D1F">
            <w:pPr>
              <w:pStyle w:val="NoSpacing"/>
              <w:rPr>
                <w:rFonts w:ascii="Arial" w:hAnsi="Arial" w:cs="Arial"/>
                <w:sz w:val="18"/>
                <w:szCs w:val="18"/>
              </w:rPr>
            </w:pPr>
          </w:p>
        </w:tc>
        <w:tc>
          <w:tcPr>
            <w:tcW w:w="0" w:type="auto"/>
            <w:tcBorders>
              <w:bottom w:val="single" w:sz="4" w:space="0" w:color="auto"/>
            </w:tcBorders>
          </w:tcPr>
          <w:p w14:paraId="45FA8691" w14:textId="77777777" w:rsidR="001D3D3C" w:rsidRPr="001D3D3C" w:rsidRDefault="001D3D3C" w:rsidP="00CC3D1F">
            <w:pPr>
              <w:pStyle w:val="NoSpacing"/>
              <w:rPr>
                <w:rFonts w:ascii="Arial" w:hAnsi="Arial" w:cs="Arial"/>
                <w:sz w:val="18"/>
                <w:szCs w:val="18"/>
              </w:rPr>
            </w:pPr>
          </w:p>
        </w:tc>
        <w:tc>
          <w:tcPr>
            <w:tcW w:w="0" w:type="auto"/>
            <w:tcBorders>
              <w:bottom w:val="single" w:sz="4" w:space="0" w:color="auto"/>
            </w:tcBorders>
          </w:tcPr>
          <w:p w14:paraId="370954A6" w14:textId="77777777" w:rsidR="001D3D3C" w:rsidRPr="001D3D3C" w:rsidRDefault="001D3D3C" w:rsidP="00041D77">
            <w:pPr>
              <w:pStyle w:val="NoSpacing"/>
              <w:jc w:val="center"/>
              <w:rPr>
                <w:rFonts w:ascii="Arial" w:hAnsi="Arial" w:cs="Arial"/>
                <w:sz w:val="18"/>
                <w:szCs w:val="18"/>
              </w:rPr>
            </w:pPr>
          </w:p>
        </w:tc>
        <w:tc>
          <w:tcPr>
            <w:tcW w:w="0" w:type="auto"/>
            <w:tcBorders>
              <w:bottom w:val="single" w:sz="4" w:space="0" w:color="auto"/>
            </w:tcBorders>
          </w:tcPr>
          <w:p w14:paraId="7C013453" w14:textId="77777777" w:rsidR="001D3D3C" w:rsidRPr="001D3D3C" w:rsidRDefault="001D3D3C" w:rsidP="00041D77">
            <w:pPr>
              <w:pStyle w:val="NoSpacing"/>
              <w:jc w:val="center"/>
              <w:rPr>
                <w:rFonts w:ascii="Arial" w:hAnsi="Arial" w:cs="Arial"/>
                <w:sz w:val="18"/>
                <w:szCs w:val="18"/>
              </w:rPr>
            </w:pPr>
          </w:p>
        </w:tc>
      </w:tr>
    </w:tbl>
    <w:p w14:paraId="46427953" w14:textId="77777777" w:rsidR="001D3D3C" w:rsidRPr="001D3D3C" w:rsidRDefault="001D3D3C" w:rsidP="001D3D3C">
      <w:pPr>
        <w:pStyle w:val="NoSpacing"/>
        <w:jc w:val="both"/>
        <w:rPr>
          <w:rFonts w:ascii="Arial" w:hAnsi="Arial" w:cs="Arial"/>
          <w:sz w:val="18"/>
        </w:rPr>
      </w:pPr>
    </w:p>
    <w:p w14:paraId="231933F9" w14:textId="6B1A24BC" w:rsidR="007F7BF2" w:rsidRDefault="001D3D3C" w:rsidP="001D3D3C">
      <w:pPr>
        <w:pStyle w:val="NoSpacing"/>
        <w:jc w:val="both"/>
        <w:rPr>
          <w:rFonts w:ascii="Arial" w:hAnsi="Arial" w:cs="Arial"/>
          <w:sz w:val="18"/>
          <w:szCs w:val="18"/>
        </w:rPr>
      </w:pPr>
      <w:r w:rsidRPr="001D3D3C">
        <w:rPr>
          <w:rFonts w:ascii="Arial" w:hAnsi="Arial" w:cs="Arial"/>
          <w:sz w:val="18"/>
          <w:szCs w:val="18"/>
        </w:rPr>
        <w:t xml:space="preserve">NOTES: </w:t>
      </w:r>
      <w:r w:rsidR="007F7BF2">
        <w:rPr>
          <w:rFonts w:ascii="Arial" w:hAnsi="Arial" w:cs="Arial"/>
          <w:sz w:val="18"/>
          <w:szCs w:val="18"/>
        </w:rPr>
        <w:t xml:space="preserve">1. </w:t>
      </w:r>
      <w:r w:rsidR="00CD0BE3">
        <w:rPr>
          <w:rFonts w:ascii="Arial" w:hAnsi="Arial" w:cs="Arial"/>
          <w:sz w:val="18"/>
          <w:szCs w:val="18"/>
        </w:rPr>
        <w:t>AME is the average marginal effect</w:t>
      </w:r>
      <w:r w:rsidR="00CD0BE3" w:rsidRPr="00CD0BE3">
        <w:rPr>
          <w:rFonts w:ascii="Arial" w:hAnsi="Arial" w:cs="Arial"/>
          <w:sz w:val="18"/>
          <w:szCs w:val="18"/>
        </w:rPr>
        <w:t xml:space="preserve"> of each factor-level on proba</w:t>
      </w:r>
      <w:r w:rsidR="00CD0BE3">
        <w:rPr>
          <w:rFonts w:ascii="Arial" w:hAnsi="Arial" w:cs="Arial"/>
          <w:sz w:val="18"/>
          <w:szCs w:val="18"/>
        </w:rPr>
        <w:t>bility of choosing continue</w:t>
      </w:r>
      <w:r w:rsidR="00CD0BE3" w:rsidRPr="00CD0BE3">
        <w:rPr>
          <w:rFonts w:ascii="Arial" w:hAnsi="Arial" w:cs="Arial"/>
          <w:sz w:val="18"/>
          <w:szCs w:val="18"/>
        </w:rPr>
        <w:t>. For the categorical factor-levels this indicates how much higher/lower the probability of continuing was at this attribute-level than the probability at the factor’s base level. For the continuous variables (risk of continuing/risk of discontinuing), the AME indicates how much higher/lower the probability of continuing was for a 1% higher risk.</w:t>
      </w:r>
      <w:r w:rsidR="00CD0BE3">
        <w:rPr>
          <w:rFonts w:ascii="Arial" w:hAnsi="Arial" w:cs="Arial"/>
          <w:sz w:val="18"/>
          <w:szCs w:val="18"/>
        </w:rPr>
        <w:t xml:space="preserve"> </w:t>
      </w:r>
      <w:r w:rsidRPr="001D3D3C">
        <w:rPr>
          <w:rFonts w:ascii="Arial" w:hAnsi="Arial" w:cs="Arial"/>
          <w:sz w:val="18"/>
          <w:szCs w:val="18"/>
        </w:rPr>
        <w:t xml:space="preserve">AIC = Akaike Information Criterion. BIC = Bayesian Information Criterion. CI = 95% confidence interval. </w:t>
      </w:r>
      <w:r w:rsidRPr="001D3D3C">
        <w:rPr>
          <w:rFonts w:ascii="Arial" w:hAnsi="Arial" w:cs="Arial"/>
          <w:i/>
          <w:sz w:val="18"/>
          <w:szCs w:val="18"/>
        </w:rPr>
        <w:t>P</w:t>
      </w:r>
      <w:r w:rsidRPr="001D3D3C">
        <w:rPr>
          <w:rFonts w:ascii="Arial" w:hAnsi="Arial" w:cs="Arial"/>
          <w:sz w:val="18"/>
          <w:szCs w:val="18"/>
        </w:rPr>
        <w:t xml:space="preserve"> = p value</w:t>
      </w:r>
      <w:r w:rsidR="006816F0">
        <w:rPr>
          <w:rFonts w:ascii="Arial" w:hAnsi="Arial" w:cs="Arial"/>
          <w:sz w:val="18"/>
          <w:szCs w:val="18"/>
        </w:rPr>
        <w:t xml:space="preserve"> of coefficient</w:t>
      </w:r>
      <w:r w:rsidRPr="001D3D3C">
        <w:rPr>
          <w:rFonts w:ascii="Arial" w:hAnsi="Arial" w:cs="Arial"/>
          <w:sz w:val="18"/>
          <w:szCs w:val="18"/>
        </w:rPr>
        <w:t>. SE = standard error</w:t>
      </w:r>
      <w:r w:rsidR="006C470F">
        <w:rPr>
          <w:rFonts w:ascii="Arial" w:hAnsi="Arial" w:cs="Arial"/>
          <w:sz w:val="18"/>
          <w:szCs w:val="18"/>
        </w:rPr>
        <w:t xml:space="preserve"> clustered at respondent level</w:t>
      </w:r>
      <w:r w:rsidR="007F7BF2">
        <w:rPr>
          <w:rFonts w:ascii="Arial" w:hAnsi="Arial" w:cs="Arial"/>
          <w:sz w:val="18"/>
          <w:szCs w:val="18"/>
        </w:rPr>
        <w:t>;</w:t>
      </w:r>
      <w:r w:rsidRPr="001D3D3C">
        <w:rPr>
          <w:rFonts w:ascii="Arial" w:hAnsi="Arial" w:cs="Arial"/>
          <w:sz w:val="18"/>
          <w:szCs w:val="18"/>
        </w:rPr>
        <w:t xml:space="preserve"> </w:t>
      </w:r>
    </w:p>
    <w:p w14:paraId="567D81B4" w14:textId="2D675716" w:rsidR="007F7BF2" w:rsidRDefault="007F7BF2" w:rsidP="001D3D3C">
      <w:pPr>
        <w:pStyle w:val="NoSpacing"/>
        <w:jc w:val="both"/>
        <w:rPr>
          <w:rFonts w:ascii="Arial" w:hAnsi="Arial" w:cs="Arial"/>
          <w:sz w:val="18"/>
          <w:szCs w:val="18"/>
        </w:rPr>
      </w:pPr>
      <w:r>
        <w:rPr>
          <w:rFonts w:ascii="Arial" w:hAnsi="Arial" w:cs="Arial"/>
          <w:sz w:val="18"/>
          <w:szCs w:val="18"/>
        </w:rPr>
        <w:t xml:space="preserve">2. </w:t>
      </w:r>
      <w:r w:rsidR="001D3D3C" w:rsidRPr="001D3D3C">
        <w:rPr>
          <w:rFonts w:ascii="Arial" w:hAnsi="Arial" w:cs="Arial"/>
          <w:sz w:val="18"/>
          <w:szCs w:val="18"/>
        </w:rPr>
        <w:t>Attribute descriptions: SYMPTOMS = Patient’s presenting symptoms (1 = UTI &amp; Kidney, 2 = Fever cough &amp; funny X-Ray, 3 = Unclear [base level]); CONFLICT</w:t>
      </w:r>
      <w:r w:rsidR="00C33F89">
        <w:rPr>
          <w:rFonts w:ascii="Arial" w:hAnsi="Arial" w:cs="Arial"/>
          <w:sz w:val="18"/>
          <w:szCs w:val="18"/>
        </w:rPr>
        <w:t xml:space="preserve"> WITH GUIDELINES</w:t>
      </w:r>
      <w:r w:rsidR="001D3D3C" w:rsidRPr="001D3D3C">
        <w:rPr>
          <w:rFonts w:ascii="Arial" w:hAnsi="Arial" w:cs="Arial"/>
          <w:sz w:val="18"/>
          <w:szCs w:val="18"/>
        </w:rPr>
        <w:t xml:space="preserve"> = Whether early discontinuation of antibiotic treatment within 72 hours of treatment initiation would be in conflict with local antibiotic guidelines (1 = Strongly conflict, 2 = Somewhat conflict, 3 = Not conflict [base level]); CONTINUE</w:t>
      </w:r>
      <w:r w:rsidR="000A58EA">
        <w:rPr>
          <w:rFonts w:ascii="Arial" w:hAnsi="Arial" w:cs="Arial"/>
          <w:sz w:val="18"/>
          <w:szCs w:val="18"/>
        </w:rPr>
        <w:t xml:space="preserve"> </w:t>
      </w:r>
      <w:r w:rsidR="001D3D3C" w:rsidRPr="001D3D3C">
        <w:rPr>
          <w:rFonts w:ascii="Arial" w:hAnsi="Arial" w:cs="Arial"/>
          <w:sz w:val="18"/>
          <w:szCs w:val="18"/>
        </w:rPr>
        <w:t>RISK = Risk of significant harm arising from continued antibiotic treatment, expressed as a percentage; STOP</w:t>
      </w:r>
      <w:r w:rsidR="00E074EA">
        <w:rPr>
          <w:rFonts w:ascii="Arial" w:hAnsi="Arial" w:cs="Arial"/>
          <w:sz w:val="18"/>
          <w:szCs w:val="18"/>
        </w:rPr>
        <w:t xml:space="preserve"> </w:t>
      </w:r>
      <w:r w:rsidR="001D3D3C" w:rsidRPr="001D3D3C">
        <w:rPr>
          <w:rFonts w:ascii="Arial" w:hAnsi="Arial" w:cs="Arial"/>
          <w:sz w:val="18"/>
          <w:szCs w:val="18"/>
        </w:rPr>
        <w:t>RISK = Risk of significant harm arising from discontinuing antibiotic treatment, expressed as a percentage; PREMORBID</w:t>
      </w:r>
      <w:r w:rsidR="00C33F89">
        <w:rPr>
          <w:rFonts w:ascii="Arial" w:hAnsi="Arial" w:cs="Arial"/>
          <w:sz w:val="18"/>
          <w:szCs w:val="18"/>
        </w:rPr>
        <w:t xml:space="preserve"> CONDITION</w:t>
      </w:r>
      <w:r w:rsidR="001D3D3C" w:rsidRPr="001D3D3C">
        <w:rPr>
          <w:rFonts w:ascii="Arial" w:hAnsi="Arial" w:cs="Arial"/>
          <w:sz w:val="18"/>
          <w:szCs w:val="18"/>
        </w:rPr>
        <w:t xml:space="preserve"> = Premorbid condition of patient (1 = Severe frailty &amp; comorbidities, 2 = Moderate frailty &amp; comorbidities, 3 = Fit and well [base level]); </w:t>
      </w:r>
      <w:r w:rsidR="000A58EA">
        <w:rPr>
          <w:rFonts w:ascii="Arial" w:hAnsi="Arial" w:cs="Arial"/>
          <w:sz w:val="18"/>
          <w:szCs w:val="18"/>
        </w:rPr>
        <w:t xml:space="preserve">EXTERNAL </w:t>
      </w:r>
      <w:r w:rsidR="001D3D3C" w:rsidRPr="001D3D3C">
        <w:rPr>
          <w:rFonts w:ascii="Arial" w:hAnsi="Arial" w:cs="Arial"/>
          <w:sz w:val="18"/>
          <w:szCs w:val="18"/>
        </w:rPr>
        <w:t xml:space="preserve">PRESSURE = Level of external pressure to continue antibiotic treatment (1 = No pressure, 2 = Some pressure, 3 = Heavy pressure [base level]). Sample size arises from 98 respondents times 15 choice questions. The 2 respondents who chose ‘continue’ in all 15 choice questions </w:t>
      </w:r>
      <w:r w:rsidR="00CD0BE3">
        <w:rPr>
          <w:rFonts w:ascii="Arial" w:hAnsi="Arial" w:cs="Arial"/>
          <w:sz w:val="18"/>
          <w:szCs w:val="18"/>
        </w:rPr>
        <w:t>were omitted</w:t>
      </w:r>
      <w:r w:rsidR="001D3D3C" w:rsidRPr="001D3D3C">
        <w:rPr>
          <w:rFonts w:ascii="Arial" w:hAnsi="Arial" w:cs="Arial"/>
          <w:sz w:val="18"/>
          <w:szCs w:val="18"/>
        </w:rPr>
        <w:t xml:space="preserve"> because of the lack </w:t>
      </w:r>
      <w:r>
        <w:rPr>
          <w:rFonts w:ascii="Arial" w:hAnsi="Arial" w:cs="Arial"/>
          <w:sz w:val="18"/>
          <w:szCs w:val="18"/>
        </w:rPr>
        <w:t>of variation in their responses;</w:t>
      </w:r>
      <w:r w:rsidR="001D3D3C" w:rsidRPr="001D3D3C">
        <w:rPr>
          <w:rFonts w:ascii="Arial" w:hAnsi="Arial" w:cs="Arial"/>
          <w:sz w:val="18"/>
          <w:szCs w:val="18"/>
        </w:rPr>
        <w:t xml:space="preserve">  </w:t>
      </w:r>
    </w:p>
    <w:p w14:paraId="7F352FA1" w14:textId="335005F7" w:rsidR="001D3D3C" w:rsidRPr="001D3D3C" w:rsidRDefault="007F7BF2" w:rsidP="001D3D3C">
      <w:pPr>
        <w:pStyle w:val="NoSpacing"/>
        <w:jc w:val="both"/>
        <w:rPr>
          <w:rFonts w:ascii="Arial" w:hAnsi="Arial" w:cs="Arial"/>
          <w:sz w:val="18"/>
          <w:szCs w:val="18"/>
        </w:rPr>
      </w:pPr>
      <w:r>
        <w:rPr>
          <w:rFonts w:ascii="Arial" w:hAnsi="Arial" w:cs="Arial"/>
          <w:sz w:val="18"/>
          <w:szCs w:val="18"/>
        </w:rPr>
        <w:t xml:space="preserve">3. </w:t>
      </w:r>
      <w:r w:rsidR="001D3D3C" w:rsidRPr="001D3D3C">
        <w:rPr>
          <w:rFonts w:ascii="Arial" w:hAnsi="Arial" w:cs="Arial"/>
          <w:sz w:val="18"/>
          <w:szCs w:val="18"/>
        </w:rPr>
        <w:t xml:space="preserve">These attributes were effects-coded. The coefficients of the </w:t>
      </w:r>
      <w:r w:rsidR="00CD0BE3">
        <w:rPr>
          <w:rFonts w:ascii="Arial" w:hAnsi="Arial" w:cs="Arial"/>
          <w:sz w:val="18"/>
          <w:szCs w:val="18"/>
        </w:rPr>
        <w:t xml:space="preserve">base </w:t>
      </w:r>
      <w:r w:rsidR="001D3D3C" w:rsidRPr="001D3D3C">
        <w:rPr>
          <w:rFonts w:ascii="Arial" w:hAnsi="Arial" w:cs="Arial"/>
          <w:sz w:val="18"/>
          <w:szCs w:val="18"/>
        </w:rPr>
        <w:t>levels (</w:t>
      </w:r>
      <w:r w:rsidR="001F5448">
        <w:rPr>
          <w:rFonts w:ascii="Arial" w:hAnsi="Arial" w:cs="Arial"/>
          <w:sz w:val="18"/>
          <w:szCs w:val="18"/>
        </w:rPr>
        <w:t>Unclear symptoms</w:t>
      </w:r>
      <w:r w:rsidR="001D3D3C" w:rsidRPr="001D3D3C">
        <w:rPr>
          <w:rFonts w:ascii="Arial" w:hAnsi="Arial" w:cs="Arial"/>
          <w:sz w:val="18"/>
          <w:szCs w:val="18"/>
        </w:rPr>
        <w:t xml:space="preserve">, </w:t>
      </w:r>
      <w:r w:rsidR="001F5448">
        <w:rPr>
          <w:rFonts w:ascii="Arial" w:hAnsi="Arial" w:cs="Arial"/>
          <w:sz w:val="18"/>
          <w:szCs w:val="18"/>
        </w:rPr>
        <w:t>No conflict</w:t>
      </w:r>
      <w:r w:rsidR="001D3D3C" w:rsidRPr="001D3D3C">
        <w:rPr>
          <w:rFonts w:ascii="Arial" w:hAnsi="Arial" w:cs="Arial"/>
          <w:sz w:val="18"/>
          <w:szCs w:val="18"/>
        </w:rPr>
        <w:t xml:space="preserve">, </w:t>
      </w:r>
      <w:r w:rsidR="001F5448">
        <w:rPr>
          <w:rFonts w:ascii="Arial" w:hAnsi="Arial" w:cs="Arial"/>
          <w:sz w:val="18"/>
          <w:szCs w:val="18"/>
        </w:rPr>
        <w:t>Fit and well</w:t>
      </w:r>
      <w:r w:rsidR="001D3D3C" w:rsidRPr="001D3D3C">
        <w:rPr>
          <w:rFonts w:ascii="Arial" w:hAnsi="Arial" w:cs="Arial"/>
          <w:sz w:val="18"/>
          <w:szCs w:val="18"/>
        </w:rPr>
        <w:t xml:space="preserve"> and </w:t>
      </w:r>
      <w:r w:rsidR="001F5448">
        <w:rPr>
          <w:rFonts w:ascii="Arial" w:hAnsi="Arial" w:cs="Arial"/>
          <w:sz w:val="18"/>
          <w:szCs w:val="18"/>
        </w:rPr>
        <w:t>Heavy pressure</w:t>
      </w:r>
      <w:r w:rsidR="001D3D3C" w:rsidRPr="001D3D3C">
        <w:rPr>
          <w:rFonts w:ascii="Arial" w:hAnsi="Arial" w:cs="Arial"/>
          <w:sz w:val="18"/>
          <w:szCs w:val="18"/>
        </w:rPr>
        <w:t>) were calculated as the negative sum of the coefficients of the other levels.</w:t>
      </w:r>
    </w:p>
    <w:p w14:paraId="36712275" w14:textId="77777777" w:rsidR="001D3D3C" w:rsidRPr="001D3D3C" w:rsidRDefault="001D3D3C" w:rsidP="001D3D3C">
      <w:pPr>
        <w:pStyle w:val="NoSpacing"/>
        <w:jc w:val="both"/>
        <w:rPr>
          <w:rFonts w:ascii="Arial" w:hAnsi="Arial" w:cs="Arial"/>
          <w:sz w:val="20"/>
        </w:rPr>
      </w:pPr>
    </w:p>
    <w:p w14:paraId="7A31A62F" w14:textId="4F0AD1CF" w:rsidR="004277A2" w:rsidRDefault="004277A2">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br w:type="page"/>
      </w:r>
    </w:p>
    <w:p w14:paraId="636FCD90" w14:textId="61C18375" w:rsidR="001B3432" w:rsidRPr="00F14E14" w:rsidRDefault="001B3432" w:rsidP="001B3432">
      <w:pPr>
        <w:pStyle w:val="NoSpacing"/>
        <w:spacing w:line="480" w:lineRule="auto"/>
        <w:jc w:val="both"/>
        <w:rPr>
          <w:rFonts w:ascii="Arial" w:hAnsi="Arial" w:cs="Arial"/>
        </w:rPr>
      </w:pPr>
      <w:r>
        <w:rPr>
          <w:rFonts w:ascii="Arial" w:hAnsi="Arial" w:cs="Arial"/>
          <w:b/>
        </w:rPr>
        <w:t>Table 4</w:t>
      </w:r>
      <w:r w:rsidRPr="001D3D3C">
        <w:rPr>
          <w:rFonts w:ascii="Arial" w:hAnsi="Arial" w:cs="Arial"/>
          <w:b/>
        </w:rPr>
        <w:t xml:space="preserve">: </w:t>
      </w:r>
      <w:r w:rsidR="00817976">
        <w:rPr>
          <w:rFonts w:ascii="Arial" w:hAnsi="Arial" w:cs="Arial"/>
          <w:b/>
        </w:rPr>
        <w:t>Categories</w:t>
      </w:r>
      <w:r>
        <w:rPr>
          <w:rFonts w:ascii="Arial" w:hAnsi="Arial" w:cs="Arial"/>
          <w:b/>
        </w:rPr>
        <w:t xml:space="preserve"> </w:t>
      </w:r>
      <w:r w:rsidR="00817976">
        <w:rPr>
          <w:rFonts w:ascii="Arial" w:hAnsi="Arial" w:cs="Arial"/>
          <w:b/>
        </w:rPr>
        <w:t>of</w:t>
      </w:r>
      <w:r>
        <w:rPr>
          <w:rFonts w:ascii="Arial" w:hAnsi="Arial" w:cs="Arial"/>
          <w:b/>
        </w:rPr>
        <w:t xml:space="preserve"> respondent comments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6450"/>
      </w:tblGrid>
      <w:tr w:rsidR="008A34AD" w14:paraId="1965F84C" w14:textId="77777777" w:rsidTr="00041D77">
        <w:tc>
          <w:tcPr>
            <w:tcW w:w="3326" w:type="dxa"/>
            <w:tcBorders>
              <w:top w:val="double" w:sz="4" w:space="0" w:color="auto"/>
              <w:bottom w:val="single" w:sz="4" w:space="0" w:color="auto"/>
            </w:tcBorders>
          </w:tcPr>
          <w:p w14:paraId="532E08DE" w14:textId="57DD0BA0" w:rsidR="008A34AD" w:rsidRDefault="00817976" w:rsidP="00FB0867">
            <w:pPr>
              <w:spacing w:line="480" w:lineRule="auto"/>
              <w:rPr>
                <w:rFonts w:ascii="Arial" w:hAnsi="Arial" w:cs="Arial"/>
              </w:rPr>
            </w:pPr>
            <w:r>
              <w:rPr>
                <w:rFonts w:ascii="Arial" w:hAnsi="Arial" w:cs="Arial"/>
              </w:rPr>
              <w:t>Category</w:t>
            </w:r>
          </w:p>
        </w:tc>
        <w:tc>
          <w:tcPr>
            <w:tcW w:w="6450" w:type="dxa"/>
            <w:tcBorders>
              <w:top w:val="double" w:sz="4" w:space="0" w:color="auto"/>
              <w:bottom w:val="single" w:sz="4" w:space="0" w:color="auto"/>
            </w:tcBorders>
          </w:tcPr>
          <w:p w14:paraId="28171AA5" w14:textId="5613D716" w:rsidR="008A34AD" w:rsidRDefault="008A34AD" w:rsidP="00FB0867">
            <w:pPr>
              <w:spacing w:line="480" w:lineRule="auto"/>
              <w:rPr>
                <w:rFonts w:ascii="Arial" w:hAnsi="Arial" w:cs="Arial"/>
              </w:rPr>
            </w:pPr>
            <w:r>
              <w:rPr>
                <w:rFonts w:ascii="Arial" w:hAnsi="Arial" w:cs="Arial"/>
              </w:rPr>
              <w:t xml:space="preserve">Description of </w:t>
            </w:r>
            <w:r w:rsidR="00817976">
              <w:rPr>
                <w:rFonts w:ascii="Arial" w:hAnsi="Arial" w:cs="Arial"/>
              </w:rPr>
              <w:t>category</w:t>
            </w:r>
            <w:r>
              <w:rPr>
                <w:rFonts w:ascii="Arial" w:hAnsi="Arial" w:cs="Arial"/>
              </w:rPr>
              <w:t xml:space="preserve"> content</w:t>
            </w:r>
          </w:p>
        </w:tc>
      </w:tr>
      <w:tr w:rsidR="008A34AD" w14:paraId="5693DF3E" w14:textId="77777777" w:rsidTr="00041D77">
        <w:tc>
          <w:tcPr>
            <w:tcW w:w="3326" w:type="dxa"/>
            <w:tcBorders>
              <w:top w:val="single" w:sz="4" w:space="0" w:color="auto"/>
            </w:tcBorders>
          </w:tcPr>
          <w:p w14:paraId="77F3329B" w14:textId="33C7AC37" w:rsidR="008A34AD" w:rsidRDefault="004277A2" w:rsidP="004277A2">
            <w:pPr>
              <w:spacing w:line="276" w:lineRule="auto"/>
              <w:rPr>
                <w:rFonts w:ascii="Arial" w:hAnsi="Arial" w:cs="Arial"/>
              </w:rPr>
            </w:pPr>
            <w:r>
              <w:rPr>
                <w:rFonts w:ascii="Arial" w:hAnsi="Arial" w:cs="Arial"/>
              </w:rPr>
              <w:t xml:space="preserve">Importance of clinical </w:t>
            </w:r>
            <w:r w:rsidR="008A34AD">
              <w:rPr>
                <w:rFonts w:ascii="Arial" w:hAnsi="Arial" w:cs="Arial"/>
              </w:rPr>
              <w:t>information, especially response to treatment</w:t>
            </w:r>
          </w:p>
        </w:tc>
        <w:tc>
          <w:tcPr>
            <w:tcW w:w="6450" w:type="dxa"/>
            <w:tcBorders>
              <w:top w:val="single" w:sz="4" w:space="0" w:color="auto"/>
            </w:tcBorders>
          </w:tcPr>
          <w:p w14:paraId="2C02E1A8" w14:textId="77777777" w:rsidR="008A34AD" w:rsidRDefault="008A34AD" w:rsidP="004E767D">
            <w:pPr>
              <w:rPr>
                <w:rFonts w:ascii="Arial" w:hAnsi="Arial" w:cs="Arial"/>
                <w:i/>
              </w:rPr>
            </w:pPr>
            <w:r w:rsidRPr="0063571B">
              <w:rPr>
                <w:rFonts w:ascii="Arial" w:hAnsi="Arial" w:cs="Arial"/>
              </w:rPr>
              <w:t xml:space="preserve">This </w:t>
            </w:r>
            <w:r w:rsidR="00817976">
              <w:rPr>
                <w:rFonts w:ascii="Arial" w:hAnsi="Arial" w:cs="Arial"/>
              </w:rPr>
              <w:t>category</w:t>
            </w:r>
            <w:r w:rsidRPr="0063571B">
              <w:rPr>
                <w:rFonts w:ascii="Arial" w:hAnsi="Arial" w:cs="Arial"/>
              </w:rPr>
              <w:t xml:space="preserve"> highlighted the importance to review and revise decisions of signs that patients are improving or deteriorating following treatment. Such comments referred, for example, to the importance of information provided by </w:t>
            </w:r>
            <w:r w:rsidR="00D44AF3">
              <w:rPr>
                <w:rFonts w:ascii="Arial" w:hAnsi="Arial" w:cs="Arial"/>
              </w:rPr>
              <w:t xml:space="preserve">clinical assessment, </w:t>
            </w:r>
            <w:r w:rsidRPr="00BD7D83">
              <w:rPr>
                <w:rFonts w:ascii="Arial" w:hAnsi="Arial" w:cs="Arial"/>
              </w:rPr>
              <w:t>observations</w:t>
            </w:r>
            <w:r w:rsidR="0098776B">
              <w:rPr>
                <w:rFonts w:ascii="Arial" w:hAnsi="Arial" w:cs="Arial"/>
              </w:rPr>
              <w:t>, such as temperature</w:t>
            </w:r>
            <w:r w:rsidRPr="00BD7D83">
              <w:rPr>
                <w:rFonts w:ascii="Arial" w:hAnsi="Arial" w:cs="Arial"/>
              </w:rPr>
              <w:t>, culture</w:t>
            </w:r>
            <w:r w:rsidR="0098776B">
              <w:rPr>
                <w:rFonts w:ascii="Arial" w:hAnsi="Arial" w:cs="Arial"/>
              </w:rPr>
              <w:t xml:space="preserve"> results</w:t>
            </w:r>
            <w:r w:rsidRPr="00BD7D83">
              <w:rPr>
                <w:rFonts w:ascii="Arial" w:hAnsi="Arial" w:cs="Arial"/>
              </w:rPr>
              <w:t>, and inflammatory markers.</w:t>
            </w:r>
            <w:r w:rsidRPr="00BD7D83" w:rsidDel="004E767D">
              <w:rPr>
                <w:rFonts w:ascii="Arial" w:hAnsi="Arial" w:cs="Arial"/>
                <w:i/>
              </w:rPr>
              <w:t xml:space="preserve"> </w:t>
            </w:r>
          </w:p>
          <w:p w14:paraId="00624F96" w14:textId="522F384A" w:rsidR="00041D77" w:rsidRPr="00A55B9C" w:rsidRDefault="00041D77" w:rsidP="004E767D">
            <w:pPr>
              <w:rPr>
                <w:rFonts w:ascii="Arial" w:hAnsi="Arial" w:cs="Arial"/>
              </w:rPr>
            </w:pPr>
          </w:p>
        </w:tc>
      </w:tr>
      <w:tr w:rsidR="008A34AD" w14:paraId="45EEE9B1" w14:textId="77777777" w:rsidTr="00041D77">
        <w:tc>
          <w:tcPr>
            <w:tcW w:w="3326" w:type="dxa"/>
          </w:tcPr>
          <w:p w14:paraId="01E83EBF" w14:textId="0CF31DE2" w:rsidR="008A34AD" w:rsidRDefault="008A34AD" w:rsidP="00FB0867">
            <w:pPr>
              <w:spacing w:line="480" w:lineRule="auto"/>
              <w:rPr>
                <w:rFonts w:ascii="Arial" w:hAnsi="Arial" w:cs="Arial"/>
              </w:rPr>
            </w:pPr>
            <w:r>
              <w:rPr>
                <w:rFonts w:ascii="Arial" w:hAnsi="Arial" w:cs="Arial"/>
              </w:rPr>
              <w:t>Somebody else’s problem</w:t>
            </w:r>
          </w:p>
        </w:tc>
        <w:tc>
          <w:tcPr>
            <w:tcW w:w="6450" w:type="dxa"/>
          </w:tcPr>
          <w:p w14:paraId="0597ABE6" w14:textId="77777777" w:rsidR="008A34AD" w:rsidRDefault="008A34AD" w:rsidP="00A07781">
            <w:pPr>
              <w:rPr>
                <w:rFonts w:ascii="Arial" w:hAnsi="Arial" w:cs="Arial"/>
              </w:rPr>
            </w:pPr>
            <w:r w:rsidRPr="00BD7D83">
              <w:rPr>
                <w:rFonts w:ascii="Arial" w:hAnsi="Arial" w:cs="Arial"/>
              </w:rPr>
              <w:t xml:space="preserve">This </w:t>
            </w:r>
            <w:r w:rsidR="00817976">
              <w:rPr>
                <w:rFonts w:ascii="Arial" w:hAnsi="Arial" w:cs="Arial"/>
              </w:rPr>
              <w:t>category</w:t>
            </w:r>
            <w:r w:rsidRPr="00BD7D83">
              <w:rPr>
                <w:rFonts w:ascii="Arial" w:hAnsi="Arial" w:cs="Arial"/>
              </w:rPr>
              <w:t xml:space="preserve"> expressed the view that antibiotic use in secondary care contributes relatively little to antibiotic resistance and that the focus of antibiotic stewardship should be elsewhere, such as primary care, agriculture or in other countries.</w:t>
            </w:r>
          </w:p>
          <w:p w14:paraId="518712F4" w14:textId="788F4BCA" w:rsidR="00041D77" w:rsidRPr="00A55B9C" w:rsidRDefault="00041D77" w:rsidP="00A07781">
            <w:pPr>
              <w:rPr>
                <w:rFonts w:ascii="Arial" w:hAnsi="Arial" w:cs="Arial"/>
              </w:rPr>
            </w:pPr>
          </w:p>
        </w:tc>
      </w:tr>
      <w:tr w:rsidR="008A34AD" w14:paraId="15981325" w14:textId="77777777" w:rsidTr="00041D77">
        <w:tc>
          <w:tcPr>
            <w:tcW w:w="3326" w:type="dxa"/>
          </w:tcPr>
          <w:p w14:paraId="7987F6FA" w14:textId="3EBFC73E" w:rsidR="008A34AD" w:rsidRDefault="008A34AD" w:rsidP="00FB0867">
            <w:pPr>
              <w:spacing w:line="480" w:lineRule="auto"/>
              <w:rPr>
                <w:rFonts w:ascii="Arial" w:hAnsi="Arial" w:cs="Arial"/>
              </w:rPr>
            </w:pPr>
            <w:r>
              <w:rPr>
                <w:rFonts w:ascii="Arial" w:hAnsi="Arial" w:cs="Arial"/>
              </w:rPr>
              <w:t xml:space="preserve">Critique of the study </w:t>
            </w:r>
          </w:p>
        </w:tc>
        <w:tc>
          <w:tcPr>
            <w:tcW w:w="6450" w:type="dxa"/>
          </w:tcPr>
          <w:p w14:paraId="26AA3D12" w14:textId="77777777" w:rsidR="008A34AD" w:rsidRDefault="008A34AD" w:rsidP="00A07781">
            <w:pPr>
              <w:rPr>
                <w:rFonts w:ascii="Arial" w:hAnsi="Arial" w:cs="Arial"/>
                <w:i/>
              </w:rPr>
            </w:pPr>
            <w:r w:rsidRPr="00BD7D83">
              <w:rPr>
                <w:rFonts w:ascii="Arial" w:hAnsi="Arial" w:cs="Arial"/>
              </w:rPr>
              <w:t xml:space="preserve">Comments in this </w:t>
            </w:r>
            <w:r w:rsidR="00817976">
              <w:rPr>
                <w:rFonts w:ascii="Arial" w:hAnsi="Arial" w:cs="Arial"/>
              </w:rPr>
              <w:t>category</w:t>
            </w:r>
            <w:r w:rsidRPr="00BD7D83">
              <w:rPr>
                <w:rFonts w:ascii="Arial" w:hAnsi="Arial" w:cs="Arial"/>
              </w:rPr>
              <w:t xml:space="preserve"> criticised elements of the choice questions. Examples included an assertion that chest </w:t>
            </w:r>
            <w:r w:rsidR="00A55B9C">
              <w:rPr>
                <w:rFonts w:ascii="Arial" w:hAnsi="Arial" w:cs="Arial"/>
              </w:rPr>
              <w:t>X</w:t>
            </w:r>
            <w:r w:rsidRPr="00BD7D83">
              <w:rPr>
                <w:rFonts w:ascii="Arial" w:hAnsi="Arial" w:cs="Arial"/>
              </w:rPr>
              <w:t>-rays produce clear results and that describing the results in our factor-level description as indicating “possible infiltrates” was “daft”.</w:t>
            </w:r>
            <w:r w:rsidRPr="00BD7D83" w:rsidDel="00777AB1">
              <w:rPr>
                <w:rFonts w:ascii="Arial" w:hAnsi="Arial" w:cs="Arial"/>
                <w:i/>
              </w:rPr>
              <w:t xml:space="preserve"> </w:t>
            </w:r>
          </w:p>
          <w:p w14:paraId="649A7C1B" w14:textId="2C5B8D94" w:rsidR="00041D77" w:rsidRPr="00A55B9C" w:rsidRDefault="00041D77" w:rsidP="00A07781">
            <w:pPr>
              <w:rPr>
                <w:rFonts w:ascii="Arial" w:hAnsi="Arial" w:cs="Arial"/>
              </w:rPr>
            </w:pPr>
          </w:p>
        </w:tc>
      </w:tr>
      <w:tr w:rsidR="008A34AD" w14:paraId="7C582AA6" w14:textId="77777777" w:rsidTr="00041D77">
        <w:tc>
          <w:tcPr>
            <w:tcW w:w="3326" w:type="dxa"/>
          </w:tcPr>
          <w:p w14:paraId="0623252C" w14:textId="77777777" w:rsidR="008A34AD" w:rsidRDefault="008A34AD" w:rsidP="00FB0867">
            <w:pPr>
              <w:spacing w:line="480" w:lineRule="auto"/>
              <w:rPr>
                <w:rFonts w:ascii="Arial" w:hAnsi="Arial" w:cs="Arial"/>
              </w:rPr>
            </w:pPr>
            <w:r>
              <w:rPr>
                <w:rFonts w:ascii="Arial" w:hAnsi="Arial" w:cs="Arial"/>
              </w:rPr>
              <w:t>Didactic guidelines</w:t>
            </w:r>
          </w:p>
        </w:tc>
        <w:tc>
          <w:tcPr>
            <w:tcW w:w="6450" w:type="dxa"/>
          </w:tcPr>
          <w:p w14:paraId="0B14B42D" w14:textId="77777777" w:rsidR="008A34AD" w:rsidRDefault="008A34AD" w:rsidP="00A07781">
            <w:pPr>
              <w:pStyle w:val="NoSpacing"/>
              <w:jc w:val="both"/>
              <w:rPr>
                <w:rFonts w:ascii="Arial" w:hAnsi="Arial" w:cs="Arial"/>
              </w:rPr>
            </w:pPr>
            <w:r w:rsidRPr="00BD7D83">
              <w:rPr>
                <w:rFonts w:ascii="Arial" w:hAnsi="Arial" w:cs="Arial"/>
              </w:rPr>
              <w:t xml:space="preserve">This </w:t>
            </w:r>
            <w:r w:rsidR="00817976">
              <w:rPr>
                <w:rFonts w:ascii="Arial" w:hAnsi="Arial" w:cs="Arial"/>
              </w:rPr>
              <w:t>category</w:t>
            </w:r>
            <w:r w:rsidRPr="00BD7D83">
              <w:rPr>
                <w:rFonts w:ascii="Arial" w:hAnsi="Arial" w:cs="Arial"/>
              </w:rPr>
              <w:t xml:space="preserve"> contained comments on the guidelines being too risk-averse and reluctance not to follow the guidelines “when the stakes are high” unless advised by a senior colleague.</w:t>
            </w:r>
          </w:p>
          <w:p w14:paraId="787A067F" w14:textId="4F5330B8" w:rsidR="00041D77" w:rsidRPr="00A55B9C" w:rsidRDefault="00041D77" w:rsidP="00A07781">
            <w:pPr>
              <w:pStyle w:val="NoSpacing"/>
              <w:jc w:val="both"/>
              <w:rPr>
                <w:rFonts w:ascii="Arial" w:hAnsi="Arial" w:cs="Arial"/>
              </w:rPr>
            </w:pPr>
          </w:p>
        </w:tc>
      </w:tr>
      <w:tr w:rsidR="008A34AD" w14:paraId="28252942" w14:textId="77777777" w:rsidTr="00041D77">
        <w:tc>
          <w:tcPr>
            <w:tcW w:w="3326" w:type="dxa"/>
          </w:tcPr>
          <w:p w14:paraId="5D690D87" w14:textId="56975E0D" w:rsidR="008A34AD" w:rsidRDefault="008A34AD" w:rsidP="00FB0867">
            <w:pPr>
              <w:rPr>
                <w:rFonts w:ascii="Arial" w:hAnsi="Arial" w:cs="Arial"/>
              </w:rPr>
            </w:pPr>
            <w:r>
              <w:rPr>
                <w:rFonts w:ascii="Arial" w:hAnsi="Arial" w:cs="Arial"/>
              </w:rPr>
              <w:t>The role of external pressure depends on the context and on where the pressure is coming from</w:t>
            </w:r>
          </w:p>
        </w:tc>
        <w:tc>
          <w:tcPr>
            <w:tcW w:w="6450" w:type="dxa"/>
          </w:tcPr>
          <w:p w14:paraId="6BF59CF3" w14:textId="77777777" w:rsidR="008A34AD" w:rsidRDefault="008A34AD">
            <w:pPr>
              <w:pStyle w:val="NoSpacing"/>
              <w:jc w:val="both"/>
              <w:rPr>
                <w:rFonts w:ascii="Arial" w:hAnsi="Arial" w:cs="Arial"/>
              </w:rPr>
            </w:pPr>
            <w:r w:rsidRPr="00BD7D83">
              <w:rPr>
                <w:rFonts w:ascii="Arial" w:hAnsi="Arial" w:cs="Arial"/>
              </w:rPr>
              <w:t xml:space="preserve">A comment suggested that whether external pressure to continue antibiotics had an effect on review and revise decisions depends on where the pressure is coming from – for example, pressure from a consultant would have much more impact than pressure from </w:t>
            </w:r>
            <w:r w:rsidR="0098776B">
              <w:rPr>
                <w:rFonts w:ascii="Arial" w:hAnsi="Arial" w:cs="Arial"/>
              </w:rPr>
              <w:t>patients</w:t>
            </w:r>
            <w:r w:rsidR="0063571B">
              <w:rPr>
                <w:rFonts w:ascii="Arial" w:hAnsi="Arial" w:cs="Arial"/>
              </w:rPr>
              <w:t>’</w:t>
            </w:r>
            <w:r w:rsidR="0098776B">
              <w:rPr>
                <w:rFonts w:ascii="Arial" w:hAnsi="Arial" w:cs="Arial"/>
              </w:rPr>
              <w:t xml:space="preserve"> relatives</w:t>
            </w:r>
            <w:r w:rsidR="00A55B9C">
              <w:rPr>
                <w:rFonts w:ascii="Arial" w:hAnsi="Arial" w:cs="Arial"/>
              </w:rPr>
              <w:t>.</w:t>
            </w:r>
          </w:p>
          <w:p w14:paraId="77D7AD6D" w14:textId="4580E766" w:rsidR="00041D77" w:rsidRPr="00BD7D83" w:rsidRDefault="00041D77">
            <w:pPr>
              <w:pStyle w:val="NoSpacing"/>
              <w:jc w:val="both"/>
              <w:rPr>
                <w:rFonts w:ascii="Arial" w:hAnsi="Arial" w:cs="Arial"/>
                <w:i/>
              </w:rPr>
            </w:pPr>
          </w:p>
        </w:tc>
      </w:tr>
      <w:tr w:rsidR="008A34AD" w14:paraId="49ACFD4F" w14:textId="77777777" w:rsidTr="00041D77">
        <w:tc>
          <w:tcPr>
            <w:tcW w:w="3326" w:type="dxa"/>
            <w:tcBorders>
              <w:bottom w:val="single" w:sz="4" w:space="0" w:color="auto"/>
            </w:tcBorders>
          </w:tcPr>
          <w:p w14:paraId="1EAAC051" w14:textId="77777777" w:rsidR="00041D77" w:rsidRDefault="008A34AD" w:rsidP="00041D77">
            <w:pPr>
              <w:pStyle w:val="NoSpacing"/>
              <w:jc w:val="both"/>
              <w:rPr>
                <w:rFonts w:ascii="Arial" w:hAnsi="Arial" w:cs="Arial"/>
              </w:rPr>
            </w:pPr>
            <w:r w:rsidRPr="00876602">
              <w:rPr>
                <w:rFonts w:ascii="Arial" w:hAnsi="Arial" w:cs="Arial"/>
              </w:rPr>
              <w:t>In real life</w:t>
            </w:r>
            <w:r w:rsidR="004277A2">
              <w:rPr>
                <w:rFonts w:ascii="Arial" w:hAnsi="Arial" w:cs="Arial"/>
              </w:rPr>
              <w:t xml:space="preserve"> levels of harm from continuing/</w:t>
            </w:r>
            <w:r w:rsidRPr="00876602">
              <w:rPr>
                <w:rFonts w:ascii="Arial" w:hAnsi="Arial" w:cs="Arial"/>
              </w:rPr>
              <w:t xml:space="preserve">discontinuing antibiotics are harder </w:t>
            </w:r>
          </w:p>
          <w:p w14:paraId="34AC89CA" w14:textId="17A0B38C" w:rsidR="008A34AD" w:rsidRPr="00876602" w:rsidRDefault="008A34AD" w:rsidP="00041D77">
            <w:pPr>
              <w:pStyle w:val="NoSpacing"/>
              <w:jc w:val="both"/>
              <w:rPr>
                <w:rFonts w:ascii="Arial" w:hAnsi="Arial" w:cs="Arial"/>
              </w:rPr>
            </w:pPr>
            <w:r w:rsidRPr="00876602">
              <w:rPr>
                <w:rFonts w:ascii="Arial" w:hAnsi="Arial" w:cs="Arial"/>
              </w:rPr>
              <w:t>to quantify</w:t>
            </w:r>
          </w:p>
          <w:p w14:paraId="5A2EE8CB" w14:textId="77777777" w:rsidR="008A34AD" w:rsidRDefault="008A34AD" w:rsidP="00FB0867">
            <w:pPr>
              <w:spacing w:line="480" w:lineRule="auto"/>
              <w:rPr>
                <w:rFonts w:ascii="Arial" w:hAnsi="Arial" w:cs="Arial"/>
              </w:rPr>
            </w:pPr>
          </w:p>
        </w:tc>
        <w:tc>
          <w:tcPr>
            <w:tcW w:w="6450" w:type="dxa"/>
            <w:tcBorders>
              <w:bottom w:val="single" w:sz="4" w:space="0" w:color="auto"/>
            </w:tcBorders>
          </w:tcPr>
          <w:p w14:paraId="5BBF0198" w14:textId="7D3A04C0" w:rsidR="008A34AD" w:rsidRPr="00BD7D83" w:rsidRDefault="008A34AD" w:rsidP="00A55B9C">
            <w:pPr>
              <w:pStyle w:val="NoSpacing"/>
              <w:jc w:val="both"/>
              <w:rPr>
                <w:rFonts w:ascii="Arial" w:hAnsi="Arial" w:cs="Arial"/>
              </w:rPr>
            </w:pPr>
            <w:r w:rsidRPr="00BD7D83">
              <w:rPr>
                <w:rFonts w:ascii="Arial" w:hAnsi="Arial" w:cs="Arial"/>
              </w:rPr>
              <w:t xml:space="preserve">This </w:t>
            </w:r>
            <w:r w:rsidR="00817976">
              <w:rPr>
                <w:rFonts w:ascii="Arial" w:hAnsi="Arial" w:cs="Arial"/>
              </w:rPr>
              <w:t>category</w:t>
            </w:r>
            <w:r w:rsidRPr="00BD7D83">
              <w:rPr>
                <w:rFonts w:ascii="Arial" w:hAnsi="Arial" w:cs="Arial"/>
              </w:rPr>
              <w:t xml:space="preserve"> expressed the view that in real clinical practice the actual risk levels of continuing/discontinuing antibiotics are not clear-cut as presented in our choice experiment. Instead, they are ambiguous and must be inferred, for example, the degree of confidence in the diagnosis. </w:t>
            </w:r>
          </w:p>
        </w:tc>
      </w:tr>
    </w:tbl>
    <w:p w14:paraId="0C7E986B" w14:textId="77777777" w:rsidR="001B3432" w:rsidRDefault="001B3432" w:rsidP="001B3432">
      <w:pPr>
        <w:spacing w:after="0" w:line="480" w:lineRule="auto"/>
        <w:rPr>
          <w:rFonts w:ascii="Arial" w:hAnsi="Arial" w:cs="Arial"/>
        </w:rPr>
      </w:pPr>
    </w:p>
    <w:p w14:paraId="351EA80F" w14:textId="77777777" w:rsidR="00233CAC" w:rsidRDefault="00233CAC" w:rsidP="00233CAC">
      <w:pPr>
        <w:spacing w:line="480" w:lineRule="auto"/>
        <w:rPr>
          <w:rStyle w:val="Emphasis"/>
          <w:rFonts w:ascii="Arial" w:hAnsi="Arial" w:cs="Arial"/>
          <w:b/>
          <w:i w:val="0"/>
        </w:rPr>
      </w:pPr>
    </w:p>
    <w:p w14:paraId="5135BC16" w14:textId="77777777" w:rsidR="00233CAC" w:rsidRDefault="00233CAC" w:rsidP="00233CAC">
      <w:pPr>
        <w:spacing w:line="480" w:lineRule="auto"/>
        <w:rPr>
          <w:rStyle w:val="Emphasis"/>
          <w:rFonts w:ascii="Arial" w:hAnsi="Arial" w:cs="Arial"/>
          <w:b/>
          <w:i w:val="0"/>
        </w:rPr>
      </w:pPr>
    </w:p>
    <w:p w14:paraId="44F26747" w14:textId="77777777" w:rsidR="00233CAC" w:rsidRDefault="00233CAC" w:rsidP="00233CAC">
      <w:pPr>
        <w:spacing w:line="480" w:lineRule="auto"/>
        <w:rPr>
          <w:rStyle w:val="Emphasis"/>
          <w:rFonts w:ascii="Arial" w:hAnsi="Arial" w:cs="Arial"/>
          <w:b/>
          <w:i w:val="0"/>
        </w:rPr>
      </w:pPr>
    </w:p>
    <w:p w14:paraId="3D53AE5D" w14:textId="77777777" w:rsidR="00233CAC" w:rsidRDefault="00233CAC" w:rsidP="00233CAC">
      <w:pPr>
        <w:spacing w:line="480" w:lineRule="auto"/>
        <w:rPr>
          <w:rStyle w:val="Emphasis"/>
          <w:rFonts w:ascii="Arial" w:hAnsi="Arial" w:cs="Arial"/>
          <w:b/>
          <w:i w:val="0"/>
        </w:rPr>
      </w:pPr>
    </w:p>
    <w:p w14:paraId="03111EA9" w14:textId="77777777" w:rsidR="00233CAC" w:rsidRDefault="00233CAC" w:rsidP="00233CAC">
      <w:pPr>
        <w:spacing w:line="480" w:lineRule="auto"/>
        <w:rPr>
          <w:rStyle w:val="Emphasis"/>
          <w:rFonts w:ascii="Arial" w:hAnsi="Arial" w:cs="Arial"/>
          <w:b/>
          <w:i w:val="0"/>
        </w:rPr>
      </w:pPr>
    </w:p>
    <w:p w14:paraId="515A2EA4" w14:textId="351F0BB6" w:rsidR="00233CAC" w:rsidRDefault="00233CAC" w:rsidP="00233CAC">
      <w:pPr>
        <w:spacing w:line="480" w:lineRule="auto"/>
        <w:rPr>
          <w:rStyle w:val="Emphasis"/>
          <w:rFonts w:ascii="Arial" w:hAnsi="Arial" w:cs="Arial"/>
          <w:b/>
          <w:i w:val="0"/>
        </w:rPr>
      </w:pPr>
      <w:r>
        <w:rPr>
          <w:rStyle w:val="Emphasis"/>
          <w:rFonts w:ascii="Arial" w:hAnsi="Arial" w:cs="Arial"/>
          <w:b/>
          <w:i w:val="0"/>
        </w:rPr>
        <w:t>Figures</w:t>
      </w:r>
    </w:p>
    <w:p w14:paraId="0BBC25F8" w14:textId="77777777" w:rsidR="00233CAC" w:rsidRPr="00AA3ED0" w:rsidRDefault="00233CAC" w:rsidP="00233CAC">
      <w:pPr>
        <w:spacing w:after="0" w:line="360" w:lineRule="auto"/>
        <w:jc w:val="both"/>
        <w:rPr>
          <w:rStyle w:val="Emphasis"/>
          <w:rFonts w:ascii="Arial" w:hAnsi="Arial" w:cs="Arial"/>
          <w:b/>
          <w:i w:val="0"/>
        </w:rPr>
      </w:pPr>
      <w:r w:rsidRPr="00AA3ED0">
        <w:rPr>
          <w:rStyle w:val="Emphasis"/>
          <w:rFonts w:ascii="Arial" w:hAnsi="Arial" w:cs="Arial"/>
          <w:b/>
          <w:i w:val="0"/>
        </w:rPr>
        <w:t xml:space="preserve">Figure 1. </w:t>
      </w:r>
    </w:p>
    <w:p w14:paraId="4C094D25" w14:textId="77777777" w:rsidR="00233CAC" w:rsidRPr="00AA3ED0" w:rsidRDefault="00233CAC" w:rsidP="00233CAC">
      <w:pPr>
        <w:spacing w:after="0" w:line="360" w:lineRule="auto"/>
        <w:jc w:val="both"/>
        <w:rPr>
          <w:rStyle w:val="Emphasis"/>
          <w:rFonts w:ascii="Arial" w:hAnsi="Arial" w:cs="Arial"/>
          <w:b/>
          <w:i w:val="0"/>
        </w:rPr>
      </w:pPr>
      <w:r w:rsidRPr="00AA3ED0">
        <w:rPr>
          <w:rStyle w:val="Emphasis"/>
          <w:rFonts w:ascii="Arial" w:hAnsi="Arial" w:cs="Arial"/>
          <w:b/>
          <w:i w:val="0"/>
        </w:rPr>
        <w:t>Title: Hypothetical choice situation presented to respondents – practice question</w:t>
      </w:r>
    </w:p>
    <w:p w14:paraId="1BE16B2C" w14:textId="77777777" w:rsidR="00233CAC" w:rsidRDefault="00233CAC" w:rsidP="00233CAC">
      <w:pPr>
        <w:pStyle w:val="NoSpacing"/>
        <w:jc w:val="both"/>
      </w:pPr>
      <w:r>
        <w:t>Consider the following hypothetical situation. This is the same situation that we presented to you earlier in the survey.</w:t>
      </w:r>
    </w:p>
    <w:p w14:paraId="31D92B96" w14:textId="77777777" w:rsidR="00233CAC" w:rsidRDefault="00233CAC" w:rsidP="00233CAC">
      <w:pPr>
        <w:pStyle w:val="NoSpacing"/>
        <w:jc w:val="both"/>
      </w:pPr>
    </w:p>
    <w:p w14:paraId="7369E099" w14:textId="77777777" w:rsidR="00233CAC" w:rsidRDefault="00233CAC" w:rsidP="00233CAC">
      <w:pPr>
        <w:pStyle w:val="NoSpacing"/>
        <w:pBdr>
          <w:top w:val="single" w:sz="4" w:space="1" w:color="auto"/>
          <w:left w:val="single" w:sz="4" w:space="4" w:color="auto"/>
          <w:bottom w:val="single" w:sz="4" w:space="1" w:color="auto"/>
          <w:right w:val="single" w:sz="4" w:space="4" w:color="auto"/>
        </w:pBdr>
        <w:jc w:val="both"/>
        <w:rPr>
          <w:i/>
        </w:rPr>
      </w:pPr>
      <w:r w:rsidRPr="003E22A0">
        <w:rPr>
          <w:i/>
        </w:rPr>
        <w:t>You are reviewing the treatment of a patient who was admitted to hospital 72 hours ago. Antibiotic treatment was initiated in this patient within 2 hours of their admission. You now have to decide whether to continue or discontinue antibiotic treatment.</w:t>
      </w:r>
    </w:p>
    <w:p w14:paraId="3FDA35E2" w14:textId="77777777" w:rsidR="00233CAC" w:rsidRPr="004668D3" w:rsidRDefault="00233CAC" w:rsidP="00233CAC">
      <w:pPr>
        <w:pStyle w:val="NoSpacing"/>
        <w:jc w:val="both"/>
      </w:pPr>
    </w:p>
    <w:p w14:paraId="3151F2F3" w14:textId="77777777" w:rsidR="00233CAC" w:rsidRDefault="00233CAC" w:rsidP="00233CAC">
      <w:pPr>
        <w:pStyle w:val="NoSpacing"/>
        <w:jc w:val="both"/>
      </w:pPr>
      <w:r>
        <w:t xml:space="preserve">The table below provides some information on the condition of this patient, the likely consequences of continuing and discontinuing antibiotic treatment, and the potential </w:t>
      </w:r>
      <w:r w:rsidRPr="00C0388A">
        <w:t>pressures related to this clinical decision</w:t>
      </w:r>
      <w:r>
        <w:t>.</w:t>
      </w:r>
    </w:p>
    <w:p w14:paraId="2FE21192" w14:textId="77777777" w:rsidR="00233CAC" w:rsidRDefault="00233CAC" w:rsidP="00233CAC">
      <w:pPr>
        <w:pStyle w:val="NoSpacing"/>
        <w:jc w:val="both"/>
      </w:pPr>
    </w:p>
    <w:p w14:paraId="0EC8D7D9" w14:textId="77777777" w:rsidR="00233CAC" w:rsidRDefault="00233CAC" w:rsidP="00233CAC">
      <w:pPr>
        <w:pStyle w:val="NoSpacing"/>
        <w:jc w:val="both"/>
      </w:pPr>
      <w:r>
        <w:t>Please review this information.</w:t>
      </w:r>
    </w:p>
    <w:p w14:paraId="4A0D5016" w14:textId="77777777" w:rsidR="00233CAC" w:rsidRDefault="00233CAC" w:rsidP="00233CAC">
      <w:pPr>
        <w:pStyle w:val="NoSpacing"/>
        <w:jc w:val="both"/>
      </w:pPr>
    </w:p>
    <w:tbl>
      <w:tblPr>
        <w:tblW w:w="0" w:type="auto"/>
        <w:tblLook w:val="04A0" w:firstRow="1" w:lastRow="0" w:firstColumn="1" w:lastColumn="0" w:noHBand="0" w:noVBand="1"/>
      </w:tblPr>
      <w:tblGrid>
        <w:gridCol w:w="3893"/>
        <w:gridCol w:w="5133"/>
      </w:tblGrid>
      <w:tr w:rsidR="00233CAC" w14:paraId="01D11B94" w14:textId="77777777" w:rsidTr="00736621">
        <w:tc>
          <w:tcPr>
            <w:tcW w:w="0" w:type="auto"/>
          </w:tcPr>
          <w:p w14:paraId="7BC634EE" w14:textId="77777777" w:rsidR="00233CAC" w:rsidRDefault="00233CAC" w:rsidP="00736621">
            <w:pPr>
              <w:pStyle w:val="NoSpacing"/>
              <w:jc w:val="center"/>
            </w:pPr>
            <w:r>
              <w:rPr>
                <w:b/>
                <w:sz w:val="20"/>
                <w:szCs w:val="20"/>
              </w:rPr>
              <w:t>Category of information</w:t>
            </w:r>
          </w:p>
        </w:tc>
        <w:tc>
          <w:tcPr>
            <w:tcW w:w="0" w:type="auto"/>
          </w:tcPr>
          <w:p w14:paraId="7DE97F99" w14:textId="77777777" w:rsidR="00233CAC" w:rsidRDefault="00233CAC" w:rsidP="00736621">
            <w:pPr>
              <w:pStyle w:val="NoSpacing"/>
              <w:jc w:val="center"/>
            </w:pPr>
            <w:r>
              <w:rPr>
                <w:b/>
                <w:sz w:val="20"/>
                <w:szCs w:val="20"/>
              </w:rPr>
              <w:t>Option</w:t>
            </w:r>
          </w:p>
        </w:tc>
      </w:tr>
      <w:tr w:rsidR="00233CAC" w14:paraId="509BCF6E" w14:textId="77777777" w:rsidTr="00736621">
        <w:tc>
          <w:tcPr>
            <w:tcW w:w="0" w:type="auto"/>
          </w:tcPr>
          <w:p w14:paraId="4E1BAE25" w14:textId="77777777" w:rsidR="00233CAC" w:rsidRDefault="00233CAC" w:rsidP="00736621">
            <w:pPr>
              <w:pStyle w:val="NoSpacing"/>
            </w:pPr>
            <w:r w:rsidRPr="003B631C">
              <w:rPr>
                <w:sz w:val="20"/>
                <w:szCs w:val="20"/>
              </w:rPr>
              <w:t>Patient’s presenting symptoms</w:t>
            </w:r>
          </w:p>
        </w:tc>
        <w:tc>
          <w:tcPr>
            <w:tcW w:w="0" w:type="auto"/>
          </w:tcPr>
          <w:p w14:paraId="16F48FD2" w14:textId="77777777" w:rsidR="00233CAC" w:rsidRDefault="00233CAC" w:rsidP="00736621">
            <w:pPr>
              <w:pStyle w:val="NoSpacing"/>
              <w:rPr>
                <w:sz w:val="20"/>
                <w:szCs w:val="20"/>
              </w:rPr>
            </w:pPr>
            <w:r w:rsidRPr="00241500">
              <w:rPr>
                <w:sz w:val="20"/>
                <w:szCs w:val="20"/>
              </w:rPr>
              <w:t xml:space="preserve">Off-legs and confused. Possible urinary tract infection. Possible lower respiratory tract infection. </w:t>
            </w:r>
            <w:r>
              <w:rPr>
                <w:sz w:val="20"/>
                <w:szCs w:val="20"/>
              </w:rPr>
              <w:t>Might have</w:t>
            </w:r>
            <w:r w:rsidRPr="00241500">
              <w:rPr>
                <w:sz w:val="20"/>
                <w:szCs w:val="20"/>
              </w:rPr>
              <w:t xml:space="preserve"> experienced a fall</w:t>
            </w:r>
          </w:p>
          <w:p w14:paraId="3F3E359E" w14:textId="77777777" w:rsidR="00233CAC" w:rsidRPr="00241500" w:rsidRDefault="00233CAC" w:rsidP="00736621">
            <w:pPr>
              <w:pStyle w:val="NoSpacing"/>
              <w:rPr>
                <w:sz w:val="20"/>
                <w:szCs w:val="20"/>
              </w:rPr>
            </w:pPr>
          </w:p>
        </w:tc>
      </w:tr>
      <w:tr w:rsidR="00233CAC" w14:paraId="778416EB" w14:textId="77777777" w:rsidTr="00736621">
        <w:tc>
          <w:tcPr>
            <w:tcW w:w="0" w:type="auto"/>
          </w:tcPr>
          <w:p w14:paraId="0471916C" w14:textId="77777777" w:rsidR="00233CAC" w:rsidRDefault="00233CAC" w:rsidP="00736621">
            <w:pPr>
              <w:pStyle w:val="NoSpacing"/>
              <w:rPr>
                <w:sz w:val="20"/>
                <w:szCs w:val="20"/>
              </w:rPr>
            </w:pPr>
            <w:r w:rsidRPr="003B631C">
              <w:rPr>
                <w:sz w:val="20"/>
                <w:szCs w:val="20"/>
              </w:rPr>
              <w:t>Whether early discontinuation of antibiotic treatment within 72 hours of treatment initiation would be in conflict with local antibiotic guidelines</w:t>
            </w:r>
          </w:p>
          <w:p w14:paraId="13E48346" w14:textId="77777777" w:rsidR="00233CAC" w:rsidRDefault="00233CAC" w:rsidP="00736621">
            <w:pPr>
              <w:pStyle w:val="NoSpacing"/>
            </w:pPr>
          </w:p>
        </w:tc>
        <w:tc>
          <w:tcPr>
            <w:tcW w:w="0" w:type="auto"/>
          </w:tcPr>
          <w:p w14:paraId="408CE042" w14:textId="77777777" w:rsidR="00233CAC" w:rsidRPr="00241500" w:rsidRDefault="00233CAC" w:rsidP="00736621">
            <w:pPr>
              <w:pStyle w:val="NoSpacing"/>
              <w:rPr>
                <w:sz w:val="20"/>
                <w:szCs w:val="20"/>
              </w:rPr>
            </w:pPr>
            <w:r w:rsidRPr="00241500">
              <w:rPr>
                <w:sz w:val="20"/>
                <w:szCs w:val="20"/>
              </w:rPr>
              <w:t xml:space="preserve">Early discontinuation would </w:t>
            </w:r>
            <w:r w:rsidRPr="004326DC">
              <w:rPr>
                <w:sz w:val="20"/>
                <w:szCs w:val="20"/>
                <w:u w:val="single"/>
              </w:rPr>
              <w:t>not conflict</w:t>
            </w:r>
            <w:r w:rsidRPr="00241500">
              <w:rPr>
                <w:sz w:val="20"/>
                <w:szCs w:val="20"/>
              </w:rPr>
              <w:t xml:space="preserve"> with local antibiotic guidelines</w:t>
            </w:r>
          </w:p>
        </w:tc>
      </w:tr>
      <w:tr w:rsidR="00233CAC" w14:paraId="108F2B2A" w14:textId="77777777" w:rsidTr="00736621">
        <w:tc>
          <w:tcPr>
            <w:tcW w:w="0" w:type="auto"/>
          </w:tcPr>
          <w:p w14:paraId="2170387F" w14:textId="77777777" w:rsidR="00233CAC" w:rsidRDefault="00233CAC" w:rsidP="00736621">
            <w:pPr>
              <w:pStyle w:val="NoSpacing"/>
            </w:pPr>
            <w:r w:rsidRPr="003B631C">
              <w:rPr>
                <w:sz w:val="20"/>
                <w:szCs w:val="20"/>
              </w:rPr>
              <w:t xml:space="preserve">Risk of </w:t>
            </w:r>
            <w:r>
              <w:rPr>
                <w:sz w:val="20"/>
                <w:szCs w:val="20"/>
              </w:rPr>
              <w:t xml:space="preserve">significant </w:t>
            </w:r>
            <w:r w:rsidRPr="003B631C">
              <w:rPr>
                <w:sz w:val="20"/>
                <w:szCs w:val="20"/>
              </w:rPr>
              <w:t>harm arising from continued antibiotic treatment</w:t>
            </w:r>
          </w:p>
        </w:tc>
        <w:tc>
          <w:tcPr>
            <w:tcW w:w="0" w:type="auto"/>
          </w:tcPr>
          <w:p w14:paraId="6934352E" w14:textId="77777777" w:rsidR="00233CAC" w:rsidRDefault="00233CAC" w:rsidP="00736621">
            <w:pPr>
              <w:pStyle w:val="NoSpacing"/>
              <w:rPr>
                <w:sz w:val="20"/>
                <w:szCs w:val="20"/>
              </w:rPr>
            </w:pPr>
            <w:r w:rsidRPr="004326DC">
              <w:rPr>
                <w:sz w:val="20"/>
                <w:szCs w:val="20"/>
                <w:u w:val="single"/>
              </w:rPr>
              <w:t>Likely</w:t>
            </w:r>
            <w:r w:rsidRPr="00241500">
              <w:rPr>
                <w:sz w:val="20"/>
                <w:szCs w:val="20"/>
              </w:rPr>
              <w:t xml:space="preserve">. In </w:t>
            </w:r>
            <w:r w:rsidRPr="004326DC">
              <w:rPr>
                <w:sz w:val="20"/>
                <w:szCs w:val="20"/>
                <w:u w:val="single"/>
              </w:rPr>
              <w:t>30</w:t>
            </w:r>
            <w:r w:rsidRPr="00241500">
              <w:rPr>
                <w:sz w:val="20"/>
                <w:szCs w:val="20"/>
              </w:rPr>
              <w:t xml:space="preserve"> cases out of every 100 like this, the patient will experience an adverse effect from continued antibiotic treatment.</w:t>
            </w:r>
          </w:p>
          <w:p w14:paraId="12E905C6" w14:textId="77777777" w:rsidR="00233CAC" w:rsidRPr="00241500" w:rsidRDefault="00233CAC" w:rsidP="00736621">
            <w:pPr>
              <w:pStyle w:val="NoSpacing"/>
              <w:jc w:val="center"/>
              <w:rPr>
                <w:sz w:val="20"/>
                <w:szCs w:val="20"/>
              </w:rPr>
            </w:pPr>
            <w:r>
              <w:rPr>
                <w:i/>
                <w:noProof/>
                <w:lang w:eastAsia="en-GB"/>
              </w:rPr>
              <w:drawing>
                <wp:inline distT="0" distB="0" distL="0" distR="0" wp14:anchorId="754977F0" wp14:editId="1E8B3B02">
                  <wp:extent cx="1803600" cy="18000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3600" cy="1800000"/>
                          </a:xfrm>
                          <a:prstGeom prst="rect">
                            <a:avLst/>
                          </a:prstGeom>
                        </pic:spPr>
                      </pic:pic>
                    </a:graphicData>
                  </a:graphic>
                </wp:inline>
              </w:drawing>
            </w:r>
          </w:p>
        </w:tc>
      </w:tr>
      <w:tr w:rsidR="00233CAC" w14:paraId="3B55F552" w14:textId="77777777" w:rsidTr="00736621">
        <w:tc>
          <w:tcPr>
            <w:tcW w:w="0" w:type="auto"/>
          </w:tcPr>
          <w:p w14:paraId="5F77A081" w14:textId="77777777" w:rsidR="00233CAC" w:rsidRDefault="00233CAC" w:rsidP="00736621">
            <w:pPr>
              <w:pStyle w:val="NoSpacing"/>
              <w:rPr>
                <w:sz w:val="20"/>
                <w:szCs w:val="20"/>
              </w:rPr>
            </w:pPr>
          </w:p>
          <w:p w14:paraId="0B556230" w14:textId="77777777" w:rsidR="00233CAC" w:rsidRDefault="00233CAC" w:rsidP="00736621">
            <w:pPr>
              <w:pStyle w:val="NoSpacing"/>
            </w:pPr>
            <w:r w:rsidRPr="003B631C">
              <w:rPr>
                <w:sz w:val="20"/>
                <w:szCs w:val="20"/>
              </w:rPr>
              <w:t xml:space="preserve">Risk of </w:t>
            </w:r>
            <w:r>
              <w:rPr>
                <w:sz w:val="20"/>
                <w:szCs w:val="20"/>
              </w:rPr>
              <w:t xml:space="preserve">significant </w:t>
            </w:r>
            <w:r w:rsidRPr="003B631C">
              <w:rPr>
                <w:sz w:val="20"/>
                <w:szCs w:val="20"/>
              </w:rPr>
              <w:t>harm arising from discontinuing antibiotic treatment</w:t>
            </w:r>
          </w:p>
        </w:tc>
        <w:tc>
          <w:tcPr>
            <w:tcW w:w="0" w:type="auto"/>
          </w:tcPr>
          <w:p w14:paraId="65A47F70" w14:textId="77777777" w:rsidR="00233CAC" w:rsidRDefault="00233CAC" w:rsidP="00736621">
            <w:pPr>
              <w:pStyle w:val="NoSpacing"/>
              <w:rPr>
                <w:sz w:val="20"/>
                <w:szCs w:val="20"/>
                <w:u w:val="single"/>
              </w:rPr>
            </w:pPr>
          </w:p>
          <w:p w14:paraId="72B9C7C6" w14:textId="77777777" w:rsidR="00233CAC" w:rsidRDefault="00233CAC" w:rsidP="00736621">
            <w:pPr>
              <w:pStyle w:val="NoSpacing"/>
              <w:rPr>
                <w:sz w:val="20"/>
                <w:szCs w:val="20"/>
              </w:rPr>
            </w:pPr>
            <w:r w:rsidRPr="004326DC">
              <w:rPr>
                <w:sz w:val="20"/>
                <w:szCs w:val="20"/>
                <w:u w:val="single"/>
              </w:rPr>
              <w:t>Negligible</w:t>
            </w:r>
            <w:r w:rsidRPr="00241500">
              <w:rPr>
                <w:sz w:val="20"/>
                <w:szCs w:val="20"/>
              </w:rPr>
              <w:t xml:space="preserve">. In </w:t>
            </w:r>
            <w:r w:rsidRPr="004326DC">
              <w:rPr>
                <w:sz w:val="20"/>
                <w:szCs w:val="20"/>
                <w:u w:val="single"/>
              </w:rPr>
              <w:t>1</w:t>
            </w:r>
            <w:r w:rsidRPr="00241500">
              <w:rPr>
                <w:sz w:val="20"/>
                <w:szCs w:val="20"/>
              </w:rPr>
              <w:t xml:space="preserve"> case out of every 100 like this, the patient will have a relapse, recurrence or readmission if antibiotic treatment is discontinued.</w:t>
            </w:r>
          </w:p>
          <w:p w14:paraId="5C31D9D5" w14:textId="77777777" w:rsidR="00233CAC" w:rsidRDefault="00233CAC" w:rsidP="00736621">
            <w:pPr>
              <w:pStyle w:val="NoSpacing"/>
              <w:jc w:val="center"/>
              <w:rPr>
                <w:sz w:val="20"/>
                <w:szCs w:val="20"/>
              </w:rPr>
            </w:pPr>
            <w:r w:rsidRPr="00000EC6">
              <w:rPr>
                <w:b/>
                <w:noProof/>
                <w:lang w:eastAsia="en-GB"/>
              </w:rPr>
              <w:drawing>
                <wp:inline distT="0" distB="0" distL="0" distR="0" wp14:anchorId="5E638947" wp14:editId="2B96428F">
                  <wp:extent cx="1851545" cy="184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5016" cy="1851314"/>
                          </a:xfrm>
                          <a:prstGeom prst="rect">
                            <a:avLst/>
                          </a:prstGeom>
                        </pic:spPr>
                      </pic:pic>
                    </a:graphicData>
                  </a:graphic>
                </wp:inline>
              </w:drawing>
            </w:r>
          </w:p>
          <w:p w14:paraId="7F7EB796" w14:textId="77777777" w:rsidR="00233CAC" w:rsidRPr="00241500" w:rsidRDefault="00233CAC" w:rsidP="00736621">
            <w:pPr>
              <w:pStyle w:val="NoSpacing"/>
              <w:jc w:val="center"/>
              <w:rPr>
                <w:sz w:val="20"/>
                <w:szCs w:val="20"/>
              </w:rPr>
            </w:pPr>
          </w:p>
        </w:tc>
      </w:tr>
      <w:tr w:rsidR="00233CAC" w14:paraId="4C16AE52" w14:textId="77777777" w:rsidTr="00736621">
        <w:tc>
          <w:tcPr>
            <w:tcW w:w="0" w:type="auto"/>
          </w:tcPr>
          <w:p w14:paraId="6BB12021" w14:textId="77777777" w:rsidR="00233CAC" w:rsidRDefault="00233CAC" w:rsidP="00736621">
            <w:pPr>
              <w:pStyle w:val="NoSpacing"/>
            </w:pPr>
            <w:r w:rsidRPr="003B631C">
              <w:rPr>
                <w:sz w:val="20"/>
                <w:szCs w:val="20"/>
              </w:rPr>
              <w:t>Premorbid condition of patient</w:t>
            </w:r>
          </w:p>
        </w:tc>
        <w:tc>
          <w:tcPr>
            <w:tcW w:w="0" w:type="auto"/>
          </w:tcPr>
          <w:p w14:paraId="052A8DEC" w14:textId="77777777" w:rsidR="00233CAC" w:rsidRDefault="00233CAC" w:rsidP="00736621">
            <w:pPr>
              <w:pStyle w:val="NoSpacing"/>
              <w:rPr>
                <w:sz w:val="20"/>
                <w:szCs w:val="20"/>
              </w:rPr>
            </w:pPr>
            <w:r w:rsidRPr="00B33283">
              <w:rPr>
                <w:sz w:val="20"/>
                <w:szCs w:val="20"/>
              </w:rPr>
              <w:t xml:space="preserve">The patient was previously </w:t>
            </w:r>
            <w:r w:rsidRPr="00B33283">
              <w:rPr>
                <w:sz w:val="20"/>
                <w:szCs w:val="20"/>
                <w:u w:val="single"/>
              </w:rPr>
              <w:t>fit and well</w:t>
            </w:r>
            <w:r w:rsidRPr="00B33283">
              <w:rPr>
                <w:sz w:val="20"/>
                <w:szCs w:val="20"/>
              </w:rPr>
              <w:t>.</w:t>
            </w:r>
          </w:p>
          <w:p w14:paraId="4C935AFE" w14:textId="77777777" w:rsidR="00233CAC" w:rsidRPr="00B33283" w:rsidRDefault="00233CAC" w:rsidP="00736621">
            <w:pPr>
              <w:pStyle w:val="NoSpacing"/>
              <w:rPr>
                <w:sz w:val="20"/>
                <w:szCs w:val="20"/>
              </w:rPr>
            </w:pPr>
          </w:p>
        </w:tc>
      </w:tr>
      <w:tr w:rsidR="00233CAC" w14:paraId="6C65DC1D" w14:textId="77777777" w:rsidTr="00736621">
        <w:tc>
          <w:tcPr>
            <w:tcW w:w="0" w:type="auto"/>
          </w:tcPr>
          <w:p w14:paraId="1D2A56C9" w14:textId="77777777" w:rsidR="00233CAC" w:rsidRDefault="00233CAC" w:rsidP="00736621">
            <w:pPr>
              <w:pStyle w:val="NoSpacing"/>
            </w:pPr>
            <w:r w:rsidRPr="003B631C">
              <w:rPr>
                <w:sz w:val="20"/>
                <w:szCs w:val="20"/>
              </w:rPr>
              <w:t>Level of external pressure to continue antibiotic treatment</w:t>
            </w:r>
          </w:p>
        </w:tc>
        <w:tc>
          <w:tcPr>
            <w:tcW w:w="0" w:type="auto"/>
          </w:tcPr>
          <w:p w14:paraId="7C500C12" w14:textId="77777777" w:rsidR="00233CAC" w:rsidRDefault="00233CAC" w:rsidP="00736621">
            <w:pPr>
              <w:pStyle w:val="NoSpacing"/>
              <w:rPr>
                <w:sz w:val="20"/>
                <w:szCs w:val="20"/>
              </w:rPr>
            </w:pPr>
            <w:r w:rsidRPr="00241500">
              <w:rPr>
                <w:sz w:val="20"/>
                <w:szCs w:val="20"/>
              </w:rPr>
              <w:t xml:space="preserve">There is </w:t>
            </w:r>
            <w:r w:rsidRPr="004326DC">
              <w:rPr>
                <w:sz w:val="20"/>
                <w:szCs w:val="20"/>
                <w:u w:val="single"/>
              </w:rPr>
              <w:t>no external pressure</w:t>
            </w:r>
            <w:r w:rsidRPr="00241500">
              <w:rPr>
                <w:sz w:val="20"/>
                <w:szCs w:val="20"/>
              </w:rPr>
              <w:t xml:space="preserve"> to continue antibiotic treatment.</w:t>
            </w:r>
          </w:p>
          <w:p w14:paraId="25EC1171" w14:textId="77777777" w:rsidR="00233CAC" w:rsidRPr="00241500" w:rsidRDefault="00233CAC" w:rsidP="00736621">
            <w:pPr>
              <w:pStyle w:val="NoSpacing"/>
              <w:rPr>
                <w:sz w:val="20"/>
                <w:szCs w:val="20"/>
              </w:rPr>
            </w:pPr>
          </w:p>
        </w:tc>
      </w:tr>
    </w:tbl>
    <w:p w14:paraId="1ABA29FE" w14:textId="77777777" w:rsidR="00233CAC" w:rsidRDefault="00233CAC" w:rsidP="00233CAC">
      <w:pPr>
        <w:pStyle w:val="NoSpacing"/>
        <w:jc w:val="both"/>
      </w:pPr>
    </w:p>
    <w:p w14:paraId="72E9A6A6" w14:textId="77777777" w:rsidR="00233CAC" w:rsidRDefault="00233CAC" w:rsidP="00233CAC">
      <w:pPr>
        <w:pStyle w:val="NoSpacing"/>
        <w:jc w:val="both"/>
      </w:pPr>
      <w:r w:rsidRPr="00807675">
        <w:t xml:space="preserve">Given this information, would you choose to </w:t>
      </w:r>
      <w:r w:rsidRPr="00FF1BED">
        <w:rPr>
          <w:u w:val="single"/>
        </w:rPr>
        <w:t>continue</w:t>
      </w:r>
      <w:r w:rsidRPr="00807675">
        <w:t xml:space="preserve"> antibiotic treatment or </w:t>
      </w:r>
      <w:r w:rsidRPr="00FF1BED">
        <w:rPr>
          <w:u w:val="single"/>
        </w:rPr>
        <w:t>discontinue</w:t>
      </w:r>
      <w:r w:rsidRPr="00807675">
        <w:t xml:space="preserve"> antibiotic treatment in this patient? (tick one box only)</w:t>
      </w:r>
    </w:p>
    <w:p w14:paraId="08AB230C" w14:textId="77777777" w:rsidR="00233CAC" w:rsidRDefault="00233CAC" w:rsidP="00233CAC">
      <w:pPr>
        <w:pStyle w:val="NoSpacing"/>
        <w:jc w:val="both"/>
      </w:pPr>
    </w:p>
    <w:p w14:paraId="286C36D6" w14:textId="77777777" w:rsidR="00233CAC" w:rsidRPr="00807675" w:rsidRDefault="00233CAC" w:rsidP="00233CAC">
      <w:pPr>
        <w:pStyle w:val="NoSpacing"/>
        <w:jc w:val="both"/>
      </w:pPr>
      <w:r w:rsidRPr="00807675">
        <w:t>Continue antibiotic treatment</w:t>
      </w:r>
      <w:r w:rsidRPr="00807675">
        <w:tab/>
      </w:r>
      <w:r w:rsidRPr="00807675">
        <w:tab/>
      </w:r>
      <w:r w:rsidRPr="00807675">
        <w:sym w:font="Wingdings" w:char="F06F"/>
      </w:r>
    </w:p>
    <w:p w14:paraId="5A80816A" w14:textId="77777777" w:rsidR="00233CAC" w:rsidRPr="00807675" w:rsidRDefault="00233CAC" w:rsidP="00233CAC">
      <w:pPr>
        <w:pStyle w:val="NoSpacing"/>
        <w:jc w:val="both"/>
      </w:pPr>
    </w:p>
    <w:p w14:paraId="0EF198E7" w14:textId="77777777" w:rsidR="00233CAC" w:rsidRDefault="00233CAC" w:rsidP="00233CAC">
      <w:r w:rsidRPr="00807675">
        <w:t>Discontinue antibiotic treatment</w:t>
      </w:r>
      <w:r w:rsidRPr="00807675">
        <w:tab/>
      </w:r>
      <w:r w:rsidRPr="00807675">
        <w:sym w:font="Wingdings" w:char="F06F"/>
      </w:r>
    </w:p>
    <w:p w14:paraId="55571552" w14:textId="77777777" w:rsidR="00233CAC" w:rsidRDefault="00233CAC" w:rsidP="00233CAC">
      <w:pPr>
        <w:pStyle w:val="ColorfulList-Accent11"/>
        <w:tabs>
          <w:tab w:val="left" w:pos="1350"/>
        </w:tabs>
        <w:spacing w:before="0" w:beforeAutospacing="0" w:after="0" w:afterAutospacing="0" w:line="360" w:lineRule="auto"/>
        <w:jc w:val="both"/>
        <w:rPr>
          <w:rStyle w:val="Emphasis"/>
          <w:rFonts w:ascii="Arial" w:hAnsi="Arial" w:cs="Arial"/>
          <w:b/>
          <w:i w:val="0"/>
          <w:sz w:val="22"/>
          <w:szCs w:val="22"/>
        </w:rPr>
        <w:sectPr w:rsidR="00233CAC" w:rsidSect="00275310">
          <w:pgSz w:w="11906" w:h="16838"/>
          <w:pgMar w:top="1440" w:right="1440" w:bottom="1440" w:left="1440" w:header="709" w:footer="709" w:gutter="0"/>
          <w:lnNumType w:countBy="1" w:restart="continuous"/>
          <w:cols w:space="708"/>
          <w:docGrid w:linePitch="360"/>
        </w:sectPr>
      </w:pPr>
    </w:p>
    <w:p w14:paraId="324EE0F1" w14:textId="65F3CEF2" w:rsidR="00233CAC" w:rsidRPr="00AA3ED0" w:rsidRDefault="00233CAC" w:rsidP="00233CAC">
      <w:pPr>
        <w:pStyle w:val="ColorfulList-Accent11"/>
        <w:tabs>
          <w:tab w:val="left" w:pos="1350"/>
        </w:tabs>
        <w:spacing w:before="0" w:beforeAutospacing="0" w:after="0" w:afterAutospacing="0" w:line="360" w:lineRule="auto"/>
        <w:jc w:val="both"/>
        <w:rPr>
          <w:rStyle w:val="Emphasis"/>
          <w:rFonts w:ascii="Arial" w:hAnsi="Arial" w:cs="Arial"/>
          <w:b/>
          <w:i w:val="0"/>
          <w:sz w:val="22"/>
          <w:szCs w:val="22"/>
        </w:rPr>
      </w:pPr>
    </w:p>
    <w:p w14:paraId="007D2D6A" w14:textId="77777777" w:rsidR="00233CAC" w:rsidRPr="00AA3ED0" w:rsidRDefault="00233CAC" w:rsidP="00233CAC">
      <w:pPr>
        <w:pStyle w:val="ColorfulList-Accent11"/>
        <w:tabs>
          <w:tab w:val="left" w:pos="1350"/>
        </w:tabs>
        <w:spacing w:before="0" w:beforeAutospacing="0" w:after="0" w:afterAutospacing="0" w:line="360" w:lineRule="auto"/>
        <w:jc w:val="both"/>
        <w:rPr>
          <w:rStyle w:val="Emphasis"/>
          <w:rFonts w:ascii="Arial" w:hAnsi="Arial" w:cs="Arial"/>
          <w:b/>
          <w:i w:val="0"/>
          <w:sz w:val="22"/>
          <w:szCs w:val="22"/>
        </w:rPr>
      </w:pPr>
      <w:r w:rsidRPr="00AA3ED0">
        <w:rPr>
          <w:rStyle w:val="Emphasis"/>
          <w:rFonts w:ascii="Arial" w:hAnsi="Arial" w:cs="Arial"/>
          <w:b/>
          <w:i w:val="0"/>
          <w:sz w:val="22"/>
          <w:szCs w:val="22"/>
        </w:rPr>
        <w:t>Figure 2.</w:t>
      </w:r>
    </w:p>
    <w:p w14:paraId="5D43E11F" w14:textId="77777777" w:rsidR="00233CAC" w:rsidRDefault="00233CAC" w:rsidP="00233CAC">
      <w:pPr>
        <w:pStyle w:val="ColorfulList-Accent11"/>
        <w:tabs>
          <w:tab w:val="left" w:pos="1350"/>
        </w:tabs>
        <w:spacing w:before="0" w:beforeAutospacing="0" w:after="0" w:afterAutospacing="0" w:line="360" w:lineRule="auto"/>
        <w:jc w:val="both"/>
        <w:rPr>
          <w:rStyle w:val="Emphasis"/>
          <w:rFonts w:ascii="Arial" w:hAnsi="Arial" w:cs="Arial"/>
          <w:b/>
          <w:i w:val="0"/>
          <w:sz w:val="22"/>
          <w:szCs w:val="22"/>
        </w:rPr>
      </w:pPr>
      <w:r w:rsidRPr="00AA3ED0">
        <w:rPr>
          <w:rStyle w:val="Emphasis"/>
          <w:rFonts w:ascii="Arial" w:hAnsi="Arial" w:cs="Arial"/>
          <w:b/>
          <w:i w:val="0"/>
          <w:sz w:val="22"/>
          <w:szCs w:val="22"/>
        </w:rPr>
        <w:t>Title: Histogram of number of questions in which respondents chose to continue antibiotics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7796"/>
      </w:tblGrid>
      <w:tr w:rsidR="00233CAC" w14:paraId="247B9D3A" w14:textId="77777777" w:rsidTr="00736621">
        <w:trPr>
          <w:cantSplit/>
          <w:trHeight w:val="4885"/>
        </w:trPr>
        <w:tc>
          <w:tcPr>
            <w:tcW w:w="392" w:type="dxa"/>
            <w:textDirection w:val="btLr"/>
          </w:tcPr>
          <w:p w14:paraId="10204326" w14:textId="77777777" w:rsidR="00233CAC" w:rsidRDefault="00233CAC" w:rsidP="00736621">
            <w:pPr>
              <w:spacing w:line="480" w:lineRule="auto"/>
              <w:ind w:left="113" w:right="113"/>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Number of respondents</w:t>
            </w:r>
          </w:p>
        </w:tc>
        <w:tc>
          <w:tcPr>
            <w:tcW w:w="7796" w:type="dxa"/>
          </w:tcPr>
          <w:p w14:paraId="40BCC26D" w14:textId="77777777" w:rsidR="00233CAC" w:rsidRDefault="00233CAC" w:rsidP="00736621">
            <w:pPr>
              <w:spacing w:line="480" w:lineRule="auto"/>
              <w:jc w:val="both"/>
              <w:rPr>
                <w:rFonts w:ascii="Arial" w:hAnsi="Arial" w:cs="Arial"/>
                <w:color w:val="222222"/>
                <w:sz w:val="20"/>
                <w:szCs w:val="20"/>
                <w:shd w:val="clear" w:color="auto" w:fill="FFFFFF"/>
              </w:rPr>
            </w:pPr>
            <w:r>
              <w:rPr>
                <w:noProof/>
                <w:lang w:eastAsia="en-GB"/>
              </w:rPr>
              <w:drawing>
                <wp:inline distT="0" distB="0" distL="0" distR="0" wp14:anchorId="3E8432A7" wp14:editId="70980E2D">
                  <wp:extent cx="4791075" cy="31337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233CAC" w14:paraId="76AFF9BC" w14:textId="77777777" w:rsidTr="00736621">
        <w:trPr>
          <w:trHeight w:val="215"/>
        </w:trPr>
        <w:tc>
          <w:tcPr>
            <w:tcW w:w="392" w:type="dxa"/>
          </w:tcPr>
          <w:p w14:paraId="354B7471" w14:textId="77777777" w:rsidR="00233CAC" w:rsidRDefault="00233CAC" w:rsidP="00736621">
            <w:pPr>
              <w:spacing w:line="480" w:lineRule="auto"/>
              <w:jc w:val="both"/>
              <w:rPr>
                <w:rFonts w:ascii="Arial" w:hAnsi="Arial" w:cs="Arial"/>
                <w:color w:val="222222"/>
                <w:sz w:val="20"/>
                <w:szCs w:val="20"/>
                <w:shd w:val="clear" w:color="auto" w:fill="FFFFFF"/>
              </w:rPr>
            </w:pPr>
          </w:p>
        </w:tc>
        <w:tc>
          <w:tcPr>
            <w:tcW w:w="7796" w:type="dxa"/>
          </w:tcPr>
          <w:p w14:paraId="2ABED9A3" w14:textId="77777777" w:rsidR="00233CAC" w:rsidRDefault="00233CAC" w:rsidP="00736621">
            <w:pPr>
              <w:spacing w:line="48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Number of choices to continue</w:t>
            </w:r>
          </w:p>
        </w:tc>
      </w:tr>
    </w:tbl>
    <w:p w14:paraId="6FA9F6BE" w14:textId="7B23999F" w:rsidR="004277A2" w:rsidRDefault="004277A2">
      <w:pPr>
        <w:rPr>
          <w:rFonts w:ascii="Arial" w:hAnsi="Arial" w:cs="Arial"/>
        </w:rPr>
      </w:pPr>
    </w:p>
    <w:sectPr w:rsidR="004277A2" w:rsidSect="00275310">
      <w:pgSz w:w="11906" w:h="16838"/>
      <w:pgMar w:top="1440" w:right="1440" w:bottom="1440" w:left="1440"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75C7B" w16cex:dateUtc="2020-05-02T01:42:00Z"/>
  <w16cex:commentExtensible w16cex:durableId="22575E7B" w16cex:dateUtc="2020-05-02T01:50:00Z"/>
  <w16cex:commentExtensible w16cex:durableId="225763B3" w16cex:dateUtc="2020-05-02T02: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5FA40" w14:textId="77777777" w:rsidR="00A91EFD" w:rsidRDefault="00A91EFD" w:rsidP="00E966FB">
      <w:pPr>
        <w:spacing w:after="0" w:line="240" w:lineRule="auto"/>
      </w:pPr>
      <w:r>
        <w:separator/>
      </w:r>
    </w:p>
  </w:endnote>
  <w:endnote w:type="continuationSeparator" w:id="0">
    <w:p w14:paraId="5E374F46" w14:textId="77777777" w:rsidR="00A91EFD" w:rsidRDefault="00A91EFD" w:rsidP="00E966FB">
      <w:pPr>
        <w:spacing w:after="0" w:line="240" w:lineRule="auto"/>
      </w:pPr>
      <w:r>
        <w:continuationSeparator/>
      </w:r>
    </w:p>
  </w:endnote>
  <w:endnote w:type="continuationNotice" w:id="1">
    <w:p w14:paraId="2B74F122" w14:textId="77777777" w:rsidR="00A91EFD" w:rsidRDefault="00A9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993679"/>
      <w:docPartObj>
        <w:docPartGallery w:val="Page Numbers (Bottom of Page)"/>
        <w:docPartUnique/>
      </w:docPartObj>
    </w:sdtPr>
    <w:sdtEndPr>
      <w:rPr>
        <w:noProof/>
      </w:rPr>
    </w:sdtEndPr>
    <w:sdtContent>
      <w:p w14:paraId="7F283855" w14:textId="7B98661D" w:rsidR="00A91EFD" w:rsidRDefault="00A91EFD">
        <w:pPr>
          <w:pStyle w:val="Footer"/>
          <w:jc w:val="center"/>
        </w:pPr>
        <w:r>
          <w:fldChar w:fldCharType="begin"/>
        </w:r>
        <w:r>
          <w:instrText xml:space="preserve"> PAGE   \* MERGEFORMAT </w:instrText>
        </w:r>
        <w:r>
          <w:fldChar w:fldCharType="separate"/>
        </w:r>
        <w:r w:rsidR="00233CAC">
          <w:rPr>
            <w:noProof/>
          </w:rPr>
          <w:t>1</w:t>
        </w:r>
        <w:r>
          <w:rPr>
            <w:noProof/>
          </w:rPr>
          <w:fldChar w:fldCharType="end"/>
        </w:r>
      </w:p>
    </w:sdtContent>
  </w:sdt>
  <w:p w14:paraId="336787C7" w14:textId="77777777" w:rsidR="00A91EFD" w:rsidRDefault="00A91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6900" w14:textId="77777777" w:rsidR="00A91EFD" w:rsidRDefault="00A91EFD" w:rsidP="00E966FB">
      <w:pPr>
        <w:spacing w:after="0" w:line="240" w:lineRule="auto"/>
      </w:pPr>
      <w:r>
        <w:separator/>
      </w:r>
    </w:p>
  </w:footnote>
  <w:footnote w:type="continuationSeparator" w:id="0">
    <w:p w14:paraId="198187C3" w14:textId="77777777" w:rsidR="00A91EFD" w:rsidRDefault="00A91EFD" w:rsidP="00E966FB">
      <w:pPr>
        <w:spacing w:after="0" w:line="240" w:lineRule="auto"/>
      </w:pPr>
      <w:r>
        <w:continuationSeparator/>
      </w:r>
    </w:p>
  </w:footnote>
  <w:footnote w:type="continuationNotice" w:id="1">
    <w:p w14:paraId="149C9A60" w14:textId="77777777" w:rsidR="00A91EFD" w:rsidRDefault="00A91E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09CF"/>
    <w:multiLevelType w:val="multilevel"/>
    <w:tmpl w:val="4DC279A8"/>
    <w:lvl w:ilvl="0">
      <w:start w:val="1"/>
      <w:numFmt w:val="decimal"/>
      <w:pStyle w:val="Heading1"/>
      <w:lvlText w:val="%1."/>
      <w:lvlJc w:val="left"/>
      <w:pPr>
        <w:ind w:left="360" w:hanging="360"/>
      </w:pPr>
      <w:rPr>
        <w:sz w:val="24"/>
        <w:szCs w:val="24"/>
      </w:rPr>
    </w:lvl>
    <w:lvl w:ilvl="1">
      <w:start w:val="1"/>
      <w:numFmt w:val="decimal"/>
      <w:pStyle w:val="Heading2"/>
      <w:lvlText w:val="%1.%2."/>
      <w:lvlJc w:val="left"/>
      <w:pPr>
        <w:ind w:left="170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2167"/>
    <w:multiLevelType w:val="hybridMultilevel"/>
    <w:tmpl w:val="4FA831D4"/>
    <w:lvl w:ilvl="0" w:tplc="E28CBD40">
      <w:start w:val="1"/>
      <w:numFmt w:val="bullet"/>
      <w:lvlText w:val=""/>
      <w:lvlJc w:val="left"/>
      <w:pPr>
        <w:tabs>
          <w:tab w:val="num" w:pos="720"/>
        </w:tabs>
        <w:ind w:left="720" w:hanging="360"/>
      </w:pPr>
      <w:rPr>
        <w:rFonts w:ascii="Wingdings" w:hAnsi="Wingdings" w:hint="default"/>
      </w:rPr>
    </w:lvl>
    <w:lvl w:ilvl="1" w:tplc="D63691A8">
      <w:start w:val="2249"/>
      <w:numFmt w:val="bullet"/>
      <w:lvlText w:val="•"/>
      <w:lvlJc w:val="left"/>
      <w:pPr>
        <w:tabs>
          <w:tab w:val="num" w:pos="1440"/>
        </w:tabs>
        <w:ind w:left="1440" w:hanging="360"/>
      </w:pPr>
      <w:rPr>
        <w:rFonts w:ascii="Times New Roman" w:hAnsi="Times New Roman" w:hint="default"/>
      </w:rPr>
    </w:lvl>
    <w:lvl w:ilvl="2" w:tplc="4106ED00" w:tentative="1">
      <w:start w:val="1"/>
      <w:numFmt w:val="bullet"/>
      <w:lvlText w:val=""/>
      <w:lvlJc w:val="left"/>
      <w:pPr>
        <w:tabs>
          <w:tab w:val="num" w:pos="2160"/>
        </w:tabs>
        <w:ind w:left="2160" w:hanging="360"/>
      </w:pPr>
      <w:rPr>
        <w:rFonts w:ascii="Wingdings" w:hAnsi="Wingdings" w:hint="default"/>
      </w:rPr>
    </w:lvl>
    <w:lvl w:ilvl="3" w:tplc="E2709256" w:tentative="1">
      <w:start w:val="1"/>
      <w:numFmt w:val="bullet"/>
      <w:lvlText w:val=""/>
      <w:lvlJc w:val="left"/>
      <w:pPr>
        <w:tabs>
          <w:tab w:val="num" w:pos="2880"/>
        </w:tabs>
        <w:ind w:left="2880" w:hanging="360"/>
      </w:pPr>
      <w:rPr>
        <w:rFonts w:ascii="Wingdings" w:hAnsi="Wingdings" w:hint="default"/>
      </w:rPr>
    </w:lvl>
    <w:lvl w:ilvl="4" w:tplc="6342688C" w:tentative="1">
      <w:start w:val="1"/>
      <w:numFmt w:val="bullet"/>
      <w:lvlText w:val=""/>
      <w:lvlJc w:val="left"/>
      <w:pPr>
        <w:tabs>
          <w:tab w:val="num" w:pos="3600"/>
        </w:tabs>
        <w:ind w:left="3600" w:hanging="360"/>
      </w:pPr>
      <w:rPr>
        <w:rFonts w:ascii="Wingdings" w:hAnsi="Wingdings" w:hint="default"/>
      </w:rPr>
    </w:lvl>
    <w:lvl w:ilvl="5" w:tplc="349A8678" w:tentative="1">
      <w:start w:val="1"/>
      <w:numFmt w:val="bullet"/>
      <w:lvlText w:val=""/>
      <w:lvlJc w:val="left"/>
      <w:pPr>
        <w:tabs>
          <w:tab w:val="num" w:pos="4320"/>
        </w:tabs>
        <w:ind w:left="4320" w:hanging="360"/>
      </w:pPr>
      <w:rPr>
        <w:rFonts w:ascii="Wingdings" w:hAnsi="Wingdings" w:hint="default"/>
      </w:rPr>
    </w:lvl>
    <w:lvl w:ilvl="6" w:tplc="0FAEE9D4" w:tentative="1">
      <w:start w:val="1"/>
      <w:numFmt w:val="bullet"/>
      <w:lvlText w:val=""/>
      <w:lvlJc w:val="left"/>
      <w:pPr>
        <w:tabs>
          <w:tab w:val="num" w:pos="5040"/>
        </w:tabs>
        <w:ind w:left="5040" w:hanging="360"/>
      </w:pPr>
      <w:rPr>
        <w:rFonts w:ascii="Wingdings" w:hAnsi="Wingdings" w:hint="default"/>
      </w:rPr>
    </w:lvl>
    <w:lvl w:ilvl="7" w:tplc="15281EFE" w:tentative="1">
      <w:start w:val="1"/>
      <w:numFmt w:val="bullet"/>
      <w:lvlText w:val=""/>
      <w:lvlJc w:val="left"/>
      <w:pPr>
        <w:tabs>
          <w:tab w:val="num" w:pos="5760"/>
        </w:tabs>
        <w:ind w:left="5760" w:hanging="360"/>
      </w:pPr>
      <w:rPr>
        <w:rFonts w:ascii="Wingdings" w:hAnsi="Wingdings" w:hint="default"/>
      </w:rPr>
    </w:lvl>
    <w:lvl w:ilvl="8" w:tplc="58A4FC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AC3BB5"/>
    <w:multiLevelType w:val="hybridMultilevel"/>
    <w:tmpl w:val="DE5C0560"/>
    <w:lvl w:ilvl="0" w:tplc="DBAC12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707C3"/>
    <w:multiLevelType w:val="hybridMultilevel"/>
    <w:tmpl w:val="4CA27AD6"/>
    <w:lvl w:ilvl="0" w:tplc="B186F0A4">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D56D8"/>
    <w:multiLevelType w:val="hybridMultilevel"/>
    <w:tmpl w:val="58F0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6D"/>
    <w:rsid w:val="000007B1"/>
    <w:rsid w:val="00002F70"/>
    <w:rsid w:val="00007022"/>
    <w:rsid w:val="00007580"/>
    <w:rsid w:val="00010618"/>
    <w:rsid w:val="00013DA9"/>
    <w:rsid w:val="00014D05"/>
    <w:rsid w:val="00015BF3"/>
    <w:rsid w:val="00022D27"/>
    <w:rsid w:val="00030FF3"/>
    <w:rsid w:val="000317D8"/>
    <w:rsid w:val="00032CDC"/>
    <w:rsid w:val="00036622"/>
    <w:rsid w:val="000374B5"/>
    <w:rsid w:val="000417BC"/>
    <w:rsid w:val="00041D77"/>
    <w:rsid w:val="0004245C"/>
    <w:rsid w:val="000473C8"/>
    <w:rsid w:val="00050146"/>
    <w:rsid w:val="00051FF2"/>
    <w:rsid w:val="000530B6"/>
    <w:rsid w:val="000552C5"/>
    <w:rsid w:val="000560AE"/>
    <w:rsid w:val="0005650E"/>
    <w:rsid w:val="0006368F"/>
    <w:rsid w:val="00071FED"/>
    <w:rsid w:val="000728E3"/>
    <w:rsid w:val="00075AB0"/>
    <w:rsid w:val="00076666"/>
    <w:rsid w:val="00077044"/>
    <w:rsid w:val="00082597"/>
    <w:rsid w:val="00082A85"/>
    <w:rsid w:val="00084CE1"/>
    <w:rsid w:val="00085F2E"/>
    <w:rsid w:val="0009154A"/>
    <w:rsid w:val="000927C2"/>
    <w:rsid w:val="00092FFC"/>
    <w:rsid w:val="000A06CA"/>
    <w:rsid w:val="000A242D"/>
    <w:rsid w:val="000A58EA"/>
    <w:rsid w:val="000A5BF5"/>
    <w:rsid w:val="000A6FE5"/>
    <w:rsid w:val="000B0830"/>
    <w:rsid w:val="000C0E33"/>
    <w:rsid w:val="000C2411"/>
    <w:rsid w:val="000C432C"/>
    <w:rsid w:val="000D4EB6"/>
    <w:rsid w:val="000D5A38"/>
    <w:rsid w:val="000E01D5"/>
    <w:rsid w:val="000F3F95"/>
    <w:rsid w:val="00100DF6"/>
    <w:rsid w:val="001014D4"/>
    <w:rsid w:val="001068D4"/>
    <w:rsid w:val="001143F9"/>
    <w:rsid w:val="00114497"/>
    <w:rsid w:val="0011548D"/>
    <w:rsid w:val="00120699"/>
    <w:rsid w:val="0012540A"/>
    <w:rsid w:val="00126414"/>
    <w:rsid w:val="0013211E"/>
    <w:rsid w:val="00132BCB"/>
    <w:rsid w:val="00135D76"/>
    <w:rsid w:val="00136F5F"/>
    <w:rsid w:val="001370A3"/>
    <w:rsid w:val="00142097"/>
    <w:rsid w:val="00144A1C"/>
    <w:rsid w:val="001450DD"/>
    <w:rsid w:val="00145C69"/>
    <w:rsid w:val="00160635"/>
    <w:rsid w:val="00164B97"/>
    <w:rsid w:val="00167A09"/>
    <w:rsid w:val="001723FA"/>
    <w:rsid w:val="00173BF8"/>
    <w:rsid w:val="0018040D"/>
    <w:rsid w:val="00183FF1"/>
    <w:rsid w:val="00184AF2"/>
    <w:rsid w:val="00186F91"/>
    <w:rsid w:val="001872D6"/>
    <w:rsid w:val="00187561"/>
    <w:rsid w:val="00190325"/>
    <w:rsid w:val="0019499E"/>
    <w:rsid w:val="00194BF7"/>
    <w:rsid w:val="001978FA"/>
    <w:rsid w:val="001A24AE"/>
    <w:rsid w:val="001A3E35"/>
    <w:rsid w:val="001A4209"/>
    <w:rsid w:val="001B3432"/>
    <w:rsid w:val="001B3535"/>
    <w:rsid w:val="001C352C"/>
    <w:rsid w:val="001C4761"/>
    <w:rsid w:val="001C61A1"/>
    <w:rsid w:val="001C7D09"/>
    <w:rsid w:val="001D3D3C"/>
    <w:rsid w:val="001D4645"/>
    <w:rsid w:val="001D7FB6"/>
    <w:rsid w:val="001F230F"/>
    <w:rsid w:val="001F5448"/>
    <w:rsid w:val="001F6820"/>
    <w:rsid w:val="00201F1F"/>
    <w:rsid w:val="00205E5D"/>
    <w:rsid w:val="002062FD"/>
    <w:rsid w:val="00223ECF"/>
    <w:rsid w:val="00227FCE"/>
    <w:rsid w:val="002321F5"/>
    <w:rsid w:val="00232303"/>
    <w:rsid w:val="00233803"/>
    <w:rsid w:val="00233CAC"/>
    <w:rsid w:val="00240659"/>
    <w:rsid w:val="002439C5"/>
    <w:rsid w:val="002450D9"/>
    <w:rsid w:val="002456D0"/>
    <w:rsid w:val="00250C88"/>
    <w:rsid w:val="00252A10"/>
    <w:rsid w:val="002559C2"/>
    <w:rsid w:val="00255F61"/>
    <w:rsid w:val="0026231D"/>
    <w:rsid w:val="00264864"/>
    <w:rsid w:val="00267F38"/>
    <w:rsid w:val="0027065A"/>
    <w:rsid w:val="00274826"/>
    <w:rsid w:val="00275310"/>
    <w:rsid w:val="00281862"/>
    <w:rsid w:val="002913EA"/>
    <w:rsid w:val="00292A15"/>
    <w:rsid w:val="002939F7"/>
    <w:rsid w:val="00297BDE"/>
    <w:rsid w:val="002A090D"/>
    <w:rsid w:val="002A1B6B"/>
    <w:rsid w:val="002A43B7"/>
    <w:rsid w:val="002B149E"/>
    <w:rsid w:val="002B288D"/>
    <w:rsid w:val="002B2AEA"/>
    <w:rsid w:val="002B320D"/>
    <w:rsid w:val="002B46FE"/>
    <w:rsid w:val="002B584D"/>
    <w:rsid w:val="002B79A0"/>
    <w:rsid w:val="002C35A3"/>
    <w:rsid w:val="002C4C16"/>
    <w:rsid w:val="002D3D2A"/>
    <w:rsid w:val="002D6400"/>
    <w:rsid w:val="002D6566"/>
    <w:rsid w:val="002D6C66"/>
    <w:rsid w:val="002E227A"/>
    <w:rsid w:val="002E31D9"/>
    <w:rsid w:val="002E4611"/>
    <w:rsid w:val="002F04A1"/>
    <w:rsid w:val="00303D78"/>
    <w:rsid w:val="00306AB5"/>
    <w:rsid w:val="00306F22"/>
    <w:rsid w:val="003146E4"/>
    <w:rsid w:val="00321EC7"/>
    <w:rsid w:val="00325524"/>
    <w:rsid w:val="003278A0"/>
    <w:rsid w:val="00331B60"/>
    <w:rsid w:val="00332B3C"/>
    <w:rsid w:val="0033346E"/>
    <w:rsid w:val="00336FDA"/>
    <w:rsid w:val="00337B9F"/>
    <w:rsid w:val="0034101A"/>
    <w:rsid w:val="00342882"/>
    <w:rsid w:val="00343CB2"/>
    <w:rsid w:val="003477AB"/>
    <w:rsid w:val="003635A8"/>
    <w:rsid w:val="00367D3D"/>
    <w:rsid w:val="0037297C"/>
    <w:rsid w:val="00380A5F"/>
    <w:rsid w:val="003906B7"/>
    <w:rsid w:val="00392980"/>
    <w:rsid w:val="003961CA"/>
    <w:rsid w:val="00396364"/>
    <w:rsid w:val="00396B65"/>
    <w:rsid w:val="003A5241"/>
    <w:rsid w:val="003A5CFD"/>
    <w:rsid w:val="003A7ACC"/>
    <w:rsid w:val="003B29EB"/>
    <w:rsid w:val="003B53DF"/>
    <w:rsid w:val="003B73E2"/>
    <w:rsid w:val="003C089F"/>
    <w:rsid w:val="003D175F"/>
    <w:rsid w:val="003D2CAD"/>
    <w:rsid w:val="003D74DB"/>
    <w:rsid w:val="003E0AD3"/>
    <w:rsid w:val="003E430D"/>
    <w:rsid w:val="003F307C"/>
    <w:rsid w:val="003F4A17"/>
    <w:rsid w:val="003F657B"/>
    <w:rsid w:val="003F67A6"/>
    <w:rsid w:val="004016F5"/>
    <w:rsid w:val="00403573"/>
    <w:rsid w:val="00407AE1"/>
    <w:rsid w:val="0041231B"/>
    <w:rsid w:val="00416C5A"/>
    <w:rsid w:val="00420378"/>
    <w:rsid w:val="0042038A"/>
    <w:rsid w:val="004258B7"/>
    <w:rsid w:val="004277A2"/>
    <w:rsid w:val="0043106B"/>
    <w:rsid w:val="00432614"/>
    <w:rsid w:val="0043409E"/>
    <w:rsid w:val="00436550"/>
    <w:rsid w:val="0044133F"/>
    <w:rsid w:val="00441DC6"/>
    <w:rsid w:val="00446061"/>
    <w:rsid w:val="00447EA9"/>
    <w:rsid w:val="00453F83"/>
    <w:rsid w:val="00455A2A"/>
    <w:rsid w:val="00461268"/>
    <w:rsid w:val="004635B8"/>
    <w:rsid w:val="004661CD"/>
    <w:rsid w:val="0047128A"/>
    <w:rsid w:val="00472C05"/>
    <w:rsid w:val="004761A1"/>
    <w:rsid w:val="00477FF6"/>
    <w:rsid w:val="00484DE2"/>
    <w:rsid w:val="00485677"/>
    <w:rsid w:val="0049075C"/>
    <w:rsid w:val="00491021"/>
    <w:rsid w:val="0049453C"/>
    <w:rsid w:val="00495BCF"/>
    <w:rsid w:val="00495E50"/>
    <w:rsid w:val="0049767A"/>
    <w:rsid w:val="004A1037"/>
    <w:rsid w:val="004A10A4"/>
    <w:rsid w:val="004A3241"/>
    <w:rsid w:val="004A469F"/>
    <w:rsid w:val="004A4E01"/>
    <w:rsid w:val="004B12D9"/>
    <w:rsid w:val="004B3076"/>
    <w:rsid w:val="004B39FF"/>
    <w:rsid w:val="004C1150"/>
    <w:rsid w:val="004C1793"/>
    <w:rsid w:val="004C3452"/>
    <w:rsid w:val="004C59EA"/>
    <w:rsid w:val="004C6E68"/>
    <w:rsid w:val="004D6F52"/>
    <w:rsid w:val="004E767D"/>
    <w:rsid w:val="004E7E76"/>
    <w:rsid w:val="004F3EEC"/>
    <w:rsid w:val="004F67E6"/>
    <w:rsid w:val="00501641"/>
    <w:rsid w:val="0050382D"/>
    <w:rsid w:val="0050454E"/>
    <w:rsid w:val="00512824"/>
    <w:rsid w:val="00514DA3"/>
    <w:rsid w:val="00525E81"/>
    <w:rsid w:val="00526017"/>
    <w:rsid w:val="0053437B"/>
    <w:rsid w:val="005355DB"/>
    <w:rsid w:val="005479C9"/>
    <w:rsid w:val="0055163A"/>
    <w:rsid w:val="00551C5D"/>
    <w:rsid w:val="00556997"/>
    <w:rsid w:val="00556D41"/>
    <w:rsid w:val="0056024B"/>
    <w:rsid w:val="005619EE"/>
    <w:rsid w:val="00563330"/>
    <w:rsid w:val="00563C4E"/>
    <w:rsid w:val="005658F0"/>
    <w:rsid w:val="00582D02"/>
    <w:rsid w:val="0058493E"/>
    <w:rsid w:val="00585A87"/>
    <w:rsid w:val="005949AB"/>
    <w:rsid w:val="005957A2"/>
    <w:rsid w:val="00597317"/>
    <w:rsid w:val="005A0B48"/>
    <w:rsid w:val="005A41BE"/>
    <w:rsid w:val="005A5693"/>
    <w:rsid w:val="005A641F"/>
    <w:rsid w:val="005A7343"/>
    <w:rsid w:val="005B3C7D"/>
    <w:rsid w:val="005B597F"/>
    <w:rsid w:val="005C21EF"/>
    <w:rsid w:val="005C4ACF"/>
    <w:rsid w:val="005C7576"/>
    <w:rsid w:val="005D1BF2"/>
    <w:rsid w:val="005E0663"/>
    <w:rsid w:val="005E6F19"/>
    <w:rsid w:val="005F2CB5"/>
    <w:rsid w:val="00602579"/>
    <w:rsid w:val="00612841"/>
    <w:rsid w:val="0061388C"/>
    <w:rsid w:val="00614AB0"/>
    <w:rsid w:val="00614CD7"/>
    <w:rsid w:val="00624AA8"/>
    <w:rsid w:val="0063428C"/>
    <w:rsid w:val="00634D0E"/>
    <w:rsid w:val="00634EF7"/>
    <w:rsid w:val="0063571B"/>
    <w:rsid w:val="00635960"/>
    <w:rsid w:val="00636D3B"/>
    <w:rsid w:val="006375AB"/>
    <w:rsid w:val="00637780"/>
    <w:rsid w:val="006403A4"/>
    <w:rsid w:val="006405DF"/>
    <w:rsid w:val="0064070F"/>
    <w:rsid w:val="00641DC2"/>
    <w:rsid w:val="00642FA8"/>
    <w:rsid w:val="0065491E"/>
    <w:rsid w:val="0065689E"/>
    <w:rsid w:val="00656C26"/>
    <w:rsid w:val="00656F59"/>
    <w:rsid w:val="006602B2"/>
    <w:rsid w:val="0066413A"/>
    <w:rsid w:val="00665568"/>
    <w:rsid w:val="006659E3"/>
    <w:rsid w:val="006715DE"/>
    <w:rsid w:val="00674C66"/>
    <w:rsid w:val="00674C6F"/>
    <w:rsid w:val="006767EC"/>
    <w:rsid w:val="00677824"/>
    <w:rsid w:val="00677E32"/>
    <w:rsid w:val="006816F0"/>
    <w:rsid w:val="00682C80"/>
    <w:rsid w:val="006864E6"/>
    <w:rsid w:val="00691F92"/>
    <w:rsid w:val="00694667"/>
    <w:rsid w:val="0069757C"/>
    <w:rsid w:val="00697C8F"/>
    <w:rsid w:val="006A1F23"/>
    <w:rsid w:val="006B043D"/>
    <w:rsid w:val="006B073C"/>
    <w:rsid w:val="006B201C"/>
    <w:rsid w:val="006B501F"/>
    <w:rsid w:val="006B60B1"/>
    <w:rsid w:val="006B7CFC"/>
    <w:rsid w:val="006C0F5D"/>
    <w:rsid w:val="006C470F"/>
    <w:rsid w:val="006C6129"/>
    <w:rsid w:val="006D3241"/>
    <w:rsid w:val="006D5CAF"/>
    <w:rsid w:val="006E0F8E"/>
    <w:rsid w:val="006E22C2"/>
    <w:rsid w:val="006E2C48"/>
    <w:rsid w:val="006E4DA8"/>
    <w:rsid w:val="006F2DC7"/>
    <w:rsid w:val="006F37E3"/>
    <w:rsid w:val="006F40CB"/>
    <w:rsid w:val="006F490A"/>
    <w:rsid w:val="00700CDC"/>
    <w:rsid w:val="00701E96"/>
    <w:rsid w:val="00703A31"/>
    <w:rsid w:val="00703A3C"/>
    <w:rsid w:val="00703B73"/>
    <w:rsid w:val="007057A4"/>
    <w:rsid w:val="00707B12"/>
    <w:rsid w:val="007154D1"/>
    <w:rsid w:val="0071724E"/>
    <w:rsid w:val="00720EFF"/>
    <w:rsid w:val="007213F2"/>
    <w:rsid w:val="00727698"/>
    <w:rsid w:val="00727D1A"/>
    <w:rsid w:val="007322EF"/>
    <w:rsid w:val="007350E4"/>
    <w:rsid w:val="00735921"/>
    <w:rsid w:val="007378C8"/>
    <w:rsid w:val="00742E94"/>
    <w:rsid w:val="00745940"/>
    <w:rsid w:val="0074753C"/>
    <w:rsid w:val="00747A02"/>
    <w:rsid w:val="00751F80"/>
    <w:rsid w:val="0075270F"/>
    <w:rsid w:val="007573EB"/>
    <w:rsid w:val="00760335"/>
    <w:rsid w:val="00761E04"/>
    <w:rsid w:val="00763EB5"/>
    <w:rsid w:val="0076482A"/>
    <w:rsid w:val="0077258F"/>
    <w:rsid w:val="00773B68"/>
    <w:rsid w:val="00777AB1"/>
    <w:rsid w:val="0078286B"/>
    <w:rsid w:val="00794A31"/>
    <w:rsid w:val="00794E61"/>
    <w:rsid w:val="00796AE6"/>
    <w:rsid w:val="00796BF7"/>
    <w:rsid w:val="007A0BE3"/>
    <w:rsid w:val="007A0DAE"/>
    <w:rsid w:val="007A12BF"/>
    <w:rsid w:val="007A1D48"/>
    <w:rsid w:val="007A292B"/>
    <w:rsid w:val="007A2DCF"/>
    <w:rsid w:val="007A43CC"/>
    <w:rsid w:val="007A4EE8"/>
    <w:rsid w:val="007A53B4"/>
    <w:rsid w:val="007A6570"/>
    <w:rsid w:val="007B1FDD"/>
    <w:rsid w:val="007B21B3"/>
    <w:rsid w:val="007B2A74"/>
    <w:rsid w:val="007B42C6"/>
    <w:rsid w:val="007C0CD8"/>
    <w:rsid w:val="007C59BC"/>
    <w:rsid w:val="007C6230"/>
    <w:rsid w:val="007C7FF4"/>
    <w:rsid w:val="007D154B"/>
    <w:rsid w:val="007D632D"/>
    <w:rsid w:val="007E23F4"/>
    <w:rsid w:val="007E259F"/>
    <w:rsid w:val="007E4251"/>
    <w:rsid w:val="007E55A7"/>
    <w:rsid w:val="007F7BF2"/>
    <w:rsid w:val="00803A91"/>
    <w:rsid w:val="0081080E"/>
    <w:rsid w:val="00812A92"/>
    <w:rsid w:val="0081764F"/>
    <w:rsid w:val="00817976"/>
    <w:rsid w:val="008239AB"/>
    <w:rsid w:val="0083349C"/>
    <w:rsid w:val="008346A4"/>
    <w:rsid w:val="00835AD6"/>
    <w:rsid w:val="008449DB"/>
    <w:rsid w:val="00847E48"/>
    <w:rsid w:val="00850956"/>
    <w:rsid w:val="00853827"/>
    <w:rsid w:val="00853AAB"/>
    <w:rsid w:val="0085779C"/>
    <w:rsid w:val="0086158F"/>
    <w:rsid w:val="00876602"/>
    <w:rsid w:val="00876C80"/>
    <w:rsid w:val="00877BD3"/>
    <w:rsid w:val="008835EF"/>
    <w:rsid w:val="00883F49"/>
    <w:rsid w:val="008842FC"/>
    <w:rsid w:val="0088604D"/>
    <w:rsid w:val="00887226"/>
    <w:rsid w:val="00892682"/>
    <w:rsid w:val="00892E3D"/>
    <w:rsid w:val="008940E8"/>
    <w:rsid w:val="008A34AD"/>
    <w:rsid w:val="008A61DA"/>
    <w:rsid w:val="008A67FB"/>
    <w:rsid w:val="008B01C4"/>
    <w:rsid w:val="008B38E7"/>
    <w:rsid w:val="008B4ED2"/>
    <w:rsid w:val="008B57E2"/>
    <w:rsid w:val="008B5C9E"/>
    <w:rsid w:val="008C14CB"/>
    <w:rsid w:val="008C1B7E"/>
    <w:rsid w:val="008C6378"/>
    <w:rsid w:val="008C71DF"/>
    <w:rsid w:val="008D056B"/>
    <w:rsid w:val="008D0D45"/>
    <w:rsid w:val="008D591D"/>
    <w:rsid w:val="008E1D74"/>
    <w:rsid w:val="008E3510"/>
    <w:rsid w:val="008E4619"/>
    <w:rsid w:val="008E47E0"/>
    <w:rsid w:val="008E738D"/>
    <w:rsid w:val="008F1705"/>
    <w:rsid w:val="008F1749"/>
    <w:rsid w:val="008F21B2"/>
    <w:rsid w:val="008F3FD3"/>
    <w:rsid w:val="008F4C8B"/>
    <w:rsid w:val="008F586C"/>
    <w:rsid w:val="008F5E16"/>
    <w:rsid w:val="008F70EA"/>
    <w:rsid w:val="00900F6D"/>
    <w:rsid w:val="009032DA"/>
    <w:rsid w:val="009042A3"/>
    <w:rsid w:val="00906CD0"/>
    <w:rsid w:val="00915092"/>
    <w:rsid w:val="00915187"/>
    <w:rsid w:val="0091644C"/>
    <w:rsid w:val="009261B0"/>
    <w:rsid w:val="009264EF"/>
    <w:rsid w:val="00930563"/>
    <w:rsid w:val="00932780"/>
    <w:rsid w:val="009341AA"/>
    <w:rsid w:val="00934AE3"/>
    <w:rsid w:val="00951B11"/>
    <w:rsid w:val="00953DF9"/>
    <w:rsid w:val="00956B3E"/>
    <w:rsid w:val="00966BD9"/>
    <w:rsid w:val="009678AA"/>
    <w:rsid w:val="009705DD"/>
    <w:rsid w:val="0097198A"/>
    <w:rsid w:val="00983A22"/>
    <w:rsid w:val="00984DDD"/>
    <w:rsid w:val="00985FF5"/>
    <w:rsid w:val="0098776B"/>
    <w:rsid w:val="009906BD"/>
    <w:rsid w:val="00990CAD"/>
    <w:rsid w:val="00991E57"/>
    <w:rsid w:val="009941BF"/>
    <w:rsid w:val="00997BFB"/>
    <w:rsid w:val="009A0B69"/>
    <w:rsid w:val="009A5AC1"/>
    <w:rsid w:val="009A7001"/>
    <w:rsid w:val="009A7113"/>
    <w:rsid w:val="009B6452"/>
    <w:rsid w:val="009C4CB7"/>
    <w:rsid w:val="009C72AB"/>
    <w:rsid w:val="009D2615"/>
    <w:rsid w:val="009D34E0"/>
    <w:rsid w:val="009E1412"/>
    <w:rsid w:val="009E3CA6"/>
    <w:rsid w:val="009E7385"/>
    <w:rsid w:val="009E7819"/>
    <w:rsid w:val="009F08E3"/>
    <w:rsid w:val="009F0BEB"/>
    <w:rsid w:val="009F6371"/>
    <w:rsid w:val="009F716D"/>
    <w:rsid w:val="00A01608"/>
    <w:rsid w:val="00A05970"/>
    <w:rsid w:val="00A07545"/>
    <w:rsid w:val="00A07781"/>
    <w:rsid w:val="00A10467"/>
    <w:rsid w:val="00A10F98"/>
    <w:rsid w:val="00A16881"/>
    <w:rsid w:val="00A210E8"/>
    <w:rsid w:val="00A229C0"/>
    <w:rsid w:val="00A2454D"/>
    <w:rsid w:val="00A31002"/>
    <w:rsid w:val="00A310D9"/>
    <w:rsid w:val="00A3186E"/>
    <w:rsid w:val="00A330D9"/>
    <w:rsid w:val="00A34D24"/>
    <w:rsid w:val="00A36B54"/>
    <w:rsid w:val="00A40177"/>
    <w:rsid w:val="00A41915"/>
    <w:rsid w:val="00A44A04"/>
    <w:rsid w:val="00A508A3"/>
    <w:rsid w:val="00A523EB"/>
    <w:rsid w:val="00A52F8F"/>
    <w:rsid w:val="00A539DD"/>
    <w:rsid w:val="00A54217"/>
    <w:rsid w:val="00A555F3"/>
    <w:rsid w:val="00A55B9C"/>
    <w:rsid w:val="00A55CFC"/>
    <w:rsid w:val="00A57DB8"/>
    <w:rsid w:val="00A6552E"/>
    <w:rsid w:val="00A707C4"/>
    <w:rsid w:val="00A70A2C"/>
    <w:rsid w:val="00A71AB9"/>
    <w:rsid w:val="00A71AC5"/>
    <w:rsid w:val="00A801D0"/>
    <w:rsid w:val="00A82385"/>
    <w:rsid w:val="00A858D1"/>
    <w:rsid w:val="00A86240"/>
    <w:rsid w:val="00A868CE"/>
    <w:rsid w:val="00A91EFD"/>
    <w:rsid w:val="00A93EBB"/>
    <w:rsid w:val="00A94613"/>
    <w:rsid w:val="00A965BF"/>
    <w:rsid w:val="00A97360"/>
    <w:rsid w:val="00AA3ED0"/>
    <w:rsid w:val="00AA4302"/>
    <w:rsid w:val="00AA4F33"/>
    <w:rsid w:val="00AB1E81"/>
    <w:rsid w:val="00AB4B0F"/>
    <w:rsid w:val="00AB62A9"/>
    <w:rsid w:val="00AC09CF"/>
    <w:rsid w:val="00AC195C"/>
    <w:rsid w:val="00AC196D"/>
    <w:rsid w:val="00AC47CB"/>
    <w:rsid w:val="00AC64A2"/>
    <w:rsid w:val="00AD0464"/>
    <w:rsid w:val="00AD07D4"/>
    <w:rsid w:val="00AD261B"/>
    <w:rsid w:val="00AD4D97"/>
    <w:rsid w:val="00AE38A6"/>
    <w:rsid w:val="00AE7526"/>
    <w:rsid w:val="00AF19EE"/>
    <w:rsid w:val="00AF1AEC"/>
    <w:rsid w:val="00AF3D1B"/>
    <w:rsid w:val="00AF4235"/>
    <w:rsid w:val="00AF489D"/>
    <w:rsid w:val="00AF772E"/>
    <w:rsid w:val="00B01CA6"/>
    <w:rsid w:val="00B01F86"/>
    <w:rsid w:val="00B03EB7"/>
    <w:rsid w:val="00B062B2"/>
    <w:rsid w:val="00B111D8"/>
    <w:rsid w:val="00B15E3A"/>
    <w:rsid w:val="00B15EA8"/>
    <w:rsid w:val="00B20EA2"/>
    <w:rsid w:val="00B235CD"/>
    <w:rsid w:val="00B24368"/>
    <w:rsid w:val="00B25974"/>
    <w:rsid w:val="00B31165"/>
    <w:rsid w:val="00B31651"/>
    <w:rsid w:val="00B327F0"/>
    <w:rsid w:val="00B34C47"/>
    <w:rsid w:val="00B3501A"/>
    <w:rsid w:val="00B35A81"/>
    <w:rsid w:val="00B43C9F"/>
    <w:rsid w:val="00B46F57"/>
    <w:rsid w:val="00B513A9"/>
    <w:rsid w:val="00B547A9"/>
    <w:rsid w:val="00B56328"/>
    <w:rsid w:val="00B61533"/>
    <w:rsid w:val="00B620A9"/>
    <w:rsid w:val="00B62189"/>
    <w:rsid w:val="00B632EB"/>
    <w:rsid w:val="00B6565A"/>
    <w:rsid w:val="00B6717B"/>
    <w:rsid w:val="00B70CB4"/>
    <w:rsid w:val="00B730EF"/>
    <w:rsid w:val="00B732E9"/>
    <w:rsid w:val="00B80531"/>
    <w:rsid w:val="00B93C9A"/>
    <w:rsid w:val="00B95830"/>
    <w:rsid w:val="00B97DB7"/>
    <w:rsid w:val="00BA504B"/>
    <w:rsid w:val="00BB4992"/>
    <w:rsid w:val="00BC5E40"/>
    <w:rsid w:val="00BC7EE2"/>
    <w:rsid w:val="00BD1BBD"/>
    <w:rsid w:val="00BD1CCC"/>
    <w:rsid w:val="00BD3EED"/>
    <w:rsid w:val="00BD7D83"/>
    <w:rsid w:val="00BE3BA4"/>
    <w:rsid w:val="00BF7B6A"/>
    <w:rsid w:val="00C017B6"/>
    <w:rsid w:val="00C12BFB"/>
    <w:rsid w:val="00C168C8"/>
    <w:rsid w:val="00C2388A"/>
    <w:rsid w:val="00C2522B"/>
    <w:rsid w:val="00C26A2C"/>
    <w:rsid w:val="00C26C5B"/>
    <w:rsid w:val="00C329A9"/>
    <w:rsid w:val="00C33F89"/>
    <w:rsid w:val="00C35C7E"/>
    <w:rsid w:val="00C3647E"/>
    <w:rsid w:val="00C3653A"/>
    <w:rsid w:val="00C370B1"/>
    <w:rsid w:val="00C4187A"/>
    <w:rsid w:val="00C44C37"/>
    <w:rsid w:val="00C45564"/>
    <w:rsid w:val="00C54C0C"/>
    <w:rsid w:val="00C555BE"/>
    <w:rsid w:val="00C57EA2"/>
    <w:rsid w:val="00C61353"/>
    <w:rsid w:val="00C63925"/>
    <w:rsid w:val="00C65457"/>
    <w:rsid w:val="00C71D36"/>
    <w:rsid w:val="00C750D5"/>
    <w:rsid w:val="00C75BAF"/>
    <w:rsid w:val="00C76757"/>
    <w:rsid w:val="00C81C97"/>
    <w:rsid w:val="00C85128"/>
    <w:rsid w:val="00C85544"/>
    <w:rsid w:val="00C9117F"/>
    <w:rsid w:val="00C96823"/>
    <w:rsid w:val="00C97452"/>
    <w:rsid w:val="00CA149F"/>
    <w:rsid w:val="00CA6ED3"/>
    <w:rsid w:val="00CB14DE"/>
    <w:rsid w:val="00CB16C0"/>
    <w:rsid w:val="00CB6E3F"/>
    <w:rsid w:val="00CB7EA3"/>
    <w:rsid w:val="00CC3D1F"/>
    <w:rsid w:val="00CC57DB"/>
    <w:rsid w:val="00CC6267"/>
    <w:rsid w:val="00CD0BE3"/>
    <w:rsid w:val="00CE0C1B"/>
    <w:rsid w:val="00CE2B37"/>
    <w:rsid w:val="00CE72FE"/>
    <w:rsid w:val="00CF7474"/>
    <w:rsid w:val="00CF7D9B"/>
    <w:rsid w:val="00D03E97"/>
    <w:rsid w:val="00D0569A"/>
    <w:rsid w:val="00D110D1"/>
    <w:rsid w:val="00D11C9B"/>
    <w:rsid w:val="00D208F9"/>
    <w:rsid w:val="00D226D4"/>
    <w:rsid w:val="00D2696F"/>
    <w:rsid w:val="00D301B1"/>
    <w:rsid w:val="00D36FED"/>
    <w:rsid w:val="00D44AF3"/>
    <w:rsid w:val="00D47669"/>
    <w:rsid w:val="00D50264"/>
    <w:rsid w:val="00D545DA"/>
    <w:rsid w:val="00D56190"/>
    <w:rsid w:val="00D64430"/>
    <w:rsid w:val="00D65E30"/>
    <w:rsid w:val="00D75170"/>
    <w:rsid w:val="00D760BF"/>
    <w:rsid w:val="00D766AB"/>
    <w:rsid w:val="00D77259"/>
    <w:rsid w:val="00D81CD8"/>
    <w:rsid w:val="00D8221E"/>
    <w:rsid w:val="00D84590"/>
    <w:rsid w:val="00D94147"/>
    <w:rsid w:val="00D941B4"/>
    <w:rsid w:val="00DA01DE"/>
    <w:rsid w:val="00DA1C5A"/>
    <w:rsid w:val="00DA5395"/>
    <w:rsid w:val="00DA71FD"/>
    <w:rsid w:val="00DB0E73"/>
    <w:rsid w:val="00DB3931"/>
    <w:rsid w:val="00DB60B5"/>
    <w:rsid w:val="00DC64CD"/>
    <w:rsid w:val="00DD2BA7"/>
    <w:rsid w:val="00DD3089"/>
    <w:rsid w:val="00DD5486"/>
    <w:rsid w:val="00DD5FA0"/>
    <w:rsid w:val="00DE19AC"/>
    <w:rsid w:val="00DE4649"/>
    <w:rsid w:val="00DE4F33"/>
    <w:rsid w:val="00DE638E"/>
    <w:rsid w:val="00DE7159"/>
    <w:rsid w:val="00DF1323"/>
    <w:rsid w:val="00DF231E"/>
    <w:rsid w:val="00DF3111"/>
    <w:rsid w:val="00DF3E03"/>
    <w:rsid w:val="00DF561B"/>
    <w:rsid w:val="00DF7EA6"/>
    <w:rsid w:val="00E0234D"/>
    <w:rsid w:val="00E05B72"/>
    <w:rsid w:val="00E0660E"/>
    <w:rsid w:val="00E06C6C"/>
    <w:rsid w:val="00E0725A"/>
    <w:rsid w:val="00E074EA"/>
    <w:rsid w:val="00E078A2"/>
    <w:rsid w:val="00E135B3"/>
    <w:rsid w:val="00E17C38"/>
    <w:rsid w:val="00E22613"/>
    <w:rsid w:val="00E31734"/>
    <w:rsid w:val="00E324DB"/>
    <w:rsid w:val="00E341B3"/>
    <w:rsid w:val="00E354CF"/>
    <w:rsid w:val="00E378B2"/>
    <w:rsid w:val="00E432C9"/>
    <w:rsid w:val="00E44D0A"/>
    <w:rsid w:val="00E46EBC"/>
    <w:rsid w:val="00E50829"/>
    <w:rsid w:val="00E61BAE"/>
    <w:rsid w:val="00E644E2"/>
    <w:rsid w:val="00E70A8E"/>
    <w:rsid w:val="00E737F3"/>
    <w:rsid w:val="00E7498A"/>
    <w:rsid w:val="00E74CE5"/>
    <w:rsid w:val="00E801FD"/>
    <w:rsid w:val="00E82F21"/>
    <w:rsid w:val="00E85654"/>
    <w:rsid w:val="00E90587"/>
    <w:rsid w:val="00E932FB"/>
    <w:rsid w:val="00E966FB"/>
    <w:rsid w:val="00EA3DF4"/>
    <w:rsid w:val="00EA425D"/>
    <w:rsid w:val="00EA483E"/>
    <w:rsid w:val="00EA521A"/>
    <w:rsid w:val="00EA6842"/>
    <w:rsid w:val="00EA79C7"/>
    <w:rsid w:val="00EA7E27"/>
    <w:rsid w:val="00EB08E3"/>
    <w:rsid w:val="00EB2204"/>
    <w:rsid w:val="00EB481D"/>
    <w:rsid w:val="00EB6DD5"/>
    <w:rsid w:val="00EC0C52"/>
    <w:rsid w:val="00EC2EC9"/>
    <w:rsid w:val="00EC345F"/>
    <w:rsid w:val="00EC5C6D"/>
    <w:rsid w:val="00ED1268"/>
    <w:rsid w:val="00ED14E6"/>
    <w:rsid w:val="00ED1E33"/>
    <w:rsid w:val="00ED37B3"/>
    <w:rsid w:val="00ED3C30"/>
    <w:rsid w:val="00ED45D6"/>
    <w:rsid w:val="00ED5C3F"/>
    <w:rsid w:val="00ED6B35"/>
    <w:rsid w:val="00EE4DD3"/>
    <w:rsid w:val="00EF6185"/>
    <w:rsid w:val="00F00ACE"/>
    <w:rsid w:val="00F0299C"/>
    <w:rsid w:val="00F063B5"/>
    <w:rsid w:val="00F13F5D"/>
    <w:rsid w:val="00F14E14"/>
    <w:rsid w:val="00F2021B"/>
    <w:rsid w:val="00F21D82"/>
    <w:rsid w:val="00F270AA"/>
    <w:rsid w:val="00F27A17"/>
    <w:rsid w:val="00F27C0F"/>
    <w:rsid w:val="00F3104E"/>
    <w:rsid w:val="00F3128F"/>
    <w:rsid w:val="00F3151F"/>
    <w:rsid w:val="00F31AC6"/>
    <w:rsid w:val="00F33D21"/>
    <w:rsid w:val="00F379CB"/>
    <w:rsid w:val="00F37F03"/>
    <w:rsid w:val="00F4064A"/>
    <w:rsid w:val="00F4359D"/>
    <w:rsid w:val="00F451C3"/>
    <w:rsid w:val="00F46A0D"/>
    <w:rsid w:val="00F47A20"/>
    <w:rsid w:val="00F53CE6"/>
    <w:rsid w:val="00F53F52"/>
    <w:rsid w:val="00F62D13"/>
    <w:rsid w:val="00F715CE"/>
    <w:rsid w:val="00F72B25"/>
    <w:rsid w:val="00F73D47"/>
    <w:rsid w:val="00F75B32"/>
    <w:rsid w:val="00F75D05"/>
    <w:rsid w:val="00F76298"/>
    <w:rsid w:val="00F7644F"/>
    <w:rsid w:val="00F80350"/>
    <w:rsid w:val="00F80E99"/>
    <w:rsid w:val="00F8248F"/>
    <w:rsid w:val="00F83255"/>
    <w:rsid w:val="00F8515D"/>
    <w:rsid w:val="00F857C3"/>
    <w:rsid w:val="00F931BB"/>
    <w:rsid w:val="00F93A60"/>
    <w:rsid w:val="00FA21EF"/>
    <w:rsid w:val="00FA464F"/>
    <w:rsid w:val="00FB0867"/>
    <w:rsid w:val="00FB505A"/>
    <w:rsid w:val="00FB717C"/>
    <w:rsid w:val="00FB77BB"/>
    <w:rsid w:val="00FC48D6"/>
    <w:rsid w:val="00FD0C5F"/>
    <w:rsid w:val="00FE0282"/>
    <w:rsid w:val="00FE08A3"/>
    <w:rsid w:val="00FE08FD"/>
    <w:rsid w:val="00FE0E83"/>
    <w:rsid w:val="00FE36C2"/>
    <w:rsid w:val="00FF0584"/>
    <w:rsid w:val="00FF2125"/>
    <w:rsid w:val="00FF594B"/>
    <w:rsid w:val="00FF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4A1A"/>
  <w15:docId w15:val="{5A945394-7114-41A5-B317-FA61D497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3F4"/>
    <w:pPr>
      <w:numPr>
        <w:numId w:val="1"/>
      </w:numPr>
      <w:spacing w:before="480" w:after="0" w:line="276" w:lineRule="auto"/>
      <w:contextualSpacing/>
      <w:outlineLvl w:val="0"/>
    </w:pPr>
    <w:rPr>
      <w:rFonts w:eastAsiaTheme="majorEastAsia" w:cstheme="majorBidi"/>
      <w:b/>
      <w:bCs/>
      <w:sz w:val="24"/>
      <w:szCs w:val="28"/>
      <w:lang w:eastAsia="en-GB"/>
    </w:rPr>
  </w:style>
  <w:style w:type="paragraph" w:styleId="Heading2">
    <w:name w:val="heading 2"/>
    <w:basedOn w:val="Heading1"/>
    <w:next w:val="Normal"/>
    <w:link w:val="Heading2Char"/>
    <w:uiPriority w:val="9"/>
    <w:unhideWhenUsed/>
    <w:qFormat/>
    <w:rsid w:val="007E23F4"/>
    <w:pPr>
      <w:numPr>
        <w:ilvl w:val="1"/>
      </w:numPr>
      <w:ind w:left="851" w:hanging="567"/>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716D"/>
    <w:pPr>
      <w:spacing w:after="0" w:line="240" w:lineRule="auto"/>
    </w:pPr>
  </w:style>
  <w:style w:type="character" w:customStyle="1" w:styleId="NoSpacingChar">
    <w:name w:val="No Spacing Char"/>
    <w:basedOn w:val="DefaultParagraphFont"/>
    <w:link w:val="NoSpacing"/>
    <w:uiPriority w:val="1"/>
    <w:rsid w:val="009F716D"/>
  </w:style>
  <w:style w:type="character" w:styleId="CommentReference">
    <w:name w:val="annotation reference"/>
    <w:basedOn w:val="DefaultParagraphFont"/>
    <w:uiPriority w:val="99"/>
    <w:semiHidden/>
    <w:unhideWhenUsed/>
    <w:rsid w:val="009F716D"/>
    <w:rPr>
      <w:sz w:val="16"/>
      <w:szCs w:val="16"/>
    </w:rPr>
  </w:style>
  <w:style w:type="paragraph" w:styleId="CommentText">
    <w:name w:val="annotation text"/>
    <w:basedOn w:val="Normal"/>
    <w:link w:val="CommentTextChar"/>
    <w:uiPriority w:val="99"/>
    <w:unhideWhenUsed/>
    <w:rsid w:val="009F716D"/>
    <w:pPr>
      <w:spacing w:after="200" w:line="240" w:lineRule="auto"/>
    </w:pPr>
    <w:rPr>
      <w:sz w:val="20"/>
      <w:szCs w:val="20"/>
    </w:rPr>
  </w:style>
  <w:style w:type="character" w:customStyle="1" w:styleId="CommentTextChar">
    <w:name w:val="Comment Text Char"/>
    <w:basedOn w:val="DefaultParagraphFont"/>
    <w:link w:val="CommentText"/>
    <w:uiPriority w:val="99"/>
    <w:rsid w:val="009F716D"/>
    <w:rPr>
      <w:sz w:val="20"/>
      <w:szCs w:val="20"/>
    </w:rPr>
  </w:style>
  <w:style w:type="paragraph" w:styleId="BalloonText">
    <w:name w:val="Balloon Text"/>
    <w:basedOn w:val="Normal"/>
    <w:link w:val="BalloonTextChar"/>
    <w:uiPriority w:val="99"/>
    <w:semiHidden/>
    <w:unhideWhenUsed/>
    <w:rsid w:val="009F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A4"/>
    <w:pPr>
      <w:spacing w:after="160"/>
    </w:pPr>
    <w:rPr>
      <w:b/>
      <w:bCs/>
    </w:rPr>
  </w:style>
  <w:style w:type="character" w:customStyle="1" w:styleId="CommentSubjectChar">
    <w:name w:val="Comment Subject Char"/>
    <w:basedOn w:val="CommentTextChar"/>
    <w:link w:val="CommentSubject"/>
    <w:uiPriority w:val="99"/>
    <w:semiHidden/>
    <w:rsid w:val="006403A4"/>
    <w:rPr>
      <w:b/>
      <w:bCs/>
      <w:sz w:val="20"/>
      <w:szCs w:val="20"/>
    </w:rPr>
  </w:style>
  <w:style w:type="paragraph" w:styleId="Header">
    <w:name w:val="header"/>
    <w:basedOn w:val="Normal"/>
    <w:link w:val="HeaderChar"/>
    <w:uiPriority w:val="99"/>
    <w:unhideWhenUsed/>
    <w:rsid w:val="00E96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FB"/>
  </w:style>
  <w:style w:type="paragraph" w:styleId="Footer">
    <w:name w:val="footer"/>
    <w:basedOn w:val="Normal"/>
    <w:link w:val="FooterChar"/>
    <w:uiPriority w:val="99"/>
    <w:unhideWhenUsed/>
    <w:rsid w:val="00E96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FB"/>
  </w:style>
  <w:style w:type="character" w:styleId="Hyperlink">
    <w:name w:val="Hyperlink"/>
    <w:basedOn w:val="DefaultParagraphFont"/>
    <w:uiPriority w:val="99"/>
    <w:unhideWhenUsed/>
    <w:rsid w:val="000F3F95"/>
    <w:rPr>
      <w:color w:val="0563C1" w:themeColor="hyperlink"/>
      <w:u w:val="single"/>
    </w:rPr>
  </w:style>
  <w:style w:type="table" w:styleId="TableGrid">
    <w:name w:val="Table Grid"/>
    <w:basedOn w:val="TableNormal"/>
    <w:uiPriority w:val="59"/>
    <w:rsid w:val="007E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3F4"/>
    <w:rPr>
      <w:rFonts w:eastAsiaTheme="majorEastAsia" w:cstheme="majorBidi"/>
      <w:b/>
      <w:bCs/>
      <w:sz w:val="24"/>
      <w:szCs w:val="28"/>
      <w:lang w:eastAsia="en-GB"/>
    </w:rPr>
  </w:style>
  <w:style w:type="character" w:customStyle="1" w:styleId="Heading2Char">
    <w:name w:val="Heading 2 Char"/>
    <w:basedOn w:val="DefaultParagraphFont"/>
    <w:link w:val="Heading2"/>
    <w:uiPriority w:val="9"/>
    <w:rsid w:val="007E23F4"/>
    <w:rPr>
      <w:rFonts w:eastAsiaTheme="majorEastAsia" w:cstheme="majorBidi"/>
      <w:b/>
      <w:bCs/>
      <w:sz w:val="24"/>
      <w:szCs w:val="28"/>
      <w:lang w:eastAsia="en-GB"/>
    </w:rPr>
  </w:style>
  <w:style w:type="paragraph" w:customStyle="1" w:styleId="EndNoteBibliography">
    <w:name w:val="EndNote Bibliography"/>
    <w:basedOn w:val="Normal"/>
    <w:link w:val="EndNoteBibliographyChar"/>
    <w:rsid w:val="007A0DAE"/>
    <w:pPr>
      <w:spacing w:line="480" w:lineRule="auto"/>
      <w:jc w:val="both"/>
    </w:pPr>
    <w:rPr>
      <w:rFonts w:ascii="Calibri" w:hAnsi="Calibri" w:cs="Calibri"/>
      <w:noProof/>
      <w:lang w:val="en-US"/>
    </w:rPr>
  </w:style>
  <w:style w:type="character" w:customStyle="1" w:styleId="EndNoteBibliographyChar">
    <w:name w:val="EndNote Bibliography Char"/>
    <w:basedOn w:val="NoSpacingChar"/>
    <w:link w:val="EndNoteBibliography"/>
    <w:rsid w:val="007A0DAE"/>
    <w:rPr>
      <w:rFonts w:ascii="Calibri" w:hAnsi="Calibri" w:cs="Calibri"/>
      <w:noProof/>
      <w:lang w:val="en-US"/>
    </w:rPr>
  </w:style>
  <w:style w:type="paragraph" w:customStyle="1" w:styleId="Default">
    <w:name w:val="Default"/>
    <w:rsid w:val="00F14E1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1D3D3C"/>
    <w:pPr>
      <w:spacing w:after="0" w:line="240" w:lineRule="auto"/>
    </w:pPr>
    <w:rPr>
      <w:rFonts w:ascii="Times New Roman" w:eastAsia="MS Mincho" w:hAnsi="Times New Roman" w:cs="Times New Roman"/>
      <w:sz w:val="20"/>
      <w:szCs w:val="20"/>
      <w:lang w:eastAsia="en-GB"/>
    </w:rPr>
  </w:style>
  <w:style w:type="character" w:customStyle="1" w:styleId="FootnoteTextChar">
    <w:name w:val="Footnote Text Char"/>
    <w:basedOn w:val="DefaultParagraphFont"/>
    <w:link w:val="FootnoteText"/>
    <w:uiPriority w:val="99"/>
    <w:rsid w:val="001D3D3C"/>
    <w:rPr>
      <w:rFonts w:ascii="Times New Roman" w:eastAsia="MS Mincho" w:hAnsi="Times New Roman" w:cs="Times New Roman"/>
      <w:sz w:val="20"/>
      <w:szCs w:val="20"/>
      <w:lang w:eastAsia="en-GB"/>
    </w:rPr>
  </w:style>
  <w:style w:type="paragraph" w:styleId="ListParagraph">
    <w:name w:val="List Paragraph"/>
    <w:basedOn w:val="Normal"/>
    <w:uiPriority w:val="34"/>
    <w:qFormat/>
    <w:rsid w:val="00F53F52"/>
    <w:pPr>
      <w:ind w:left="720"/>
      <w:contextualSpacing/>
    </w:pPr>
  </w:style>
  <w:style w:type="character" w:styleId="FollowedHyperlink">
    <w:name w:val="FollowedHyperlink"/>
    <w:basedOn w:val="DefaultParagraphFont"/>
    <w:uiPriority w:val="99"/>
    <w:semiHidden/>
    <w:unhideWhenUsed/>
    <w:rsid w:val="003E0AD3"/>
    <w:rPr>
      <w:color w:val="954F72" w:themeColor="followedHyperlink"/>
      <w:u w:val="single"/>
    </w:rPr>
  </w:style>
  <w:style w:type="paragraph" w:styleId="Revision">
    <w:name w:val="Revision"/>
    <w:hidden/>
    <w:uiPriority w:val="99"/>
    <w:semiHidden/>
    <w:rsid w:val="00812A92"/>
    <w:pPr>
      <w:spacing w:after="0" w:line="240" w:lineRule="auto"/>
    </w:pPr>
  </w:style>
  <w:style w:type="character" w:styleId="Emphasis">
    <w:name w:val="Emphasis"/>
    <w:basedOn w:val="DefaultParagraphFont"/>
    <w:uiPriority w:val="20"/>
    <w:qFormat/>
    <w:rsid w:val="0034101A"/>
    <w:rPr>
      <w:i/>
      <w:iCs/>
    </w:rPr>
  </w:style>
  <w:style w:type="character" w:styleId="LineNumber">
    <w:name w:val="line number"/>
    <w:basedOn w:val="DefaultParagraphFont"/>
    <w:uiPriority w:val="99"/>
    <w:semiHidden/>
    <w:unhideWhenUsed/>
    <w:rsid w:val="00275310"/>
  </w:style>
  <w:style w:type="paragraph" w:customStyle="1" w:styleId="ColorfulList-Accent11">
    <w:name w:val="Colorful List - Accent 11"/>
    <w:basedOn w:val="Normal"/>
    <w:uiPriority w:val="99"/>
    <w:rsid w:val="002B46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024">
      <w:bodyDiv w:val="1"/>
      <w:marLeft w:val="0"/>
      <w:marRight w:val="0"/>
      <w:marTop w:val="0"/>
      <w:marBottom w:val="0"/>
      <w:divBdr>
        <w:top w:val="none" w:sz="0" w:space="0" w:color="auto"/>
        <w:left w:val="none" w:sz="0" w:space="0" w:color="auto"/>
        <w:bottom w:val="none" w:sz="0" w:space="0" w:color="auto"/>
        <w:right w:val="none" w:sz="0" w:space="0" w:color="auto"/>
      </w:divBdr>
    </w:div>
    <w:div w:id="145828390">
      <w:bodyDiv w:val="1"/>
      <w:marLeft w:val="0"/>
      <w:marRight w:val="0"/>
      <w:marTop w:val="0"/>
      <w:marBottom w:val="0"/>
      <w:divBdr>
        <w:top w:val="none" w:sz="0" w:space="0" w:color="auto"/>
        <w:left w:val="none" w:sz="0" w:space="0" w:color="auto"/>
        <w:bottom w:val="none" w:sz="0" w:space="0" w:color="auto"/>
        <w:right w:val="none" w:sz="0" w:space="0" w:color="auto"/>
      </w:divBdr>
      <w:divsChild>
        <w:div w:id="525171147">
          <w:marLeft w:val="0"/>
          <w:marRight w:val="0"/>
          <w:marTop w:val="0"/>
          <w:marBottom w:val="0"/>
          <w:divBdr>
            <w:top w:val="none" w:sz="0" w:space="0" w:color="auto"/>
            <w:left w:val="none" w:sz="0" w:space="0" w:color="auto"/>
            <w:bottom w:val="none" w:sz="0" w:space="0" w:color="auto"/>
            <w:right w:val="none" w:sz="0" w:space="0" w:color="auto"/>
          </w:divBdr>
          <w:divsChild>
            <w:div w:id="500893704">
              <w:marLeft w:val="0"/>
              <w:marRight w:val="0"/>
              <w:marTop w:val="0"/>
              <w:marBottom w:val="0"/>
              <w:divBdr>
                <w:top w:val="none" w:sz="0" w:space="0" w:color="auto"/>
                <w:left w:val="none" w:sz="0" w:space="0" w:color="auto"/>
                <w:bottom w:val="none" w:sz="0" w:space="0" w:color="auto"/>
                <w:right w:val="none" w:sz="0" w:space="0" w:color="auto"/>
              </w:divBdr>
              <w:divsChild>
                <w:div w:id="1864131975">
                  <w:marLeft w:val="0"/>
                  <w:marRight w:val="0"/>
                  <w:marTop w:val="0"/>
                  <w:marBottom w:val="0"/>
                  <w:divBdr>
                    <w:top w:val="single" w:sz="6" w:space="0" w:color="CCCCCC"/>
                    <w:left w:val="single" w:sz="6" w:space="0" w:color="CCCCCC"/>
                    <w:bottom w:val="single" w:sz="6" w:space="0" w:color="CCCCCC"/>
                    <w:right w:val="single" w:sz="6" w:space="0" w:color="CCCCCC"/>
                  </w:divBdr>
                  <w:divsChild>
                    <w:div w:id="1025131988">
                      <w:marLeft w:val="0"/>
                      <w:marRight w:val="0"/>
                      <w:marTop w:val="0"/>
                      <w:marBottom w:val="0"/>
                      <w:divBdr>
                        <w:top w:val="none" w:sz="0" w:space="0" w:color="auto"/>
                        <w:left w:val="none" w:sz="0" w:space="0" w:color="auto"/>
                        <w:bottom w:val="none" w:sz="0" w:space="0" w:color="auto"/>
                        <w:right w:val="none" w:sz="0" w:space="0" w:color="auto"/>
                      </w:divBdr>
                      <w:divsChild>
                        <w:div w:id="594096643">
                          <w:marLeft w:val="0"/>
                          <w:marRight w:val="0"/>
                          <w:marTop w:val="0"/>
                          <w:marBottom w:val="0"/>
                          <w:divBdr>
                            <w:top w:val="none" w:sz="0" w:space="0" w:color="auto"/>
                            <w:left w:val="none" w:sz="0" w:space="0" w:color="auto"/>
                            <w:bottom w:val="none" w:sz="0" w:space="0" w:color="auto"/>
                            <w:right w:val="none" w:sz="0" w:space="0" w:color="auto"/>
                          </w:divBdr>
                          <w:divsChild>
                            <w:div w:id="1495295875">
                              <w:marLeft w:val="0"/>
                              <w:marRight w:val="0"/>
                              <w:marTop w:val="0"/>
                              <w:marBottom w:val="0"/>
                              <w:divBdr>
                                <w:top w:val="none" w:sz="0" w:space="0" w:color="auto"/>
                                <w:left w:val="none" w:sz="0" w:space="0" w:color="auto"/>
                                <w:bottom w:val="none" w:sz="0" w:space="0" w:color="auto"/>
                                <w:right w:val="none" w:sz="0" w:space="0" w:color="auto"/>
                              </w:divBdr>
                              <w:divsChild>
                                <w:div w:id="15277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2561">
      <w:bodyDiv w:val="1"/>
      <w:marLeft w:val="0"/>
      <w:marRight w:val="0"/>
      <w:marTop w:val="0"/>
      <w:marBottom w:val="0"/>
      <w:divBdr>
        <w:top w:val="none" w:sz="0" w:space="0" w:color="auto"/>
        <w:left w:val="none" w:sz="0" w:space="0" w:color="auto"/>
        <w:bottom w:val="none" w:sz="0" w:space="0" w:color="auto"/>
        <w:right w:val="none" w:sz="0" w:space="0" w:color="auto"/>
      </w:divBdr>
    </w:div>
    <w:div w:id="181631732">
      <w:bodyDiv w:val="1"/>
      <w:marLeft w:val="0"/>
      <w:marRight w:val="0"/>
      <w:marTop w:val="0"/>
      <w:marBottom w:val="0"/>
      <w:divBdr>
        <w:top w:val="none" w:sz="0" w:space="0" w:color="auto"/>
        <w:left w:val="none" w:sz="0" w:space="0" w:color="auto"/>
        <w:bottom w:val="none" w:sz="0" w:space="0" w:color="auto"/>
        <w:right w:val="none" w:sz="0" w:space="0" w:color="auto"/>
      </w:divBdr>
    </w:div>
    <w:div w:id="338895763">
      <w:bodyDiv w:val="1"/>
      <w:marLeft w:val="0"/>
      <w:marRight w:val="0"/>
      <w:marTop w:val="0"/>
      <w:marBottom w:val="0"/>
      <w:divBdr>
        <w:top w:val="none" w:sz="0" w:space="0" w:color="auto"/>
        <w:left w:val="none" w:sz="0" w:space="0" w:color="auto"/>
        <w:bottom w:val="none" w:sz="0" w:space="0" w:color="auto"/>
        <w:right w:val="none" w:sz="0" w:space="0" w:color="auto"/>
      </w:divBdr>
    </w:div>
    <w:div w:id="422845424">
      <w:bodyDiv w:val="1"/>
      <w:marLeft w:val="0"/>
      <w:marRight w:val="0"/>
      <w:marTop w:val="0"/>
      <w:marBottom w:val="0"/>
      <w:divBdr>
        <w:top w:val="none" w:sz="0" w:space="0" w:color="auto"/>
        <w:left w:val="none" w:sz="0" w:space="0" w:color="auto"/>
        <w:bottom w:val="none" w:sz="0" w:space="0" w:color="auto"/>
        <w:right w:val="none" w:sz="0" w:space="0" w:color="auto"/>
      </w:divBdr>
      <w:divsChild>
        <w:div w:id="183174438">
          <w:marLeft w:val="0"/>
          <w:marRight w:val="0"/>
          <w:marTop w:val="0"/>
          <w:marBottom w:val="0"/>
          <w:divBdr>
            <w:top w:val="none" w:sz="0" w:space="0" w:color="auto"/>
            <w:left w:val="none" w:sz="0" w:space="0" w:color="auto"/>
            <w:bottom w:val="none" w:sz="0" w:space="0" w:color="auto"/>
            <w:right w:val="none" w:sz="0" w:space="0" w:color="auto"/>
          </w:divBdr>
          <w:divsChild>
            <w:div w:id="3710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3401">
      <w:bodyDiv w:val="1"/>
      <w:marLeft w:val="0"/>
      <w:marRight w:val="0"/>
      <w:marTop w:val="0"/>
      <w:marBottom w:val="0"/>
      <w:divBdr>
        <w:top w:val="none" w:sz="0" w:space="0" w:color="auto"/>
        <w:left w:val="none" w:sz="0" w:space="0" w:color="auto"/>
        <w:bottom w:val="none" w:sz="0" w:space="0" w:color="auto"/>
        <w:right w:val="none" w:sz="0" w:space="0" w:color="auto"/>
      </w:divBdr>
    </w:div>
    <w:div w:id="540679085">
      <w:bodyDiv w:val="1"/>
      <w:marLeft w:val="0"/>
      <w:marRight w:val="0"/>
      <w:marTop w:val="0"/>
      <w:marBottom w:val="0"/>
      <w:divBdr>
        <w:top w:val="none" w:sz="0" w:space="0" w:color="auto"/>
        <w:left w:val="none" w:sz="0" w:space="0" w:color="auto"/>
        <w:bottom w:val="none" w:sz="0" w:space="0" w:color="auto"/>
        <w:right w:val="none" w:sz="0" w:space="0" w:color="auto"/>
      </w:divBdr>
    </w:div>
    <w:div w:id="579562406">
      <w:bodyDiv w:val="1"/>
      <w:marLeft w:val="0"/>
      <w:marRight w:val="0"/>
      <w:marTop w:val="0"/>
      <w:marBottom w:val="0"/>
      <w:divBdr>
        <w:top w:val="none" w:sz="0" w:space="0" w:color="auto"/>
        <w:left w:val="none" w:sz="0" w:space="0" w:color="auto"/>
        <w:bottom w:val="none" w:sz="0" w:space="0" w:color="auto"/>
        <w:right w:val="none" w:sz="0" w:space="0" w:color="auto"/>
      </w:divBdr>
    </w:div>
    <w:div w:id="618949411">
      <w:bodyDiv w:val="1"/>
      <w:marLeft w:val="0"/>
      <w:marRight w:val="0"/>
      <w:marTop w:val="0"/>
      <w:marBottom w:val="0"/>
      <w:divBdr>
        <w:top w:val="none" w:sz="0" w:space="0" w:color="auto"/>
        <w:left w:val="none" w:sz="0" w:space="0" w:color="auto"/>
        <w:bottom w:val="none" w:sz="0" w:space="0" w:color="auto"/>
        <w:right w:val="none" w:sz="0" w:space="0" w:color="auto"/>
      </w:divBdr>
    </w:div>
    <w:div w:id="660306715">
      <w:bodyDiv w:val="1"/>
      <w:marLeft w:val="0"/>
      <w:marRight w:val="0"/>
      <w:marTop w:val="0"/>
      <w:marBottom w:val="0"/>
      <w:divBdr>
        <w:top w:val="none" w:sz="0" w:space="0" w:color="auto"/>
        <w:left w:val="none" w:sz="0" w:space="0" w:color="auto"/>
        <w:bottom w:val="none" w:sz="0" w:space="0" w:color="auto"/>
        <w:right w:val="none" w:sz="0" w:space="0" w:color="auto"/>
      </w:divBdr>
    </w:div>
    <w:div w:id="812987505">
      <w:bodyDiv w:val="1"/>
      <w:marLeft w:val="0"/>
      <w:marRight w:val="0"/>
      <w:marTop w:val="0"/>
      <w:marBottom w:val="0"/>
      <w:divBdr>
        <w:top w:val="none" w:sz="0" w:space="0" w:color="auto"/>
        <w:left w:val="none" w:sz="0" w:space="0" w:color="auto"/>
        <w:bottom w:val="none" w:sz="0" w:space="0" w:color="auto"/>
        <w:right w:val="none" w:sz="0" w:space="0" w:color="auto"/>
      </w:divBdr>
    </w:div>
    <w:div w:id="817844434">
      <w:bodyDiv w:val="1"/>
      <w:marLeft w:val="0"/>
      <w:marRight w:val="0"/>
      <w:marTop w:val="0"/>
      <w:marBottom w:val="0"/>
      <w:divBdr>
        <w:top w:val="none" w:sz="0" w:space="0" w:color="auto"/>
        <w:left w:val="none" w:sz="0" w:space="0" w:color="auto"/>
        <w:bottom w:val="none" w:sz="0" w:space="0" w:color="auto"/>
        <w:right w:val="none" w:sz="0" w:space="0" w:color="auto"/>
      </w:divBdr>
      <w:divsChild>
        <w:div w:id="166989559">
          <w:marLeft w:val="0"/>
          <w:marRight w:val="0"/>
          <w:marTop w:val="0"/>
          <w:marBottom w:val="0"/>
          <w:divBdr>
            <w:top w:val="none" w:sz="0" w:space="0" w:color="auto"/>
            <w:left w:val="none" w:sz="0" w:space="0" w:color="auto"/>
            <w:bottom w:val="none" w:sz="0" w:space="0" w:color="auto"/>
            <w:right w:val="none" w:sz="0" w:space="0" w:color="auto"/>
          </w:divBdr>
          <w:divsChild>
            <w:div w:id="1804927306">
              <w:marLeft w:val="0"/>
              <w:marRight w:val="0"/>
              <w:marTop w:val="0"/>
              <w:marBottom w:val="0"/>
              <w:divBdr>
                <w:top w:val="none" w:sz="0" w:space="0" w:color="auto"/>
                <w:left w:val="none" w:sz="0" w:space="0" w:color="auto"/>
                <w:bottom w:val="none" w:sz="0" w:space="0" w:color="auto"/>
                <w:right w:val="none" w:sz="0" w:space="0" w:color="auto"/>
              </w:divBdr>
              <w:divsChild>
                <w:div w:id="1967933157">
                  <w:marLeft w:val="0"/>
                  <w:marRight w:val="0"/>
                  <w:marTop w:val="0"/>
                  <w:marBottom w:val="0"/>
                  <w:divBdr>
                    <w:top w:val="single" w:sz="6" w:space="0" w:color="CCCCCC"/>
                    <w:left w:val="single" w:sz="6" w:space="0" w:color="CCCCCC"/>
                    <w:bottom w:val="single" w:sz="6" w:space="0" w:color="CCCCCC"/>
                    <w:right w:val="single" w:sz="6" w:space="0" w:color="CCCCCC"/>
                  </w:divBdr>
                  <w:divsChild>
                    <w:div w:id="426735991">
                      <w:marLeft w:val="0"/>
                      <w:marRight w:val="0"/>
                      <w:marTop w:val="0"/>
                      <w:marBottom w:val="0"/>
                      <w:divBdr>
                        <w:top w:val="none" w:sz="0" w:space="0" w:color="auto"/>
                        <w:left w:val="none" w:sz="0" w:space="0" w:color="auto"/>
                        <w:bottom w:val="none" w:sz="0" w:space="0" w:color="auto"/>
                        <w:right w:val="none" w:sz="0" w:space="0" w:color="auto"/>
                      </w:divBdr>
                      <w:divsChild>
                        <w:div w:id="1607997839">
                          <w:marLeft w:val="0"/>
                          <w:marRight w:val="0"/>
                          <w:marTop w:val="0"/>
                          <w:marBottom w:val="0"/>
                          <w:divBdr>
                            <w:top w:val="none" w:sz="0" w:space="0" w:color="auto"/>
                            <w:left w:val="none" w:sz="0" w:space="0" w:color="auto"/>
                            <w:bottom w:val="none" w:sz="0" w:space="0" w:color="auto"/>
                            <w:right w:val="none" w:sz="0" w:space="0" w:color="auto"/>
                          </w:divBdr>
                          <w:divsChild>
                            <w:div w:id="1615022227">
                              <w:marLeft w:val="0"/>
                              <w:marRight w:val="0"/>
                              <w:marTop w:val="0"/>
                              <w:marBottom w:val="0"/>
                              <w:divBdr>
                                <w:top w:val="none" w:sz="0" w:space="0" w:color="auto"/>
                                <w:left w:val="none" w:sz="0" w:space="0" w:color="auto"/>
                                <w:bottom w:val="none" w:sz="0" w:space="0" w:color="auto"/>
                                <w:right w:val="none" w:sz="0" w:space="0" w:color="auto"/>
                              </w:divBdr>
                              <w:divsChild>
                                <w:div w:id="18217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632321">
      <w:bodyDiv w:val="1"/>
      <w:marLeft w:val="0"/>
      <w:marRight w:val="0"/>
      <w:marTop w:val="0"/>
      <w:marBottom w:val="0"/>
      <w:divBdr>
        <w:top w:val="none" w:sz="0" w:space="0" w:color="auto"/>
        <w:left w:val="none" w:sz="0" w:space="0" w:color="auto"/>
        <w:bottom w:val="none" w:sz="0" w:space="0" w:color="auto"/>
        <w:right w:val="none" w:sz="0" w:space="0" w:color="auto"/>
      </w:divBdr>
      <w:divsChild>
        <w:div w:id="1570386402">
          <w:marLeft w:val="0"/>
          <w:marRight w:val="0"/>
          <w:marTop w:val="0"/>
          <w:marBottom w:val="0"/>
          <w:divBdr>
            <w:top w:val="none" w:sz="0" w:space="0" w:color="auto"/>
            <w:left w:val="none" w:sz="0" w:space="0" w:color="auto"/>
            <w:bottom w:val="none" w:sz="0" w:space="0" w:color="auto"/>
            <w:right w:val="none" w:sz="0" w:space="0" w:color="auto"/>
          </w:divBdr>
          <w:divsChild>
            <w:div w:id="1387073663">
              <w:marLeft w:val="0"/>
              <w:marRight w:val="0"/>
              <w:marTop w:val="0"/>
              <w:marBottom w:val="0"/>
              <w:divBdr>
                <w:top w:val="none" w:sz="0" w:space="0" w:color="auto"/>
                <w:left w:val="none" w:sz="0" w:space="0" w:color="auto"/>
                <w:bottom w:val="none" w:sz="0" w:space="0" w:color="auto"/>
                <w:right w:val="none" w:sz="0" w:space="0" w:color="auto"/>
              </w:divBdr>
              <w:divsChild>
                <w:div w:id="553086445">
                  <w:marLeft w:val="0"/>
                  <w:marRight w:val="0"/>
                  <w:marTop w:val="0"/>
                  <w:marBottom w:val="0"/>
                  <w:divBdr>
                    <w:top w:val="single" w:sz="6" w:space="0" w:color="CCCCCC"/>
                    <w:left w:val="single" w:sz="6" w:space="0" w:color="CCCCCC"/>
                    <w:bottom w:val="single" w:sz="6" w:space="0" w:color="CCCCCC"/>
                    <w:right w:val="single" w:sz="6" w:space="0" w:color="CCCCCC"/>
                  </w:divBdr>
                  <w:divsChild>
                    <w:div w:id="920679553">
                      <w:marLeft w:val="0"/>
                      <w:marRight w:val="0"/>
                      <w:marTop w:val="0"/>
                      <w:marBottom w:val="0"/>
                      <w:divBdr>
                        <w:top w:val="none" w:sz="0" w:space="0" w:color="auto"/>
                        <w:left w:val="none" w:sz="0" w:space="0" w:color="auto"/>
                        <w:bottom w:val="none" w:sz="0" w:space="0" w:color="auto"/>
                        <w:right w:val="none" w:sz="0" w:space="0" w:color="auto"/>
                      </w:divBdr>
                      <w:divsChild>
                        <w:div w:id="1875077776">
                          <w:marLeft w:val="0"/>
                          <w:marRight w:val="0"/>
                          <w:marTop w:val="0"/>
                          <w:marBottom w:val="0"/>
                          <w:divBdr>
                            <w:top w:val="none" w:sz="0" w:space="0" w:color="auto"/>
                            <w:left w:val="none" w:sz="0" w:space="0" w:color="auto"/>
                            <w:bottom w:val="none" w:sz="0" w:space="0" w:color="auto"/>
                            <w:right w:val="none" w:sz="0" w:space="0" w:color="auto"/>
                          </w:divBdr>
                          <w:divsChild>
                            <w:div w:id="937835590">
                              <w:marLeft w:val="0"/>
                              <w:marRight w:val="0"/>
                              <w:marTop w:val="0"/>
                              <w:marBottom w:val="0"/>
                              <w:divBdr>
                                <w:top w:val="none" w:sz="0" w:space="0" w:color="auto"/>
                                <w:left w:val="none" w:sz="0" w:space="0" w:color="auto"/>
                                <w:bottom w:val="none" w:sz="0" w:space="0" w:color="auto"/>
                                <w:right w:val="none" w:sz="0" w:space="0" w:color="auto"/>
                              </w:divBdr>
                              <w:divsChild>
                                <w:div w:id="15021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12158">
      <w:bodyDiv w:val="1"/>
      <w:marLeft w:val="0"/>
      <w:marRight w:val="0"/>
      <w:marTop w:val="0"/>
      <w:marBottom w:val="0"/>
      <w:divBdr>
        <w:top w:val="none" w:sz="0" w:space="0" w:color="auto"/>
        <w:left w:val="none" w:sz="0" w:space="0" w:color="auto"/>
        <w:bottom w:val="none" w:sz="0" w:space="0" w:color="auto"/>
        <w:right w:val="none" w:sz="0" w:space="0" w:color="auto"/>
      </w:divBdr>
    </w:div>
    <w:div w:id="974605535">
      <w:bodyDiv w:val="1"/>
      <w:marLeft w:val="0"/>
      <w:marRight w:val="0"/>
      <w:marTop w:val="0"/>
      <w:marBottom w:val="0"/>
      <w:divBdr>
        <w:top w:val="none" w:sz="0" w:space="0" w:color="auto"/>
        <w:left w:val="none" w:sz="0" w:space="0" w:color="auto"/>
        <w:bottom w:val="none" w:sz="0" w:space="0" w:color="auto"/>
        <w:right w:val="none" w:sz="0" w:space="0" w:color="auto"/>
      </w:divBdr>
    </w:div>
    <w:div w:id="1055162253">
      <w:bodyDiv w:val="1"/>
      <w:marLeft w:val="0"/>
      <w:marRight w:val="0"/>
      <w:marTop w:val="0"/>
      <w:marBottom w:val="0"/>
      <w:divBdr>
        <w:top w:val="none" w:sz="0" w:space="0" w:color="auto"/>
        <w:left w:val="none" w:sz="0" w:space="0" w:color="auto"/>
        <w:bottom w:val="none" w:sz="0" w:space="0" w:color="auto"/>
        <w:right w:val="none" w:sz="0" w:space="0" w:color="auto"/>
      </w:divBdr>
    </w:div>
    <w:div w:id="1069841286">
      <w:bodyDiv w:val="1"/>
      <w:marLeft w:val="0"/>
      <w:marRight w:val="0"/>
      <w:marTop w:val="0"/>
      <w:marBottom w:val="0"/>
      <w:divBdr>
        <w:top w:val="none" w:sz="0" w:space="0" w:color="auto"/>
        <w:left w:val="none" w:sz="0" w:space="0" w:color="auto"/>
        <w:bottom w:val="none" w:sz="0" w:space="0" w:color="auto"/>
        <w:right w:val="none" w:sz="0" w:space="0" w:color="auto"/>
      </w:divBdr>
    </w:div>
    <w:div w:id="1087533443">
      <w:bodyDiv w:val="1"/>
      <w:marLeft w:val="0"/>
      <w:marRight w:val="0"/>
      <w:marTop w:val="0"/>
      <w:marBottom w:val="0"/>
      <w:divBdr>
        <w:top w:val="none" w:sz="0" w:space="0" w:color="auto"/>
        <w:left w:val="none" w:sz="0" w:space="0" w:color="auto"/>
        <w:bottom w:val="none" w:sz="0" w:space="0" w:color="auto"/>
        <w:right w:val="none" w:sz="0" w:space="0" w:color="auto"/>
      </w:divBdr>
    </w:div>
    <w:div w:id="1158962837">
      <w:bodyDiv w:val="1"/>
      <w:marLeft w:val="0"/>
      <w:marRight w:val="0"/>
      <w:marTop w:val="0"/>
      <w:marBottom w:val="0"/>
      <w:divBdr>
        <w:top w:val="none" w:sz="0" w:space="0" w:color="auto"/>
        <w:left w:val="none" w:sz="0" w:space="0" w:color="auto"/>
        <w:bottom w:val="none" w:sz="0" w:space="0" w:color="auto"/>
        <w:right w:val="none" w:sz="0" w:space="0" w:color="auto"/>
      </w:divBdr>
      <w:divsChild>
        <w:div w:id="1208100571">
          <w:marLeft w:val="0"/>
          <w:marRight w:val="0"/>
          <w:marTop w:val="0"/>
          <w:marBottom w:val="0"/>
          <w:divBdr>
            <w:top w:val="none" w:sz="0" w:space="0" w:color="auto"/>
            <w:left w:val="none" w:sz="0" w:space="0" w:color="auto"/>
            <w:bottom w:val="none" w:sz="0" w:space="0" w:color="auto"/>
            <w:right w:val="none" w:sz="0" w:space="0" w:color="auto"/>
          </w:divBdr>
          <w:divsChild>
            <w:div w:id="1941182427">
              <w:marLeft w:val="0"/>
              <w:marRight w:val="0"/>
              <w:marTop w:val="0"/>
              <w:marBottom w:val="0"/>
              <w:divBdr>
                <w:top w:val="none" w:sz="0" w:space="0" w:color="auto"/>
                <w:left w:val="none" w:sz="0" w:space="0" w:color="auto"/>
                <w:bottom w:val="none" w:sz="0" w:space="0" w:color="auto"/>
                <w:right w:val="none" w:sz="0" w:space="0" w:color="auto"/>
              </w:divBdr>
              <w:divsChild>
                <w:div w:id="1170102988">
                  <w:marLeft w:val="0"/>
                  <w:marRight w:val="0"/>
                  <w:marTop w:val="0"/>
                  <w:marBottom w:val="0"/>
                  <w:divBdr>
                    <w:top w:val="single" w:sz="6" w:space="0" w:color="CCCCCC"/>
                    <w:left w:val="single" w:sz="6" w:space="0" w:color="CCCCCC"/>
                    <w:bottom w:val="single" w:sz="6" w:space="0" w:color="CCCCCC"/>
                    <w:right w:val="single" w:sz="6" w:space="0" w:color="CCCCCC"/>
                  </w:divBdr>
                  <w:divsChild>
                    <w:div w:id="417944497">
                      <w:marLeft w:val="0"/>
                      <w:marRight w:val="0"/>
                      <w:marTop w:val="0"/>
                      <w:marBottom w:val="0"/>
                      <w:divBdr>
                        <w:top w:val="none" w:sz="0" w:space="0" w:color="auto"/>
                        <w:left w:val="none" w:sz="0" w:space="0" w:color="auto"/>
                        <w:bottom w:val="none" w:sz="0" w:space="0" w:color="auto"/>
                        <w:right w:val="none" w:sz="0" w:space="0" w:color="auto"/>
                      </w:divBdr>
                      <w:divsChild>
                        <w:div w:id="1515414839">
                          <w:marLeft w:val="0"/>
                          <w:marRight w:val="0"/>
                          <w:marTop w:val="0"/>
                          <w:marBottom w:val="0"/>
                          <w:divBdr>
                            <w:top w:val="none" w:sz="0" w:space="0" w:color="auto"/>
                            <w:left w:val="none" w:sz="0" w:space="0" w:color="auto"/>
                            <w:bottom w:val="none" w:sz="0" w:space="0" w:color="auto"/>
                            <w:right w:val="none" w:sz="0" w:space="0" w:color="auto"/>
                          </w:divBdr>
                          <w:divsChild>
                            <w:div w:id="716395578">
                              <w:marLeft w:val="0"/>
                              <w:marRight w:val="0"/>
                              <w:marTop w:val="0"/>
                              <w:marBottom w:val="0"/>
                              <w:divBdr>
                                <w:top w:val="none" w:sz="0" w:space="0" w:color="auto"/>
                                <w:left w:val="none" w:sz="0" w:space="0" w:color="auto"/>
                                <w:bottom w:val="none" w:sz="0" w:space="0" w:color="auto"/>
                                <w:right w:val="none" w:sz="0" w:space="0" w:color="auto"/>
                              </w:divBdr>
                              <w:divsChild>
                                <w:div w:id="6415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67259">
      <w:bodyDiv w:val="1"/>
      <w:marLeft w:val="0"/>
      <w:marRight w:val="0"/>
      <w:marTop w:val="0"/>
      <w:marBottom w:val="0"/>
      <w:divBdr>
        <w:top w:val="none" w:sz="0" w:space="0" w:color="auto"/>
        <w:left w:val="none" w:sz="0" w:space="0" w:color="auto"/>
        <w:bottom w:val="none" w:sz="0" w:space="0" w:color="auto"/>
        <w:right w:val="none" w:sz="0" w:space="0" w:color="auto"/>
      </w:divBdr>
    </w:div>
    <w:div w:id="1361199120">
      <w:bodyDiv w:val="1"/>
      <w:marLeft w:val="0"/>
      <w:marRight w:val="0"/>
      <w:marTop w:val="0"/>
      <w:marBottom w:val="0"/>
      <w:divBdr>
        <w:top w:val="none" w:sz="0" w:space="0" w:color="auto"/>
        <w:left w:val="none" w:sz="0" w:space="0" w:color="auto"/>
        <w:bottom w:val="none" w:sz="0" w:space="0" w:color="auto"/>
        <w:right w:val="none" w:sz="0" w:space="0" w:color="auto"/>
      </w:divBdr>
      <w:divsChild>
        <w:div w:id="1720352175">
          <w:marLeft w:val="0"/>
          <w:marRight w:val="0"/>
          <w:marTop w:val="0"/>
          <w:marBottom w:val="0"/>
          <w:divBdr>
            <w:top w:val="none" w:sz="0" w:space="0" w:color="auto"/>
            <w:left w:val="none" w:sz="0" w:space="0" w:color="auto"/>
            <w:bottom w:val="none" w:sz="0" w:space="0" w:color="auto"/>
            <w:right w:val="none" w:sz="0" w:space="0" w:color="auto"/>
          </w:divBdr>
          <w:divsChild>
            <w:div w:id="1577588727">
              <w:marLeft w:val="0"/>
              <w:marRight w:val="0"/>
              <w:marTop w:val="0"/>
              <w:marBottom w:val="0"/>
              <w:divBdr>
                <w:top w:val="none" w:sz="0" w:space="0" w:color="auto"/>
                <w:left w:val="none" w:sz="0" w:space="0" w:color="auto"/>
                <w:bottom w:val="none" w:sz="0" w:space="0" w:color="auto"/>
                <w:right w:val="none" w:sz="0" w:space="0" w:color="auto"/>
              </w:divBdr>
              <w:divsChild>
                <w:div w:id="459105620">
                  <w:marLeft w:val="0"/>
                  <w:marRight w:val="0"/>
                  <w:marTop w:val="0"/>
                  <w:marBottom w:val="0"/>
                  <w:divBdr>
                    <w:top w:val="single" w:sz="6" w:space="0" w:color="CCCCCC"/>
                    <w:left w:val="single" w:sz="6" w:space="0" w:color="CCCCCC"/>
                    <w:bottom w:val="single" w:sz="6" w:space="0" w:color="CCCCCC"/>
                    <w:right w:val="single" w:sz="6" w:space="0" w:color="CCCCCC"/>
                  </w:divBdr>
                  <w:divsChild>
                    <w:div w:id="471170798">
                      <w:marLeft w:val="0"/>
                      <w:marRight w:val="0"/>
                      <w:marTop w:val="0"/>
                      <w:marBottom w:val="0"/>
                      <w:divBdr>
                        <w:top w:val="none" w:sz="0" w:space="0" w:color="auto"/>
                        <w:left w:val="none" w:sz="0" w:space="0" w:color="auto"/>
                        <w:bottom w:val="none" w:sz="0" w:space="0" w:color="auto"/>
                        <w:right w:val="none" w:sz="0" w:space="0" w:color="auto"/>
                      </w:divBdr>
                      <w:divsChild>
                        <w:div w:id="2094432179">
                          <w:marLeft w:val="0"/>
                          <w:marRight w:val="0"/>
                          <w:marTop w:val="0"/>
                          <w:marBottom w:val="0"/>
                          <w:divBdr>
                            <w:top w:val="none" w:sz="0" w:space="0" w:color="auto"/>
                            <w:left w:val="none" w:sz="0" w:space="0" w:color="auto"/>
                            <w:bottom w:val="none" w:sz="0" w:space="0" w:color="auto"/>
                            <w:right w:val="none" w:sz="0" w:space="0" w:color="auto"/>
                          </w:divBdr>
                          <w:divsChild>
                            <w:div w:id="1753159168">
                              <w:marLeft w:val="0"/>
                              <w:marRight w:val="0"/>
                              <w:marTop w:val="0"/>
                              <w:marBottom w:val="0"/>
                              <w:divBdr>
                                <w:top w:val="none" w:sz="0" w:space="0" w:color="auto"/>
                                <w:left w:val="none" w:sz="0" w:space="0" w:color="auto"/>
                                <w:bottom w:val="none" w:sz="0" w:space="0" w:color="auto"/>
                                <w:right w:val="none" w:sz="0" w:space="0" w:color="auto"/>
                              </w:divBdr>
                              <w:divsChild>
                                <w:div w:id="5412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155370">
      <w:bodyDiv w:val="1"/>
      <w:marLeft w:val="0"/>
      <w:marRight w:val="0"/>
      <w:marTop w:val="0"/>
      <w:marBottom w:val="0"/>
      <w:divBdr>
        <w:top w:val="none" w:sz="0" w:space="0" w:color="auto"/>
        <w:left w:val="none" w:sz="0" w:space="0" w:color="auto"/>
        <w:bottom w:val="none" w:sz="0" w:space="0" w:color="auto"/>
        <w:right w:val="none" w:sz="0" w:space="0" w:color="auto"/>
      </w:divBdr>
    </w:div>
    <w:div w:id="1573467781">
      <w:bodyDiv w:val="1"/>
      <w:marLeft w:val="0"/>
      <w:marRight w:val="0"/>
      <w:marTop w:val="0"/>
      <w:marBottom w:val="0"/>
      <w:divBdr>
        <w:top w:val="none" w:sz="0" w:space="0" w:color="auto"/>
        <w:left w:val="none" w:sz="0" w:space="0" w:color="auto"/>
        <w:bottom w:val="none" w:sz="0" w:space="0" w:color="auto"/>
        <w:right w:val="none" w:sz="0" w:space="0" w:color="auto"/>
      </w:divBdr>
    </w:div>
    <w:div w:id="1772973741">
      <w:bodyDiv w:val="1"/>
      <w:marLeft w:val="0"/>
      <w:marRight w:val="0"/>
      <w:marTop w:val="0"/>
      <w:marBottom w:val="0"/>
      <w:divBdr>
        <w:top w:val="none" w:sz="0" w:space="0" w:color="auto"/>
        <w:left w:val="none" w:sz="0" w:space="0" w:color="auto"/>
        <w:bottom w:val="none" w:sz="0" w:space="0" w:color="auto"/>
        <w:right w:val="none" w:sz="0" w:space="0" w:color="auto"/>
      </w:divBdr>
    </w:div>
    <w:div w:id="1847746848">
      <w:bodyDiv w:val="1"/>
      <w:marLeft w:val="0"/>
      <w:marRight w:val="0"/>
      <w:marTop w:val="0"/>
      <w:marBottom w:val="0"/>
      <w:divBdr>
        <w:top w:val="none" w:sz="0" w:space="0" w:color="auto"/>
        <w:left w:val="none" w:sz="0" w:space="0" w:color="auto"/>
        <w:bottom w:val="none" w:sz="0" w:space="0" w:color="auto"/>
        <w:right w:val="none" w:sz="0" w:space="0" w:color="auto"/>
      </w:divBdr>
    </w:div>
    <w:div w:id="20644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roope@dph.ox.ac.uk" TargetMode="External"/><Relationship Id="rId13" Type="http://schemas.openxmlformats.org/officeDocument/2006/relationships/hyperlink" Target="https://assets.publishing.service.gov.uk/government/uploads/system/uploads/attachment_data/file/417032/Start_Smart_Then_Focus_FI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43129/English_Surveillance_Programme_for_Antimicrobial_Utilisation_and_Resistance_2019.pdf"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gp.org.uk/targetantibiotic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lephone" TargetMode="External"/><Relationship Id="rId14" Type="http://schemas.openxmlformats.org/officeDocument/2006/relationships/hyperlink" Target="https://www.cdc.gov/antibiotic-use/core-elements/hospital.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Sheet1!$D$23</c:f>
              <c:strCache>
                <c:ptCount val="1"/>
                <c:pt idx="0">
                  <c:v>Number of respondents who chose to continue antibiotics</c:v>
                </c:pt>
              </c:strCache>
            </c:strRef>
          </c:tx>
          <c:invertIfNegative val="0"/>
          <c:val>
            <c:numRef>
              <c:f>Sheet1!$E$23:$S$23</c:f>
              <c:numCache>
                <c:formatCode>General</c:formatCode>
                <c:ptCount val="15"/>
                <c:pt idx="0">
                  <c:v>0</c:v>
                </c:pt>
                <c:pt idx="1">
                  <c:v>0</c:v>
                </c:pt>
                <c:pt idx="2">
                  <c:v>1</c:v>
                </c:pt>
                <c:pt idx="3">
                  <c:v>1</c:v>
                </c:pt>
                <c:pt idx="4">
                  <c:v>1</c:v>
                </c:pt>
                <c:pt idx="5">
                  <c:v>0</c:v>
                </c:pt>
                <c:pt idx="6">
                  <c:v>7</c:v>
                </c:pt>
                <c:pt idx="7">
                  <c:v>10</c:v>
                </c:pt>
                <c:pt idx="8">
                  <c:v>12</c:v>
                </c:pt>
                <c:pt idx="9">
                  <c:v>19</c:v>
                </c:pt>
                <c:pt idx="10">
                  <c:v>21</c:v>
                </c:pt>
                <c:pt idx="11">
                  <c:v>11</c:v>
                </c:pt>
                <c:pt idx="12">
                  <c:v>10</c:v>
                </c:pt>
                <c:pt idx="13">
                  <c:v>5</c:v>
                </c:pt>
                <c:pt idx="14">
                  <c:v>2</c:v>
                </c:pt>
              </c:numCache>
            </c:numRef>
          </c:val>
          <c:extLst>
            <c:ext xmlns:c16="http://schemas.microsoft.com/office/drawing/2014/chart" uri="{C3380CC4-5D6E-409C-BE32-E72D297353CC}">
              <c16:uniqueId val="{00000000-DFAC-4C98-A9A9-DB4200A554A3}"/>
            </c:ext>
          </c:extLst>
        </c:ser>
        <c:dLbls>
          <c:showLegendKey val="0"/>
          <c:showVal val="0"/>
          <c:showCatName val="0"/>
          <c:showSerName val="0"/>
          <c:showPercent val="0"/>
          <c:showBubbleSize val="0"/>
        </c:dLbls>
        <c:gapWidth val="71"/>
        <c:overlap val="100"/>
        <c:axId val="166703872"/>
        <c:axId val="166705408"/>
      </c:barChart>
      <c:catAx>
        <c:axId val="166703872"/>
        <c:scaling>
          <c:orientation val="minMax"/>
        </c:scaling>
        <c:delete val="0"/>
        <c:axPos val="b"/>
        <c:numFmt formatCode="General" sourceLinked="0"/>
        <c:majorTickMark val="out"/>
        <c:minorTickMark val="none"/>
        <c:tickLblPos val="nextTo"/>
        <c:crossAx val="166705408"/>
        <c:crosses val="autoZero"/>
        <c:auto val="1"/>
        <c:lblAlgn val="ctr"/>
        <c:lblOffset val="100"/>
        <c:noMultiLvlLbl val="0"/>
      </c:catAx>
      <c:valAx>
        <c:axId val="166705408"/>
        <c:scaling>
          <c:orientation val="minMax"/>
        </c:scaling>
        <c:delete val="0"/>
        <c:axPos val="l"/>
        <c:majorGridlines/>
        <c:numFmt formatCode="General" sourceLinked="1"/>
        <c:majorTickMark val="out"/>
        <c:minorTickMark val="none"/>
        <c:tickLblPos val="nextTo"/>
        <c:crossAx val="16670387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4C4C-1ADD-42A7-B324-9EA44DE0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7520</Words>
  <Characters>42870</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NDPH</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Laurence Roope</dc:creator>
  <cp:lastModifiedBy>Hayter V.J.</cp:lastModifiedBy>
  <cp:revision>2</cp:revision>
  <cp:lastPrinted>2020-03-05T11:33:00Z</cp:lastPrinted>
  <dcterms:created xsi:type="dcterms:W3CDTF">2020-06-09T14:12:00Z</dcterms:created>
  <dcterms:modified xsi:type="dcterms:W3CDTF">2020-06-09T14:12:00Z</dcterms:modified>
</cp:coreProperties>
</file>