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C3838" w14:textId="3DB585E8" w:rsidR="00180128" w:rsidRPr="00BF6C9A" w:rsidRDefault="00180128" w:rsidP="00180128">
      <w:pPr>
        <w:tabs>
          <w:tab w:val="left" w:pos="7350"/>
        </w:tabs>
        <w:spacing w:after="0" w:line="240" w:lineRule="auto"/>
        <w:rPr>
          <w:rFonts w:asciiTheme="majorBidi" w:hAnsiTheme="majorBidi" w:cstheme="majorBidi"/>
          <w:sz w:val="24"/>
          <w:szCs w:val="24"/>
          <w:lang w:val="en"/>
        </w:rPr>
      </w:pPr>
      <w:bookmarkStart w:id="0" w:name="_Toc453539594"/>
      <w:bookmarkStart w:id="1" w:name="_Toc453539710"/>
      <w:bookmarkStart w:id="2" w:name="_Toc454034472"/>
      <w:bookmarkStart w:id="3" w:name="_Toc457534114"/>
      <w:r w:rsidRPr="00BF6C9A">
        <w:rPr>
          <w:rFonts w:asciiTheme="majorBidi" w:hAnsiTheme="majorBidi" w:cstheme="majorBidi"/>
          <w:sz w:val="24"/>
          <w:szCs w:val="24"/>
          <w:lang w:val="en"/>
        </w:rPr>
        <w:t xml:space="preserve">Full reference: </w:t>
      </w:r>
      <w:r>
        <w:rPr>
          <w:rFonts w:asciiTheme="majorBidi" w:hAnsiTheme="majorBidi" w:cstheme="majorBidi"/>
          <w:sz w:val="24"/>
          <w:szCs w:val="24"/>
          <w:lang w:val="en"/>
        </w:rPr>
        <w:t>Elamer, A.A.,</w:t>
      </w:r>
      <w:r w:rsidRPr="00BF6C9A">
        <w:rPr>
          <w:rFonts w:asciiTheme="majorBidi" w:hAnsiTheme="majorBidi" w:cstheme="majorBidi"/>
          <w:sz w:val="24"/>
          <w:szCs w:val="24"/>
          <w:lang w:val="en"/>
        </w:rPr>
        <w:t xml:space="preserve"> Ntim, C.G.</w:t>
      </w:r>
      <w:r>
        <w:rPr>
          <w:rFonts w:asciiTheme="majorBidi" w:hAnsiTheme="majorBidi" w:cstheme="majorBidi"/>
          <w:sz w:val="24"/>
          <w:szCs w:val="24"/>
          <w:lang w:val="en"/>
        </w:rPr>
        <w:t xml:space="preserve">, Abdou, H.A., </w:t>
      </w:r>
      <w:r w:rsidRPr="00180128">
        <w:rPr>
          <w:rFonts w:asciiTheme="majorBidi" w:hAnsiTheme="majorBidi" w:cstheme="majorBidi"/>
          <w:sz w:val="24"/>
          <w:szCs w:val="24"/>
          <w:lang w:val="en"/>
        </w:rPr>
        <w:t>Owusu</w:t>
      </w:r>
      <w:r>
        <w:rPr>
          <w:rFonts w:asciiTheme="majorBidi" w:hAnsiTheme="majorBidi" w:cstheme="majorBidi"/>
          <w:sz w:val="24"/>
          <w:szCs w:val="24"/>
          <w:lang w:val="en"/>
        </w:rPr>
        <w:t>, A.,</w:t>
      </w:r>
      <w:r w:rsidRPr="00BF6C9A">
        <w:rPr>
          <w:rFonts w:asciiTheme="majorBidi" w:hAnsiTheme="majorBidi" w:cstheme="majorBidi"/>
          <w:sz w:val="24"/>
          <w:szCs w:val="24"/>
          <w:lang w:val="en"/>
        </w:rPr>
        <w:t xml:space="preserve"> </w:t>
      </w:r>
      <w:r w:rsidRPr="00180128">
        <w:rPr>
          <w:rFonts w:asciiTheme="majorBidi" w:hAnsiTheme="majorBidi" w:cstheme="majorBidi"/>
          <w:sz w:val="24"/>
          <w:szCs w:val="24"/>
          <w:lang w:val="en"/>
        </w:rPr>
        <w:t>Elmagrhi</w:t>
      </w:r>
      <w:r w:rsidRPr="00BF6C9A">
        <w:rPr>
          <w:rFonts w:asciiTheme="majorBidi" w:hAnsiTheme="majorBidi" w:cstheme="majorBidi"/>
          <w:sz w:val="24"/>
          <w:szCs w:val="24"/>
          <w:lang w:val="en"/>
        </w:rPr>
        <w:t>,</w:t>
      </w:r>
      <w:r>
        <w:rPr>
          <w:rFonts w:asciiTheme="majorBidi" w:hAnsiTheme="majorBidi" w:cstheme="majorBidi"/>
          <w:sz w:val="24"/>
          <w:szCs w:val="24"/>
          <w:lang w:val="en"/>
        </w:rPr>
        <w:t xml:space="preserve"> M. &amp; </w:t>
      </w:r>
      <w:r w:rsidRPr="00180128">
        <w:rPr>
          <w:rFonts w:asciiTheme="majorBidi" w:hAnsiTheme="majorBidi" w:cstheme="majorBidi"/>
          <w:sz w:val="24"/>
          <w:szCs w:val="24"/>
          <w:lang w:val="en"/>
        </w:rPr>
        <w:t>Ibrahim</w:t>
      </w:r>
      <w:r>
        <w:rPr>
          <w:rFonts w:asciiTheme="majorBidi" w:hAnsiTheme="majorBidi" w:cstheme="majorBidi"/>
          <w:sz w:val="24"/>
          <w:szCs w:val="24"/>
          <w:lang w:val="en"/>
        </w:rPr>
        <w:t>, A.</w:t>
      </w:r>
      <w:r w:rsidRPr="00180128">
        <w:rPr>
          <w:rFonts w:asciiTheme="majorBidi" w:hAnsiTheme="majorBidi" w:cstheme="majorBidi"/>
          <w:sz w:val="24"/>
          <w:szCs w:val="24"/>
          <w:lang w:val="en"/>
        </w:rPr>
        <w:t xml:space="preserve"> </w:t>
      </w:r>
      <w:r w:rsidRPr="00BF6C9A">
        <w:rPr>
          <w:rFonts w:asciiTheme="majorBidi" w:hAnsiTheme="majorBidi" w:cstheme="majorBidi"/>
          <w:sz w:val="24"/>
          <w:szCs w:val="24"/>
          <w:lang w:val="en"/>
        </w:rPr>
        <w:t>(20</w:t>
      </w:r>
      <w:r>
        <w:rPr>
          <w:rFonts w:asciiTheme="majorBidi" w:hAnsiTheme="majorBidi" w:cstheme="majorBidi"/>
          <w:sz w:val="24"/>
          <w:szCs w:val="24"/>
          <w:lang w:val="en"/>
        </w:rPr>
        <w:t>20</w:t>
      </w:r>
      <w:r w:rsidRPr="00BF6C9A">
        <w:rPr>
          <w:rFonts w:asciiTheme="majorBidi" w:hAnsiTheme="majorBidi" w:cstheme="majorBidi"/>
          <w:sz w:val="24"/>
          <w:szCs w:val="24"/>
          <w:lang w:val="en"/>
        </w:rPr>
        <w:t>) ‘</w:t>
      </w:r>
      <w:r w:rsidRPr="00180128">
        <w:rPr>
          <w:rFonts w:asciiTheme="majorBidi" w:hAnsiTheme="majorBidi" w:cstheme="majorBidi"/>
          <w:sz w:val="24"/>
          <w:szCs w:val="24"/>
          <w:lang w:val="en"/>
        </w:rPr>
        <w:t>Are bank risk disclosures informative? Evidence from debt markets</w:t>
      </w:r>
      <w:r w:rsidRPr="00BF6C9A">
        <w:rPr>
          <w:rFonts w:asciiTheme="majorBidi" w:hAnsiTheme="majorBidi" w:cstheme="majorBidi"/>
          <w:sz w:val="24"/>
          <w:szCs w:val="24"/>
          <w:lang w:val="en"/>
        </w:rPr>
        <w:t xml:space="preserve">’, </w:t>
      </w:r>
      <w:r w:rsidRPr="00180128">
        <w:rPr>
          <w:rFonts w:asciiTheme="majorBidi" w:hAnsiTheme="majorBidi" w:cstheme="majorBidi"/>
          <w:i/>
          <w:iCs/>
          <w:sz w:val="24"/>
          <w:szCs w:val="24"/>
          <w:lang w:val="en"/>
        </w:rPr>
        <w:t>International Journal of Finance and Economics</w:t>
      </w:r>
      <w:r w:rsidRPr="00BF6C9A">
        <w:rPr>
          <w:rFonts w:asciiTheme="majorBidi" w:hAnsiTheme="majorBidi" w:cstheme="majorBidi"/>
          <w:sz w:val="24"/>
          <w:szCs w:val="24"/>
          <w:lang w:val="en"/>
        </w:rPr>
        <w:t>, Forthcoming (Accepted 1</w:t>
      </w:r>
      <w:r>
        <w:rPr>
          <w:rFonts w:asciiTheme="majorBidi" w:hAnsiTheme="majorBidi" w:cstheme="majorBidi"/>
          <w:sz w:val="24"/>
          <w:szCs w:val="24"/>
          <w:lang w:val="en"/>
        </w:rPr>
        <w:t>8</w:t>
      </w:r>
      <w:r w:rsidRPr="00180128">
        <w:rPr>
          <w:rFonts w:asciiTheme="majorBidi" w:hAnsiTheme="majorBidi" w:cstheme="majorBidi"/>
          <w:sz w:val="24"/>
          <w:szCs w:val="24"/>
          <w:vertAlign w:val="superscript"/>
          <w:lang w:val="en"/>
        </w:rPr>
        <w:t>th</w:t>
      </w:r>
      <w:r>
        <w:rPr>
          <w:rFonts w:asciiTheme="majorBidi" w:hAnsiTheme="majorBidi" w:cstheme="majorBidi"/>
          <w:sz w:val="24"/>
          <w:szCs w:val="24"/>
          <w:lang w:val="en"/>
        </w:rPr>
        <w:t xml:space="preserve"> June</w:t>
      </w:r>
      <w:r w:rsidRPr="00BF6C9A">
        <w:rPr>
          <w:rFonts w:asciiTheme="majorBidi" w:hAnsiTheme="majorBidi" w:cstheme="majorBidi"/>
          <w:sz w:val="24"/>
          <w:szCs w:val="24"/>
          <w:lang w:val="en"/>
        </w:rPr>
        <w:t xml:space="preserve"> 2020).</w:t>
      </w:r>
    </w:p>
    <w:p w14:paraId="4CF38517" w14:textId="77777777" w:rsidR="00180128" w:rsidRPr="00180128" w:rsidRDefault="00180128" w:rsidP="001F76E2">
      <w:pPr>
        <w:tabs>
          <w:tab w:val="left" w:pos="7350"/>
        </w:tabs>
        <w:spacing w:after="0" w:line="240" w:lineRule="auto"/>
        <w:jc w:val="center"/>
        <w:rPr>
          <w:rFonts w:ascii="Times New Roman" w:eastAsia="Calibri" w:hAnsi="Times New Roman" w:cs="Times New Roman"/>
          <w:b/>
          <w:sz w:val="28"/>
          <w:szCs w:val="28"/>
          <w:lang w:val="en"/>
        </w:rPr>
      </w:pPr>
    </w:p>
    <w:p w14:paraId="1F75548F" w14:textId="6A5EABD9" w:rsidR="001F76E2" w:rsidRPr="00180128" w:rsidRDefault="001F76E2" w:rsidP="001F76E2">
      <w:pPr>
        <w:tabs>
          <w:tab w:val="left" w:pos="7350"/>
        </w:tabs>
        <w:spacing w:after="0" w:line="240" w:lineRule="auto"/>
        <w:jc w:val="center"/>
        <w:rPr>
          <w:rFonts w:ascii="Times New Roman" w:eastAsia="Calibri" w:hAnsi="Times New Roman" w:cs="Times New Roman"/>
          <w:b/>
          <w:sz w:val="32"/>
          <w:szCs w:val="32"/>
        </w:rPr>
      </w:pPr>
      <w:r w:rsidRPr="00180128">
        <w:rPr>
          <w:rFonts w:ascii="Times New Roman" w:eastAsia="Calibri" w:hAnsi="Times New Roman" w:cs="Times New Roman"/>
          <w:b/>
          <w:sz w:val="32"/>
          <w:szCs w:val="32"/>
        </w:rPr>
        <w:t>Are bank risk disclosures informative? Evidence from debt markets</w:t>
      </w:r>
    </w:p>
    <w:p w14:paraId="31BF9F26" w14:textId="68AC0D42" w:rsidR="001F76E2" w:rsidRPr="0082326D" w:rsidRDefault="001F76E2" w:rsidP="00180128">
      <w:pPr>
        <w:tabs>
          <w:tab w:val="left" w:pos="7350"/>
        </w:tabs>
        <w:spacing w:after="0" w:line="240" w:lineRule="auto"/>
        <w:rPr>
          <w:rFonts w:ascii="Times New Roman" w:eastAsia="Times New Roman" w:hAnsi="Times New Roman" w:cs="Times New Roman"/>
          <w:lang w:eastAsia="en-GB"/>
        </w:rPr>
      </w:pPr>
    </w:p>
    <w:p w14:paraId="1F4937B8" w14:textId="77777777" w:rsidR="001F76E2" w:rsidRPr="0082326D" w:rsidRDefault="001F76E2" w:rsidP="001F76E2">
      <w:pPr>
        <w:tabs>
          <w:tab w:val="left" w:pos="7350"/>
        </w:tabs>
        <w:spacing w:after="0" w:line="240" w:lineRule="auto"/>
        <w:jc w:val="center"/>
        <w:rPr>
          <w:rFonts w:ascii="Times New Roman" w:eastAsia="Times New Roman" w:hAnsi="Times New Roman" w:cs="Times New Roman"/>
          <w:lang w:eastAsia="en-GB"/>
        </w:rPr>
      </w:pPr>
    </w:p>
    <w:p w14:paraId="56EB4930" w14:textId="77777777" w:rsidR="001F76E2" w:rsidRPr="00123130" w:rsidRDefault="001F76E2" w:rsidP="001F76E2">
      <w:pPr>
        <w:spacing w:after="0" w:line="240" w:lineRule="auto"/>
        <w:jc w:val="center"/>
      </w:pPr>
    </w:p>
    <w:p w14:paraId="33C05781" w14:textId="77777777" w:rsidR="00180128" w:rsidRPr="00DC4812" w:rsidRDefault="00180128" w:rsidP="00180128">
      <w:pPr>
        <w:tabs>
          <w:tab w:val="left" w:pos="7350"/>
        </w:tabs>
        <w:spacing w:after="0" w:line="240" w:lineRule="auto"/>
        <w:jc w:val="center"/>
        <w:rPr>
          <w:rFonts w:ascii="Times New Roman" w:eastAsia="Times New Roman" w:hAnsi="Times New Roman" w:cs="Times New Roman"/>
          <w:b/>
          <w:bCs/>
          <w:sz w:val="28"/>
          <w:szCs w:val="28"/>
          <w:lang w:eastAsia="en-GB"/>
        </w:rPr>
      </w:pPr>
      <w:r w:rsidRPr="00DC4812">
        <w:rPr>
          <w:rFonts w:ascii="Times New Roman" w:eastAsia="Times New Roman" w:hAnsi="Times New Roman" w:cs="Times New Roman"/>
          <w:b/>
          <w:bCs/>
          <w:sz w:val="28"/>
          <w:szCs w:val="28"/>
          <w:lang w:eastAsia="en-GB"/>
        </w:rPr>
        <w:t>Ahmed A. Elamer</w:t>
      </w:r>
      <w:r>
        <w:rPr>
          <w:rFonts w:ascii="Times New Roman" w:eastAsia="Times New Roman" w:hAnsi="Times New Roman" w:cs="Times New Roman"/>
          <w:b/>
          <w:bCs/>
          <w:sz w:val="28"/>
          <w:szCs w:val="28"/>
          <w:lang w:eastAsia="en-GB"/>
        </w:rPr>
        <w:t xml:space="preserve"> </w:t>
      </w:r>
      <w:r w:rsidRPr="00DC4812">
        <w:rPr>
          <w:rFonts w:ascii="Times New Roman" w:eastAsia="Times New Roman" w:hAnsi="Times New Roman" w:cs="Times New Roman"/>
          <w:b/>
          <w:bCs/>
          <w:sz w:val="28"/>
          <w:szCs w:val="28"/>
          <w:lang w:eastAsia="en-GB"/>
        </w:rPr>
        <w:footnoteReference w:customMarkFollows="1" w:id="1"/>
        <w:sym w:font="Symbol" w:char="F02A"/>
      </w:r>
    </w:p>
    <w:p w14:paraId="74E9BEC3" w14:textId="77777777" w:rsidR="00180128" w:rsidRDefault="00180128" w:rsidP="00180128">
      <w:pPr>
        <w:tabs>
          <w:tab w:val="left" w:pos="7350"/>
        </w:tabs>
        <w:spacing w:after="0" w:line="240" w:lineRule="auto"/>
        <w:jc w:val="center"/>
        <w:rPr>
          <w:rFonts w:ascii="Times New Roman" w:eastAsia="Times New Roman" w:hAnsi="Times New Roman" w:cs="Times New Roman"/>
          <w:bCs/>
          <w:lang w:eastAsia="en-GB"/>
        </w:rPr>
      </w:pPr>
    </w:p>
    <w:p w14:paraId="464822F2" w14:textId="77777777" w:rsidR="00180128" w:rsidRPr="00E72987" w:rsidRDefault="00180128" w:rsidP="00180128">
      <w:pPr>
        <w:jc w:val="center"/>
        <w:rPr>
          <w:rFonts w:ascii="Times New Roman" w:eastAsia="Times New Roman" w:hAnsi="Times New Roman" w:cs="Times New Roman"/>
          <w:bCs/>
          <w:lang w:eastAsia="en-GB"/>
        </w:rPr>
      </w:pPr>
      <w:r w:rsidRPr="004A1DD4">
        <w:rPr>
          <w:rFonts w:ascii="Times New Roman" w:eastAsia="Times New Roman" w:hAnsi="Times New Roman" w:cs="Times New Roman"/>
          <w:bCs/>
          <w:lang w:eastAsia="en-GB"/>
        </w:rPr>
        <w:t xml:space="preserve">Brunel Business School, Brunel University London, Kingston Lane, </w:t>
      </w:r>
      <w:r>
        <w:rPr>
          <w:rFonts w:ascii="Times New Roman" w:eastAsia="Times New Roman" w:hAnsi="Times New Roman" w:cs="Times New Roman"/>
          <w:bCs/>
          <w:lang w:eastAsia="en-GB"/>
        </w:rPr>
        <w:t>Uxbridge</w:t>
      </w:r>
      <w:r w:rsidRPr="004A1DD4">
        <w:rPr>
          <w:rFonts w:ascii="Times New Roman" w:eastAsia="Times New Roman" w:hAnsi="Times New Roman" w:cs="Times New Roman"/>
          <w:bCs/>
          <w:lang w:eastAsia="en-GB"/>
        </w:rPr>
        <w:t>, London, UB8 3PH UK</w:t>
      </w:r>
      <w:r w:rsidRPr="00E72987">
        <w:rPr>
          <w:rFonts w:ascii="Times New Roman" w:eastAsia="Times New Roman" w:hAnsi="Times New Roman" w:cs="Times New Roman"/>
          <w:bCs/>
          <w:lang w:eastAsia="en-GB"/>
        </w:rPr>
        <w:t>; and</w:t>
      </w:r>
    </w:p>
    <w:p w14:paraId="58716B2A" w14:textId="77777777" w:rsidR="00180128" w:rsidRPr="00BF12C2" w:rsidRDefault="00180128" w:rsidP="00180128">
      <w:pPr>
        <w:tabs>
          <w:tab w:val="left" w:pos="7350"/>
        </w:tabs>
        <w:spacing w:after="0" w:line="240" w:lineRule="auto"/>
        <w:jc w:val="center"/>
        <w:rPr>
          <w:rFonts w:ascii="Times New Roman" w:eastAsia="Times New Roman" w:hAnsi="Times New Roman" w:cs="Times New Roman"/>
          <w:bCs/>
          <w:lang w:eastAsia="en-GB"/>
        </w:rPr>
      </w:pPr>
      <w:r w:rsidRPr="00E72987">
        <w:rPr>
          <w:rFonts w:ascii="Times New Roman" w:eastAsia="Times New Roman" w:hAnsi="Times New Roman" w:cs="Times New Roman"/>
          <w:bCs/>
          <w:lang w:eastAsia="en-GB"/>
        </w:rPr>
        <w:t>Department of Accounting, Faculty of Commerce, Mansoura University, Mansoura, Egypt</w:t>
      </w:r>
    </w:p>
    <w:p w14:paraId="12290E84" w14:textId="77777777" w:rsidR="00180128" w:rsidRPr="00DC4812" w:rsidRDefault="00180128" w:rsidP="00180128">
      <w:pPr>
        <w:tabs>
          <w:tab w:val="left" w:pos="7350"/>
        </w:tabs>
        <w:spacing w:after="0" w:line="240" w:lineRule="auto"/>
        <w:jc w:val="center"/>
        <w:rPr>
          <w:rFonts w:ascii="Times New Roman" w:eastAsia="Times New Roman" w:hAnsi="Times New Roman" w:cs="Times New Roman"/>
          <w:bCs/>
          <w:lang w:eastAsia="en-GB"/>
        </w:rPr>
      </w:pPr>
      <w:r w:rsidRPr="00DC4812">
        <w:rPr>
          <w:rFonts w:ascii="Times New Roman" w:eastAsia="Times New Roman" w:hAnsi="Times New Roman" w:cs="Times New Roman"/>
          <w:bCs/>
          <w:lang w:eastAsia="en-GB"/>
        </w:rPr>
        <w:t xml:space="preserve">Email: </w:t>
      </w:r>
      <w:hyperlink r:id="rId8" w:history="1">
        <w:r w:rsidRPr="00DC4812">
          <w:rPr>
            <w:rFonts w:ascii="Times New Roman" w:eastAsia="Times New Roman" w:hAnsi="Times New Roman" w:cs="Times New Roman"/>
            <w:bCs/>
            <w:color w:val="0000FF"/>
            <w:u w:val="single"/>
            <w:lang w:eastAsia="en-GB"/>
          </w:rPr>
          <w:t>ahmed.a.elamer@gmail.com</w:t>
        </w:r>
      </w:hyperlink>
      <w:r w:rsidRPr="00DC4812">
        <w:rPr>
          <w:rFonts w:ascii="Times New Roman" w:eastAsia="Times New Roman" w:hAnsi="Times New Roman" w:cs="Times New Roman"/>
          <w:bCs/>
          <w:lang w:eastAsia="en-GB"/>
        </w:rPr>
        <w:t xml:space="preserve"> </w:t>
      </w:r>
    </w:p>
    <w:p w14:paraId="4C1E92C7" w14:textId="1977CAEB" w:rsidR="00180128" w:rsidRDefault="00180128" w:rsidP="00180128">
      <w:pPr>
        <w:tabs>
          <w:tab w:val="left" w:pos="7350"/>
        </w:tabs>
        <w:spacing w:after="0" w:line="240" w:lineRule="auto"/>
        <w:jc w:val="center"/>
        <w:rPr>
          <w:rFonts w:ascii="Times New Roman" w:eastAsia="Times New Roman" w:hAnsi="Times New Roman" w:cs="Times New Roman"/>
          <w:bCs/>
          <w:lang w:eastAsia="en-GB"/>
        </w:rPr>
      </w:pPr>
      <w:r w:rsidRPr="00DC4812">
        <w:rPr>
          <w:rFonts w:ascii="Times New Roman" w:eastAsia="Times New Roman" w:hAnsi="Times New Roman" w:cs="Times New Roman"/>
          <w:bCs/>
          <w:lang w:eastAsia="en-GB"/>
        </w:rPr>
        <w:t>*Corresponding author</w:t>
      </w:r>
    </w:p>
    <w:p w14:paraId="23B05E88" w14:textId="77777777" w:rsidR="00180128" w:rsidRDefault="00180128" w:rsidP="00180128">
      <w:pPr>
        <w:tabs>
          <w:tab w:val="left" w:pos="7350"/>
        </w:tabs>
        <w:spacing w:after="0" w:line="240" w:lineRule="auto"/>
        <w:jc w:val="center"/>
        <w:rPr>
          <w:rFonts w:ascii="Times New Roman" w:eastAsia="Times New Roman" w:hAnsi="Times New Roman" w:cs="Times New Roman"/>
          <w:bCs/>
          <w:lang w:eastAsia="en-GB"/>
        </w:rPr>
      </w:pPr>
    </w:p>
    <w:p w14:paraId="28EFB5D8" w14:textId="77777777" w:rsidR="00180128" w:rsidRPr="00BF6C9A" w:rsidRDefault="00180128" w:rsidP="00180128">
      <w:pPr>
        <w:jc w:val="center"/>
        <w:rPr>
          <w:rFonts w:ascii="Times New Roman" w:eastAsia="Times New Roman" w:hAnsi="Times New Roman" w:cs="Times New Roman"/>
          <w:b/>
          <w:bCs/>
          <w:sz w:val="28"/>
          <w:szCs w:val="28"/>
          <w:lang w:eastAsia="en-GB"/>
        </w:rPr>
      </w:pPr>
      <w:r w:rsidRPr="00BF6C9A">
        <w:rPr>
          <w:rFonts w:ascii="Times New Roman" w:eastAsia="Times New Roman" w:hAnsi="Times New Roman" w:cs="Times New Roman"/>
          <w:b/>
          <w:bCs/>
          <w:sz w:val="28"/>
          <w:szCs w:val="28"/>
          <w:lang w:eastAsia="en-GB"/>
        </w:rPr>
        <w:t>Collins G. Ntim</w:t>
      </w:r>
    </w:p>
    <w:p w14:paraId="0F1FF7F6" w14:textId="77777777" w:rsidR="00180128" w:rsidRPr="00BF6C9A" w:rsidRDefault="00180128" w:rsidP="00180128">
      <w:pPr>
        <w:tabs>
          <w:tab w:val="left" w:pos="7350"/>
        </w:tabs>
        <w:spacing w:after="0" w:line="240" w:lineRule="auto"/>
        <w:jc w:val="center"/>
        <w:rPr>
          <w:rFonts w:ascii="Times New Roman" w:eastAsia="Times New Roman" w:hAnsi="Times New Roman" w:cs="Times New Roman"/>
          <w:bCs/>
          <w:lang w:eastAsia="en-GB"/>
        </w:rPr>
      </w:pPr>
      <w:r w:rsidRPr="00BF6C9A">
        <w:rPr>
          <w:rFonts w:ascii="Times New Roman" w:eastAsia="Times New Roman" w:hAnsi="Times New Roman" w:cs="Times New Roman"/>
          <w:bCs/>
          <w:lang w:eastAsia="en-GB"/>
        </w:rPr>
        <w:t>Department of Accounting, Centre for Research in Accounting, Accountability and Governance, Southampton Business School, University of Southampton, Southampton, SO17 1BJ, UK</w:t>
      </w:r>
    </w:p>
    <w:p w14:paraId="4BF1B84E" w14:textId="222AD3A9" w:rsidR="00180128" w:rsidRDefault="00180128" w:rsidP="00180128">
      <w:pPr>
        <w:spacing w:after="0" w:line="240" w:lineRule="auto"/>
        <w:jc w:val="center"/>
        <w:rPr>
          <w:rStyle w:val="Hyperlink"/>
          <w:rFonts w:ascii="Times New Roman" w:eastAsia="Times New Roman" w:hAnsi="Times New Roman" w:cs="Times New Roman"/>
          <w:bCs/>
          <w:color w:val="auto"/>
          <w:lang w:eastAsia="en-GB"/>
        </w:rPr>
      </w:pPr>
      <w:r w:rsidRPr="00BF6C9A">
        <w:rPr>
          <w:rFonts w:ascii="Times New Roman" w:eastAsia="Times New Roman" w:hAnsi="Times New Roman" w:cs="Times New Roman"/>
          <w:bCs/>
          <w:lang w:eastAsia="en-GB"/>
        </w:rPr>
        <w:t xml:space="preserve">Email: </w:t>
      </w:r>
      <w:hyperlink r:id="rId9" w:history="1">
        <w:r w:rsidRPr="00BF6C9A">
          <w:rPr>
            <w:rStyle w:val="Hyperlink"/>
            <w:rFonts w:ascii="Times New Roman" w:eastAsia="Times New Roman" w:hAnsi="Times New Roman" w:cs="Times New Roman"/>
            <w:bCs/>
            <w:lang w:eastAsia="en-GB"/>
          </w:rPr>
          <w:t>C.G.Ntim@soton.ac.uk</w:t>
        </w:r>
      </w:hyperlink>
    </w:p>
    <w:p w14:paraId="6006C7DE" w14:textId="77777777" w:rsidR="00180128" w:rsidRDefault="00180128" w:rsidP="00180128">
      <w:pPr>
        <w:spacing w:after="0" w:line="240" w:lineRule="auto"/>
        <w:jc w:val="center"/>
        <w:rPr>
          <w:rStyle w:val="Hyperlink"/>
          <w:rFonts w:ascii="Times New Roman" w:eastAsia="Times New Roman" w:hAnsi="Times New Roman" w:cs="Times New Roman"/>
          <w:bCs/>
          <w:color w:val="auto"/>
          <w:lang w:eastAsia="en-GB"/>
        </w:rPr>
      </w:pPr>
    </w:p>
    <w:p w14:paraId="48392F4F" w14:textId="709E9974" w:rsidR="00180128" w:rsidRPr="00180128" w:rsidRDefault="00180128" w:rsidP="00180128">
      <w:pPr>
        <w:jc w:val="center"/>
        <w:rPr>
          <w:rFonts w:ascii="Times New Roman" w:eastAsia="Times New Roman" w:hAnsi="Times New Roman" w:cs="Times New Roman"/>
          <w:b/>
          <w:bCs/>
          <w:sz w:val="28"/>
          <w:szCs w:val="28"/>
          <w:lang w:eastAsia="en-GB"/>
        </w:rPr>
      </w:pPr>
      <w:r w:rsidRPr="00180128">
        <w:rPr>
          <w:rFonts w:ascii="Times New Roman" w:eastAsia="Times New Roman" w:hAnsi="Times New Roman" w:cs="Times New Roman"/>
          <w:b/>
          <w:bCs/>
          <w:sz w:val="28"/>
          <w:szCs w:val="28"/>
          <w:lang w:eastAsia="en-GB"/>
        </w:rPr>
        <w:t>Hussein A. Abdou</w:t>
      </w:r>
    </w:p>
    <w:p w14:paraId="54D8B8D3" w14:textId="1E7DFE21" w:rsidR="00180128" w:rsidRPr="00180128" w:rsidRDefault="00180128" w:rsidP="00180128">
      <w:pPr>
        <w:tabs>
          <w:tab w:val="left" w:pos="7350"/>
        </w:tabs>
        <w:spacing w:after="0" w:line="240" w:lineRule="auto"/>
        <w:jc w:val="center"/>
        <w:rPr>
          <w:rFonts w:ascii="Times New Roman" w:eastAsia="Times New Roman" w:hAnsi="Times New Roman" w:cs="Times New Roman"/>
          <w:bCs/>
          <w:lang w:eastAsia="en-GB"/>
        </w:rPr>
      </w:pPr>
      <w:r w:rsidRPr="00180128">
        <w:rPr>
          <w:rFonts w:ascii="Times New Roman" w:eastAsia="Times New Roman" w:hAnsi="Times New Roman" w:cs="Times New Roman"/>
          <w:bCs/>
          <w:lang w:eastAsia="en-GB"/>
        </w:rPr>
        <w:t>Lancashire School of Business and Enterprise, University of Central Lancashire, Preston, PR1 2HE, UK; and</w:t>
      </w:r>
    </w:p>
    <w:p w14:paraId="1937494D" w14:textId="49A2BCD5" w:rsidR="00180128" w:rsidRDefault="00180128" w:rsidP="00180128">
      <w:pPr>
        <w:tabs>
          <w:tab w:val="left" w:pos="7350"/>
        </w:tabs>
        <w:spacing w:after="0" w:line="240" w:lineRule="auto"/>
        <w:jc w:val="center"/>
        <w:rPr>
          <w:rFonts w:ascii="Times New Roman" w:eastAsia="Times New Roman" w:hAnsi="Times New Roman" w:cs="Times New Roman"/>
          <w:bCs/>
          <w:lang w:eastAsia="en-GB"/>
        </w:rPr>
      </w:pPr>
      <w:r w:rsidRPr="00180128">
        <w:rPr>
          <w:rFonts w:ascii="Times New Roman" w:eastAsia="Times New Roman" w:hAnsi="Times New Roman" w:cs="Times New Roman"/>
          <w:bCs/>
          <w:lang w:eastAsia="en-GB"/>
        </w:rPr>
        <w:t>Department of Management, Faculty of Commerce, Mansoura University, Mansoura, Egypt</w:t>
      </w:r>
    </w:p>
    <w:p w14:paraId="03331FAF" w14:textId="77777777" w:rsidR="00180128" w:rsidRDefault="00180128" w:rsidP="00180128">
      <w:pPr>
        <w:tabs>
          <w:tab w:val="left" w:pos="7350"/>
        </w:tabs>
        <w:spacing w:after="0" w:line="240" w:lineRule="auto"/>
        <w:jc w:val="center"/>
        <w:rPr>
          <w:rFonts w:ascii="Times New Roman" w:eastAsia="Times New Roman" w:hAnsi="Times New Roman" w:cs="Times New Roman"/>
          <w:bCs/>
          <w:lang w:eastAsia="en-GB"/>
        </w:rPr>
      </w:pPr>
    </w:p>
    <w:p w14:paraId="36661786" w14:textId="389BF2F6" w:rsidR="00180128" w:rsidRPr="00180128" w:rsidRDefault="00180128" w:rsidP="00180128">
      <w:pPr>
        <w:jc w:val="center"/>
        <w:rPr>
          <w:rFonts w:ascii="Times New Roman" w:eastAsia="Times New Roman" w:hAnsi="Times New Roman" w:cs="Times New Roman"/>
          <w:b/>
          <w:bCs/>
          <w:sz w:val="28"/>
          <w:szCs w:val="28"/>
          <w:lang w:eastAsia="en-GB"/>
        </w:rPr>
      </w:pPr>
      <w:r w:rsidRPr="00180128">
        <w:rPr>
          <w:rFonts w:ascii="Times New Roman" w:eastAsia="Times New Roman" w:hAnsi="Times New Roman" w:cs="Times New Roman"/>
          <w:b/>
          <w:bCs/>
          <w:sz w:val="28"/>
          <w:szCs w:val="28"/>
          <w:lang w:eastAsia="en-GB"/>
        </w:rPr>
        <w:t>Andrews Owusu</w:t>
      </w:r>
    </w:p>
    <w:p w14:paraId="156C1D90" w14:textId="37C1BD8D" w:rsidR="00180128" w:rsidRDefault="00180128" w:rsidP="00180128">
      <w:pPr>
        <w:tabs>
          <w:tab w:val="left" w:pos="7350"/>
        </w:tabs>
        <w:spacing w:after="0" w:line="240" w:lineRule="auto"/>
        <w:jc w:val="center"/>
        <w:rPr>
          <w:rFonts w:ascii="Times New Roman" w:eastAsia="Times New Roman" w:hAnsi="Times New Roman" w:cs="Times New Roman"/>
          <w:bCs/>
          <w:lang w:eastAsia="en-GB"/>
        </w:rPr>
      </w:pPr>
      <w:r w:rsidRPr="00180128">
        <w:rPr>
          <w:rFonts w:ascii="Times New Roman" w:eastAsia="Times New Roman" w:hAnsi="Times New Roman" w:cs="Times New Roman"/>
          <w:bCs/>
          <w:lang w:eastAsia="en-GB"/>
        </w:rPr>
        <w:t xml:space="preserve">School of Economics, Finance and Accounting, Coventry University, Priory Street, CV1 5FB, </w:t>
      </w:r>
      <w:r>
        <w:rPr>
          <w:rFonts w:ascii="Times New Roman" w:eastAsia="Times New Roman" w:hAnsi="Times New Roman" w:cs="Times New Roman"/>
          <w:bCs/>
          <w:lang w:eastAsia="en-GB"/>
        </w:rPr>
        <w:t>UK</w:t>
      </w:r>
    </w:p>
    <w:p w14:paraId="1E91ABA2" w14:textId="27D84548" w:rsidR="00180128" w:rsidRPr="00180128" w:rsidRDefault="007234A6" w:rsidP="00180128">
      <w:pPr>
        <w:tabs>
          <w:tab w:val="left" w:pos="7350"/>
        </w:tabs>
        <w:spacing w:after="0" w:line="240" w:lineRule="auto"/>
        <w:jc w:val="center"/>
        <w:rPr>
          <w:rFonts w:ascii="Times New Roman" w:eastAsia="Times New Roman" w:hAnsi="Times New Roman" w:cs="Times New Roman"/>
          <w:bCs/>
          <w:lang w:eastAsia="en-GB"/>
        </w:rPr>
      </w:pPr>
      <w:hyperlink r:id="rId10" w:history="1">
        <w:r w:rsidR="00180128" w:rsidRPr="007D0486">
          <w:rPr>
            <w:rStyle w:val="Hyperlink"/>
            <w:rFonts w:ascii="Roboto" w:hAnsi="Roboto"/>
            <w:sz w:val="21"/>
            <w:szCs w:val="21"/>
            <w:shd w:val="clear" w:color="auto" w:fill="FFFFFF"/>
          </w:rPr>
          <w:t>ac1980@coventry.ac.uk</w:t>
        </w:r>
      </w:hyperlink>
      <w:r w:rsidR="00180128">
        <w:rPr>
          <w:rFonts w:ascii="Roboto" w:hAnsi="Roboto"/>
          <w:color w:val="222222"/>
          <w:sz w:val="21"/>
          <w:szCs w:val="21"/>
          <w:shd w:val="clear" w:color="auto" w:fill="FFFFFF"/>
        </w:rPr>
        <w:t xml:space="preserve"> </w:t>
      </w:r>
    </w:p>
    <w:p w14:paraId="7956FB8E" w14:textId="18FD6A94" w:rsidR="00180128" w:rsidRDefault="00180128" w:rsidP="00180128">
      <w:pPr>
        <w:tabs>
          <w:tab w:val="left" w:pos="7350"/>
        </w:tabs>
        <w:spacing w:after="0" w:line="240" w:lineRule="auto"/>
        <w:jc w:val="center"/>
        <w:rPr>
          <w:rFonts w:ascii="Times New Roman" w:eastAsia="Times New Roman" w:hAnsi="Times New Roman" w:cs="Times New Roman"/>
          <w:bCs/>
          <w:sz w:val="20"/>
          <w:lang w:eastAsia="en-GB"/>
        </w:rPr>
      </w:pPr>
    </w:p>
    <w:p w14:paraId="4CEE6A22" w14:textId="363356F2" w:rsidR="00180128" w:rsidRPr="00180128" w:rsidRDefault="00180128" w:rsidP="00180128">
      <w:pPr>
        <w:jc w:val="center"/>
        <w:rPr>
          <w:rFonts w:ascii="Times New Roman" w:eastAsia="Times New Roman" w:hAnsi="Times New Roman" w:cs="Times New Roman"/>
          <w:b/>
          <w:bCs/>
          <w:sz w:val="28"/>
          <w:szCs w:val="28"/>
          <w:lang w:eastAsia="en-GB"/>
        </w:rPr>
      </w:pPr>
      <w:r w:rsidRPr="00180128">
        <w:rPr>
          <w:rFonts w:ascii="Times New Roman" w:eastAsia="Times New Roman" w:hAnsi="Times New Roman" w:cs="Times New Roman"/>
          <w:b/>
          <w:bCs/>
          <w:sz w:val="28"/>
          <w:szCs w:val="28"/>
          <w:lang w:eastAsia="en-GB"/>
        </w:rPr>
        <w:t>Mohamed Elmagrhi</w:t>
      </w:r>
    </w:p>
    <w:p w14:paraId="6A9B47AC" w14:textId="4816CC9A" w:rsidR="00180128" w:rsidRDefault="00180128" w:rsidP="00180128">
      <w:pPr>
        <w:tabs>
          <w:tab w:val="left" w:pos="7350"/>
        </w:tabs>
        <w:spacing w:after="0" w:line="240" w:lineRule="auto"/>
        <w:jc w:val="center"/>
        <w:rPr>
          <w:rFonts w:ascii="Times New Roman" w:eastAsia="Times New Roman" w:hAnsi="Times New Roman" w:cs="Times New Roman"/>
          <w:bCs/>
          <w:lang w:eastAsia="en-GB"/>
        </w:rPr>
      </w:pPr>
      <w:r w:rsidRPr="00180128">
        <w:rPr>
          <w:rFonts w:ascii="Times New Roman" w:eastAsia="Times New Roman" w:hAnsi="Times New Roman" w:cs="Times New Roman"/>
          <w:bCs/>
          <w:lang w:eastAsia="en-GB"/>
        </w:rPr>
        <w:t>School of Management, Swansea University, Singleton Park, Swansea, SA2 8PP, Wales, UK</w:t>
      </w:r>
    </w:p>
    <w:p w14:paraId="2DB40178" w14:textId="60CDC60B" w:rsidR="00180128" w:rsidRDefault="007234A6" w:rsidP="00180128">
      <w:pPr>
        <w:tabs>
          <w:tab w:val="left" w:pos="7350"/>
        </w:tabs>
        <w:spacing w:after="0" w:line="240" w:lineRule="auto"/>
        <w:jc w:val="center"/>
        <w:rPr>
          <w:rFonts w:ascii="Times New Roman" w:eastAsia="Times New Roman" w:hAnsi="Times New Roman" w:cs="Times New Roman"/>
          <w:bCs/>
          <w:lang w:eastAsia="en-GB"/>
        </w:rPr>
      </w:pPr>
      <w:hyperlink r:id="rId11" w:history="1">
        <w:r w:rsidR="00180128" w:rsidRPr="007D0486">
          <w:rPr>
            <w:rStyle w:val="Hyperlink"/>
            <w:rFonts w:ascii="Times New Roman" w:eastAsia="Times New Roman" w:hAnsi="Times New Roman" w:cs="Times New Roman"/>
            <w:bCs/>
            <w:lang w:eastAsia="en-GB"/>
          </w:rPr>
          <w:t>m.h.a.elmagrhi@swansea.ac.uk</w:t>
        </w:r>
      </w:hyperlink>
      <w:r w:rsidR="00180128">
        <w:rPr>
          <w:rFonts w:ascii="Times New Roman" w:eastAsia="Times New Roman" w:hAnsi="Times New Roman" w:cs="Times New Roman"/>
          <w:bCs/>
          <w:lang w:eastAsia="en-GB"/>
        </w:rPr>
        <w:t xml:space="preserve"> </w:t>
      </w:r>
    </w:p>
    <w:p w14:paraId="1099F913" w14:textId="7DF4FA08" w:rsidR="00180128" w:rsidRDefault="00180128" w:rsidP="00180128">
      <w:pPr>
        <w:tabs>
          <w:tab w:val="left" w:pos="7350"/>
        </w:tabs>
        <w:spacing w:after="0" w:line="240" w:lineRule="auto"/>
        <w:jc w:val="center"/>
        <w:rPr>
          <w:rFonts w:ascii="Times New Roman" w:eastAsia="Times New Roman" w:hAnsi="Times New Roman" w:cs="Times New Roman"/>
          <w:bCs/>
          <w:lang w:eastAsia="en-GB"/>
        </w:rPr>
      </w:pPr>
    </w:p>
    <w:p w14:paraId="3A290496" w14:textId="6CC3886C" w:rsidR="00180128" w:rsidRPr="00180128" w:rsidRDefault="00180128" w:rsidP="00180128">
      <w:pPr>
        <w:jc w:val="center"/>
        <w:rPr>
          <w:rFonts w:ascii="Times New Roman" w:eastAsia="Times New Roman" w:hAnsi="Times New Roman" w:cs="Times New Roman"/>
          <w:b/>
          <w:bCs/>
          <w:sz w:val="28"/>
          <w:szCs w:val="28"/>
          <w:lang w:eastAsia="en-GB"/>
        </w:rPr>
      </w:pPr>
      <w:r w:rsidRPr="00180128">
        <w:rPr>
          <w:rFonts w:ascii="Times New Roman" w:eastAsia="Times New Roman" w:hAnsi="Times New Roman" w:cs="Times New Roman"/>
          <w:b/>
          <w:bCs/>
          <w:sz w:val="28"/>
          <w:szCs w:val="28"/>
          <w:lang w:eastAsia="en-GB"/>
        </w:rPr>
        <w:t xml:space="preserve">Awad </w:t>
      </w:r>
      <w:proofErr w:type="spellStart"/>
      <w:r w:rsidRPr="00180128">
        <w:rPr>
          <w:rFonts w:ascii="Times New Roman" w:eastAsia="Times New Roman" w:hAnsi="Times New Roman" w:cs="Times New Roman"/>
          <w:b/>
          <w:bCs/>
          <w:sz w:val="28"/>
          <w:szCs w:val="28"/>
          <w:lang w:eastAsia="en-GB"/>
        </w:rPr>
        <w:t>Elsayed</w:t>
      </w:r>
      <w:proofErr w:type="spellEnd"/>
      <w:r w:rsidRPr="00180128">
        <w:rPr>
          <w:rFonts w:ascii="Times New Roman" w:eastAsia="Times New Roman" w:hAnsi="Times New Roman" w:cs="Times New Roman"/>
          <w:b/>
          <w:bCs/>
          <w:sz w:val="28"/>
          <w:szCs w:val="28"/>
          <w:lang w:eastAsia="en-GB"/>
        </w:rPr>
        <w:t xml:space="preserve"> Awad Ibrahim</w:t>
      </w:r>
    </w:p>
    <w:p w14:paraId="24557D97" w14:textId="77920184" w:rsidR="00180128" w:rsidRDefault="00180128" w:rsidP="00180128">
      <w:pPr>
        <w:tabs>
          <w:tab w:val="left" w:pos="7350"/>
        </w:tabs>
        <w:spacing w:after="0" w:line="240" w:lineRule="auto"/>
        <w:jc w:val="center"/>
        <w:rPr>
          <w:rFonts w:ascii="Times New Roman" w:eastAsia="Times New Roman" w:hAnsi="Times New Roman" w:cs="Times New Roman"/>
          <w:bCs/>
          <w:lang w:eastAsia="en-GB"/>
        </w:rPr>
      </w:pPr>
      <w:r w:rsidRPr="00180128">
        <w:rPr>
          <w:rFonts w:ascii="Times New Roman" w:eastAsia="Times New Roman" w:hAnsi="Times New Roman" w:cs="Times New Roman"/>
          <w:bCs/>
          <w:lang w:eastAsia="en-GB"/>
        </w:rPr>
        <w:t>Portsmouth Business School, Portsmouth, United Kingdom</w:t>
      </w:r>
    </w:p>
    <w:p w14:paraId="37511712" w14:textId="13E14F06" w:rsidR="00180128" w:rsidRPr="00180128" w:rsidRDefault="007234A6" w:rsidP="00180128">
      <w:pPr>
        <w:spacing w:after="0" w:line="240" w:lineRule="auto"/>
        <w:jc w:val="center"/>
        <w:rPr>
          <w:rStyle w:val="Hyperlink"/>
        </w:rPr>
      </w:pPr>
      <w:hyperlink r:id="rId12" w:tgtFrame="_self" w:history="1">
        <w:r w:rsidR="00180128" w:rsidRPr="00180128">
          <w:rPr>
            <w:rStyle w:val="Hyperlink"/>
            <w:rFonts w:ascii="Times New Roman" w:eastAsia="Times New Roman" w:hAnsi="Times New Roman" w:cs="Times New Roman"/>
            <w:bCs/>
            <w:lang w:eastAsia="en-GB"/>
          </w:rPr>
          <w:t>awad.ibrahim@port.ac.uk</w:t>
        </w:r>
      </w:hyperlink>
    </w:p>
    <w:p w14:paraId="5C1C641A" w14:textId="77777777" w:rsidR="00180128" w:rsidRDefault="00180128" w:rsidP="00180128">
      <w:pPr>
        <w:spacing w:after="0" w:line="240" w:lineRule="auto"/>
        <w:jc w:val="center"/>
        <w:rPr>
          <w:rFonts w:ascii="Arial" w:hAnsi="Arial"/>
        </w:rPr>
      </w:pPr>
    </w:p>
    <w:p w14:paraId="54D3CEC6" w14:textId="77777777" w:rsidR="001F76E2" w:rsidRDefault="001F76E2" w:rsidP="001F76E2">
      <w:pPr>
        <w:tabs>
          <w:tab w:val="left" w:pos="7350"/>
        </w:tabs>
        <w:spacing w:after="0" w:line="240" w:lineRule="auto"/>
        <w:jc w:val="center"/>
        <w:rPr>
          <w:rFonts w:ascii="Times New Roman" w:eastAsia="Times New Roman" w:hAnsi="Times New Roman" w:cs="Times New Roman"/>
          <w:lang w:eastAsia="en-GB"/>
        </w:rPr>
      </w:pPr>
    </w:p>
    <w:p w14:paraId="5CB0777E" w14:textId="77777777" w:rsidR="001F76E2" w:rsidRPr="00F440E6" w:rsidRDefault="001F76E2" w:rsidP="001F76E2">
      <w:pPr>
        <w:tabs>
          <w:tab w:val="left" w:pos="7350"/>
        </w:tabs>
        <w:spacing w:after="0" w:line="240" w:lineRule="auto"/>
        <w:jc w:val="center"/>
        <w:rPr>
          <w:rFonts w:ascii="Times New Roman" w:eastAsia="Times New Roman" w:hAnsi="Times New Roman" w:cs="Times New Roman"/>
          <w:lang w:eastAsia="en-GB"/>
        </w:rPr>
      </w:pPr>
    </w:p>
    <w:p w14:paraId="78E4F662" w14:textId="77777777" w:rsidR="001F76E2" w:rsidRPr="00F440E6" w:rsidRDefault="001F76E2" w:rsidP="001F76E2">
      <w:pPr>
        <w:tabs>
          <w:tab w:val="left" w:pos="7350"/>
        </w:tabs>
        <w:spacing w:after="0" w:line="240" w:lineRule="auto"/>
        <w:jc w:val="center"/>
        <w:rPr>
          <w:rFonts w:ascii="Times New Roman" w:eastAsia="Times New Roman" w:hAnsi="Times New Roman" w:cs="Times New Roman"/>
          <w:lang w:eastAsia="en-GB"/>
        </w:rPr>
      </w:pPr>
    </w:p>
    <w:p w14:paraId="197C997A" w14:textId="3AD9B8C8" w:rsidR="001F76E2" w:rsidRDefault="001F76E2">
      <w:pPr>
        <w:rPr>
          <w:rFonts w:asciiTheme="majorBidi" w:eastAsia="Calibri" w:hAnsiTheme="majorBidi" w:cstheme="majorBidi"/>
          <w:b/>
          <w:sz w:val="24"/>
          <w:szCs w:val="24"/>
        </w:rPr>
      </w:pPr>
    </w:p>
    <w:p w14:paraId="04995475" w14:textId="02FF5C17" w:rsidR="00AA068C" w:rsidRPr="00180128" w:rsidRDefault="00AA068C" w:rsidP="00AA068C">
      <w:pPr>
        <w:spacing w:line="360" w:lineRule="auto"/>
        <w:jc w:val="center"/>
        <w:rPr>
          <w:rFonts w:asciiTheme="majorBidi" w:eastAsia="Calibri" w:hAnsiTheme="majorBidi" w:cstheme="majorBidi"/>
          <w:b/>
          <w:vanish/>
          <w:sz w:val="32"/>
          <w:szCs w:val="32"/>
          <w:specVanish/>
        </w:rPr>
      </w:pPr>
      <w:r w:rsidRPr="00180128">
        <w:rPr>
          <w:rFonts w:asciiTheme="majorBidi" w:eastAsia="Calibri" w:hAnsiTheme="majorBidi" w:cstheme="majorBidi"/>
          <w:b/>
          <w:sz w:val="32"/>
          <w:szCs w:val="32"/>
        </w:rPr>
        <w:lastRenderedPageBreak/>
        <w:t>Are bank risk disclosures informative? Evidence from debt markets </w:t>
      </w:r>
    </w:p>
    <w:p w14:paraId="0949B4F8" w14:textId="77777777" w:rsidR="00AA068C" w:rsidRPr="00BA06B6" w:rsidRDefault="00AA068C" w:rsidP="00AA068C">
      <w:pPr>
        <w:tabs>
          <w:tab w:val="left" w:pos="3570"/>
        </w:tabs>
        <w:spacing w:line="360" w:lineRule="auto"/>
        <w:rPr>
          <w:rFonts w:asciiTheme="majorBidi" w:hAnsiTheme="majorBidi" w:cstheme="majorBidi"/>
          <w:sz w:val="24"/>
          <w:szCs w:val="24"/>
        </w:rPr>
      </w:pPr>
      <w:r w:rsidRPr="00BA06B6">
        <w:rPr>
          <w:rFonts w:asciiTheme="majorBidi" w:hAnsiTheme="majorBidi" w:cstheme="majorBidi"/>
          <w:sz w:val="24"/>
          <w:szCs w:val="24"/>
        </w:rPr>
        <w:tab/>
      </w:r>
    </w:p>
    <w:p w14:paraId="6BB044DD" w14:textId="77777777" w:rsidR="00AA068C" w:rsidRPr="00BA06B6" w:rsidRDefault="00AA068C" w:rsidP="00AA068C">
      <w:pPr>
        <w:keepNext/>
        <w:keepLines/>
        <w:tabs>
          <w:tab w:val="left" w:pos="851"/>
        </w:tabs>
        <w:spacing w:before="100" w:beforeAutospacing="1" w:after="0" w:line="360" w:lineRule="auto"/>
        <w:jc w:val="both"/>
        <w:outlineLvl w:val="0"/>
        <w:rPr>
          <w:rFonts w:asciiTheme="majorBidi" w:eastAsia="Calibri" w:hAnsiTheme="majorBidi" w:cstheme="majorBidi"/>
          <w:b/>
          <w:sz w:val="24"/>
          <w:szCs w:val="24"/>
        </w:rPr>
      </w:pPr>
      <w:r w:rsidRPr="00BA06B6">
        <w:rPr>
          <w:rFonts w:asciiTheme="majorBidi" w:eastAsia="Calibri" w:hAnsiTheme="majorBidi" w:cstheme="majorBidi"/>
          <w:b/>
          <w:sz w:val="24"/>
          <w:szCs w:val="24"/>
        </w:rPr>
        <w:t>Abstract</w:t>
      </w:r>
      <w:bookmarkEnd w:id="0"/>
      <w:bookmarkEnd w:id="1"/>
      <w:bookmarkEnd w:id="2"/>
      <w:bookmarkEnd w:id="3"/>
    </w:p>
    <w:p w14:paraId="644ECA05" w14:textId="5CF97FE4" w:rsidR="00AA068C" w:rsidRPr="00BA06B6" w:rsidRDefault="00AA068C" w:rsidP="00556AC8">
      <w:pPr>
        <w:spacing w:after="0" w:line="360" w:lineRule="auto"/>
        <w:jc w:val="both"/>
        <w:rPr>
          <w:rFonts w:asciiTheme="majorBidi" w:eastAsia="Times New Roman" w:hAnsiTheme="majorBidi" w:cstheme="majorBidi"/>
          <w:noProof/>
          <w:sz w:val="24"/>
          <w:szCs w:val="24"/>
          <w:lang w:eastAsia="en-GB"/>
        </w:rPr>
      </w:pPr>
      <w:bookmarkStart w:id="4" w:name="_Toc454034474"/>
      <w:r w:rsidRPr="00BA06B6">
        <w:rPr>
          <w:rFonts w:asciiTheme="majorBidi" w:eastAsia="Times New Roman" w:hAnsiTheme="majorBidi" w:cstheme="majorBidi"/>
          <w:sz w:val="24"/>
          <w:szCs w:val="24"/>
          <w:lang w:eastAsia="en-GB"/>
        </w:rPr>
        <w:t>This</w:t>
      </w:r>
      <w:r w:rsidRPr="00BA06B6">
        <w:rPr>
          <w:rFonts w:asciiTheme="majorBidi" w:eastAsia="Times New Roman" w:hAnsiTheme="majorBidi" w:cstheme="majorBidi"/>
          <w:noProof/>
          <w:sz w:val="24"/>
          <w:szCs w:val="24"/>
          <w:lang w:eastAsia="en-GB"/>
        </w:rPr>
        <w:t xml:space="preserve"> study examines whether financial reporting with a specific focus on risk disclosures have a predictive (informative) effect on banks’ credit ratings (BCRs) and</w:t>
      </w:r>
      <w:r w:rsidR="00556AC8" w:rsidRPr="00BA06B6">
        <w:rPr>
          <w:rFonts w:asciiTheme="majorBidi" w:eastAsia="Times New Roman" w:hAnsiTheme="majorBidi" w:cstheme="majorBidi"/>
          <w:noProof/>
          <w:sz w:val="24"/>
          <w:szCs w:val="24"/>
          <w:lang w:eastAsia="en-GB"/>
        </w:rPr>
        <w:t>,</w:t>
      </w:r>
      <w:r w:rsidRPr="00BA06B6">
        <w:rPr>
          <w:rFonts w:asciiTheme="majorBidi" w:eastAsia="Times New Roman" w:hAnsiTheme="majorBidi" w:cstheme="majorBidi"/>
          <w:noProof/>
          <w:sz w:val="24"/>
          <w:szCs w:val="24"/>
          <w:lang w:eastAsia="en-GB"/>
        </w:rPr>
        <w:t xml:space="preserve"> consequently, ascertains whether governance structures can moderate such an association. Using one of the largest bank-level datasets collected from 12 Middle East and North African (MENA) countries over the 2006-2013 period to-date, our findings are as follows. First, we find that risk disclosures have a predictive effect on BCRs. Second, we find that the relationship between risk disclosures and BCRs is contingent on the quality of governance structures. Specifically, we find that the informativeness of risk disclosures on BCRs is higher in banks with larger board size, greater independence, higher government ownership</w:t>
      </w:r>
      <w:r w:rsidR="00556AC8" w:rsidRPr="00BA06B6">
        <w:rPr>
          <w:rFonts w:asciiTheme="majorBidi" w:eastAsia="Times New Roman" w:hAnsiTheme="majorBidi" w:cstheme="majorBidi"/>
          <w:noProof/>
          <w:sz w:val="24"/>
          <w:szCs w:val="24"/>
          <w:lang w:eastAsia="en-GB"/>
        </w:rPr>
        <w:t>,</w:t>
      </w:r>
      <w:r w:rsidRPr="00BA06B6">
        <w:rPr>
          <w:rFonts w:asciiTheme="majorBidi" w:eastAsia="Times New Roman" w:hAnsiTheme="majorBidi" w:cstheme="majorBidi"/>
          <w:noProof/>
          <w:sz w:val="24"/>
          <w:szCs w:val="24"/>
          <w:lang w:eastAsia="en-GB"/>
        </w:rPr>
        <w:t xml:space="preserve"> and better Shariah supervisory board, but lower in banks with greater block ownership, higher foreign ownership and the presence of CEO duality. The central tenor of our findings remains unchanged after controlling for a number of firm- and country-level factors, alternative risk disclosure measures, firm- and national-level governance proxies, different types of banks, and potential endogeneities. The findings have important implications for investors, especially bondholders, standard</w:t>
      </w:r>
      <w:r w:rsidR="009E5E47" w:rsidRPr="00BA06B6">
        <w:rPr>
          <w:rFonts w:asciiTheme="majorBidi" w:eastAsia="Times New Roman" w:hAnsiTheme="majorBidi" w:cstheme="majorBidi"/>
          <w:noProof/>
          <w:sz w:val="24"/>
          <w:szCs w:val="24"/>
          <w:lang w:eastAsia="en-GB"/>
        </w:rPr>
        <w:t>-</w:t>
      </w:r>
      <w:r w:rsidRPr="00BA06B6">
        <w:rPr>
          <w:rFonts w:asciiTheme="majorBidi" w:eastAsia="Times New Roman" w:hAnsiTheme="majorBidi" w:cstheme="majorBidi"/>
          <w:noProof/>
          <w:sz w:val="24"/>
          <w:szCs w:val="24"/>
          <w:lang w:eastAsia="en-GB"/>
        </w:rPr>
        <w:t>setters, regulators, and central governments.</w:t>
      </w:r>
    </w:p>
    <w:p w14:paraId="0623884E" w14:textId="77777777" w:rsidR="009E5E47" w:rsidRPr="00BA06B6" w:rsidRDefault="009E5E47" w:rsidP="008F77A2">
      <w:pPr>
        <w:spacing w:after="0" w:line="360" w:lineRule="auto"/>
        <w:jc w:val="both"/>
        <w:rPr>
          <w:rFonts w:asciiTheme="majorBidi" w:eastAsia="Calibri" w:hAnsiTheme="majorBidi" w:cstheme="majorBidi"/>
          <w:b/>
          <w:bCs/>
          <w:iCs/>
          <w:sz w:val="24"/>
          <w:szCs w:val="24"/>
        </w:rPr>
      </w:pPr>
    </w:p>
    <w:p w14:paraId="3DA905D9" w14:textId="046A8957" w:rsidR="008F77A2" w:rsidRPr="00BA06B6" w:rsidRDefault="008F77A2" w:rsidP="008F77A2">
      <w:pPr>
        <w:spacing w:after="0" w:line="360" w:lineRule="auto"/>
        <w:jc w:val="both"/>
        <w:rPr>
          <w:rFonts w:asciiTheme="majorBidi" w:eastAsia="Calibri" w:hAnsiTheme="majorBidi" w:cstheme="majorBidi"/>
          <w:sz w:val="24"/>
          <w:szCs w:val="24"/>
        </w:rPr>
      </w:pPr>
      <w:r w:rsidRPr="00BA06B6">
        <w:rPr>
          <w:rFonts w:asciiTheme="majorBidi" w:eastAsia="Calibri" w:hAnsiTheme="majorBidi" w:cstheme="majorBidi"/>
          <w:b/>
          <w:bCs/>
          <w:iCs/>
          <w:sz w:val="24"/>
          <w:szCs w:val="24"/>
        </w:rPr>
        <w:t>KEYWORDS</w:t>
      </w:r>
    </w:p>
    <w:p w14:paraId="18521C1E" w14:textId="776896DB" w:rsidR="00AA068C" w:rsidRPr="00BA06B6" w:rsidRDefault="00AA068C" w:rsidP="008F77A2">
      <w:pPr>
        <w:spacing w:after="0" w:line="360" w:lineRule="auto"/>
        <w:jc w:val="both"/>
        <w:rPr>
          <w:rFonts w:asciiTheme="majorBidi" w:eastAsia="Times New Roman" w:hAnsiTheme="majorBidi" w:cstheme="majorBidi"/>
          <w:sz w:val="24"/>
          <w:szCs w:val="24"/>
          <w:lang w:eastAsia="en-GB"/>
        </w:rPr>
      </w:pPr>
      <w:bookmarkStart w:id="5" w:name="_GoBack"/>
      <w:r w:rsidRPr="00BA06B6">
        <w:rPr>
          <w:rFonts w:asciiTheme="majorBidi" w:eastAsia="Calibri" w:hAnsiTheme="majorBidi" w:cstheme="majorBidi"/>
          <w:bCs/>
          <w:sz w:val="24"/>
          <w:szCs w:val="24"/>
        </w:rPr>
        <w:t>Financial reporting</w:t>
      </w:r>
      <w:bookmarkEnd w:id="5"/>
      <w:r w:rsidR="007234A6">
        <w:rPr>
          <w:rFonts w:asciiTheme="majorBidi" w:eastAsia="Calibri" w:hAnsiTheme="majorBidi" w:cstheme="majorBidi"/>
          <w:bCs/>
          <w:sz w:val="24"/>
          <w:szCs w:val="24"/>
        </w:rPr>
        <w:t>;</w:t>
      </w:r>
      <w:r w:rsidRPr="00BA06B6">
        <w:rPr>
          <w:rFonts w:asciiTheme="majorBidi" w:eastAsia="Calibri" w:hAnsiTheme="majorBidi" w:cstheme="majorBidi"/>
          <w:bCs/>
          <w:sz w:val="24"/>
          <w:szCs w:val="24"/>
        </w:rPr>
        <w:t xml:space="preserve"> </w:t>
      </w:r>
      <w:r w:rsidRPr="00BA06B6">
        <w:rPr>
          <w:rFonts w:asciiTheme="majorBidi" w:eastAsia="Times New Roman" w:hAnsiTheme="majorBidi" w:cstheme="majorBidi"/>
          <w:sz w:val="24"/>
          <w:szCs w:val="24"/>
          <w:lang w:eastAsia="en-GB"/>
        </w:rPr>
        <w:t>risk disclosures; Banks’ credit ratings; Debt markets; Governance structures; MENA</w:t>
      </w:r>
      <w:bookmarkEnd w:id="4"/>
      <w:r w:rsidRPr="00BA06B6">
        <w:rPr>
          <w:rFonts w:asciiTheme="majorBidi" w:eastAsia="Times New Roman" w:hAnsiTheme="majorBidi" w:cstheme="majorBidi"/>
          <w:sz w:val="24"/>
          <w:szCs w:val="24"/>
          <w:lang w:eastAsia="en-GB"/>
        </w:rPr>
        <w:t xml:space="preserve"> </w:t>
      </w:r>
    </w:p>
    <w:p w14:paraId="210D6CEA" w14:textId="77777777" w:rsidR="00AA068C" w:rsidRPr="00BA06B6" w:rsidRDefault="00AA068C" w:rsidP="00AA068C">
      <w:pPr>
        <w:tabs>
          <w:tab w:val="left" w:pos="851"/>
        </w:tabs>
        <w:spacing w:after="100" w:afterAutospacing="1" w:line="360" w:lineRule="auto"/>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i/>
          <w:sz w:val="24"/>
          <w:szCs w:val="24"/>
          <w:lang w:eastAsia="en-GB"/>
        </w:rPr>
        <w:t>JEL classification</w:t>
      </w:r>
      <w:r w:rsidRPr="00BA06B6">
        <w:rPr>
          <w:rFonts w:asciiTheme="majorBidi" w:eastAsia="Times New Roman" w:hAnsiTheme="majorBidi" w:cstheme="majorBidi"/>
          <w:sz w:val="24"/>
          <w:szCs w:val="24"/>
          <w:lang w:eastAsia="en-GB"/>
        </w:rPr>
        <w:t>:  G21, G24, G32, G34, G38, M48</w:t>
      </w:r>
    </w:p>
    <w:p w14:paraId="1B180176" w14:textId="77777777" w:rsidR="00AA068C" w:rsidRPr="00BA06B6" w:rsidRDefault="00AA068C" w:rsidP="00AA068C">
      <w:pPr>
        <w:tabs>
          <w:tab w:val="left" w:pos="851"/>
        </w:tabs>
        <w:spacing w:after="100" w:afterAutospacing="1" w:line="360" w:lineRule="auto"/>
        <w:jc w:val="both"/>
        <w:rPr>
          <w:rFonts w:asciiTheme="majorBidi" w:eastAsia="Times New Roman" w:hAnsiTheme="majorBidi" w:cstheme="majorBidi"/>
          <w:sz w:val="24"/>
          <w:szCs w:val="24"/>
          <w:lang w:eastAsia="en-GB"/>
        </w:rPr>
      </w:pPr>
    </w:p>
    <w:p w14:paraId="02FCC50B" w14:textId="77777777" w:rsidR="008F77A2" w:rsidRPr="00BA06B6" w:rsidRDefault="008F77A2" w:rsidP="00AA068C">
      <w:pPr>
        <w:tabs>
          <w:tab w:val="left" w:pos="851"/>
        </w:tabs>
        <w:spacing w:after="100" w:afterAutospacing="1" w:line="360" w:lineRule="auto"/>
        <w:jc w:val="both"/>
        <w:rPr>
          <w:rFonts w:asciiTheme="majorBidi" w:eastAsia="Times New Roman" w:hAnsiTheme="majorBidi" w:cstheme="majorBidi"/>
          <w:sz w:val="24"/>
          <w:szCs w:val="24"/>
          <w:lang w:eastAsia="en-GB"/>
        </w:rPr>
      </w:pPr>
    </w:p>
    <w:p w14:paraId="361FDAD0" w14:textId="77777777" w:rsidR="00BC341D" w:rsidRPr="00BA06B6" w:rsidRDefault="00BC341D" w:rsidP="00AA068C">
      <w:pPr>
        <w:tabs>
          <w:tab w:val="left" w:pos="851"/>
        </w:tabs>
        <w:spacing w:after="100" w:afterAutospacing="1" w:line="360" w:lineRule="auto"/>
        <w:jc w:val="both"/>
        <w:rPr>
          <w:rFonts w:asciiTheme="majorBidi" w:eastAsia="Times New Roman" w:hAnsiTheme="majorBidi" w:cstheme="majorBidi"/>
          <w:sz w:val="24"/>
          <w:szCs w:val="24"/>
          <w:lang w:eastAsia="en-GB"/>
        </w:rPr>
      </w:pPr>
    </w:p>
    <w:p w14:paraId="7F1A30A8" w14:textId="77777777" w:rsidR="008F77A2" w:rsidRPr="00BA06B6" w:rsidRDefault="008F77A2" w:rsidP="00AA068C">
      <w:pPr>
        <w:tabs>
          <w:tab w:val="left" w:pos="851"/>
        </w:tabs>
        <w:spacing w:after="100" w:afterAutospacing="1" w:line="360" w:lineRule="auto"/>
        <w:jc w:val="both"/>
        <w:rPr>
          <w:rFonts w:asciiTheme="majorBidi" w:eastAsia="Times New Roman" w:hAnsiTheme="majorBidi" w:cstheme="majorBidi"/>
          <w:sz w:val="24"/>
          <w:szCs w:val="24"/>
          <w:lang w:eastAsia="en-GB"/>
        </w:rPr>
      </w:pPr>
    </w:p>
    <w:p w14:paraId="2AC99EBC" w14:textId="77777777" w:rsidR="008F77A2" w:rsidRPr="00BA06B6" w:rsidRDefault="008F77A2" w:rsidP="00AA068C">
      <w:pPr>
        <w:tabs>
          <w:tab w:val="left" w:pos="851"/>
        </w:tabs>
        <w:spacing w:after="100" w:afterAutospacing="1" w:line="360" w:lineRule="auto"/>
        <w:jc w:val="both"/>
        <w:rPr>
          <w:rFonts w:asciiTheme="majorBidi" w:eastAsia="Times New Roman" w:hAnsiTheme="majorBidi" w:cstheme="majorBidi"/>
          <w:sz w:val="24"/>
          <w:szCs w:val="24"/>
          <w:lang w:eastAsia="en-GB"/>
        </w:rPr>
      </w:pPr>
    </w:p>
    <w:p w14:paraId="607D72AA" w14:textId="28345E0C" w:rsidR="00AA068C" w:rsidRPr="00BA06B6" w:rsidRDefault="00BC341D" w:rsidP="00BC341D">
      <w:pPr>
        <w:keepNext/>
        <w:keepLines/>
        <w:tabs>
          <w:tab w:val="left" w:pos="0"/>
        </w:tabs>
        <w:spacing w:after="0" w:line="360" w:lineRule="auto"/>
        <w:contextualSpacing/>
        <w:jc w:val="both"/>
        <w:outlineLvl w:val="0"/>
        <w:rPr>
          <w:rFonts w:ascii="Times New Roman" w:eastAsia="Calibri" w:hAnsi="Times New Roman" w:cs="Times New Roman"/>
          <w:b/>
          <w:sz w:val="24"/>
          <w:szCs w:val="24"/>
        </w:rPr>
      </w:pPr>
      <w:bookmarkStart w:id="6" w:name="_Toc453539595"/>
      <w:bookmarkStart w:id="7" w:name="_Toc453539711"/>
      <w:bookmarkStart w:id="8" w:name="_Toc457534115"/>
      <w:r w:rsidRPr="00BA06B6">
        <w:rPr>
          <w:rFonts w:asciiTheme="majorBidi" w:eastAsia="Times New Roman" w:hAnsiTheme="majorBidi" w:cstheme="majorBidi"/>
          <w:b/>
          <w:bCs/>
          <w:sz w:val="24"/>
          <w:szCs w:val="24"/>
          <w:lang w:eastAsia="en-GB"/>
        </w:rPr>
        <w:lastRenderedPageBreak/>
        <w:t xml:space="preserve">1   </w:t>
      </w:r>
      <w:r w:rsidR="00AA068C" w:rsidRPr="00BA06B6">
        <w:rPr>
          <w:rFonts w:ascii="Times New Roman" w:eastAsia="Calibri" w:hAnsi="Times New Roman" w:cs="Times New Roman"/>
          <w:b/>
          <w:sz w:val="24"/>
          <w:szCs w:val="24"/>
        </w:rPr>
        <w:t xml:space="preserve">| </w:t>
      </w:r>
      <w:r w:rsidRPr="00BA06B6">
        <w:rPr>
          <w:rFonts w:ascii="Times New Roman" w:eastAsia="Calibri" w:hAnsi="Times New Roman" w:cs="Times New Roman"/>
          <w:b/>
          <w:sz w:val="24"/>
          <w:szCs w:val="24"/>
        </w:rPr>
        <w:t xml:space="preserve"> </w:t>
      </w:r>
      <w:r w:rsidR="00AA068C" w:rsidRPr="00BA06B6">
        <w:rPr>
          <w:rFonts w:ascii="Times New Roman" w:eastAsia="Calibri" w:hAnsi="Times New Roman" w:cs="Times New Roman"/>
          <w:b/>
          <w:sz w:val="24"/>
          <w:szCs w:val="24"/>
        </w:rPr>
        <w:t xml:space="preserve"> INTRODUCTION</w:t>
      </w:r>
      <w:bookmarkEnd w:id="6"/>
      <w:bookmarkEnd w:id="7"/>
      <w:bookmarkEnd w:id="8"/>
    </w:p>
    <w:p w14:paraId="47A4DBB8" w14:textId="77777777" w:rsidR="00AA068C" w:rsidRPr="00BA06B6" w:rsidRDefault="00AA068C" w:rsidP="00AA068C">
      <w:pPr>
        <w:spacing w:after="0" w:line="360" w:lineRule="auto"/>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 xml:space="preserve">This study seeks to contribute to the existing literature by examining:  (i) the predictive effect (informativeness) of financial reporting with specific focus on risk disclosures on banks’ credit ratings (BCRs); and (ii) consequently ascertains whether governance structures have a moderating effect on the risk disclosures–BCRs nexus using the Middle East and North Africa (MENA) BCRs over the 2006-2013 period. </w:t>
      </w:r>
    </w:p>
    <w:p w14:paraId="1A8DF444" w14:textId="77777777" w:rsidR="00AA068C" w:rsidRPr="00BA06B6" w:rsidRDefault="00AA068C" w:rsidP="00A1373D">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 xml:space="preserve">Meanwhile, the past decade has witnessed a number of corporate crises, including the global financial crisis (GFC), the Eurozone crisis, Chinese stock market crash and several high-profile bank failures around the world (e.g., Lehman Brothers in the USA, Northern Rock in the UK, and the Dubai Islamic Bank in the UAE). These crises have affected the banking sector worldwide, as well as reignited concerns relating to the effectiveness of financial reporting, risk management and disclosure practices (BCBS, 2015a, 2015b; </w:t>
      </w:r>
      <w:proofErr w:type="spellStart"/>
      <w:r w:rsidRPr="00BA06B6">
        <w:rPr>
          <w:rFonts w:asciiTheme="majorBidi" w:eastAsia="Times New Roman" w:hAnsiTheme="majorBidi" w:cstheme="majorBidi"/>
          <w:sz w:val="24"/>
          <w:szCs w:val="24"/>
          <w:lang w:eastAsia="en-GB"/>
        </w:rPr>
        <w:t>Beisland</w:t>
      </w:r>
      <w:proofErr w:type="spellEnd"/>
      <w:r w:rsidRPr="00BA06B6">
        <w:rPr>
          <w:rFonts w:asciiTheme="majorBidi" w:eastAsia="Times New Roman" w:hAnsiTheme="majorBidi" w:cstheme="majorBidi"/>
          <w:sz w:val="24"/>
          <w:szCs w:val="24"/>
          <w:lang w:eastAsia="en-GB"/>
        </w:rPr>
        <w:t xml:space="preserve">, 2014; Hasan, 2011; Liu et al., 2017). The GFC, in particular, has stimulated regulators worldwide to focus more closely on pursuing governance and regulatory reforms aimed at enhancing the effectiveness of risk disclosure and governance mechanisms, especially within the banking sector (Barakat &amp; Hussainey, 2013; </w:t>
      </w:r>
      <w:proofErr w:type="spellStart"/>
      <w:r w:rsidRPr="00BA06B6">
        <w:rPr>
          <w:rFonts w:asciiTheme="majorBidi" w:eastAsia="Times New Roman" w:hAnsiTheme="majorBidi" w:cstheme="majorBidi"/>
          <w:sz w:val="24"/>
          <w:szCs w:val="24"/>
          <w:lang w:eastAsia="en-GB"/>
        </w:rPr>
        <w:t>Iatridis</w:t>
      </w:r>
      <w:proofErr w:type="spellEnd"/>
      <w:r w:rsidRPr="00BA06B6">
        <w:rPr>
          <w:rFonts w:asciiTheme="majorBidi" w:eastAsia="Times New Roman" w:hAnsiTheme="majorBidi" w:cstheme="majorBidi"/>
          <w:sz w:val="24"/>
          <w:szCs w:val="24"/>
          <w:lang w:eastAsia="en-GB"/>
        </w:rPr>
        <w:t xml:space="preserve">, 2008; Walker, 2009). Similarly, the Basel Committee on Banking Supervision (BCBS) suggests that comprehensive and effective risk disclosure practices are central to achieving and maintaining public trust and confidence (Barakat &amp;Hussainey, 2013; BCBS, 2015a, 2015b; Liang et al., 2013). </w:t>
      </w:r>
    </w:p>
    <w:p w14:paraId="52E0A70C" w14:textId="0A7636C0" w:rsidR="00AA068C" w:rsidRPr="00BA06B6" w:rsidRDefault="00AA068C" w:rsidP="00251D60">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Indeed, the Basel Accords (i.e., I, II, and III), international and domestic equivalent accounting standards (e.g., IFRS 7, 9, IAS 32, 39), and governance codes (e.g., World Bank and Saudi governance codes) are often aimed at strengthening the need for comprehensive risk management and disclosure practices. Similarly, identifying, measuring, managing, controlling and</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more importantly, reporting and disclosing risks are becoming more critical as the global banking sector becomes increasingly complex and opaque. Generally, the Basel Accords, governance codes and IFRS/IAS concentrate on qualitative and quantitative disclosures regarding credit, liquidity, and market risks (Barakat &amp;Hussainey, 2013; BCBS, 2015b). </w:t>
      </w:r>
    </w:p>
    <w:p w14:paraId="09F65B95" w14:textId="6AAC27F7" w:rsidR="00251D60" w:rsidRPr="00BA06B6" w:rsidRDefault="00AA068C" w:rsidP="00251D60">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The crucial policy question, however, is whether the market considers such Basel, IFRS/IAS and governance reforms-inspired risk disclosures informative about a firm’s current and future prospects, and in particular, whether debt markets react to such risk disclosures.  Admittedly, a number of plausible theoretical explanations exist. For example, agency theory predicts that increased risk disclosures can enhance managerial monitoring and reduce information asymmetry, which can reduce cost of capital by improving BCRs (Aman &amp;Nguyen, 2013; Ashbaugh-</w:t>
      </w:r>
      <w:proofErr w:type="spellStart"/>
      <w:r w:rsidRPr="00BA06B6">
        <w:rPr>
          <w:rFonts w:asciiTheme="majorBidi" w:eastAsia="Times New Roman" w:hAnsiTheme="majorBidi" w:cstheme="majorBidi"/>
          <w:sz w:val="24"/>
          <w:szCs w:val="24"/>
          <w:lang w:eastAsia="en-GB"/>
        </w:rPr>
        <w:t>Skaife</w:t>
      </w:r>
      <w:proofErr w:type="spellEnd"/>
      <w:r w:rsidRPr="00BA06B6">
        <w:rPr>
          <w:rFonts w:asciiTheme="majorBidi" w:eastAsia="Times New Roman" w:hAnsiTheme="majorBidi" w:cstheme="majorBidi"/>
          <w:sz w:val="24"/>
          <w:szCs w:val="24"/>
          <w:lang w:eastAsia="en-GB"/>
        </w:rPr>
        <w:t xml:space="preserve"> et al., 2006; Chan et al., 2013; Jensen &amp; </w:t>
      </w:r>
      <w:proofErr w:type="spellStart"/>
      <w:r w:rsidRPr="00BA06B6">
        <w:rPr>
          <w:rFonts w:asciiTheme="majorBidi" w:eastAsia="Times New Roman" w:hAnsiTheme="majorBidi" w:cstheme="majorBidi"/>
          <w:sz w:val="24"/>
          <w:szCs w:val="24"/>
          <w:lang w:eastAsia="en-GB"/>
        </w:rPr>
        <w:t>Meckling</w:t>
      </w:r>
      <w:proofErr w:type="spellEnd"/>
      <w:r w:rsidRPr="00BA06B6">
        <w:rPr>
          <w:rFonts w:asciiTheme="majorBidi" w:eastAsia="Times New Roman" w:hAnsiTheme="majorBidi" w:cstheme="majorBidi"/>
          <w:sz w:val="24"/>
          <w:szCs w:val="24"/>
          <w:lang w:eastAsia="en-GB"/>
        </w:rPr>
        <w:t xml:space="preserve">, 1976; </w:t>
      </w:r>
      <w:proofErr w:type="spellStart"/>
      <w:r w:rsidRPr="00BA06B6">
        <w:rPr>
          <w:rFonts w:asciiTheme="majorBidi" w:eastAsia="Times New Roman" w:hAnsiTheme="majorBidi" w:cstheme="majorBidi"/>
          <w:sz w:val="24"/>
          <w:szCs w:val="24"/>
          <w:lang w:eastAsia="en-GB"/>
        </w:rPr>
        <w:lastRenderedPageBreak/>
        <w:t>Kuang</w:t>
      </w:r>
      <w:proofErr w:type="spellEnd"/>
      <w:r w:rsidRPr="00BA06B6">
        <w:rPr>
          <w:rFonts w:asciiTheme="majorBidi" w:eastAsia="Times New Roman" w:hAnsiTheme="majorBidi" w:cstheme="majorBidi"/>
          <w:sz w:val="24"/>
          <w:szCs w:val="24"/>
          <w:lang w:eastAsia="en-GB"/>
        </w:rPr>
        <w:t xml:space="preserve"> &amp; Qin, 2013). Similarly, signalling, legitimacy</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and resource dependence theories predict that improved risk disclosures can send important signals to credit rating agencies about the current and future performance and risk management strengths of a bank. Such improved risk disclosure may facilitate access to resources, legitimise banks’ operations, and hence, equally reduce the cost of capital by enhancing their BCRs</w:t>
      </w:r>
      <w:r w:rsidR="00251D60" w:rsidRPr="00BA06B6">
        <w:rPr>
          <w:rFonts w:asciiTheme="majorBidi" w:eastAsia="Times New Roman" w:hAnsiTheme="majorBidi" w:cstheme="majorBidi"/>
          <w:sz w:val="24"/>
          <w:szCs w:val="24"/>
          <w:lang w:eastAsia="en-GB"/>
        </w:rPr>
        <w:t>.</w:t>
      </w:r>
    </w:p>
    <w:p w14:paraId="14553B48" w14:textId="1F0BE721" w:rsidR="00124E9E" w:rsidRPr="00BA06B6" w:rsidRDefault="00124E9E" w:rsidP="00124E9E">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Furthermore, He (2018) suggests that managers have a motivation to sustain or accomplish a favour</w:t>
      </w:r>
      <w:r w:rsidR="00955363" w:rsidRPr="00BA06B6">
        <w:rPr>
          <w:rFonts w:asciiTheme="majorBidi" w:eastAsia="Times New Roman" w:hAnsiTheme="majorBidi" w:cstheme="majorBidi"/>
          <w:sz w:val="24"/>
          <w:szCs w:val="24"/>
          <w:lang w:eastAsia="en-GB"/>
        </w:rPr>
        <w:t>able</w:t>
      </w:r>
      <w:r w:rsidRPr="00BA06B6">
        <w:rPr>
          <w:rFonts w:asciiTheme="majorBidi" w:eastAsia="Times New Roman" w:hAnsiTheme="majorBidi" w:cstheme="majorBidi"/>
          <w:sz w:val="24"/>
          <w:szCs w:val="24"/>
          <w:lang w:eastAsia="en-GB"/>
        </w:rPr>
        <w:t xml:space="preserve"> credit rating</w:t>
      </w:r>
      <w:r w:rsidR="0030144A" w:rsidRPr="00BA06B6">
        <w:rPr>
          <w:rFonts w:asciiTheme="majorBidi" w:eastAsia="Times New Roman" w:hAnsiTheme="majorBidi" w:cstheme="majorBidi"/>
          <w:sz w:val="24"/>
          <w:szCs w:val="24"/>
          <w:lang w:eastAsia="en-GB"/>
        </w:rPr>
        <w:t xml:space="preserve"> irrespective of the rating agency’s</w:t>
      </w:r>
      <w:r w:rsidRPr="00BA06B6">
        <w:rPr>
          <w:rFonts w:asciiTheme="majorBidi" w:eastAsia="Times New Roman" w:hAnsiTheme="majorBidi" w:cstheme="majorBidi"/>
          <w:sz w:val="24"/>
          <w:szCs w:val="24"/>
          <w:lang w:eastAsia="en-GB"/>
        </w:rPr>
        <w:t xml:space="preserve"> </w:t>
      </w:r>
      <w:r w:rsidR="0030144A" w:rsidRPr="00BA06B6">
        <w:rPr>
          <w:rFonts w:asciiTheme="majorBidi" w:eastAsia="Times New Roman" w:hAnsiTheme="majorBidi" w:cstheme="majorBidi"/>
          <w:sz w:val="24"/>
          <w:szCs w:val="24"/>
          <w:lang w:eastAsia="en-GB"/>
        </w:rPr>
        <w:t xml:space="preserve">knowledge and </w:t>
      </w:r>
      <w:r w:rsidRPr="00BA06B6">
        <w:rPr>
          <w:rFonts w:asciiTheme="majorBidi" w:eastAsia="Times New Roman" w:hAnsiTheme="majorBidi" w:cstheme="majorBidi"/>
          <w:sz w:val="24"/>
          <w:szCs w:val="24"/>
          <w:lang w:eastAsia="en-GB"/>
        </w:rPr>
        <w:t xml:space="preserve">insights about </w:t>
      </w:r>
      <w:r w:rsidR="0030144A" w:rsidRPr="00BA06B6">
        <w:rPr>
          <w:rFonts w:asciiTheme="majorBidi" w:eastAsia="Times New Roman" w:hAnsiTheme="majorBidi" w:cstheme="majorBidi"/>
          <w:sz w:val="24"/>
          <w:szCs w:val="24"/>
          <w:lang w:eastAsia="en-GB"/>
        </w:rPr>
        <w:t xml:space="preserve">a </w:t>
      </w:r>
      <w:r w:rsidRPr="00BA06B6">
        <w:rPr>
          <w:rFonts w:asciiTheme="majorBidi" w:eastAsia="Times New Roman" w:hAnsiTheme="majorBidi" w:cstheme="majorBidi"/>
          <w:sz w:val="24"/>
          <w:szCs w:val="24"/>
          <w:lang w:eastAsia="en-GB"/>
        </w:rPr>
        <w:t>firm</w:t>
      </w:r>
      <w:r w:rsidR="0030144A" w:rsidRPr="00BA06B6">
        <w:rPr>
          <w:rFonts w:asciiTheme="majorBidi" w:eastAsia="Times New Roman" w:hAnsiTheme="majorBidi" w:cstheme="majorBidi"/>
          <w:sz w:val="24"/>
          <w:szCs w:val="24"/>
          <w:lang w:eastAsia="en-GB"/>
        </w:rPr>
        <w:t>’s</w:t>
      </w:r>
      <w:r w:rsidRPr="00BA06B6">
        <w:rPr>
          <w:rFonts w:asciiTheme="majorBidi" w:eastAsia="Times New Roman" w:hAnsiTheme="majorBidi" w:cstheme="majorBidi"/>
          <w:sz w:val="24"/>
          <w:szCs w:val="24"/>
          <w:lang w:eastAsia="en-GB"/>
        </w:rPr>
        <w:t xml:space="preserve"> creditworthiness. Current research suggests that the benefits (costs) related to a credit rating change </w:t>
      </w:r>
      <w:r w:rsidR="000E4C9B" w:rsidRPr="00BA06B6">
        <w:rPr>
          <w:rFonts w:asciiTheme="majorBidi" w:eastAsia="Times New Roman" w:hAnsiTheme="majorBidi" w:cstheme="majorBidi"/>
          <w:sz w:val="24"/>
          <w:szCs w:val="24"/>
          <w:lang w:eastAsia="en-GB"/>
        </w:rPr>
        <w:t xml:space="preserve">tend to </w:t>
      </w:r>
      <w:r w:rsidRPr="00BA06B6">
        <w:rPr>
          <w:rFonts w:asciiTheme="majorBidi" w:eastAsia="Times New Roman" w:hAnsiTheme="majorBidi" w:cstheme="majorBidi"/>
          <w:sz w:val="24"/>
          <w:szCs w:val="24"/>
          <w:lang w:eastAsia="en-GB"/>
        </w:rPr>
        <w:t xml:space="preserve">influence decision-making about capital structure (e.g., </w:t>
      </w:r>
      <w:proofErr w:type="spellStart"/>
      <w:r w:rsidRPr="00BA06B6">
        <w:rPr>
          <w:rFonts w:asciiTheme="majorBidi" w:eastAsia="Times New Roman" w:hAnsiTheme="majorBidi" w:cstheme="majorBidi"/>
          <w:sz w:val="24"/>
          <w:szCs w:val="24"/>
          <w:lang w:eastAsia="en-GB"/>
        </w:rPr>
        <w:t>Kisgen</w:t>
      </w:r>
      <w:proofErr w:type="spellEnd"/>
      <w:r w:rsidRPr="00BA06B6">
        <w:rPr>
          <w:rFonts w:asciiTheme="majorBidi" w:eastAsia="Times New Roman" w:hAnsiTheme="majorBidi" w:cstheme="majorBidi"/>
          <w:sz w:val="24"/>
          <w:szCs w:val="24"/>
          <w:lang w:eastAsia="en-GB"/>
        </w:rPr>
        <w:t>, 2006, 2009) and firm financing choices (</w:t>
      </w:r>
      <w:proofErr w:type="spellStart"/>
      <w:r w:rsidRPr="00BA06B6">
        <w:rPr>
          <w:rFonts w:asciiTheme="majorBidi" w:eastAsia="Times New Roman" w:hAnsiTheme="majorBidi" w:cstheme="majorBidi"/>
          <w:sz w:val="24"/>
          <w:szCs w:val="24"/>
          <w:lang w:eastAsia="en-GB"/>
        </w:rPr>
        <w:t>Hovakimian</w:t>
      </w:r>
      <w:proofErr w:type="spellEnd"/>
      <w:r w:rsidRPr="00BA06B6">
        <w:rPr>
          <w:rFonts w:asciiTheme="majorBidi" w:eastAsia="Times New Roman" w:hAnsiTheme="majorBidi" w:cstheme="majorBidi"/>
          <w:sz w:val="24"/>
          <w:szCs w:val="24"/>
          <w:lang w:eastAsia="en-GB"/>
        </w:rPr>
        <w:t xml:space="preserve"> et al., 2010)</w:t>
      </w:r>
      <w:r w:rsidR="001E001F"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w:t>
      </w:r>
      <w:r w:rsidR="001E001F" w:rsidRPr="00BA06B6">
        <w:rPr>
          <w:rFonts w:asciiTheme="majorBidi" w:eastAsia="Times New Roman" w:hAnsiTheme="majorBidi" w:cstheme="majorBidi"/>
          <w:sz w:val="24"/>
          <w:szCs w:val="24"/>
          <w:lang w:eastAsia="en-GB"/>
        </w:rPr>
        <w:t xml:space="preserve">Similarly studies indicate </w:t>
      </w:r>
      <w:r w:rsidRPr="00BA06B6">
        <w:rPr>
          <w:rFonts w:asciiTheme="majorBidi" w:eastAsia="Times New Roman" w:hAnsiTheme="majorBidi" w:cstheme="majorBidi"/>
          <w:sz w:val="24"/>
          <w:szCs w:val="24"/>
          <w:lang w:eastAsia="en-GB"/>
        </w:rPr>
        <w:t xml:space="preserve">that companies </w:t>
      </w:r>
      <w:r w:rsidR="000E4C9B" w:rsidRPr="00BA06B6">
        <w:rPr>
          <w:rFonts w:asciiTheme="majorBidi" w:eastAsia="Times New Roman" w:hAnsiTheme="majorBidi" w:cstheme="majorBidi"/>
          <w:sz w:val="24"/>
          <w:szCs w:val="24"/>
          <w:lang w:eastAsia="en-GB"/>
        </w:rPr>
        <w:t>are</w:t>
      </w:r>
      <w:r w:rsidR="00761AAF" w:rsidRPr="00BA06B6">
        <w:rPr>
          <w:rFonts w:asciiTheme="majorBidi" w:eastAsia="Times New Roman" w:hAnsiTheme="majorBidi" w:cstheme="majorBidi"/>
          <w:sz w:val="24"/>
          <w:szCs w:val="24"/>
          <w:lang w:eastAsia="en-GB"/>
        </w:rPr>
        <w:t xml:space="preserve"> more</w:t>
      </w:r>
      <w:r w:rsidRPr="00BA06B6">
        <w:rPr>
          <w:rFonts w:asciiTheme="majorBidi" w:eastAsia="Times New Roman" w:hAnsiTheme="majorBidi" w:cstheme="majorBidi"/>
          <w:sz w:val="24"/>
          <w:szCs w:val="24"/>
          <w:lang w:eastAsia="en-GB"/>
        </w:rPr>
        <w:t xml:space="preserve"> likely to modify leverage </w:t>
      </w:r>
      <w:r w:rsidR="001E001F" w:rsidRPr="00BA06B6">
        <w:rPr>
          <w:rFonts w:asciiTheme="majorBidi" w:eastAsia="Times New Roman" w:hAnsiTheme="majorBidi" w:cstheme="majorBidi"/>
          <w:sz w:val="24"/>
          <w:szCs w:val="24"/>
          <w:lang w:eastAsia="en-GB"/>
        </w:rPr>
        <w:t xml:space="preserve">in order </w:t>
      </w:r>
      <w:r w:rsidRPr="00BA06B6">
        <w:rPr>
          <w:rFonts w:asciiTheme="majorBidi" w:eastAsia="Times New Roman" w:hAnsiTheme="majorBidi" w:cstheme="majorBidi"/>
          <w:sz w:val="24"/>
          <w:szCs w:val="24"/>
          <w:lang w:eastAsia="en-GB"/>
        </w:rPr>
        <w:t xml:space="preserve">to </w:t>
      </w:r>
      <w:r w:rsidR="001E001F" w:rsidRPr="00BA06B6">
        <w:rPr>
          <w:rFonts w:asciiTheme="majorBidi" w:eastAsia="Times New Roman" w:hAnsiTheme="majorBidi" w:cstheme="majorBidi"/>
          <w:sz w:val="24"/>
          <w:szCs w:val="24"/>
          <w:lang w:eastAsia="en-GB"/>
        </w:rPr>
        <w:t>influence</w:t>
      </w:r>
      <w:r w:rsidRPr="00BA06B6">
        <w:rPr>
          <w:rFonts w:asciiTheme="majorBidi" w:eastAsia="Times New Roman" w:hAnsiTheme="majorBidi" w:cstheme="majorBidi"/>
          <w:sz w:val="24"/>
          <w:szCs w:val="24"/>
          <w:lang w:eastAsia="en-GB"/>
        </w:rPr>
        <w:t xml:space="preserve"> rating agencies’ judgements. Yet, leverage is not the only </w:t>
      </w:r>
      <w:r w:rsidR="001E001F" w:rsidRPr="00BA06B6">
        <w:rPr>
          <w:rFonts w:asciiTheme="majorBidi" w:eastAsia="Times New Roman" w:hAnsiTheme="majorBidi" w:cstheme="majorBidi"/>
          <w:sz w:val="24"/>
          <w:szCs w:val="24"/>
          <w:lang w:eastAsia="en-GB"/>
        </w:rPr>
        <w:t xml:space="preserve">information </w:t>
      </w:r>
      <w:r w:rsidRPr="00BA06B6">
        <w:rPr>
          <w:rFonts w:asciiTheme="majorBidi" w:eastAsia="Times New Roman" w:hAnsiTheme="majorBidi" w:cstheme="majorBidi"/>
          <w:sz w:val="24"/>
          <w:szCs w:val="24"/>
          <w:lang w:eastAsia="en-GB"/>
        </w:rPr>
        <w:t xml:space="preserve">for credit rating agencies in deciding a company's </w:t>
      </w:r>
      <w:r w:rsidR="00CB6E7C" w:rsidRPr="00BA06B6">
        <w:rPr>
          <w:rFonts w:asciiTheme="majorBidi" w:eastAsia="Times New Roman" w:hAnsiTheme="majorBidi" w:cstheme="majorBidi"/>
          <w:sz w:val="24"/>
          <w:szCs w:val="24"/>
          <w:lang w:eastAsia="en-GB"/>
        </w:rPr>
        <w:t xml:space="preserve">actual </w:t>
      </w:r>
      <w:r w:rsidRPr="00BA06B6">
        <w:rPr>
          <w:rFonts w:asciiTheme="majorBidi" w:eastAsia="Times New Roman" w:hAnsiTheme="majorBidi" w:cstheme="majorBidi"/>
          <w:sz w:val="24"/>
          <w:szCs w:val="24"/>
          <w:lang w:eastAsia="en-GB"/>
        </w:rPr>
        <w:t>credit rating. The rating procedures also require analysis of annual reports that is related to a firm's creditworthiness (Standard &amp; Poor's, 2009).</w:t>
      </w:r>
    </w:p>
    <w:p w14:paraId="264DD9F2" w14:textId="0FD58520" w:rsidR="00AA068C" w:rsidRPr="00BA06B6" w:rsidRDefault="00AA068C" w:rsidP="00251D60">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Accordingly, previous studies have examined the drivers of, and reasons for, the incident and amount of risk disclosures (</w:t>
      </w:r>
      <w:r w:rsidR="0014611E" w:rsidRPr="00BA06B6">
        <w:rPr>
          <w:rFonts w:asciiTheme="majorBidi" w:eastAsia="Times New Roman" w:hAnsiTheme="majorBidi" w:cstheme="majorBidi"/>
          <w:sz w:val="24"/>
          <w:szCs w:val="24"/>
          <w:lang w:eastAsia="en-GB"/>
        </w:rPr>
        <w:t>Al-</w:t>
      </w:r>
      <w:proofErr w:type="spellStart"/>
      <w:r w:rsidR="0014611E" w:rsidRPr="00BA06B6">
        <w:rPr>
          <w:rFonts w:asciiTheme="majorBidi" w:eastAsia="Times New Roman" w:hAnsiTheme="majorBidi" w:cstheme="majorBidi"/>
          <w:sz w:val="24"/>
          <w:szCs w:val="24"/>
          <w:lang w:eastAsia="en-GB"/>
        </w:rPr>
        <w:t>Maghzom</w:t>
      </w:r>
      <w:proofErr w:type="spellEnd"/>
      <w:r w:rsidR="0014611E" w:rsidRPr="00BA06B6">
        <w:rPr>
          <w:rFonts w:asciiTheme="majorBidi" w:eastAsia="Times New Roman" w:hAnsiTheme="majorBidi" w:cstheme="majorBidi"/>
          <w:sz w:val="24"/>
          <w:szCs w:val="24"/>
          <w:lang w:eastAsia="en-GB"/>
        </w:rPr>
        <w:t xml:space="preserve"> et al., </w:t>
      </w:r>
      <w:r w:rsidR="00DC238C" w:rsidRPr="00BA06B6">
        <w:rPr>
          <w:rFonts w:asciiTheme="majorBidi" w:eastAsia="Times New Roman" w:hAnsiTheme="majorBidi" w:cstheme="majorBidi"/>
          <w:sz w:val="24"/>
          <w:szCs w:val="24"/>
          <w:lang w:eastAsia="en-GB"/>
        </w:rPr>
        <w:t xml:space="preserve">2015, </w:t>
      </w:r>
      <w:r w:rsidR="0014611E" w:rsidRPr="00BA06B6">
        <w:rPr>
          <w:rFonts w:asciiTheme="majorBidi" w:eastAsia="Times New Roman" w:hAnsiTheme="majorBidi" w:cstheme="majorBidi"/>
          <w:sz w:val="24"/>
          <w:szCs w:val="24"/>
          <w:lang w:eastAsia="en-GB"/>
        </w:rPr>
        <w:t xml:space="preserve">2016; </w:t>
      </w:r>
      <w:r w:rsidRPr="00BA06B6">
        <w:rPr>
          <w:rFonts w:asciiTheme="majorBidi" w:eastAsia="Times New Roman" w:hAnsiTheme="majorBidi" w:cstheme="majorBidi"/>
          <w:sz w:val="24"/>
          <w:szCs w:val="24"/>
          <w:lang w:eastAsia="en-GB"/>
        </w:rPr>
        <w:t xml:space="preserve">Barakat &amp; Hussainey, 2013; Elshandidy et al., 2014; </w:t>
      </w:r>
      <w:proofErr w:type="spellStart"/>
      <w:r w:rsidRPr="00BA06B6">
        <w:rPr>
          <w:rFonts w:asciiTheme="majorBidi" w:eastAsia="Times New Roman" w:hAnsiTheme="majorBidi" w:cstheme="majorBidi"/>
          <w:sz w:val="24"/>
          <w:szCs w:val="24"/>
          <w:lang w:eastAsia="en-GB"/>
        </w:rPr>
        <w:t>Iatridis</w:t>
      </w:r>
      <w:proofErr w:type="spellEnd"/>
      <w:r w:rsidRPr="00BA06B6">
        <w:rPr>
          <w:rFonts w:asciiTheme="majorBidi" w:eastAsia="Times New Roman" w:hAnsiTheme="majorBidi" w:cstheme="majorBidi"/>
          <w:sz w:val="24"/>
          <w:szCs w:val="24"/>
          <w:lang w:eastAsia="en-GB"/>
        </w:rPr>
        <w:t>, 2008; Ntim et al., 2013). However, prior evidence relating to the economic consequences or informativeness of risk disclosures relating to BCRs is rare.  The closest existing studies that are available are those of Aman and Nguyen (2013), Ashbaugh-</w:t>
      </w:r>
      <w:proofErr w:type="spellStart"/>
      <w:r w:rsidRPr="00BA06B6">
        <w:rPr>
          <w:rFonts w:asciiTheme="majorBidi" w:eastAsia="Times New Roman" w:hAnsiTheme="majorBidi" w:cstheme="majorBidi"/>
          <w:sz w:val="24"/>
          <w:szCs w:val="24"/>
          <w:lang w:eastAsia="en-GB"/>
        </w:rPr>
        <w:t>Skaife</w:t>
      </w:r>
      <w:proofErr w:type="spellEnd"/>
      <w:r w:rsidRPr="00BA06B6">
        <w:rPr>
          <w:rFonts w:asciiTheme="majorBidi" w:eastAsia="Times New Roman" w:hAnsiTheme="majorBidi" w:cstheme="majorBidi"/>
          <w:sz w:val="24"/>
          <w:szCs w:val="24"/>
          <w:lang w:eastAsia="en-GB"/>
        </w:rPr>
        <w:t xml:space="preserve"> et al. (2006), Chan et al. (2013), </w:t>
      </w:r>
      <w:proofErr w:type="spellStart"/>
      <w:r w:rsidRPr="00BA06B6">
        <w:rPr>
          <w:rFonts w:asciiTheme="majorBidi" w:eastAsia="Times New Roman" w:hAnsiTheme="majorBidi" w:cstheme="majorBidi"/>
          <w:sz w:val="24"/>
          <w:szCs w:val="24"/>
          <w:lang w:eastAsia="en-GB"/>
        </w:rPr>
        <w:t>DeBoskey</w:t>
      </w:r>
      <w:proofErr w:type="spellEnd"/>
      <w:r w:rsidRPr="00BA06B6">
        <w:rPr>
          <w:rFonts w:asciiTheme="majorBidi" w:eastAsia="Times New Roman" w:hAnsiTheme="majorBidi" w:cstheme="majorBidi"/>
          <w:sz w:val="24"/>
          <w:szCs w:val="24"/>
          <w:lang w:eastAsia="en-GB"/>
        </w:rPr>
        <w:t xml:space="preserve"> and Gillett (2013), and </w:t>
      </w:r>
      <w:proofErr w:type="spellStart"/>
      <w:r w:rsidRPr="00BA06B6">
        <w:rPr>
          <w:rFonts w:asciiTheme="majorBidi" w:eastAsia="Times New Roman" w:hAnsiTheme="majorBidi" w:cstheme="majorBidi"/>
          <w:sz w:val="24"/>
          <w:szCs w:val="24"/>
          <w:lang w:eastAsia="en-GB"/>
        </w:rPr>
        <w:t>Kuang</w:t>
      </w:r>
      <w:proofErr w:type="spellEnd"/>
      <w:r w:rsidRPr="00BA06B6">
        <w:rPr>
          <w:rFonts w:asciiTheme="majorBidi" w:eastAsia="Times New Roman" w:hAnsiTheme="majorBidi" w:cstheme="majorBidi"/>
          <w:sz w:val="24"/>
          <w:szCs w:val="24"/>
          <w:lang w:eastAsia="en-GB"/>
        </w:rPr>
        <w:t xml:space="preserve"> and Qin (2013), which generally found a positive relationship between traditional voluntary disclosure quality and BCRs.  By contrast, and based on our extensive literature search, no previous research has examined whether credit rating agencies incorporate risk disclosures into their risk evaluations in the process of generating BCRs for banks. One plausible reason might be the general difficulty of accessing appropriate risk data, and especially the observable labour intensive nature of collecting risk data (Barakat &amp; Hussainey, 2013; </w:t>
      </w:r>
      <w:proofErr w:type="spellStart"/>
      <w:r w:rsidRPr="00BA06B6">
        <w:rPr>
          <w:rFonts w:asciiTheme="majorBidi" w:eastAsia="Times New Roman" w:hAnsiTheme="majorBidi" w:cstheme="majorBidi"/>
          <w:sz w:val="24"/>
          <w:szCs w:val="24"/>
          <w:lang w:eastAsia="en-GB"/>
        </w:rPr>
        <w:t>Iatridis</w:t>
      </w:r>
      <w:proofErr w:type="spellEnd"/>
      <w:r w:rsidRPr="00BA06B6">
        <w:rPr>
          <w:rFonts w:asciiTheme="majorBidi" w:eastAsia="Times New Roman" w:hAnsiTheme="majorBidi" w:cstheme="majorBidi"/>
          <w:sz w:val="24"/>
          <w:szCs w:val="24"/>
          <w:lang w:eastAsia="en-GB"/>
        </w:rPr>
        <w:t xml:space="preserve">, 2008; Ntim et al., 2013). </w:t>
      </w:r>
    </w:p>
    <w:p w14:paraId="13AEE80B" w14:textId="77777777" w:rsidR="00AA068C" w:rsidRPr="00BA06B6" w:rsidRDefault="00AA068C" w:rsidP="00AA068C">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Similarly, the empirical evidence relating to governance structures is limited, but largely suggests that good governance structures in terms of board size, independent and diverse boards, and concentrating less power in the hands of few senior managers, such as CEOs, can have a positive impact on BCRs (Aman &amp; Nguyen, 2013; Ashbaugh-</w:t>
      </w:r>
      <w:proofErr w:type="spellStart"/>
      <w:r w:rsidRPr="00BA06B6">
        <w:rPr>
          <w:rFonts w:asciiTheme="majorBidi" w:eastAsia="Times New Roman" w:hAnsiTheme="majorBidi" w:cstheme="majorBidi"/>
          <w:sz w:val="24"/>
          <w:szCs w:val="24"/>
          <w:lang w:eastAsia="en-GB"/>
        </w:rPr>
        <w:t>Skaife</w:t>
      </w:r>
      <w:proofErr w:type="spellEnd"/>
      <w:r w:rsidRPr="00BA06B6">
        <w:rPr>
          <w:rFonts w:asciiTheme="majorBidi" w:eastAsia="Times New Roman" w:hAnsiTheme="majorBidi" w:cstheme="majorBidi"/>
          <w:sz w:val="24"/>
          <w:szCs w:val="24"/>
          <w:lang w:eastAsia="en-GB"/>
        </w:rPr>
        <w:t xml:space="preserve"> et al., 2006; </w:t>
      </w:r>
      <w:proofErr w:type="spellStart"/>
      <w:r w:rsidRPr="00BA06B6">
        <w:rPr>
          <w:rFonts w:asciiTheme="majorBidi" w:eastAsia="Times New Roman" w:hAnsiTheme="majorBidi" w:cstheme="majorBidi"/>
          <w:sz w:val="24"/>
          <w:szCs w:val="24"/>
          <w:lang w:eastAsia="en-GB"/>
        </w:rPr>
        <w:t>Bhojraj</w:t>
      </w:r>
      <w:proofErr w:type="spellEnd"/>
      <w:r w:rsidRPr="00BA06B6">
        <w:rPr>
          <w:rFonts w:asciiTheme="majorBidi" w:eastAsia="Times New Roman" w:hAnsiTheme="majorBidi" w:cstheme="majorBidi"/>
          <w:sz w:val="24"/>
          <w:szCs w:val="24"/>
          <w:lang w:eastAsia="en-GB"/>
        </w:rPr>
        <w:t xml:space="preserve"> &amp; Sengupta, 2003; Bradley &amp; Chen, 2011; </w:t>
      </w:r>
      <w:proofErr w:type="spellStart"/>
      <w:r w:rsidRPr="00BA06B6">
        <w:rPr>
          <w:rFonts w:asciiTheme="majorBidi" w:eastAsia="Times New Roman" w:hAnsiTheme="majorBidi" w:cstheme="majorBidi"/>
          <w:sz w:val="24"/>
          <w:szCs w:val="24"/>
          <w:lang w:eastAsia="en-GB"/>
        </w:rPr>
        <w:t>Grassa</w:t>
      </w:r>
      <w:proofErr w:type="spellEnd"/>
      <w:r w:rsidRPr="00BA06B6">
        <w:rPr>
          <w:rFonts w:asciiTheme="majorBidi" w:eastAsia="Times New Roman" w:hAnsiTheme="majorBidi" w:cstheme="majorBidi"/>
          <w:sz w:val="24"/>
          <w:szCs w:val="24"/>
          <w:lang w:eastAsia="en-GB"/>
        </w:rPr>
        <w:t xml:space="preserve">, 2015; Grove et al., 2011; </w:t>
      </w:r>
      <w:proofErr w:type="spellStart"/>
      <w:r w:rsidRPr="00BA06B6">
        <w:rPr>
          <w:rFonts w:asciiTheme="majorBidi" w:eastAsia="Times New Roman" w:hAnsiTheme="majorBidi" w:cstheme="majorBidi"/>
          <w:sz w:val="24"/>
          <w:szCs w:val="24"/>
          <w:lang w:eastAsia="en-GB"/>
        </w:rPr>
        <w:t>Kuang</w:t>
      </w:r>
      <w:proofErr w:type="spellEnd"/>
      <w:r w:rsidRPr="00BA06B6">
        <w:rPr>
          <w:rFonts w:asciiTheme="majorBidi" w:eastAsia="Times New Roman" w:hAnsiTheme="majorBidi" w:cstheme="majorBidi"/>
          <w:sz w:val="24"/>
          <w:szCs w:val="24"/>
          <w:lang w:eastAsia="en-GB"/>
        </w:rPr>
        <w:t xml:space="preserve"> &amp; Qin, 2013; Lian et al., 2013; Liang et al., 2013; Li et al., 2014; Lin et al., 2016; Nguyen &amp; Nielsen, 2010). Thus and by extension, it seems reasonable to argue that it is possible for the </w:t>
      </w:r>
      <w:r w:rsidRPr="00BA06B6">
        <w:rPr>
          <w:rFonts w:asciiTheme="majorBidi" w:eastAsia="Times New Roman" w:hAnsiTheme="majorBidi" w:cstheme="majorBidi"/>
          <w:sz w:val="24"/>
          <w:szCs w:val="24"/>
          <w:lang w:eastAsia="en-GB"/>
        </w:rPr>
        <w:lastRenderedPageBreak/>
        <w:t xml:space="preserve">potential relationship between risk disclosures and BCRs to be further moderated by the quality of governance structures in a bank. </w:t>
      </w:r>
    </w:p>
    <w:p w14:paraId="38089A48" w14:textId="77777777" w:rsidR="00AA068C" w:rsidRPr="00BA06B6" w:rsidRDefault="00AA068C" w:rsidP="00AA068C">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 xml:space="preserve">However, the above prior literature appears to suffer from a number of limitations. Firstly, limited prior studies have mainly examined the informativeness of risk disclosures in developed countries (Maffei et al., 2014; Elshandidy &amp; </w:t>
      </w:r>
      <w:proofErr w:type="spellStart"/>
      <w:r w:rsidRPr="00BA06B6">
        <w:rPr>
          <w:rFonts w:asciiTheme="majorBidi" w:eastAsia="Times New Roman" w:hAnsiTheme="majorBidi" w:cstheme="majorBidi"/>
          <w:sz w:val="24"/>
          <w:szCs w:val="24"/>
          <w:lang w:eastAsia="en-GB"/>
        </w:rPr>
        <w:t>Neri</w:t>
      </w:r>
      <w:proofErr w:type="spellEnd"/>
      <w:r w:rsidRPr="00BA06B6">
        <w:rPr>
          <w:rFonts w:asciiTheme="majorBidi" w:eastAsia="Times New Roman" w:hAnsiTheme="majorBidi" w:cstheme="majorBidi"/>
          <w:sz w:val="24"/>
          <w:szCs w:val="24"/>
          <w:lang w:eastAsia="en-GB"/>
        </w:rPr>
        <w:t xml:space="preserve">, 2015; </w:t>
      </w:r>
      <w:proofErr w:type="spellStart"/>
      <w:r w:rsidRPr="00BA06B6">
        <w:rPr>
          <w:rFonts w:asciiTheme="majorBidi" w:eastAsia="Times New Roman" w:hAnsiTheme="majorBidi" w:cstheme="majorBidi"/>
          <w:sz w:val="24"/>
          <w:szCs w:val="24"/>
          <w:lang w:eastAsia="en-GB"/>
        </w:rPr>
        <w:t>Rajgopal</w:t>
      </w:r>
      <w:proofErr w:type="spellEnd"/>
      <w:r w:rsidRPr="00BA06B6">
        <w:rPr>
          <w:rFonts w:asciiTheme="majorBidi" w:eastAsia="Times New Roman" w:hAnsiTheme="majorBidi" w:cstheme="majorBidi"/>
          <w:sz w:val="24"/>
          <w:szCs w:val="24"/>
          <w:lang w:eastAsia="en-GB"/>
        </w:rPr>
        <w:t xml:space="preserve">, 1999); and observably, large-scale, cross-country studies are generally rare (Elshandidy &amp; </w:t>
      </w:r>
      <w:proofErr w:type="spellStart"/>
      <w:r w:rsidRPr="00BA06B6">
        <w:rPr>
          <w:rFonts w:asciiTheme="majorBidi" w:eastAsia="Times New Roman" w:hAnsiTheme="majorBidi" w:cstheme="majorBidi"/>
          <w:sz w:val="24"/>
          <w:szCs w:val="24"/>
          <w:lang w:eastAsia="en-GB"/>
        </w:rPr>
        <w:t>Neri</w:t>
      </w:r>
      <w:proofErr w:type="spellEnd"/>
      <w:r w:rsidRPr="00BA06B6">
        <w:rPr>
          <w:rFonts w:asciiTheme="majorBidi" w:eastAsia="Times New Roman" w:hAnsiTheme="majorBidi" w:cstheme="majorBidi"/>
          <w:sz w:val="24"/>
          <w:szCs w:val="24"/>
          <w:lang w:eastAsia="en-GB"/>
        </w:rPr>
        <w:t xml:space="preserve">, 2015; Lau et al., 2016; Tan et al., 2017), but almost non-existent in developing countries. Secondly, despite our extensive literature search, we did not find any evidence on whether multi-governance structures (e.g., Islamic governance, board structures and ownership structures) can moderate the relationship between risk disclosures and BCRs in different regulatory environments, such as MENA countries. Thus, this empirical lacuna arguably offers a genuine opportunity to make original contributions to the existing literature. </w:t>
      </w:r>
    </w:p>
    <w:p w14:paraId="3D137D0B" w14:textId="0D337236" w:rsidR="00AA068C" w:rsidRPr="00BA06B6" w:rsidRDefault="00AA068C" w:rsidP="00251D60">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Meanwhile, the MENA setting is particularly appropriate for this study because MENA banks display distinctive Islamic banking, economics, finance, and business characteristics along with discernible significant weaknesses regarding governance structures</w:t>
      </w:r>
      <w:r w:rsidR="0014611E" w:rsidRPr="00BA06B6">
        <w:rPr>
          <w:rFonts w:asciiTheme="majorBidi" w:eastAsia="Times New Roman" w:hAnsiTheme="majorBidi" w:cstheme="majorBidi"/>
          <w:sz w:val="24"/>
          <w:szCs w:val="24"/>
          <w:lang w:eastAsia="en-GB"/>
        </w:rPr>
        <w:t xml:space="preserve"> (</w:t>
      </w:r>
      <w:bookmarkStart w:id="9" w:name="_Hlk21669970"/>
      <w:r w:rsidR="0014611E" w:rsidRPr="00BA06B6">
        <w:rPr>
          <w:rFonts w:asciiTheme="majorBidi" w:eastAsia="Times New Roman" w:hAnsiTheme="majorBidi" w:cstheme="majorBidi"/>
          <w:sz w:val="24"/>
          <w:szCs w:val="24"/>
          <w:lang w:eastAsia="en-GB"/>
        </w:rPr>
        <w:t>Al-</w:t>
      </w:r>
      <w:proofErr w:type="spellStart"/>
      <w:r w:rsidR="0014611E" w:rsidRPr="00BA06B6">
        <w:rPr>
          <w:rFonts w:asciiTheme="majorBidi" w:eastAsia="Times New Roman" w:hAnsiTheme="majorBidi" w:cstheme="majorBidi"/>
          <w:sz w:val="24"/>
          <w:szCs w:val="24"/>
          <w:lang w:eastAsia="en-GB"/>
        </w:rPr>
        <w:t>hadi</w:t>
      </w:r>
      <w:proofErr w:type="spellEnd"/>
      <w:r w:rsidR="0014611E" w:rsidRPr="00BA06B6">
        <w:rPr>
          <w:rFonts w:asciiTheme="majorBidi" w:eastAsia="Times New Roman" w:hAnsiTheme="majorBidi" w:cstheme="majorBidi"/>
          <w:sz w:val="24"/>
          <w:szCs w:val="24"/>
          <w:lang w:eastAsia="en-GB"/>
        </w:rPr>
        <w:t xml:space="preserve"> et al., 2015, 2016 a,</w:t>
      </w:r>
      <w:r w:rsidR="00F541A6" w:rsidRPr="00BA06B6">
        <w:rPr>
          <w:rFonts w:asciiTheme="majorBidi" w:eastAsia="Times New Roman" w:hAnsiTheme="majorBidi" w:cstheme="majorBidi"/>
          <w:sz w:val="24"/>
          <w:szCs w:val="24"/>
          <w:lang w:eastAsia="en-GB"/>
        </w:rPr>
        <w:t xml:space="preserve"> </w:t>
      </w:r>
      <w:r w:rsidR="0014611E" w:rsidRPr="00BA06B6">
        <w:rPr>
          <w:rFonts w:asciiTheme="majorBidi" w:eastAsia="Times New Roman" w:hAnsiTheme="majorBidi" w:cstheme="majorBidi"/>
          <w:sz w:val="24"/>
          <w:szCs w:val="24"/>
          <w:lang w:eastAsia="en-GB"/>
        </w:rPr>
        <w:t>b</w:t>
      </w:r>
      <w:bookmarkEnd w:id="9"/>
      <w:r w:rsidR="0014611E"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For instance, MENA banks are characterised by high levels of ownership concentration in the form of family- or government-owned banks and more recently increased foreign participation (</w:t>
      </w:r>
      <w:proofErr w:type="spellStart"/>
      <w:r w:rsidRPr="00BA06B6">
        <w:rPr>
          <w:rFonts w:asciiTheme="majorBidi" w:eastAsia="Times New Roman" w:hAnsiTheme="majorBidi" w:cstheme="majorBidi"/>
          <w:sz w:val="24"/>
          <w:szCs w:val="24"/>
          <w:lang w:eastAsia="en-GB"/>
        </w:rPr>
        <w:t>Koldertsova</w:t>
      </w:r>
      <w:proofErr w:type="spellEnd"/>
      <w:r w:rsidRPr="00BA06B6">
        <w:rPr>
          <w:rFonts w:asciiTheme="majorBidi" w:eastAsia="Times New Roman" w:hAnsiTheme="majorBidi" w:cstheme="majorBidi"/>
          <w:sz w:val="24"/>
          <w:szCs w:val="24"/>
          <w:lang w:eastAsia="en-GB"/>
        </w:rPr>
        <w:t>, 2011; Samaha et al., 2012; World Bank, 2009). MENA banks are also characterised by weak disclosure and transparency practices, primarily due to weak central government monitoring and enforcement of corporate regulations (Kaufmann et al., 2010; Samaha et al., 2012; World Bank, 2009). However and spurred on by the need to pursue economic and market reforms, often aimed at attracting foreign direct investments, regulators</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and policymakers in the MENA region have recently subscribed to IFRS/IAS, committed the Basel Accords and established several governance codes. The aim of these reforms is to enshrine shareholder rights, especially minority shareholders, enhance accountability, and improve market transparency (Amico, 2014; </w:t>
      </w:r>
      <w:proofErr w:type="spellStart"/>
      <w:r w:rsidRPr="00BA06B6">
        <w:rPr>
          <w:rFonts w:asciiTheme="majorBidi" w:eastAsia="Times New Roman" w:hAnsiTheme="majorBidi" w:cstheme="majorBidi"/>
          <w:sz w:val="24"/>
          <w:szCs w:val="24"/>
          <w:lang w:eastAsia="en-GB"/>
        </w:rPr>
        <w:t>Koldertsova</w:t>
      </w:r>
      <w:proofErr w:type="spellEnd"/>
      <w:r w:rsidRPr="00BA06B6">
        <w:rPr>
          <w:rFonts w:asciiTheme="majorBidi" w:eastAsia="Times New Roman" w:hAnsiTheme="majorBidi" w:cstheme="majorBidi"/>
          <w:sz w:val="24"/>
          <w:szCs w:val="24"/>
          <w:lang w:eastAsia="en-GB"/>
        </w:rPr>
        <w:t xml:space="preserve">, 2011; World Bank, 2009). </w:t>
      </w:r>
    </w:p>
    <w:p w14:paraId="2FB0F460" w14:textId="6F48C023" w:rsidR="00AA068C" w:rsidRPr="00BA06B6" w:rsidRDefault="00AA068C" w:rsidP="00251D60">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 xml:space="preserve">In addition to governance and IFRS/IAS reforms that have been pursued in the MENA region, many commercial banks have opened windows for Islamic banking. This is largely in response to the remarkable large-scale growth in Islamic banking and finance worldwide, but particularly in the MENA region (Beck et al., 2013; Ernst and Young, 2012; Ozturk, 2014; </w:t>
      </w:r>
      <w:proofErr w:type="spellStart"/>
      <w:r w:rsidRPr="00BA06B6">
        <w:rPr>
          <w:rFonts w:asciiTheme="majorBidi" w:eastAsia="Times New Roman" w:hAnsiTheme="majorBidi" w:cstheme="majorBidi"/>
          <w:sz w:val="24"/>
          <w:szCs w:val="24"/>
          <w:lang w:eastAsia="en-GB"/>
        </w:rPr>
        <w:t>Safieddine</w:t>
      </w:r>
      <w:proofErr w:type="spellEnd"/>
      <w:r w:rsidRPr="00BA06B6">
        <w:rPr>
          <w:rFonts w:asciiTheme="majorBidi" w:eastAsia="Times New Roman" w:hAnsiTheme="majorBidi" w:cstheme="majorBidi"/>
          <w:sz w:val="24"/>
          <w:szCs w:val="24"/>
          <w:lang w:eastAsia="en-GB"/>
        </w:rPr>
        <w:t xml:space="preserve">, 2009). Observably and although Islamic banks have the same governance structures, they are required to distinctively operate in a </w:t>
      </w:r>
      <w:r w:rsidRPr="00BA06B6">
        <w:rPr>
          <w:rFonts w:asciiTheme="majorBidi" w:eastAsia="Times New Roman" w:hAnsiTheme="majorBidi" w:cstheme="majorBidi"/>
          <w:i/>
          <w:iCs/>
          <w:sz w:val="24"/>
          <w:szCs w:val="24"/>
          <w:lang w:eastAsia="en-GB"/>
        </w:rPr>
        <w:t>Shariah</w:t>
      </w:r>
      <w:r w:rsidRPr="00BA06B6">
        <w:rPr>
          <w:rFonts w:asciiTheme="majorBidi" w:eastAsia="Times New Roman" w:hAnsiTheme="majorBidi" w:cstheme="majorBidi"/>
          <w:sz w:val="24"/>
          <w:szCs w:val="24"/>
          <w:lang w:eastAsia="en-GB"/>
        </w:rPr>
        <w:t xml:space="preserve"> compliant manner, which often creates further unique governance and risk challenges, especially the risk emanating from </w:t>
      </w:r>
      <w:r w:rsidRPr="00BA06B6">
        <w:rPr>
          <w:rFonts w:asciiTheme="majorBidi" w:eastAsia="Times New Roman" w:hAnsiTheme="majorBidi" w:cstheme="majorBidi"/>
          <w:sz w:val="24"/>
          <w:szCs w:val="24"/>
          <w:lang w:eastAsia="en-GB"/>
        </w:rPr>
        <w:lastRenderedPageBreak/>
        <w:t xml:space="preserve">potential </w:t>
      </w:r>
      <w:r w:rsidRPr="00BA06B6">
        <w:rPr>
          <w:rFonts w:asciiTheme="majorBidi" w:eastAsia="Times New Roman" w:hAnsiTheme="majorBidi" w:cstheme="majorBidi"/>
          <w:i/>
          <w:iCs/>
          <w:sz w:val="24"/>
          <w:szCs w:val="24"/>
          <w:lang w:eastAsia="en-GB"/>
        </w:rPr>
        <w:t>Shariah</w:t>
      </w:r>
      <w:r w:rsidRPr="00BA06B6">
        <w:rPr>
          <w:rFonts w:asciiTheme="majorBidi" w:eastAsia="Times New Roman" w:hAnsiTheme="majorBidi" w:cstheme="majorBidi"/>
          <w:sz w:val="24"/>
          <w:szCs w:val="24"/>
          <w:lang w:eastAsia="en-GB"/>
        </w:rPr>
        <w:t xml:space="preserve"> non-compliance (Beck et al., 2013; Safieddine, 2009). Further, the Islamic banking sector has generally been operating with limited central government oversight, which can arguably increase the risk of Islamic banks potentially failing (e.g., Islas Finance House in Turkey) (</w:t>
      </w:r>
      <w:proofErr w:type="spellStart"/>
      <w:r w:rsidRPr="00BA06B6">
        <w:rPr>
          <w:rFonts w:asciiTheme="majorBidi" w:eastAsia="Times New Roman" w:hAnsiTheme="majorBidi" w:cstheme="majorBidi"/>
          <w:sz w:val="24"/>
          <w:szCs w:val="24"/>
          <w:lang w:eastAsia="en-GB"/>
        </w:rPr>
        <w:t>Chapra</w:t>
      </w:r>
      <w:proofErr w:type="spellEnd"/>
      <w:r w:rsidRPr="00BA06B6">
        <w:rPr>
          <w:rFonts w:asciiTheme="majorBidi" w:eastAsia="Times New Roman" w:hAnsiTheme="majorBidi" w:cstheme="majorBidi"/>
          <w:sz w:val="24"/>
          <w:szCs w:val="24"/>
          <w:lang w:eastAsia="en-GB"/>
        </w:rPr>
        <w:t xml:space="preserve"> &amp; Ahmed, 2002; </w:t>
      </w:r>
      <w:proofErr w:type="spellStart"/>
      <w:r w:rsidRPr="00BA06B6">
        <w:rPr>
          <w:rFonts w:asciiTheme="majorBidi" w:eastAsia="Times New Roman" w:hAnsiTheme="majorBidi" w:cstheme="majorBidi"/>
          <w:sz w:val="24"/>
          <w:szCs w:val="24"/>
          <w:lang w:eastAsia="en-GB"/>
        </w:rPr>
        <w:t>Grassa</w:t>
      </w:r>
      <w:proofErr w:type="spellEnd"/>
      <w:r w:rsidRPr="00BA06B6">
        <w:rPr>
          <w:rFonts w:asciiTheme="majorBidi" w:eastAsia="Times New Roman" w:hAnsiTheme="majorBidi" w:cstheme="majorBidi"/>
          <w:sz w:val="24"/>
          <w:szCs w:val="24"/>
          <w:lang w:eastAsia="en-GB"/>
        </w:rPr>
        <w:t xml:space="preserve">, 2015; Hasan, 2011; Safieddine, 2009). </w:t>
      </w:r>
    </w:p>
    <w:p w14:paraId="329BD780" w14:textId="79D546B5" w:rsidR="00AA068C" w:rsidRPr="00BA06B6" w:rsidRDefault="00AA068C" w:rsidP="00251D60">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Consequently, this study seeks to distinctively examine the relationship among risk disclosures, BCRs</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and governance structures in the MENA region, and in the process, make a number of new contributions to the extant literature. First, we contribute to the literature by providing </w:t>
      </w:r>
      <w:r w:rsidR="00251D60" w:rsidRPr="00BA06B6">
        <w:rPr>
          <w:rFonts w:asciiTheme="majorBidi" w:eastAsia="Times New Roman" w:hAnsiTheme="majorBidi" w:cstheme="majorBidi"/>
          <w:sz w:val="24"/>
          <w:szCs w:val="24"/>
          <w:lang w:eastAsia="en-GB"/>
        </w:rPr>
        <w:t>first-</w:t>
      </w:r>
      <w:r w:rsidRPr="00BA06B6">
        <w:rPr>
          <w:rFonts w:asciiTheme="majorBidi" w:eastAsia="Times New Roman" w:hAnsiTheme="majorBidi" w:cstheme="majorBidi"/>
          <w:sz w:val="24"/>
          <w:szCs w:val="24"/>
          <w:lang w:eastAsia="en-GB"/>
        </w:rPr>
        <w:t xml:space="preserve">time systematic evidence on the level of risk disclosures by banks across the MENA region. Second, the study contributes to the literature by providing a first-time evidence on the link between risk disclosures and BCRs that shows that increased risk disclosures are associated with higher level of bank credit ratings. Finally, we contribute to the literature by providing a first-time evidence on the moderating effect of governance structures on the risk disclosure–BCRs nexus. </w:t>
      </w:r>
      <w:r w:rsidRPr="00BA06B6">
        <w:rPr>
          <w:rFonts w:asciiTheme="majorBidi" w:eastAsia="Times New Roman" w:hAnsiTheme="majorBidi" w:cstheme="majorBidi"/>
          <w:noProof/>
          <w:sz w:val="24"/>
          <w:szCs w:val="24"/>
          <w:lang w:eastAsia="en-GB"/>
        </w:rPr>
        <w:t>Specifically, we show that the informativeness of risk disclosures on BCRs is higher in banks with larger board size, greater independence, higher government ownership</w:t>
      </w:r>
      <w:r w:rsidR="00251D60" w:rsidRPr="00BA06B6">
        <w:rPr>
          <w:rFonts w:asciiTheme="majorBidi" w:eastAsia="Times New Roman" w:hAnsiTheme="majorBidi" w:cstheme="majorBidi"/>
          <w:noProof/>
          <w:sz w:val="24"/>
          <w:szCs w:val="24"/>
          <w:lang w:eastAsia="en-GB"/>
        </w:rPr>
        <w:t>,</w:t>
      </w:r>
      <w:r w:rsidRPr="00BA06B6">
        <w:rPr>
          <w:rFonts w:asciiTheme="majorBidi" w:eastAsia="Times New Roman" w:hAnsiTheme="majorBidi" w:cstheme="majorBidi"/>
          <w:noProof/>
          <w:sz w:val="24"/>
          <w:szCs w:val="24"/>
          <w:lang w:eastAsia="en-GB"/>
        </w:rPr>
        <w:t xml:space="preserve"> and better </w:t>
      </w:r>
      <w:r w:rsidRPr="00BA06B6">
        <w:rPr>
          <w:rFonts w:asciiTheme="majorBidi" w:eastAsia="Times New Roman" w:hAnsiTheme="majorBidi" w:cstheme="majorBidi"/>
          <w:i/>
          <w:iCs/>
          <w:noProof/>
          <w:sz w:val="24"/>
          <w:szCs w:val="24"/>
          <w:lang w:eastAsia="en-GB"/>
        </w:rPr>
        <w:t>Shariah</w:t>
      </w:r>
      <w:r w:rsidRPr="00BA06B6">
        <w:rPr>
          <w:rFonts w:asciiTheme="majorBidi" w:eastAsia="Times New Roman" w:hAnsiTheme="majorBidi" w:cstheme="majorBidi"/>
          <w:noProof/>
          <w:sz w:val="24"/>
          <w:szCs w:val="24"/>
          <w:lang w:eastAsia="en-GB"/>
        </w:rPr>
        <w:t xml:space="preserve"> supervisory board, but lower in banks with greater block ownership, higher foreign ownership and the presence of CEO duality. </w:t>
      </w:r>
    </w:p>
    <w:p w14:paraId="1FA70E10" w14:textId="1969A963" w:rsidR="00AA068C" w:rsidRPr="00BA06B6" w:rsidRDefault="00AA068C" w:rsidP="00AA068C">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The remainder of the study is structured as follows. The following section reviews BCRs, risk disclosures, governance reforms</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and Islamic governance in MENA context. The next sections discuss the theoretical framework for BCRs, review empirical literature on risk disclosures and governance structures, outline the research design, report the empirical results, and provide a conclusion.</w:t>
      </w:r>
    </w:p>
    <w:p w14:paraId="66D33701" w14:textId="77777777" w:rsidR="00AA068C" w:rsidRPr="00BA06B6" w:rsidRDefault="00AA068C" w:rsidP="00AA068C">
      <w:pPr>
        <w:spacing w:after="0" w:line="360" w:lineRule="auto"/>
        <w:ind w:firstLine="425"/>
        <w:jc w:val="both"/>
        <w:rPr>
          <w:rFonts w:asciiTheme="majorBidi" w:eastAsia="Times New Roman" w:hAnsiTheme="majorBidi" w:cstheme="majorBidi"/>
          <w:sz w:val="24"/>
          <w:szCs w:val="24"/>
          <w:lang w:eastAsia="en-GB"/>
        </w:rPr>
      </w:pPr>
    </w:p>
    <w:p w14:paraId="4FF20E3C" w14:textId="77777777" w:rsidR="00AA068C" w:rsidRPr="00BA06B6" w:rsidRDefault="00BC341D" w:rsidP="00BC341D">
      <w:pPr>
        <w:keepNext/>
        <w:keepLines/>
        <w:tabs>
          <w:tab w:val="left" w:pos="0"/>
        </w:tabs>
        <w:spacing w:after="0" w:line="360" w:lineRule="auto"/>
        <w:contextualSpacing/>
        <w:jc w:val="both"/>
        <w:outlineLvl w:val="0"/>
        <w:rPr>
          <w:rFonts w:asciiTheme="majorBidi" w:eastAsia="Times New Roman" w:hAnsiTheme="majorBidi" w:cstheme="majorBidi"/>
          <w:b/>
          <w:bCs/>
          <w:sz w:val="24"/>
          <w:szCs w:val="24"/>
          <w:lang w:eastAsia="en-GB"/>
        </w:rPr>
      </w:pPr>
      <w:bookmarkStart w:id="10" w:name="_Toc453539596"/>
      <w:bookmarkStart w:id="11" w:name="_Toc453539712"/>
      <w:bookmarkStart w:id="12" w:name="_Toc457534116"/>
      <w:r w:rsidRPr="00BA06B6">
        <w:rPr>
          <w:rFonts w:asciiTheme="majorBidi" w:eastAsia="Times New Roman" w:hAnsiTheme="majorBidi" w:cstheme="majorBidi"/>
          <w:b/>
          <w:bCs/>
          <w:sz w:val="24"/>
          <w:szCs w:val="24"/>
          <w:lang w:eastAsia="en-GB"/>
        </w:rPr>
        <w:t xml:space="preserve">2   </w:t>
      </w:r>
      <w:r w:rsidR="00AA068C" w:rsidRPr="00BA06B6">
        <w:rPr>
          <w:rFonts w:asciiTheme="majorBidi" w:eastAsia="Times New Roman" w:hAnsiTheme="majorBidi" w:cstheme="majorBidi"/>
          <w:b/>
          <w:bCs/>
          <w:sz w:val="24"/>
          <w:szCs w:val="24"/>
          <w:lang w:eastAsia="en-GB"/>
        </w:rPr>
        <w:t>|   BCR</w:t>
      </w:r>
      <w:r w:rsidR="008F77A2" w:rsidRPr="00BA06B6">
        <w:rPr>
          <w:rFonts w:asciiTheme="majorBidi" w:eastAsia="Times New Roman" w:hAnsiTheme="majorBidi" w:cstheme="majorBidi"/>
          <w:b/>
          <w:bCs/>
          <w:sz w:val="24"/>
          <w:szCs w:val="24"/>
          <w:lang w:eastAsia="en-GB"/>
        </w:rPr>
        <w:t>s</w:t>
      </w:r>
      <w:r w:rsidR="00AA068C" w:rsidRPr="00BA06B6">
        <w:rPr>
          <w:rFonts w:asciiTheme="majorBidi" w:eastAsia="Times New Roman" w:hAnsiTheme="majorBidi" w:cstheme="majorBidi"/>
          <w:b/>
          <w:bCs/>
          <w:sz w:val="24"/>
          <w:szCs w:val="24"/>
          <w:lang w:eastAsia="en-GB"/>
        </w:rPr>
        <w:t>, RISK DISCLOSURE AND GOVERNANCE REFORMS IN MENA BANKS</w:t>
      </w:r>
      <w:bookmarkEnd w:id="10"/>
      <w:bookmarkEnd w:id="11"/>
      <w:bookmarkEnd w:id="12"/>
      <w:r w:rsidR="00AA068C" w:rsidRPr="00BA06B6">
        <w:rPr>
          <w:rFonts w:asciiTheme="majorBidi" w:eastAsia="Times New Roman" w:hAnsiTheme="majorBidi" w:cstheme="majorBidi"/>
          <w:b/>
          <w:bCs/>
          <w:sz w:val="24"/>
          <w:szCs w:val="24"/>
          <w:lang w:eastAsia="en-GB"/>
        </w:rPr>
        <w:t xml:space="preserve"> </w:t>
      </w:r>
    </w:p>
    <w:p w14:paraId="1418EAB7" w14:textId="5B1810E4" w:rsidR="00AA068C" w:rsidRPr="00BA06B6" w:rsidRDefault="00AA068C" w:rsidP="00A1373D">
      <w:pPr>
        <w:spacing w:after="0" w:line="360" w:lineRule="auto"/>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BCRs have recently been expanded and attracted significant attention from financial market investors, debt issuers, analysts, regulators and policymakers seeking unbiased assessments of creditworthiness of banks, especially in murky information environments, where the credibility of the credit rating agencies has been questioned (Ashbaugh-</w:t>
      </w:r>
      <w:proofErr w:type="spellStart"/>
      <w:r w:rsidRPr="00BA06B6">
        <w:rPr>
          <w:rFonts w:asciiTheme="majorBidi" w:eastAsia="Times New Roman" w:hAnsiTheme="majorBidi" w:cstheme="majorBidi"/>
          <w:sz w:val="24"/>
          <w:szCs w:val="24"/>
          <w:lang w:eastAsia="en-GB"/>
        </w:rPr>
        <w:t>Skaife</w:t>
      </w:r>
      <w:proofErr w:type="spellEnd"/>
      <w:r w:rsidRPr="00BA06B6">
        <w:rPr>
          <w:rFonts w:asciiTheme="majorBidi" w:eastAsia="Times New Roman" w:hAnsiTheme="majorBidi" w:cstheme="majorBidi"/>
          <w:sz w:val="24"/>
          <w:szCs w:val="24"/>
          <w:lang w:eastAsia="en-GB"/>
        </w:rPr>
        <w:t xml:space="preserve"> et al., 2006;</w:t>
      </w:r>
      <w:r w:rsidRPr="00BA06B6">
        <w:t xml:space="preserve"> </w:t>
      </w:r>
      <w:r w:rsidRPr="00BA06B6">
        <w:rPr>
          <w:rFonts w:asciiTheme="majorBidi" w:eastAsia="Times New Roman" w:hAnsiTheme="majorBidi" w:cstheme="majorBidi"/>
          <w:sz w:val="24"/>
          <w:szCs w:val="24"/>
          <w:lang w:eastAsia="en-GB"/>
        </w:rPr>
        <w:t xml:space="preserve">Cavallo et al., 2013; </w:t>
      </w:r>
      <w:proofErr w:type="spellStart"/>
      <w:r w:rsidRPr="00BA06B6">
        <w:rPr>
          <w:rFonts w:asciiTheme="majorBidi" w:eastAsia="Times New Roman" w:hAnsiTheme="majorBidi" w:cstheme="majorBidi"/>
          <w:sz w:val="24"/>
          <w:szCs w:val="24"/>
          <w:lang w:eastAsia="en-GB"/>
        </w:rPr>
        <w:t>Iannotta</w:t>
      </w:r>
      <w:proofErr w:type="spellEnd"/>
      <w:r w:rsidRPr="00BA06B6">
        <w:rPr>
          <w:rFonts w:asciiTheme="majorBidi" w:eastAsia="Times New Roman" w:hAnsiTheme="majorBidi" w:cstheme="majorBidi"/>
          <w:sz w:val="24"/>
          <w:szCs w:val="24"/>
          <w:lang w:eastAsia="en-GB"/>
        </w:rPr>
        <w:t xml:space="preserve"> et al., 2013; Lobo et al., 2017; Montes et al., 2016; Salvador et al., 2014; Switzer &amp; Wang, 2017). </w:t>
      </w:r>
    </w:p>
    <w:p w14:paraId="1AF13CEF" w14:textId="343BDF9B" w:rsidR="00AA068C" w:rsidRPr="00BA06B6" w:rsidRDefault="00AA068C" w:rsidP="00AA068C">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 xml:space="preserve">BCRs are arguably more efficient </w:t>
      </w:r>
      <w:r w:rsidR="00E028C9" w:rsidRPr="00BA06B6">
        <w:rPr>
          <w:rFonts w:asciiTheme="majorBidi" w:eastAsia="Times New Roman" w:hAnsiTheme="majorBidi" w:cstheme="majorBidi"/>
          <w:sz w:val="24"/>
          <w:szCs w:val="24"/>
          <w:lang w:eastAsia="en-GB"/>
        </w:rPr>
        <w:t>in</w:t>
      </w:r>
      <w:r w:rsidRPr="00BA06B6">
        <w:rPr>
          <w:rFonts w:asciiTheme="majorBidi" w:eastAsia="Times New Roman" w:hAnsiTheme="majorBidi" w:cstheme="majorBidi"/>
          <w:sz w:val="24"/>
          <w:szCs w:val="24"/>
          <w:lang w:eastAsia="en-GB"/>
        </w:rPr>
        <w:t xml:space="preserve"> reflect</w:t>
      </w:r>
      <w:r w:rsidR="00E028C9" w:rsidRPr="00BA06B6">
        <w:rPr>
          <w:rFonts w:asciiTheme="majorBidi" w:eastAsia="Times New Roman" w:hAnsiTheme="majorBidi" w:cstheme="majorBidi"/>
          <w:sz w:val="24"/>
          <w:szCs w:val="24"/>
          <w:lang w:eastAsia="en-GB"/>
        </w:rPr>
        <w:t>ing</w:t>
      </w:r>
      <w:r w:rsidRPr="00BA06B6">
        <w:rPr>
          <w:rFonts w:asciiTheme="majorBidi" w:eastAsia="Times New Roman" w:hAnsiTheme="majorBidi" w:cstheme="majorBidi"/>
          <w:sz w:val="24"/>
          <w:szCs w:val="24"/>
          <w:lang w:eastAsia="en-GB"/>
        </w:rPr>
        <w:t xml:space="preserve"> overall performance since banks are inherently opaque, but are exposed to a multiplicity of risks, and hence, stakeholders tend to rely on independent ratings provided by rating agencies as a way of assessing their financial viability (</w:t>
      </w:r>
      <w:proofErr w:type="spellStart"/>
      <w:r w:rsidRPr="00BA06B6">
        <w:rPr>
          <w:rFonts w:asciiTheme="majorBidi" w:eastAsia="Times New Roman" w:hAnsiTheme="majorBidi" w:cstheme="majorBidi"/>
          <w:sz w:val="24"/>
          <w:szCs w:val="24"/>
          <w:lang w:eastAsia="en-GB"/>
        </w:rPr>
        <w:t>Beisland</w:t>
      </w:r>
      <w:proofErr w:type="spellEnd"/>
      <w:r w:rsidRPr="00BA06B6">
        <w:rPr>
          <w:rFonts w:asciiTheme="majorBidi" w:eastAsia="Times New Roman" w:hAnsiTheme="majorBidi" w:cstheme="majorBidi"/>
          <w:sz w:val="24"/>
          <w:szCs w:val="24"/>
          <w:lang w:eastAsia="en-GB"/>
        </w:rPr>
        <w:t xml:space="preserve"> et al., 2014; </w:t>
      </w:r>
      <w:proofErr w:type="spellStart"/>
      <w:r w:rsidRPr="00BA06B6">
        <w:rPr>
          <w:rFonts w:asciiTheme="majorBidi" w:eastAsia="Times New Roman" w:hAnsiTheme="majorBidi" w:cstheme="majorBidi"/>
          <w:sz w:val="24"/>
          <w:szCs w:val="24"/>
          <w:lang w:eastAsia="en-GB"/>
        </w:rPr>
        <w:t>Kusi</w:t>
      </w:r>
      <w:proofErr w:type="spellEnd"/>
      <w:r w:rsidRPr="00BA06B6">
        <w:rPr>
          <w:rFonts w:asciiTheme="majorBidi" w:eastAsia="Times New Roman" w:hAnsiTheme="majorBidi" w:cstheme="majorBidi"/>
          <w:sz w:val="24"/>
          <w:szCs w:val="24"/>
          <w:lang w:eastAsia="en-GB"/>
        </w:rPr>
        <w:t xml:space="preserve"> &amp; Opoku‐Mensah, 2018; Moreira et al., 2018). One reason is that the rules that independent credit rating agencies apply to measure bank ratings do not </w:t>
      </w:r>
      <w:r w:rsidRPr="00BA06B6">
        <w:rPr>
          <w:rFonts w:asciiTheme="majorBidi" w:eastAsia="Times New Roman" w:hAnsiTheme="majorBidi" w:cstheme="majorBidi"/>
          <w:sz w:val="24"/>
          <w:szCs w:val="24"/>
          <w:lang w:eastAsia="en-GB"/>
        </w:rPr>
        <w:lastRenderedPageBreak/>
        <w:t>rely on banks’ conventional performance metrics only, but also on other characteristics. These include management quality, capital adequacy, asset quality, risk management, growth prospects, efficiency and internal control processes. Thus, BCRs arguably has a superior ability to accurately reflect actual bank credit quality (</w:t>
      </w:r>
      <w:proofErr w:type="spellStart"/>
      <w:r w:rsidRPr="00BA06B6">
        <w:rPr>
          <w:rFonts w:asciiTheme="majorBidi" w:eastAsia="Times New Roman" w:hAnsiTheme="majorBidi" w:cstheme="majorBidi"/>
          <w:sz w:val="24"/>
          <w:szCs w:val="24"/>
          <w:lang w:eastAsia="en-GB"/>
        </w:rPr>
        <w:t>Beisland</w:t>
      </w:r>
      <w:proofErr w:type="spellEnd"/>
      <w:r w:rsidRPr="00BA06B6">
        <w:rPr>
          <w:rFonts w:asciiTheme="majorBidi" w:eastAsia="Times New Roman" w:hAnsiTheme="majorBidi" w:cstheme="majorBidi"/>
          <w:sz w:val="24"/>
          <w:szCs w:val="24"/>
          <w:lang w:eastAsia="en-GB"/>
        </w:rPr>
        <w:t xml:space="preserve"> et al., 2014; Cheng &amp; Subramanyam, 2008). Moreover, when a rating score is assigned, the credit rating agencies generally are concerned with the banks’ governance structures since weak firm- and country-level governance structures can impair </w:t>
      </w:r>
      <w:r w:rsidR="00251D60" w:rsidRPr="00BA06B6">
        <w:rPr>
          <w:rFonts w:asciiTheme="majorBidi" w:eastAsia="Times New Roman" w:hAnsiTheme="majorBidi" w:cstheme="majorBidi"/>
          <w:sz w:val="24"/>
          <w:szCs w:val="24"/>
          <w:lang w:eastAsia="en-GB"/>
        </w:rPr>
        <w:t xml:space="preserve">the </w:t>
      </w:r>
      <w:r w:rsidRPr="00BA06B6">
        <w:rPr>
          <w:rFonts w:asciiTheme="majorBidi" w:eastAsia="Times New Roman" w:hAnsiTheme="majorBidi" w:cstheme="majorBidi"/>
          <w:sz w:val="24"/>
          <w:szCs w:val="24"/>
          <w:lang w:eastAsia="en-GB"/>
        </w:rPr>
        <w:t>bank’s financial performance. This can also affect the financial information quality disclosed to stakeholders (Ashbaugh-</w:t>
      </w:r>
      <w:proofErr w:type="spellStart"/>
      <w:r w:rsidRPr="00BA06B6">
        <w:rPr>
          <w:rFonts w:asciiTheme="majorBidi" w:eastAsia="Times New Roman" w:hAnsiTheme="majorBidi" w:cstheme="majorBidi"/>
          <w:sz w:val="24"/>
          <w:szCs w:val="24"/>
          <w:lang w:eastAsia="en-GB"/>
        </w:rPr>
        <w:t>Skaife</w:t>
      </w:r>
      <w:proofErr w:type="spellEnd"/>
      <w:r w:rsidRPr="00BA06B6">
        <w:rPr>
          <w:rFonts w:asciiTheme="majorBidi" w:eastAsia="Times New Roman" w:hAnsiTheme="majorBidi" w:cstheme="majorBidi"/>
          <w:sz w:val="24"/>
          <w:szCs w:val="24"/>
          <w:lang w:eastAsia="en-GB"/>
        </w:rPr>
        <w:t xml:space="preserve"> et al., 2006; Fitch Ratings, 2004; </w:t>
      </w:r>
      <w:proofErr w:type="spellStart"/>
      <w:r w:rsidRPr="00BA06B6">
        <w:rPr>
          <w:rFonts w:asciiTheme="majorBidi" w:eastAsia="Times New Roman" w:hAnsiTheme="majorBidi" w:cstheme="majorBidi"/>
          <w:sz w:val="24"/>
          <w:szCs w:val="24"/>
          <w:lang w:eastAsia="en-GB"/>
        </w:rPr>
        <w:t>Grassa</w:t>
      </w:r>
      <w:proofErr w:type="spellEnd"/>
      <w:r w:rsidRPr="00BA06B6">
        <w:rPr>
          <w:rFonts w:asciiTheme="majorBidi" w:eastAsia="Times New Roman" w:hAnsiTheme="majorBidi" w:cstheme="majorBidi"/>
          <w:sz w:val="24"/>
          <w:szCs w:val="24"/>
          <w:lang w:eastAsia="en-GB"/>
        </w:rPr>
        <w:t xml:space="preserve">, 2015). </w:t>
      </w:r>
    </w:p>
    <w:p w14:paraId="33BB571F" w14:textId="5027AD7E" w:rsidR="00AA068C" w:rsidRPr="00BA06B6" w:rsidRDefault="00AA068C" w:rsidP="00251D60">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The GFC</w:t>
      </w:r>
      <w:r w:rsidR="00251D60" w:rsidRPr="00BA06B6">
        <w:rPr>
          <w:rFonts w:asciiTheme="majorBidi" w:eastAsia="Times New Roman" w:hAnsiTheme="majorBidi" w:cstheme="majorBidi"/>
          <w:sz w:val="24"/>
          <w:szCs w:val="24"/>
          <w:lang w:eastAsia="en-GB"/>
        </w:rPr>
        <w:t>, in particular,</w:t>
      </w:r>
      <w:r w:rsidRPr="00BA06B6">
        <w:rPr>
          <w:rFonts w:asciiTheme="majorBidi" w:eastAsia="Times New Roman" w:hAnsiTheme="majorBidi" w:cstheme="majorBidi"/>
          <w:sz w:val="24"/>
          <w:szCs w:val="24"/>
          <w:lang w:eastAsia="en-GB"/>
        </w:rPr>
        <w:t xml:space="preserve"> has stimulated regulators worldwide to pursue risk and governance reforms aimed at improving risk disclosure and governance practices (Barakat &amp; Hussainey, 2013; </w:t>
      </w:r>
      <w:proofErr w:type="spellStart"/>
      <w:r w:rsidRPr="00BA06B6">
        <w:rPr>
          <w:rFonts w:asciiTheme="majorBidi" w:eastAsia="Times New Roman" w:hAnsiTheme="majorBidi" w:cstheme="majorBidi"/>
          <w:sz w:val="24"/>
          <w:szCs w:val="24"/>
          <w:lang w:eastAsia="en-GB"/>
        </w:rPr>
        <w:t>Iatridis</w:t>
      </w:r>
      <w:proofErr w:type="spellEnd"/>
      <w:r w:rsidRPr="00BA06B6">
        <w:rPr>
          <w:rFonts w:asciiTheme="majorBidi" w:eastAsia="Times New Roman" w:hAnsiTheme="majorBidi" w:cstheme="majorBidi"/>
          <w:sz w:val="24"/>
          <w:szCs w:val="24"/>
          <w:lang w:eastAsia="en-GB"/>
        </w:rPr>
        <w:t xml:space="preserve">, 2008; Martín-Oliver et al., 2017; Ntim et al., 2013; Walker 2009; </w:t>
      </w:r>
      <w:proofErr w:type="spellStart"/>
      <w:r w:rsidRPr="00BA06B6">
        <w:rPr>
          <w:rFonts w:asciiTheme="majorBidi" w:eastAsia="Times New Roman" w:hAnsiTheme="majorBidi" w:cstheme="majorBidi"/>
          <w:sz w:val="24"/>
          <w:szCs w:val="24"/>
          <w:lang w:eastAsia="en-GB"/>
        </w:rPr>
        <w:t>Yamori</w:t>
      </w:r>
      <w:proofErr w:type="spellEnd"/>
      <w:r w:rsidRPr="00BA06B6">
        <w:rPr>
          <w:rFonts w:asciiTheme="majorBidi" w:eastAsia="Times New Roman" w:hAnsiTheme="majorBidi" w:cstheme="majorBidi"/>
          <w:sz w:val="24"/>
          <w:szCs w:val="24"/>
          <w:lang w:eastAsia="en-GB"/>
        </w:rPr>
        <w:t xml:space="preserve"> et al., 2017). For example, the Basel Accords place unique emphasis on the role of external credit rating agencies by permitting banks to measure credit </w:t>
      </w:r>
      <w:r w:rsidR="00251D60" w:rsidRPr="00BA06B6">
        <w:rPr>
          <w:rFonts w:asciiTheme="majorBidi" w:eastAsia="Times New Roman" w:hAnsiTheme="majorBidi" w:cstheme="majorBidi"/>
          <w:sz w:val="24"/>
          <w:szCs w:val="24"/>
          <w:lang w:eastAsia="en-GB"/>
        </w:rPr>
        <w:t>risk-</w:t>
      </w:r>
      <w:r w:rsidRPr="00BA06B6">
        <w:rPr>
          <w:rFonts w:asciiTheme="majorBidi" w:eastAsia="Times New Roman" w:hAnsiTheme="majorBidi" w:cstheme="majorBidi"/>
          <w:sz w:val="24"/>
          <w:szCs w:val="24"/>
          <w:lang w:eastAsia="en-GB"/>
        </w:rPr>
        <w:t xml:space="preserve">weighted assets, which are based on the external ratings assigned by a credible rating agency (BCBS, 2006; Duff &amp; </w:t>
      </w:r>
      <w:proofErr w:type="spellStart"/>
      <w:r w:rsidRPr="00BA06B6">
        <w:rPr>
          <w:rFonts w:asciiTheme="majorBidi" w:eastAsia="Times New Roman" w:hAnsiTheme="majorBidi" w:cstheme="majorBidi"/>
          <w:sz w:val="24"/>
          <w:szCs w:val="24"/>
          <w:lang w:eastAsia="en-GB"/>
        </w:rPr>
        <w:t>Einig</w:t>
      </w:r>
      <w:proofErr w:type="spellEnd"/>
      <w:r w:rsidRPr="00BA06B6">
        <w:rPr>
          <w:rFonts w:asciiTheme="majorBidi" w:eastAsia="Times New Roman" w:hAnsiTheme="majorBidi" w:cstheme="majorBidi"/>
          <w:sz w:val="24"/>
          <w:szCs w:val="24"/>
          <w:lang w:eastAsia="en-GB"/>
        </w:rPr>
        <w:t xml:space="preserve">, 2009). </w:t>
      </w:r>
    </w:p>
    <w:p w14:paraId="3509FFE0" w14:textId="69BF3AFC" w:rsidR="00AA068C" w:rsidRPr="00BA06B6" w:rsidRDefault="00AA068C" w:rsidP="00251D60">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 xml:space="preserve">Consequently, regulators in MENA countries place </w:t>
      </w:r>
      <w:r w:rsidR="00251D60" w:rsidRPr="00BA06B6">
        <w:rPr>
          <w:rFonts w:asciiTheme="majorBidi" w:eastAsia="Times New Roman" w:hAnsiTheme="majorBidi" w:cstheme="majorBidi"/>
          <w:sz w:val="24"/>
          <w:szCs w:val="24"/>
          <w:lang w:eastAsia="en-GB"/>
        </w:rPr>
        <w:t xml:space="preserve">a </w:t>
      </w:r>
      <w:r w:rsidRPr="00BA06B6">
        <w:rPr>
          <w:rFonts w:asciiTheme="majorBidi" w:eastAsia="Times New Roman" w:hAnsiTheme="majorBidi" w:cstheme="majorBidi"/>
          <w:sz w:val="24"/>
          <w:szCs w:val="24"/>
          <w:lang w:eastAsia="en-GB"/>
        </w:rPr>
        <w:t>significant focus on the comprehensive risk management and risk disclosures in banks that are widely currently perceived as being insufficient, but by contrast, apparently have a significant impact on their ability to attract foreign investment (Amico, 2014). As a result, most of the MENA countries have adopted the Basel Accords (I, II, III) and IFRS (7, 9)/IAS (32, 39) or their domestic equivalent standards. These reforms and standards have sought to strengthen the need for comprehensive risk management and disclosure practices. Specifically, the Basel Accords (I, II, III), governance codes (Saudi code)</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and IFRS (7, 9)/IAS (32, 39) concentrate on qualitative and quantitative disclosure in relation to credit, liquidity, and market risks. However, the Basel Accords only consider operational risk as a separate category, </w:t>
      </w:r>
      <w:r w:rsidR="00251D60" w:rsidRPr="00BA06B6">
        <w:rPr>
          <w:rFonts w:asciiTheme="majorBidi" w:eastAsia="Times New Roman" w:hAnsiTheme="majorBidi" w:cstheme="majorBidi"/>
          <w:sz w:val="24"/>
          <w:szCs w:val="24"/>
          <w:lang w:eastAsia="en-GB"/>
        </w:rPr>
        <w:t xml:space="preserve">while </w:t>
      </w:r>
      <w:r w:rsidRPr="00BA06B6">
        <w:rPr>
          <w:rFonts w:asciiTheme="majorBidi" w:eastAsia="Times New Roman" w:hAnsiTheme="majorBidi" w:cstheme="majorBidi"/>
          <w:sz w:val="24"/>
          <w:szCs w:val="24"/>
          <w:lang w:eastAsia="en-GB"/>
        </w:rPr>
        <w:t>the IFRS/IAS lack sufficient granularity in some key risk areas (e.g., operational and strategic risks), which in general are omitted from risk disclosure regulations (Barakat &amp; Hussainey, 2013). This implies that any robust framework for managing, measuring, and disclosing risk ought to draw its items from multiple sources (e.g., the Basel Accords, governance codes</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and IFRS/IAS) rather than a single source.</w:t>
      </w:r>
    </w:p>
    <w:p w14:paraId="5BAA1661" w14:textId="22021978" w:rsidR="00AA068C" w:rsidRPr="00BA06B6" w:rsidRDefault="00AA068C" w:rsidP="00251D60">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Importantly, many countries in the MENA region and other emerging markets, which experienced banking failures during GFC, have apparent weaknesses in political stability, government effectiveness, regulatory environment</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and governance systems, as shown in Table 1 (</w:t>
      </w:r>
      <w:proofErr w:type="spellStart"/>
      <w:r w:rsidRPr="00BA06B6">
        <w:rPr>
          <w:rFonts w:asciiTheme="majorBidi" w:eastAsia="Times New Roman" w:hAnsiTheme="majorBidi" w:cstheme="majorBidi"/>
          <w:sz w:val="24"/>
          <w:szCs w:val="24"/>
          <w:lang w:eastAsia="en-GB"/>
        </w:rPr>
        <w:t>Bikker</w:t>
      </w:r>
      <w:proofErr w:type="spellEnd"/>
      <w:r w:rsidRPr="00BA06B6">
        <w:rPr>
          <w:rFonts w:asciiTheme="majorBidi" w:eastAsia="Times New Roman" w:hAnsiTheme="majorBidi" w:cstheme="majorBidi"/>
          <w:sz w:val="24"/>
          <w:szCs w:val="24"/>
          <w:lang w:eastAsia="en-GB"/>
        </w:rPr>
        <w:t xml:space="preserve">, 2017; Kaufmann et al., 2010; Kirkpatrick, 2009). Moreover, MENA banks have </w:t>
      </w:r>
      <w:r w:rsidRPr="00BA06B6">
        <w:rPr>
          <w:rFonts w:asciiTheme="majorBidi" w:eastAsia="Times New Roman" w:hAnsiTheme="majorBidi" w:cstheme="majorBidi"/>
          <w:sz w:val="24"/>
          <w:szCs w:val="24"/>
          <w:lang w:eastAsia="en-GB"/>
        </w:rPr>
        <w:lastRenderedPageBreak/>
        <w:t xml:space="preserve">significant weaknesses regarding governance structures. In particular, MENA banks are characterised by high levels of ownership concentration in the form of family- or government-owned banks, and recently increased foreign participation, as well as dual board structure, often consisting of conventional and </w:t>
      </w:r>
      <w:r w:rsidRPr="00BA06B6">
        <w:rPr>
          <w:rFonts w:asciiTheme="majorBidi" w:eastAsia="Times New Roman" w:hAnsiTheme="majorBidi" w:cstheme="majorBidi"/>
          <w:i/>
          <w:sz w:val="24"/>
          <w:szCs w:val="24"/>
          <w:lang w:eastAsia="en-GB"/>
        </w:rPr>
        <w:t>Shariah</w:t>
      </w:r>
      <w:r w:rsidRPr="00BA06B6">
        <w:rPr>
          <w:rFonts w:asciiTheme="majorBidi" w:eastAsia="Times New Roman" w:hAnsiTheme="majorBidi" w:cstheme="majorBidi"/>
          <w:sz w:val="24"/>
          <w:szCs w:val="24"/>
          <w:lang w:eastAsia="en-GB"/>
        </w:rPr>
        <w:t xml:space="preserve"> supervisory boards (</w:t>
      </w:r>
      <w:proofErr w:type="spellStart"/>
      <w:r w:rsidRPr="00BA06B6">
        <w:rPr>
          <w:rFonts w:asciiTheme="majorBidi" w:eastAsia="Times New Roman" w:hAnsiTheme="majorBidi" w:cstheme="majorBidi"/>
          <w:sz w:val="24"/>
          <w:szCs w:val="24"/>
          <w:lang w:eastAsia="en-GB"/>
        </w:rPr>
        <w:t>Koldertsova</w:t>
      </w:r>
      <w:proofErr w:type="spellEnd"/>
      <w:r w:rsidRPr="00BA06B6">
        <w:rPr>
          <w:rFonts w:asciiTheme="majorBidi" w:eastAsia="Times New Roman" w:hAnsiTheme="majorBidi" w:cstheme="majorBidi"/>
          <w:sz w:val="24"/>
          <w:szCs w:val="24"/>
          <w:lang w:eastAsia="en-GB"/>
        </w:rPr>
        <w:t xml:space="preserve">, 2011; Samaha et al., 2012; World Bank 2009). Further, MENA banks are characterised by weak disclosure and transparency, primarily due to disclosure–averse culture and weaker government oversight and enforcement (Kaufmann et al., 2010; Samaha et al., 2012; World Bank, 2009). </w:t>
      </w:r>
    </w:p>
    <w:p w14:paraId="2729778F" w14:textId="77777777" w:rsidR="00AA068C" w:rsidRPr="00BA06B6" w:rsidRDefault="00AA068C" w:rsidP="00AA068C">
      <w:pPr>
        <w:spacing w:before="100" w:beforeAutospacing="1" w:after="100" w:afterAutospacing="1" w:line="240" w:lineRule="auto"/>
        <w:ind w:firstLine="425"/>
        <w:jc w:val="center"/>
        <w:rPr>
          <w:rFonts w:asciiTheme="majorBidi" w:eastAsia="Times New Roman" w:hAnsiTheme="majorBidi" w:cstheme="majorBidi"/>
          <w:noProof/>
          <w:sz w:val="24"/>
          <w:szCs w:val="24"/>
          <w:lang w:eastAsia="en-GB"/>
        </w:rPr>
      </w:pPr>
      <w:r w:rsidRPr="00BA06B6">
        <w:rPr>
          <w:rFonts w:asciiTheme="majorBidi" w:eastAsia="Times New Roman" w:hAnsiTheme="majorBidi" w:cstheme="majorBidi"/>
          <w:noProof/>
          <w:sz w:val="24"/>
          <w:szCs w:val="24"/>
          <w:lang w:eastAsia="en-GB"/>
        </w:rPr>
        <w:t>Insert Table 1 about here</w:t>
      </w:r>
    </w:p>
    <w:p w14:paraId="7CDC6723" w14:textId="301E3261" w:rsidR="00BC341D" w:rsidRPr="00BA06B6" w:rsidRDefault="00AA068C" w:rsidP="00520635">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 xml:space="preserve">In addition to explicit commitment to the principles of the Basel Accords and pursuance of governance and IFRS/IAS reforms by countries in the MENA region (e.g., every MENA country has issued a CG code and subscribes to some form of IFRS/IAS), many commercial banks have opened windows for Islamic banking, especially after the remarkable large-scale growth in Islamic banking and finance worldwide, but particularly in this region (Beck et al., 2013; Ernst &amp; Young, 2012; Ozturk, 2014; </w:t>
      </w:r>
      <w:proofErr w:type="spellStart"/>
      <w:r w:rsidRPr="00BA06B6">
        <w:rPr>
          <w:rFonts w:asciiTheme="majorBidi" w:eastAsia="Times New Roman" w:hAnsiTheme="majorBidi" w:cstheme="majorBidi"/>
          <w:sz w:val="24"/>
          <w:szCs w:val="24"/>
          <w:lang w:eastAsia="en-GB"/>
        </w:rPr>
        <w:t>Safieddine</w:t>
      </w:r>
      <w:proofErr w:type="spellEnd"/>
      <w:r w:rsidRPr="00BA06B6">
        <w:rPr>
          <w:rFonts w:asciiTheme="majorBidi" w:eastAsia="Times New Roman" w:hAnsiTheme="majorBidi" w:cstheme="majorBidi"/>
          <w:sz w:val="24"/>
          <w:szCs w:val="24"/>
          <w:lang w:eastAsia="en-GB"/>
        </w:rPr>
        <w:t xml:space="preserve">, 2009). Thus and although Islamic banks have the same governance structures, they are required to operate in a </w:t>
      </w:r>
      <w:r w:rsidRPr="00BA06B6">
        <w:rPr>
          <w:rFonts w:asciiTheme="majorBidi" w:eastAsia="Times New Roman" w:hAnsiTheme="majorBidi" w:cstheme="majorBidi"/>
          <w:i/>
          <w:iCs/>
          <w:sz w:val="24"/>
          <w:szCs w:val="24"/>
          <w:lang w:eastAsia="en-GB"/>
        </w:rPr>
        <w:t>Shariah</w:t>
      </w:r>
      <w:r w:rsidRPr="00BA06B6">
        <w:rPr>
          <w:rFonts w:asciiTheme="majorBidi" w:eastAsia="Times New Roman" w:hAnsiTheme="majorBidi" w:cstheme="majorBidi"/>
          <w:sz w:val="24"/>
          <w:szCs w:val="24"/>
          <w:lang w:eastAsia="en-GB"/>
        </w:rPr>
        <w:t>-compliant manner. This creates unique governance structures, as well as raises a new risk called “</w:t>
      </w:r>
      <w:r w:rsidRPr="00BA06B6">
        <w:rPr>
          <w:rFonts w:asciiTheme="majorBidi" w:eastAsia="Times New Roman" w:hAnsiTheme="majorBidi" w:cstheme="majorBidi"/>
          <w:i/>
          <w:iCs/>
          <w:sz w:val="24"/>
          <w:szCs w:val="24"/>
          <w:lang w:eastAsia="en-GB"/>
        </w:rPr>
        <w:t>Shariah</w:t>
      </w:r>
      <w:r w:rsidRPr="00BA06B6">
        <w:rPr>
          <w:rFonts w:asciiTheme="majorBidi" w:eastAsia="Times New Roman" w:hAnsiTheme="majorBidi" w:cstheme="majorBidi"/>
          <w:sz w:val="24"/>
          <w:szCs w:val="24"/>
          <w:lang w:eastAsia="en-GB"/>
        </w:rPr>
        <w:t xml:space="preserve"> risk” concerning the potential risk of becoming </w:t>
      </w:r>
      <w:r w:rsidRPr="00BA06B6">
        <w:rPr>
          <w:rFonts w:asciiTheme="majorBidi" w:eastAsia="Times New Roman" w:hAnsiTheme="majorBidi" w:cstheme="majorBidi"/>
          <w:i/>
          <w:iCs/>
          <w:sz w:val="24"/>
          <w:szCs w:val="24"/>
          <w:lang w:eastAsia="en-GB"/>
        </w:rPr>
        <w:t>Shariah</w:t>
      </w:r>
      <w:r w:rsidRPr="00BA06B6">
        <w:rPr>
          <w:rFonts w:asciiTheme="majorBidi" w:eastAsia="Times New Roman" w:hAnsiTheme="majorBidi" w:cstheme="majorBidi"/>
          <w:sz w:val="24"/>
          <w:szCs w:val="24"/>
          <w:lang w:eastAsia="en-GB"/>
        </w:rPr>
        <w:t xml:space="preserve"> non-compliant, which can generate a further financial turmoil and threaten Islamic banks’ activities (e.g., cash deposits and withdrawals), and hence damage the banks’ reputation (</w:t>
      </w:r>
      <w:proofErr w:type="spellStart"/>
      <w:r w:rsidRPr="00BA06B6">
        <w:rPr>
          <w:rFonts w:asciiTheme="majorBidi" w:eastAsia="Times New Roman" w:hAnsiTheme="majorBidi" w:cstheme="majorBidi"/>
          <w:sz w:val="24"/>
          <w:szCs w:val="24"/>
          <w:lang w:eastAsia="en-GB"/>
        </w:rPr>
        <w:t>Abedifar</w:t>
      </w:r>
      <w:proofErr w:type="spellEnd"/>
      <w:r w:rsidRPr="00BA06B6">
        <w:rPr>
          <w:rFonts w:asciiTheme="majorBidi" w:eastAsia="Times New Roman" w:hAnsiTheme="majorBidi" w:cstheme="majorBidi"/>
          <w:sz w:val="24"/>
          <w:szCs w:val="24"/>
          <w:lang w:eastAsia="en-GB"/>
        </w:rPr>
        <w:t xml:space="preserve"> et al., 2017; Ashraf et al., 2016; </w:t>
      </w:r>
      <w:proofErr w:type="spellStart"/>
      <w:r w:rsidRPr="00BA06B6">
        <w:rPr>
          <w:rFonts w:asciiTheme="majorBidi" w:eastAsia="Times New Roman" w:hAnsiTheme="majorBidi" w:cstheme="majorBidi"/>
          <w:sz w:val="24"/>
          <w:szCs w:val="24"/>
          <w:lang w:eastAsia="en-GB"/>
        </w:rPr>
        <w:t>Aysan</w:t>
      </w:r>
      <w:proofErr w:type="spellEnd"/>
      <w:r w:rsidRPr="00BA06B6">
        <w:rPr>
          <w:rFonts w:asciiTheme="majorBidi" w:eastAsia="Times New Roman" w:hAnsiTheme="majorBidi" w:cstheme="majorBidi"/>
          <w:sz w:val="24"/>
          <w:szCs w:val="24"/>
          <w:lang w:eastAsia="en-GB"/>
        </w:rPr>
        <w:t xml:space="preserve"> &amp; Ozturk, 2018; </w:t>
      </w:r>
      <w:proofErr w:type="spellStart"/>
      <w:r w:rsidRPr="00BA06B6">
        <w:rPr>
          <w:rFonts w:asciiTheme="majorBidi" w:eastAsia="Times New Roman" w:hAnsiTheme="majorBidi" w:cstheme="majorBidi"/>
          <w:sz w:val="24"/>
          <w:szCs w:val="24"/>
          <w:lang w:eastAsia="en-GB"/>
        </w:rPr>
        <w:t>Bitar</w:t>
      </w:r>
      <w:proofErr w:type="spellEnd"/>
      <w:r w:rsidRPr="00BA06B6">
        <w:rPr>
          <w:rFonts w:asciiTheme="majorBidi" w:eastAsia="Times New Roman" w:hAnsiTheme="majorBidi" w:cstheme="majorBidi"/>
          <w:sz w:val="24"/>
          <w:szCs w:val="24"/>
          <w:lang w:eastAsia="en-GB"/>
        </w:rPr>
        <w:t xml:space="preserve"> et al., 2017; </w:t>
      </w:r>
      <w:proofErr w:type="spellStart"/>
      <w:r w:rsidRPr="00BA06B6">
        <w:rPr>
          <w:rFonts w:asciiTheme="majorBidi" w:eastAsia="Times New Roman" w:hAnsiTheme="majorBidi" w:cstheme="majorBidi"/>
          <w:sz w:val="24"/>
          <w:szCs w:val="24"/>
          <w:lang w:eastAsia="en-GB"/>
        </w:rPr>
        <w:t>Chapra</w:t>
      </w:r>
      <w:proofErr w:type="spellEnd"/>
      <w:r w:rsidRPr="00BA06B6">
        <w:rPr>
          <w:rFonts w:asciiTheme="majorBidi" w:eastAsia="Times New Roman" w:hAnsiTheme="majorBidi" w:cstheme="majorBidi"/>
          <w:sz w:val="24"/>
          <w:szCs w:val="24"/>
          <w:lang w:eastAsia="en-GB"/>
        </w:rPr>
        <w:t xml:space="preserve"> &amp; Ahmed, 2002; </w:t>
      </w:r>
      <w:proofErr w:type="spellStart"/>
      <w:r w:rsidRPr="00BA06B6">
        <w:rPr>
          <w:rFonts w:asciiTheme="majorBidi" w:eastAsia="Times New Roman" w:hAnsiTheme="majorBidi" w:cstheme="majorBidi"/>
          <w:sz w:val="24"/>
          <w:szCs w:val="24"/>
          <w:lang w:eastAsia="en-GB"/>
        </w:rPr>
        <w:t>Grassa</w:t>
      </w:r>
      <w:proofErr w:type="spellEnd"/>
      <w:r w:rsidRPr="00BA06B6">
        <w:rPr>
          <w:rFonts w:asciiTheme="majorBidi" w:eastAsia="Times New Roman" w:hAnsiTheme="majorBidi" w:cstheme="majorBidi"/>
          <w:sz w:val="24"/>
          <w:szCs w:val="24"/>
          <w:lang w:eastAsia="en-GB"/>
        </w:rPr>
        <w:t xml:space="preserve">, 2015; Hassan &amp; Aliyu, 2018; </w:t>
      </w:r>
      <w:proofErr w:type="spellStart"/>
      <w:r w:rsidRPr="00BA06B6">
        <w:rPr>
          <w:rFonts w:asciiTheme="majorBidi" w:eastAsia="Times New Roman" w:hAnsiTheme="majorBidi" w:cstheme="majorBidi"/>
          <w:sz w:val="24"/>
          <w:szCs w:val="24"/>
          <w:lang w:eastAsia="en-GB"/>
        </w:rPr>
        <w:t>Safieddine</w:t>
      </w:r>
      <w:proofErr w:type="spellEnd"/>
      <w:r w:rsidRPr="00BA06B6">
        <w:rPr>
          <w:rFonts w:asciiTheme="majorBidi" w:eastAsia="Times New Roman" w:hAnsiTheme="majorBidi" w:cstheme="majorBidi"/>
          <w:sz w:val="24"/>
          <w:szCs w:val="24"/>
          <w:lang w:eastAsia="en-GB"/>
        </w:rPr>
        <w:t>, 2009). Further, Islamic banking has typically been operating with a weaker government oversight, which has led to a number of noticeable Islamic bank failures (e.g., Islas Finance House in Turkey, the Dubai Islamic Bank, the Islamic Investment Companies of Egypt)  (</w:t>
      </w:r>
      <w:proofErr w:type="spellStart"/>
      <w:r w:rsidRPr="00BA06B6">
        <w:rPr>
          <w:rFonts w:asciiTheme="majorBidi" w:eastAsia="Times New Roman" w:hAnsiTheme="majorBidi" w:cstheme="majorBidi"/>
          <w:sz w:val="24"/>
          <w:szCs w:val="24"/>
          <w:lang w:eastAsia="en-GB"/>
        </w:rPr>
        <w:t>Chapra</w:t>
      </w:r>
      <w:proofErr w:type="spellEnd"/>
      <w:r w:rsidRPr="00BA06B6">
        <w:rPr>
          <w:rFonts w:asciiTheme="majorBidi" w:eastAsia="Times New Roman" w:hAnsiTheme="majorBidi" w:cstheme="majorBidi"/>
          <w:sz w:val="24"/>
          <w:szCs w:val="24"/>
          <w:lang w:eastAsia="en-GB"/>
        </w:rPr>
        <w:t xml:space="preserve"> &amp; Ahmed, 2002; </w:t>
      </w:r>
      <w:proofErr w:type="spellStart"/>
      <w:r w:rsidRPr="00BA06B6">
        <w:rPr>
          <w:rFonts w:asciiTheme="majorBidi" w:eastAsia="Times New Roman" w:hAnsiTheme="majorBidi" w:cstheme="majorBidi"/>
          <w:sz w:val="24"/>
          <w:szCs w:val="24"/>
          <w:lang w:eastAsia="en-GB"/>
        </w:rPr>
        <w:t>Grassa</w:t>
      </w:r>
      <w:proofErr w:type="spellEnd"/>
      <w:r w:rsidRPr="00BA06B6">
        <w:rPr>
          <w:rFonts w:asciiTheme="majorBidi" w:eastAsia="Times New Roman" w:hAnsiTheme="majorBidi" w:cstheme="majorBidi"/>
          <w:sz w:val="24"/>
          <w:szCs w:val="24"/>
          <w:lang w:eastAsia="en-GB"/>
        </w:rPr>
        <w:t>, 2015; Hasan, 2011; Safieddine, 2009). Additionally, Islamic banks rely on a risk-sharing model</w:t>
      </w:r>
      <w:r w:rsidR="00ED37ED" w:rsidRPr="00BA06B6">
        <w:rPr>
          <w:rFonts w:asciiTheme="majorBidi" w:eastAsia="Times New Roman" w:hAnsiTheme="majorBidi" w:cstheme="majorBidi"/>
          <w:sz w:val="24"/>
          <w:szCs w:val="24"/>
          <w:lang w:eastAsia="en-GB"/>
        </w:rPr>
        <w:t>s</w:t>
      </w:r>
      <w:r w:rsidRPr="00BA06B6">
        <w:rPr>
          <w:rFonts w:asciiTheme="majorBidi" w:eastAsia="Times New Roman" w:hAnsiTheme="majorBidi" w:cstheme="majorBidi"/>
          <w:sz w:val="24"/>
          <w:szCs w:val="24"/>
          <w:lang w:eastAsia="en-GB"/>
        </w:rPr>
        <w:t xml:space="preserve"> and are required to be more transparent and accountable compared to conventional counterparts. One way by which they can demonstrate greater accountability and transparency is to engage in increased disclosure of their risk exposures.  Together, this arguably offers a unique context to examine the relationship among risk disclosures, BCRs</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and governance structures.</w:t>
      </w:r>
      <w:bookmarkStart w:id="13" w:name="_Toc453539598"/>
      <w:bookmarkStart w:id="14" w:name="_Toc453539714"/>
      <w:bookmarkStart w:id="15" w:name="_Toc457534118"/>
    </w:p>
    <w:p w14:paraId="2E6DA0C7" w14:textId="77777777" w:rsidR="00116FAE" w:rsidRPr="00BA06B6" w:rsidRDefault="00116FAE" w:rsidP="00BC341D">
      <w:pPr>
        <w:spacing w:after="0" w:line="360" w:lineRule="auto"/>
        <w:ind w:firstLine="425"/>
        <w:jc w:val="both"/>
        <w:rPr>
          <w:rFonts w:asciiTheme="majorBidi" w:eastAsia="Times New Roman" w:hAnsiTheme="majorBidi" w:cstheme="majorBidi"/>
          <w:sz w:val="24"/>
          <w:szCs w:val="24"/>
          <w:lang w:eastAsia="en-GB"/>
        </w:rPr>
      </w:pPr>
    </w:p>
    <w:p w14:paraId="3EBDBDE5" w14:textId="77777777" w:rsidR="007A4DB3" w:rsidRPr="00BA06B6" w:rsidRDefault="00136CA0" w:rsidP="00136CA0">
      <w:pPr>
        <w:keepNext/>
        <w:keepLines/>
        <w:tabs>
          <w:tab w:val="left" w:pos="0"/>
        </w:tabs>
        <w:spacing w:after="0" w:line="360" w:lineRule="auto"/>
        <w:contextualSpacing/>
        <w:jc w:val="both"/>
        <w:outlineLvl w:val="0"/>
        <w:rPr>
          <w:rFonts w:asciiTheme="majorBidi" w:eastAsia="Times New Roman" w:hAnsiTheme="majorBidi" w:cstheme="majorBidi"/>
          <w:b/>
          <w:bCs/>
          <w:sz w:val="24"/>
          <w:szCs w:val="24"/>
          <w:lang w:eastAsia="en-GB"/>
        </w:rPr>
      </w:pPr>
      <w:r w:rsidRPr="00BA06B6">
        <w:rPr>
          <w:rFonts w:asciiTheme="majorBidi" w:eastAsia="Times New Roman" w:hAnsiTheme="majorBidi" w:cstheme="majorBidi"/>
          <w:b/>
          <w:bCs/>
          <w:sz w:val="24"/>
          <w:szCs w:val="24"/>
          <w:lang w:eastAsia="en-GB"/>
        </w:rPr>
        <w:lastRenderedPageBreak/>
        <w:t>3 | LITERATURE</w:t>
      </w:r>
      <w:r w:rsidR="00AA068C" w:rsidRPr="00BA06B6">
        <w:rPr>
          <w:rFonts w:asciiTheme="majorBidi" w:eastAsia="Times New Roman" w:hAnsiTheme="majorBidi" w:cstheme="majorBidi"/>
          <w:b/>
          <w:bCs/>
          <w:sz w:val="24"/>
          <w:szCs w:val="24"/>
          <w:lang w:eastAsia="en-GB"/>
        </w:rPr>
        <w:t xml:space="preserve"> REVIEW: THEORY, EMPIRICS AND RESEARCH HYPOTHESES</w:t>
      </w:r>
      <w:bookmarkEnd w:id="13"/>
      <w:bookmarkEnd w:id="14"/>
      <w:bookmarkEnd w:id="15"/>
      <w:r w:rsidR="00AA068C" w:rsidRPr="00BA06B6">
        <w:rPr>
          <w:rFonts w:asciiTheme="majorBidi" w:eastAsia="Times New Roman" w:hAnsiTheme="majorBidi" w:cstheme="majorBidi"/>
          <w:b/>
          <w:bCs/>
          <w:sz w:val="24"/>
          <w:szCs w:val="24"/>
          <w:lang w:eastAsia="en-GB"/>
        </w:rPr>
        <w:t xml:space="preserve"> DEVELOPMENT</w:t>
      </w:r>
    </w:p>
    <w:p w14:paraId="102ADE99" w14:textId="4704CE01" w:rsidR="00AA068C" w:rsidRPr="00BA06B6" w:rsidRDefault="00AA068C" w:rsidP="00251D60">
      <w:pPr>
        <w:spacing w:after="0" w:line="360" w:lineRule="auto"/>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In this section, we first briefly outline the theories underpinning our study and then, subsequently</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rely on the briefly outlined theories along with insights from the related prior empirical studies in developing our hypotheses. </w:t>
      </w:r>
      <w:bookmarkStart w:id="16" w:name="_Toc453539597"/>
      <w:bookmarkStart w:id="17" w:name="_Toc453539713"/>
      <w:bookmarkStart w:id="18" w:name="_Toc457534117"/>
    </w:p>
    <w:p w14:paraId="1E5FC81E" w14:textId="77777777" w:rsidR="007718DD" w:rsidRPr="00BA06B6" w:rsidRDefault="007718DD" w:rsidP="00251D60">
      <w:pPr>
        <w:spacing w:after="0" w:line="360" w:lineRule="auto"/>
        <w:jc w:val="both"/>
        <w:rPr>
          <w:rFonts w:asciiTheme="majorBidi" w:eastAsia="Times New Roman" w:hAnsiTheme="majorBidi" w:cstheme="majorBidi"/>
          <w:sz w:val="24"/>
          <w:szCs w:val="24"/>
          <w:lang w:eastAsia="en-GB"/>
        </w:rPr>
      </w:pPr>
    </w:p>
    <w:p w14:paraId="57AA5658" w14:textId="77777777" w:rsidR="00AA068C" w:rsidRPr="00BA06B6" w:rsidRDefault="008F77A2" w:rsidP="00AA068C">
      <w:pPr>
        <w:keepNext/>
        <w:keepLines/>
        <w:numPr>
          <w:ilvl w:val="1"/>
          <w:numId w:val="9"/>
        </w:numPr>
        <w:tabs>
          <w:tab w:val="left" w:pos="1418"/>
        </w:tabs>
        <w:spacing w:before="240" w:after="0" w:line="360" w:lineRule="auto"/>
        <w:contextualSpacing/>
        <w:outlineLvl w:val="0"/>
        <w:rPr>
          <w:rFonts w:asciiTheme="majorBidi" w:eastAsia="Times New Roman" w:hAnsiTheme="majorBidi" w:cstheme="majorBidi"/>
          <w:b/>
          <w:bCs/>
          <w:sz w:val="24"/>
          <w:szCs w:val="24"/>
        </w:rPr>
      </w:pPr>
      <w:r w:rsidRPr="00BA06B6">
        <w:rPr>
          <w:rFonts w:asciiTheme="majorBidi" w:eastAsia="Times New Roman" w:hAnsiTheme="majorBidi" w:cstheme="majorBidi"/>
          <w:b/>
          <w:bCs/>
          <w:sz w:val="24"/>
          <w:szCs w:val="24"/>
        </w:rPr>
        <w:t xml:space="preserve"> </w:t>
      </w:r>
      <w:r w:rsidR="00AA068C" w:rsidRPr="00BA06B6">
        <w:rPr>
          <w:rFonts w:asciiTheme="majorBidi" w:eastAsia="Times New Roman" w:hAnsiTheme="majorBidi" w:cstheme="majorBidi"/>
          <w:b/>
          <w:bCs/>
          <w:sz w:val="24"/>
          <w:szCs w:val="24"/>
        </w:rPr>
        <w:t>|   Theory</w:t>
      </w:r>
      <w:bookmarkEnd w:id="16"/>
      <w:bookmarkEnd w:id="17"/>
      <w:bookmarkEnd w:id="18"/>
      <w:r w:rsidR="00AA068C" w:rsidRPr="00BA06B6">
        <w:rPr>
          <w:rFonts w:asciiTheme="majorBidi" w:eastAsia="Times New Roman" w:hAnsiTheme="majorBidi" w:cstheme="majorBidi"/>
          <w:b/>
          <w:bCs/>
          <w:sz w:val="24"/>
          <w:szCs w:val="24"/>
        </w:rPr>
        <w:t xml:space="preserve"> </w:t>
      </w:r>
    </w:p>
    <w:p w14:paraId="3CBF41BD" w14:textId="2E753DF9" w:rsidR="00AA068C" w:rsidRPr="00BA06B6" w:rsidRDefault="00AA068C" w:rsidP="00251D60">
      <w:pPr>
        <w:spacing w:after="0" w:line="360" w:lineRule="auto"/>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The incentives to change bank-level outcomes (e.g., BCRs) are generally explained by a number of plausible theories due to the complex and opaque nature of bank performance. However, a comprehensive theory to understand the performance and disclosure does not yet exist. Hence, recent studies have called for richer explanations (Ashbaugh-</w:t>
      </w:r>
      <w:proofErr w:type="spellStart"/>
      <w:r w:rsidRPr="00BA06B6">
        <w:rPr>
          <w:rFonts w:asciiTheme="majorBidi" w:eastAsia="Times New Roman" w:hAnsiTheme="majorBidi" w:cstheme="majorBidi"/>
          <w:sz w:val="24"/>
          <w:szCs w:val="24"/>
          <w:lang w:eastAsia="en-GB"/>
        </w:rPr>
        <w:t>Skaife</w:t>
      </w:r>
      <w:proofErr w:type="spellEnd"/>
      <w:r w:rsidRPr="00BA06B6">
        <w:rPr>
          <w:rFonts w:asciiTheme="majorBidi" w:eastAsia="Times New Roman" w:hAnsiTheme="majorBidi" w:cstheme="majorBidi"/>
          <w:sz w:val="24"/>
          <w:szCs w:val="24"/>
          <w:lang w:eastAsia="en-GB"/>
        </w:rPr>
        <w:t xml:space="preserve"> et al., 2006; Grove et al., 2011; Heflin et al., 2011; Ntim et al., 2013). For example, agency theory suggests that there are inherent conflicts, which tend to create agency problems between bank shareholders and their managers on the one hand, and bondholders and shareholders on the other hand. Consequently, greater managerial monitoring often associated with increased risk disclosure can lead to a better alignment of interests among shareholders, managers and bondholders by reducing information asymmetry, and thereby enhance BCRs (Chan et al., 2013; </w:t>
      </w:r>
      <w:proofErr w:type="spellStart"/>
      <w:r w:rsidRPr="00BA06B6">
        <w:rPr>
          <w:rFonts w:asciiTheme="majorBidi" w:eastAsia="Times New Roman" w:hAnsiTheme="majorBidi" w:cstheme="majorBidi"/>
          <w:sz w:val="24"/>
          <w:szCs w:val="24"/>
          <w:lang w:eastAsia="en-GB"/>
        </w:rPr>
        <w:t>Fama</w:t>
      </w:r>
      <w:proofErr w:type="spellEnd"/>
      <w:r w:rsidRPr="00BA06B6">
        <w:rPr>
          <w:rFonts w:asciiTheme="majorBidi" w:eastAsia="Times New Roman" w:hAnsiTheme="majorBidi" w:cstheme="majorBidi"/>
          <w:sz w:val="24"/>
          <w:szCs w:val="24"/>
          <w:lang w:eastAsia="en-GB"/>
        </w:rPr>
        <w:t xml:space="preserve"> &amp; Jensen, 1983; Grove et al., 2011; Jensen &amp; </w:t>
      </w:r>
      <w:proofErr w:type="spellStart"/>
      <w:r w:rsidRPr="00BA06B6">
        <w:rPr>
          <w:rFonts w:asciiTheme="majorBidi" w:eastAsia="Times New Roman" w:hAnsiTheme="majorBidi" w:cstheme="majorBidi"/>
          <w:sz w:val="24"/>
          <w:szCs w:val="24"/>
          <w:lang w:eastAsia="en-GB"/>
        </w:rPr>
        <w:t>Meckling</w:t>
      </w:r>
      <w:proofErr w:type="spellEnd"/>
      <w:r w:rsidRPr="00BA06B6">
        <w:rPr>
          <w:rFonts w:asciiTheme="majorBidi" w:eastAsia="Times New Roman" w:hAnsiTheme="majorBidi" w:cstheme="majorBidi"/>
          <w:sz w:val="24"/>
          <w:szCs w:val="24"/>
          <w:lang w:eastAsia="en-GB"/>
        </w:rPr>
        <w:t xml:space="preserve">, 1976). Similarly and with respect to signalling theory (Spence, 1973), the primary objective of corporate disclosure is to inform stakeholders about the firm’s current and future performance and value. This suggests that disclosure decisions, such as risk disclosures can send signals to the market regarding a bank’s current and future performance and risk exposures. </w:t>
      </w:r>
    </w:p>
    <w:p w14:paraId="719E19F7" w14:textId="7F32A78D" w:rsidR="00124E9E" w:rsidRPr="00BA06B6" w:rsidRDefault="00124E9E" w:rsidP="00A1373D">
      <w:pPr>
        <w:spacing w:after="0" w:line="360" w:lineRule="auto"/>
        <w:ind w:firstLine="425"/>
        <w:jc w:val="both"/>
      </w:pPr>
      <w:r w:rsidRPr="00BA06B6">
        <w:rPr>
          <w:rFonts w:asciiTheme="majorBidi" w:eastAsia="Times New Roman" w:hAnsiTheme="majorBidi" w:cstheme="majorBidi"/>
          <w:sz w:val="24"/>
          <w:szCs w:val="24"/>
          <w:lang w:eastAsia="en-GB"/>
        </w:rPr>
        <w:t xml:space="preserve">Publicly released </w:t>
      </w:r>
      <w:r w:rsidRPr="00BA06B6">
        <w:rPr>
          <w:rFonts w:asciiTheme="majorBidi" w:eastAsia="Times New Roman" w:hAnsiTheme="majorBidi" w:cstheme="majorBidi"/>
          <w:sz w:val="24"/>
          <w:szCs w:val="24"/>
          <w:lang w:val="en-US" w:eastAsia="en-GB"/>
        </w:rPr>
        <w:t xml:space="preserve">risk disclosures matter for credit rating agencies for two main reasons (He, 2018). </w:t>
      </w:r>
      <w:r w:rsidRPr="00BA06B6">
        <w:rPr>
          <w:rFonts w:asciiTheme="majorBidi" w:eastAsia="Times New Roman" w:hAnsiTheme="majorBidi" w:cstheme="majorBidi"/>
          <w:sz w:val="24"/>
          <w:szCs w:val="24"/>
          <w:lang w:eastAsia="en-GB"/>
        </w:rPr>
        <w:t>First, publicly disclosed risk information is subject to scrutin</w:t>
      </w:r>
      <w:r w:rsidR="001F6C6E" w:rsidRPr="00BA06B6">
        <w:rPr>
          <w:rFonts w:asciiTheme="majorBidi" w:eastAsia="Times New Roman" w:hAnsiTheme="majorBidi" w:cstheme="majorBidi"/>
          <w:sz w:val="24"/>
          <w:szCs w:val="24"/>
          <w:lang w:eastAsia="en-GB"/>
        </w:rPr>
        <w:t>y</w:t>
      </w:r>
      <w:r w:rsidRPr="00BA06B6">
        <w:rPr>
          <w:rFonts w:asciiTheme="majorBidi" w:eastAsia="Times New Roman" w:hAnsiTheme="majorBidi" w:cstheme="majorBidi"/>
          <w:sz w:val="24"/>
          <w:szCs w:val="24"/>
          <w:lang w:eastAsia="en-GB"/>
        </w:rPr>
        <w:t xml:space="preserve"> from both external investors and legal agencies. In such a sense, the publicly released disclosures are more credible than private communications (e.g., Bushman et al., 2004; Armstrong et al., 2010). </w:t>
      </w:r>
      <w:r w:rsidRPr="00BA06B6">
        <w:rPr>
          <w:rFonts w:asciiTheme="majorBidi" w:eastAsia="Times New Roman" w:hAnsiTheme="majorBidi" w:cstheme="majorBidi"/>
          <w:sz w:val="24"/>
          <w:szCs w:val="24"/>
          <w:lang w:val="en-US" w:eastAsia="en-GB"/>
        </w:rPr>
        <w:t xml:space="preserve">He (2018) finds that </w:t>
      </w:r>
      <w:r w:rsidRPr="00BA06B6">
        <w:rPr>
          <w:rFonts w:asciiTheme="majorBidi" w:eastAsia="Times New Roman" w:hAnsiTheme="majorBidi" w:cstheme="majorBidi"/>
          <w:sz w:val="24"/>
          <w:szCs w:val="24"/>
          <w:lang w:eastAsia="en-GB"/>
        </w:rPr>
        <w:t xml:space="preserve">managers possess no legal accountability for privately circulating incorrect or misleading information to BCR agencies. Second, publicly released risk information could impact the anticipated value of a company's future cash flow over forming and/or changing market expectations. The anticipated future cash flow change would then modify a BCR agency's evaluated level of the company’s creditworthiness, which cannot be achieved by privately communicating firm information to BCR agencies. Also, previous literature suggests that better disclosure can (i) </w:t>
      </w:r>
      <w:r w:rsidR="001F6C6E"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sz w:val="24"/>
          <w:szCs w:val="24"/>
          <w:lang w:eastAsia="en-GB"/>
        </w:rPr>
        <w:t xml:space="preserve">decrease information asymmetry, which decreases agency risk; (ii) decrease adverse selection costs to a firm; and (iii) reduce uncertainty and information risk, </w:t>
      </w:r>
      <w:r w:rsidRPr="00BA06B6">
        <w:rPr>
          <w:rFonts w:asciiTheme="majorBidi" w:eastAsia="Times New Roman" w:hAnsiTheme="majorBidi" w:cstheme="majorBidi"/>
          <w:sz w:val="24"/>
          <w:szCs w:val="24"/>
          <w:lang w:eastAsia="en-GB"/>
        </w:rPr>
        <w:lastRenderedPageBreak/>
        <w:t xml:space="preserve">thus decreasing the firm's cost of capital (Campbell et al., 2014; Dhaliwal et al., 2011; </w:t>
      </w:r>
      <w:proofErr w:type="spellStart"/>
      <w:r w:rsidRPr="00BA06B6">
        <w:rPr>
          <w:rFonts w:asciiTheme="majorBidi" w:eastAsia="Times New Roman" w:hAnsiTheme="majorBidi" w:cstheme="majorBidi"/>
          <w:sz w:val="24"/>
          <w:szCs w:val="24"/>
          <w:lang w:eastAsia="en-GB"/>
        </w:rPr>
        <w:t>Elbannan</w:t>
      </w:r>
      <w:proofErr w:type="spellEnd"/>
      <w:r w:rsidRPr="00BA06B6">
        <w:rPr>
          <w:rFonts w:asciiTheme="majorBidi" w:eastAsia="Times New Roman" w:hAnsiTheme="majorBidi" w:cstheme="majorBidi"/>
          <w:sz w:val="24"/>
          <w:szCs w:val="24"/>
          <w:lang w:eastAsia="en-GB"/>
        </w:rPr>
        <w:t xml:space="preserve"> &amp; </w:t>
      </w:r>
      <w:proofErr w:type="spellStart"/>
      <w:r w:rsidRPr="00BA06B6">
        <w:rPr>
          <w:rFonts w:asciiTheme="majorBidi" w:eastAsia="Times New Roman" w:hAnsiTheme="majorBidi" w:cstheme="majorBidi"/>
          <w:sz w:val="24"/>
          <w:szCs w:val="24"/>
          <w:lang w:eastAsia="en-GB"/>
        </w:rPr>
        <w:t>Elbannan</w:t>
      </w:r>
      <w:proofErr w:type="spellEnd"/>
      <w:r w:rsidRPr="00BA06B6">
        <w:rPr>
          <w:rFonts w:asciiTheme="majorBidi" w:eastAsia="Times New Roman" w:hAnsiTheme="majorBidi" w:cstheme="majorBidi"/>
          <w:sz w:val="24"/>
          <w:szCs w:val="24"/>
          <w:lang w:eastAsia="en-GB"/>
        </w:rPr>
        <w:t xml:space="preserve">, 2015; Elshandidy &amp; </w:t>
      </w:r>
      <w:proofErr w:type="spellStart"/>
      <w:r w:rsidRPr="00BA06B6">
        <w:rPr>
          <w:rFonts w:asciiTheme="majorBidi" w:eastAsia="Times New Roman" w:hAnsiTheme="majorBidi" w:cstheme="majorBidi"/>
          <w:sz w:val="24"/>
          <w:szCs w:val="24"/>
          <w:lang w:eastAsia="en-GB"/>
        </w:rPr>
        <w:t>Neri</w:t>
      </w:r>
      <w:proofErr w:type="spellEnd"/>
      <w:r w:rsidRPr="00BA06B6">
        <w:rPr>
          <w:rFonts w:asciiTheme="majorBidi" w:eastAsia="Times New Roman" w:hAnsiTheme="majorBidi" w:cstheme="majorBidi"/>
          <w:sz w:val="24"/>
          <w:szCs w:val="24"/>
          <w:lang w:eastAsia="en-GB"/>
        </w:rPr>
        <w:t xml:space="preserve">, 2015; Elshandidy &amp; Shrives, 2016; </w:t>
      </w:r>
      <w:proofErr w:type="spellStart"/>
      <w:r w:rsidRPr="00BA06B6">
        <w:rPr>
          <w:rFonts w:asciiTheme="majorBidi" w:eastAsia="Times New Roman" w:hAnsiTheme="majorBidi" w:cstheme="majorBidi"/>
          <w:sz w:val="24"/>
          <w:szCs w:val="24"/>
          <w:lang w:eastAsia="en-GB"/>
        </w:rPr>
        <w:t>Filzen</w:t>
      </w:r>
      <w:proofErr w:type="spellEnd"/>
      <w:r w:rsidRPr="00BA06B6">
        <w:rPr>
          <w:rFonts w:asciiTheme="majorBidi" w:eastAsia="Times New Roman" w:hAnsiTheme="majorBidi" w:cstheme="majorBidi"/>
          <w:sz w:val="24"/>
          <w:szCs w:val="24"/>
          <w:lang w:eastAsia="en-GB"/>
        </w:rPr>
        <w:t xml:space="preserve">, 2015; Kravet &amp; </w:t>
      </w:r>
      <w:proofErr w:type="spellStart"/>
      <w:r w:rsidRPr="00BA06B6">
        <w:rPr>
          <w:rFonts w:asciiTheme="majorBidi" w:eastAsia="Times New Roman" w:hAnsiTheme="majorBidi" w:cstheme="majorBidi"/>
          <w:sz w:val="24"/>
          <w:szCs w:val="24"/>
          <w:lang w:eastAsia="en-GB"/>
        </w:rPr>
        <w:t>Muslu</w:t>
      </w:r>
      <w:proofErr w:type="spellEnd"/>
      <w:r w:rsidRPr="00BA06B6">
        <w:rPr>
          <w:rFonts w:asciiTheme="majorBidi" w:eastAsia="Times New Roman" w:hAnsiTheme="majorBidi" w:cstheme="majorBidi"/>
          <w:sz w:val="24"/>
          <w:szCs w:val="24"/>
          <w:lang w:eastAsia="en-GB"/>
        </w:rPr>
        <w:t xml:space="preserve">, 2013; Hope et al., 2016; Mansi et al., 2011; Tan et al., 2017; </w:t>
      </w:r>
      <w:proofErr w:type="spellStart"/>
      <w:r w:rsidRPr="00BA06B6">
        <w:rPr>
          <w:rFonts w:asciiTheme="majorBidi" w:eastAsia="Times New Roman" w:hAnsiTheme="majorBidi" w:cstheme="majorBidi"/>
          <w:sz w:val="24"/>
          <w:szCs w:val="24"/>
          <w:lang w:eastAsia="en-GB"/>
        </w:rPr>
        <w:t>Verrecchia</w:t>
      </w:r>
      <w:proofErr w:type="spellEnd"/>
      <w:r w:rsidRPr="00BA06B6">
        <w:rPr>
          <w:rFonts w:asciiTheme="majorBidi" w:eastAsia="Times New Roman" w:hAnsiTheme="majorBidi" w:cstheme="majorBidi"/>
          <w:sz w:val="24"/>
          <w:szCs w:val="24"/>
          <w:lang w:eastAsia="en-GB"/>
        </w:rPr>
        <w:t>, 1983).</w:t>
      </w:r>
    </w:p>
    <w:p w14:paraId="4E7AFA38" w14:textId="61ECC0A0" w:rsidR="00AA068C" w:rsidRPr="00BA06B6" w:rsidRDefault="00AA068C" w:rsidP="00520635">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 xml:space="preserve">Finally, from legitimacy and resource dependence theoretical perspectives, enhanced disclosures can provide an essential link between banks and critical resources, such as access to ﬁnance, business contracts and suppliers (Nicholson &amp; Kiel, 2007; Pfeffer &amp; </w:t>
      </w:r>
      <w:proofErr w:type="spellStart"/>
      <w:r w:rsidRPr="00BA06B6">
        <w:rPr>
          <w:rFonts w:asciiTheme="majorBidi" w:eastAsia="Times New Roman" w:hAnsiTheme="majorBidi" w:cstheme="majorBidi"/>
          <w:sz w:val="24"/>
          <w:szCs w:val="24"/>
          <w:lang w:eastAsia="en-GB"/>
        </w:rPr>
        <w:t>Salancik</w:t>
      </w:r>
      <w:proofErr w:type="spellEnd"/>
      <w:r w:rsidRPr="00BA06B6">
        <w:rPr>
          <w:rFonts w:asciiTheme="majorBidi" w:eastAsia="Times New Roman" w:hAnsiTheme="majorBidi" w:cstheme="majorBidi"/>
          <w:sz w:val="24"/>
          <w:szCs w:val="24"/>
          <w:lang w:eastAsia="en-GB"/>
        </w:rPr>
        <w:t xml:space="preserve">, 2003; </w:t>
      </w:r>
      <w:proofErr w:type="spellStart"/>
      <w:r w:rsidRPr="00BA06B6">
        <w:rPr>
          <w:rFonts w:asciiTheme="majorBidi" w:eastAsia="Times New Roman" w:hAnsiTheme="majorBidi" w:cstheme="majorBidi"/>
          <w:sz w:val="24"/>
          <w:szCs w:val="24"/>
          <w:lang w:eastAsia="en-GB"/>
        </w:rPr>
        <w:t>Salancik</w:t>
      </w:r>
      <w:proofErr w:type="spellEnd"/>
      <w:r w:rsidRPr="00BA06B6">
        <w:rPr>
          <w:rFonts w:asciiTheme="majorBidi" w:eastAsia="Times New Roman" w:hAnsiTheme="majorBidi" w:cstheme="majorBidi"/>
          <w:sz w:val="24"/>
          <w:szCs w:val="24"/>
          <w:lang w:eastAsia="en-GB"/>
        </w:rPr>
        <w:t xml:space="preserve"> &amp; Pfeffer, 1978). Consequently, </w:t>
      </w:r>
      <w:r w:rsidR="00520635" w:rsidRPr="00BA06B6">
        <w:rPr>
          <w:rFonts w:asciiTheme="majorBidi" w:eastAsia="Times New Roman" w:hAnsiTheme="majorBidi" w:cstheme="majorBidi"/>
          <w:sz w:val="24"/>
          <w:szCs w:val="24"/>
          <w:lang w:eastAsia="en-GB"/>
        </w:rPr>
        <w:t>based on</w:t>
      </w:r>
      <w:r w:rsidRPr="00BA06B6">
        <w:rPr>
          <w:rFonts w:asciiTheme="majorBidi" w:eastAsia="Times New Roman" w:hAnsiTheme="majorBidi" w:cstheme="majorBidi"/>
          <w:sz w:val="24"/>
          <w:szCs w:val="24"/>
          <w:lang w:eastAsia="en-GB"/>
        </w:rPr>
        <w:t xml:space="preserve"> the above theories, prior studies have examined the relevance of banks’ disclosures with the aim of improving links with the external environment to enhance managerial monitoring, reduce information asymmetry, gain access to resources, and consequently enhance BCRs (Nicholson &amp; Kiel, 2007). This study, thus, draws insights from multiples theories, including agency, signalling, legitimacy and resource dependence theories to explain the value relevance of banks’ risk disclosures, as well as governance structures and their moderating impact on BCRs. </w:t>
      </w:r>
    </w:p>
    <w:p w14:paraId="7F0D9472" w14:textId="77777777" w:rsidR="007718DD" w:rsidRPr="00BA06B6" w:rsidRDefault="007718DD" w:rsidP="00520635">
      <w:pPr>
        <w:spacing w:after="0" w:line="360" w:lineRule="auto"/>
        <w:ind w:firstLine="425"/>
        <w:jc w:val="both"/>
        <w:rPr>
          <w:rFonts w:asciiTheme="majorBidi" w:eastAsia="Times New Roman" w:hAnsiTheme="majorBidi" w:cstheme="majorBidi"/>
          <w:sz w:val="24"/>
          <w:szCs w:val="24"/>
          <w:lang w:eastAsia="en-GB"/>
        </w:rPr>
      </w:pPr>
    </w:p>
    <w:p w14:paraId="5EDE12E1" w14:textId="77777777" w:rsidR="00AA068C" w:rsidRPr="00BA06B6" w:rsidRDefault="008F77A2" w:rsidP="00AA068C">
      <w:pPr>
        <w:keepNext/>
        <w:keepLines/>
        <w:numPr>
          <w:ilvl w:val="1"/>
          <w:numId w:val="9"/>
        </w:numPr>
        <w:tabs>
          <w:tab w:val="left" w:pos="1418"/>
        </w:tabs>
        <w:spacing w:before="240" w:after="0" w:line="360" w:lineRule="auto"/>
        <w:contextualSpacing/>
        <w:outlineLvl w:val="0"/>
        <w:rPr>
          <w:rFonts w:asciiTheme="majorBidi" w:eastAsia="Calibri" w:hAnsiTheme="majorBidi" w:cstheme="majorBidi"/>
          <w:b/>
          <w:bCs/>
          <w:sz w:val="24"/>
          <w:szCs w:val="24"/>
        </w:rPr>
      </w:pPr>
      <w:bookmarkStart w:id="19" w:name="_Toc453539599"/>
      <w:bookmarkStart w:id="20" w:name="_Toc453539715"/>
      <w:bookmarkStart w:id="21" w:name="_Toc457534119"/>
      <w:r w:rsidRPr="00BA06B6">
        <w:rPr>
          <w:rFonts w:asciiTheme="majorBidi" w:eastAsia="Calibri" w:hAnsiTheme="majorBidi" w:cstheme="majorBidi"/>
          <w:b/>
          <w:bCs/>
          <w:sz w:val="24"/>
          <w:szCs w:val="24"/>
        </w:rPr>
        <w:t xml:space="preserve"> </w:t>
      </w:r>
      <w:r w:rsidR="00AA068C" w:rsidRPr="00BA06B6">
        <w:rPr>
          <w:rFonts w:asciiTheme="majorBidi" w:eastAsia="Calibri" w:hAnsiTheme="majorBidi" w:cstheme="majorBidi"/>
          <w:b/>
          <w:bCs/>
          <w:sz w:val="24"/>
          <w:szCs w:val="24"/>
        </w:rPr>
        <w:t>|   The informativeness of risk disclosures and BCRs</w:t>
      </w:r>
      <w:bookmarkEnd w:id="19"/>
      <w:bookmarkEnd w:id="20"/>
      <w:bookmarkEnd w:id="21"/>
    </w:p>
    <w:p w14:paraId="08872818" w14:textId="47FEF916" w:rsidR="00414878" w:rsidRPr="00BA06B6" w:rsidRDefault="00AA068C" w:rsidP="00251D60">
      <w:pPr>
        <w:spacing w:after="0" w:line="360" w:lineRule="auto"/>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IFRS/IAS and Basel Accords have placed growing importance on risk disclosures (Barakat &amp; Hussainey, 2013; BCBS, 2015b). It is crucial to identify the benefits that risk disclosures can provide. If external users find risk disclosures valuable, then, agency theory suggests that increased risk disclosure can facilitate managerial monitoring by reducing information asymmetry, and thereby decrease the cost of capital through enhanced BCRs (Aman &amp; Nguyen, 2013; Ashbaugh-</w:t>
      </w:r>
      <w:proofErr w:type="spellStart"/>
      <w:r w:rsidRPr="00BA06B6">
        <w:rPr>
          <w:rFonts w:asciiTheme="majorBidi" w:eastAsia="Times New Roman" w:hAnsiTheme="majorBidi" w:cstheme="majorBidi"/>
          <w:sz w:val="24"/>
          <w:szCs w:val="24"/>
          <w:lang w:eastAsia="en-GB"/>
        </w:rPr>
        <w:t>Skaife</w:t>
      </w:r>
      <w:proofErr w:type="spellEnd"/>
      <w:r w:rsidRPr="00BA06B6">
        <w:rPr>
          <w:rFonts w:asciiTheme="majorBidi" w:eastAsia="Times New Roman" w:hAnsiTheme="majorBidi" w:cstheme="majorBidi"/>
          <w:sz w:val="24"/>
          <w:szCs w:val="24"/>
          <w:lang w:eastAsia="en-GB"/>
        </w:rPr>
        <w:t xml:space="preserve"> et al., 2006; Chan et al., 2013; Jensen &amp; </w:t>
      </w:r>
      <w:proofErr w:type="spellStart"/>
      <w:r w:rsidRPr="00BA06B6">
        <w:rPr>
          <w:rFonts w:asciiTheme="majorBidi" w:eastAsia="Times New Roman" w:hAnsiTheme="majorBidi" w:cstheme="majorBidi"/>
          <w:sz w:val="24"/>
          <w:szCs w:val="24"/>
          <w:lang w:eastAsia="en-GB"/>
        </w:rPr>
        <w:t>Meckling</w:t>
      </w:r>
      <w:proofErr w:type="spellEnd"/>
      <w:r w:rsidRPr="00BA06B6">
        <w:rPr>
          <w:rFonts w:asciiTheme="majorBidi" w:eastAsia="Times New Roman" w:hAnsiTheme="majorBidi" w:cstheme="majorBidi"/>
          <w:sz w:val="24"/>
          <w:szCs w:val="24"/>
          <w:lang w:eastAsia="en-GB"/>
        </w:rPr>
        <w:t xml:space="preserve">, 1976; </w:t>
      </w:r>
      <w:proofErr w:type="spellStart"/>
      <w:r w:rsidRPr="00BA06B6">
        <w:rPr>
          <w:rFonts w:asciiTheme="majorBidi" w:eastAsia="Times New Roman" w:hAnsiTheme="majorBidi" w:cstheme="majorBidi"/>
          <w:sz w:val="24"/>
          <w:szCs w:val="24"/>
          <w:lang w:eastAsia="en-GB"/>
        </w:rPr>
        <w:t>Kuang</w:t>
      </w:r>
      <w:proofErr w:type="spellEnd"/>
      <w:r w:rsidRPr="00BA06B6">
        <w:rPr>
          <w:rFonts w:asciiTheme="majorBidi" w:eastAsia="Times New Roman" w:hAnsiTheme="majorBidi" w:cstheme="majorBidi"/>
          <w:sz w:val="24"/>
          <w:szCs w:val="24"/>
          <w:lang w:eastAsia="en-GB"/>
        </w:rPr>
        <w:t xml:space="preserve"> &amp; Qin, 2013</w:t>
      </w:r>
      <w:r w:rsidR="000150D5" w:rsidRPr="00BA06B6">
        <w:rPr>
          <w:rFonts w:asciiTheme="majorBidi" w:eastAsia="Times New Roman" w:hAnsiTheme="majorBidi" w:cstheme="majorBidi"/>
          <w:sz w:val="24"/>
          <w:szCs w:val="24"/>
          <w:lang w:eastAsia="en-GB"/>
        </w:rPr>
        <w:t xml:space="preserve">; </w:t>
      </w:r>
      <w:proofErr w:type="spellStart"/>
      <w:r w:rsidR="000150D5" w:rsidRPr="00BA06B6">
        <w:rPr>
          <w:rFonts w:ascii="TimesNewRomanPSMT" w:hAnsi="TimesNewRomanPSMT" w:cs="TimesNewRomanPSMT"/>
          <w:sz w:val="24"/>
          <w:szCs w:val="24"/>
        </w:rPr>
        <w:t>Miihkinen</w:t>
      </w:r>
      <w:proofErr w:type="spellEnd"/>
      <w:r w:rsidR="000150D5" w:rsidRPr="00BA06B6">
        <w:rPr>
          <w:rFonts w:ascii="TimesNewRomanPSMT" w:hAnsi="TimesNewRomanPSMT" w:cs="TimesNewRomanPSMT"/>
          <w:sz w:val="24"/>
          <w:szCs w:val="24"/>
        </w:rPr>
        <w:t xml:space="preserve">, 2013; </w:t>
      </w:r>
      <w:proofErr w:type="spellStart"/>
      <w:r w:rsidR="000150D5" w:rsidRPr="00BA06B6">
        <w:rPr>
          <w:rFonts w:ascii="TimesNewRomanPSMT" w:hAnsi="TimesNewRomanPSMT" w:cs="TimesNewRomanPSMT"/>
          <w:sz w:val="24"/>
          <w:szCs w:val="24"/>
        </w:rPr>
        <w:t>Moumen</w:t>
      </w:r>
      <w:proofErr w:type="spellEnd"/>
      <w:r w:rsidR="000150D5" w:rsidRPr="00BA06B6">
        <w:rPr>
          <w:rFonts w:ascii="TimesNewRomanPSMT" w:hAnsi="TimesNewRomanPSMT" w:cs="TimesNewRomanPSMT"/>
          <w:sz w:val="24"/>
          <w:szCs w:val="24"/>
        </w:rPr>
        <w:t xml:space="preserve"> et al. 2015</w:t>
      </w:r>
      <w:r w:rsidRPr="00BA06B6">
        <w:rPr>
          <w:rFonts w:asciiTheme="majorBidi" w:eastAsia="Times New Roman" w:hAnsiTheme="majorBidi" w:cstheme="majorBidi"/>
          <w:sz w:val="24"/>
          <w:szCs w:val="24"/>
          <w:lang w:eastAsia="en-GB"/>
        </w:rPr>
        <w:t>). On the other hand, if banks disclose sensitive information regarding risk, it might have adverse effects on BCRs, and thus the extent of risk disclosure arguably depends upon market transparency levels and the cost/benefits of risk disclosures (</w:t>
      </w:r>
      <w:proofErr w:type="spellStart"/>
      <w:r w:rsidRPr="00BA06B6">
        <w:rPr>
          <w:rFonts w:asciiTheme="majorBidi" w:eastAsia="Times New Roman" w:hAnsiTheme="majorBidi" w:cstheme="majorBidi"/>
          <w:sz w:val="24"/>
          <w:szCs w:val="24"/>
          <w:lang w:eastAsia="en-GB"/>
        </w:rPr>
        <w:t>Hertig</w:t>
      </w:r>
      <w:proofErr w:type="spellEnd"/>
      <w:r w:rsidRPr="00BA06B6">
        <w:rPr>
          <w:rFonts w:asciiTheme="majorBidi" w:eastAsia="Times New Roman" w:hAnsiTheme="majorBidi" w:cstheme="majorBidi"/>
          <w:sz w:val="24"/>
          <w:szCs w:val="24"/>
          <w:lang w:eastAsia="en-GB"/>
        </w:rPr>
        <w:t xml:space="preserve">, 2006). </w:t>
      </w:r>
    </w:p>
    <w:p w14:paraId="2EA08BD2" w14:textId="60A6030D" w:rsidR="00A5665D" w:rsidRPr="00BA06B6" w:rsidRDefault="00A5665D" w:rsidP="00A1373D">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 xml:space="preserve">The role of accounting disclosure in decreasing inefﬁciencies in debt and capital markets has been the subject of wide research (See </w:t>
      </w:r>
      <w:bookmarkStart w:id="22" w:name="_Hlk21670237"/>
      <w:r w:rsidRPr="00BA06B6">
        <w:rPr>
          <w:rFonts w:asciiTheme="majorBidi" w:eastAsia="Times New Roman" w:hAnsiTheme="majorBidi" w:cstheme="majorBidi"/>
          <w:sz w:val="24"/>
          <w:szCs w:val="24"/>
          <w:lang w:eastAsia="en-GB"/>
        </w:rPr>
        <w:t>Healy &amp; Palepu, 1993, 1995, 20</w:t>
      </w:r>
      <w:r w:rsidR="007C36C8" w:rsidRPr="00BA06B6">
        <w:rPr>
          <w:rFonts w:asciiTheme="majorBidi" w:eastAsia="Times New Roman" w:hAnsiTheme="majorBidi" w:cstheme="majorBidi"/>
          <w:sz w:val="24"/>
          <w:szCs w:val="24"/>
          <w:lang w:eastAsia="en-GB"/>
        </w:rPr>
        <w:t>0</w:t>
      </w:r>
      <w:r w:rsidRPr="00BA06B6">
        <w:rPr>
          <w:rFonts w:asciiTheme="majorBidi" w:eastAsia="Times New Roman" w:hAnsiTheme="majorBidi" w:cstheme="majorBidi"/>
          <w:sz w:val="24"/>
          <w:szCs w:val="24"/>
          <w:lang w:eastAsia="en-GB"/>
        </w:rPr>
        <w:t>1</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w:t>
      </w:r>
      <w:bookmarkEnd w:id="22"/>
      <w:r w:rsidRPr="00BA06B6">
        <w:rPr>
          <w:rFonts w:asciiTheme="majorBidi" w:eastAsia="Times New Roman" w:hAnsiTheme="majorBidi" w:cstheme="majorBidi"/>
          <w:sz w:val="24"/>
          <w:szCs w:val="24"/>
          <w:lang w:eastAsia="en-GB"/>
        </w:rPr>
        <w:t>for further review).</w:t>
      </w:r>
      <w:r w:rsidR="007718DD"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sz w:val="24"/>
          <w:szCs w:val="24"/>
          <w:lang w:eastAsia="en-GB"/>
        </w:rPr>
        <w:t>Specifically, disclosure literature suggests that, even in an efficient capital market, insiders have greater information compare</w:t>
      </w:r>
      <w:r w:rsidR="00951E07" w:rsidRPr="00BA06B6">
        <w:rPr>
          <w:rFonts w:asciiTheme="majorBidi" w:eastAsia="Times New Roman" w:hAnsiTheme="majorBidi" w:cstheme="majorBidi"/>
          <w:sz w:val="24"/>
          <w:szCs w:val="24"/>
          <w:lang w:eastAsia="en-GB"/>
        </w:rPr>
        <w:t>d</w:t>
      </w:r>
      <w:r w:rsidRPr="00BA06B6">
        <w:rPr>
          <w:rFonts w:asciiTheme="majorBidi" w:eastAsia="Times New Roman" w:hAnsiTheme="majorBidi" w:cstheme="majorBidi"/>
          <w:sz w:val="24"/>
          <w:szCs w:val="24"/>
          <w:lang w:eastAsia="en-GB"/>
        </w:rPr>
        <w:t xml:space="preserve"> to outside investors on their companies’ anticipated future performance and risk (Healy &amp; Palepu, 20</w:t>
      </w:r>
      <w:r w:rsidR="007C36C8" w:rsidRPr="00BA06B6">
        <w:rPr>
          <w:rFonts w:asciiTheme="majorBidi" w:eastAsia="Times New Roman" w:hAnsiTheme="majorBidi" w:cstheme="majorBidi"/>
          <w:sz w:val="24"/>
          <w:szCs w:val="24"/>
          <w:lang w:eastAsia="en-GB"/>
        </w:rPr>
        <w:t>0</w:t>
      </w:r>
      <w:r w:rsidRPr="00BA06B6">
        <w:rPr>
          <w:rFonts w:asciiTheme="majorBidi" w:eastAsia="Times New Roman" w:hAnsiTheme="majorBidi" w:cstheme="majorBidi"/>
          <w:sz w:val="24"/>
          <w:szCs w:val="24"/>
          <w:lang w:eastAsia="en-GB"/>
        </w:rPr>
        <w:t>1). Healy and Palepu (20</w:t>
      </w:r>
      <w:r w:rsidR="007C36C8" w:rsidRPr="00BA06B6">
        <w:rPr>
          <w:rFonts w:asciiTheme="majorBidi" w:eastAsia="Times New Roman" w:hAnsiTheme="majorBidi" w:cstheme="majorBidi"/>
          <w:sz w:val="24"/>
          <w:szCs w:val="24"/>
          <w:lang w:eastAsia="en-GB"/>
        </w:rPr>
        <w:t>0</w:t>
      </w:r>
      <w:r w:rsidRPr="00BA06B6">
        <w:rPr>
          <w:rFonts w:asciiTheme="majorBidi" w:eastAsia="Times New Roman" w:hAnsiTheme="majorBidi" w:cstheme="majorBidi"/>
          <w:sz w:val="24"/>
          <w:szCs w:val="24"/>
          <w:lang w:eastAsia="en-GB"/>
        </w:rPr>
        <w:t xml:space="preserve">1) suggest that if regulations and standards of auditing and accounting work perfectly, financial disclosures convey variations in their company's performance to outside investors. On the other hand, Healy and Palepu (1993), </w:t>
      </w:r>
      <w:r w:rsidR="00356CAF" w:rsidRPr="00BA06B6">
        <w:rPr>
          <w:rFonts w:asciiTheme="majorBidi" w:eastAsia="Times New Roman" w:hAnsiTheme="majorBidi" w:cstheme="majorBidi"/>
          <w:sz w:val="24"/>
          <w:szCs w:val="24"/>
          <w:lang w:eastAsia="en-GB"/>
        </w:rPr>
        <w:t>He (2018)</w:t>
      </w:r>
      <w:r w:rsidR="00F71EBE" w:rsidRPr="00BA06B6">
        <w:rPr>
          <w:rFonts w:asciiTheme="majorBidi" w:eastAsia="Times New Roman" w:hAnsiTheme="majorBidi" w:cstheme="majorBidi"/>
          <w:sz w:val="24"/>
          <w:szCs w:val="24"/>
          <w:lang w:eastAsia="en-GB"/>
        </w:rPr>
        <w:t xml:space="preserve">, </w:t>
      </w:r>
      <w:r w:rsidR="00951E07" w:rsidRPr="00BA06B6">
        <w:rPr>
          <w:rFonts w:asciiTheme="majorBidi" w:eastAsia="Times New Roman" w:hAnsiTheme="majorBidi" w:cstheme="majorBidi"/>
          <w:sz w:val="24"/>
          <w:szCs w:val="24"/>
          <w:lang w:eastAsia="en-GB"/>
        </w:rPr>
        <w:t xml:space="preserve">and </w:t>
      </w:r>
      <w:r w:rsidR="00F71EBE" w:rsidRPr="00BA06B6">
        <w:rPr>
          <w:rFonts w:asciiTheme="majorBidi" w:eastAsia="Times New Roman" w:hAnsiTheme="majorBidi" w:cstheme="majorBidi"/>
          <w:sz w:val="24"/>
          <w:szCs w:val="24"/>
          <w:lang w:eastAsia="en-GB"/>
        </w:rPr>
        <w:t>Healy</w:t>
      </w:r>
      <w:r w:rsidRPr="00BA06B6">
        <w:rPr>
          <w:rFonts w:asciiTheme="majorBidi" w:eastAsia="Times New Roman" w:hAnsiTheme="majorBidi" w:cstheme="majorBidi"/>
          <w:sz w:val="24"/>
          <w:szCs w:val="24"/>
          <w:lang w:eastAsia="en-GB"/>
        </w:rPr>
        <w:t xml:space="preserve"> and Palepu (1995) indicate that if regulations </w:t>
      </w:r>
      <w:r w:rsidRPr="00BA06B6">
        <w:rPr>
          <w:rFonts w:asciiTheme="majorBidi" w:eastAsia="Times New Roman" w:hAnsiTheme="majorBidi" w:cstheme="majorBidi"/>
          <w:sz w:val="24"/>
          <w:szCs w:val="24"/>
          <w:lang w:eastAsia="en-GB"/>
        </w:rPr>
        <w:lastRenderedPageBreak/>
        <w:t xml:space="preserve">and standards of auditing and accounting are imperfect, a more expected opportunity, managers compromise between creating accounting choices and disclosures to credibly disclose private information of company's performance to outside investors, and to use reported performance for acquiring resources, political or corporate governance motives. Managers’ drivers for making voluntary disclosures and their integrity are, therefore, remarkable empirical questions. Based on </w:t>
      </w:r>
      <w:r w:rsidR="00251D60" w:rsidRPr="00BA06B6">
        <w:rPr>
          <w:rFonts w:asciiTheme="majorBidi" w:eastAsia="Times New Roman" w:hAnsiTheme="majorBidi" w:cstheme="majorBidi"/>
          <w:sz w:val="24"/>
          <w:szCs w:val="24"/>
          <w:lang w:eastAsia="en-GB"/>
        </w:rPr>
        <w:t xml:space="preserve">the </w:t>
      </w:r>
      <w:r w:rsidRPr="00BA06B6">
        <w:rPr>
          <w:rFonts w:asciiTheme="majorBidi" w:eastAsia="Times New Roman" w:hAnsiTheme="majorBidi" w:cstheme="majorBidi"/>
          <w:sz w:val="24"/>
          <w:szCs w:val="24"/>
          <w:lang w:eastAsia="en-GB"/>
        </w:rPr>
        <w:t>above argument, we suggest that signalling and resource dependence theories may enhance the level of our understanding relating to risk disclosure and the BCRs nexus. Signalling, legitimacy and resource dependence theories assume that increasing the level of risk disclosure can send important signals to credit rating agencies regarding current and future performance and risk management practices of banks, which can improve BCRs and reduce the cost of capital by facilitating access to critical resources (Ashbaugh-</w:t>
      </w:r>
      <w:proofErr w:type="spellStart"/>
      <w:r w:rsidRPr="00BA06B6">
        <w:rPr>
          <w:rFonts w:asciiTheme="majorBidi" w:eastAsia="Times New Roman" w:hAnsiTheme="majorBidi" w:cstheme="majorBidi"/>
          <w:sz w:val="24"/>
          <w:szCs w:val="24"/>
          <w:lang w:eastAsia="en-GB"/>
        </w:rPr>
        <w:t>Skaife</w:t>
      </w:r>
      <w:proofErr w:type="spellEnd"/>
      <w:r w:rsidRPr="00BA06B6">
        <w:rPr>
          <w:rFonts w:asciiTheme="majorBidi" w:eastAsia="Times New Roman" w:hAnsiTheme="majorBidi" w:cstheme="majorBidi"/>
          <w:sz w:val="24"/>
          <w:szCs w:val="24"/>
          <w:lang w:eastAsia="en-GB"/>
        </w:rPr>
        <w:t xml:space="preserve"> et al., 2006; Healy &amp; Palepu, 20</w:t>
      </w:r>
      <w:r w:rsidR="007C36C8" w:rsidRPr="00BA06B6">
        <w:rPr>
          <w:rFonts w:asciiTheme="majorBidi" w:eastAsia="Times New Roman" w:hAnsiTheme="majorBidi" w:cstheme="majorBidi"/>
          <w:sz w:val="24"/>
          <w:szCs w:val="24"/>
          <w:lang w:eastAsia="en-GB"/>
        </w:rPr>
        <w:t>0</w:t>
      </w:r>
      <w:r w:rsidRPr="00BA06B6">
        <w:rPr>
          <w:rFonts w:asciiTheme="majorBidi" w:eastAsia="Times New Roman" w:hAnsiTheme="majorBidi" w:cstheme="majorBidi"/>
          <w:sz w:val="24"/>
          <w:szCs w:val="24"/>
          <w:lang w:eastAsia="en-GB"/>
        </w:rPr>
        <w:t>1).</w:t>
      </w:r>
    </w:p>
    <w:p w14:paraId="23D828F5" w14:textId="158BEE28" w:rsidR="00124E9E" w:rsidRPr="00BA06B6" w:rsidRDefault="00AA068C" w:rsidP="00124E9E">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Prior evidence relating to the relationship between general disclosure and BCRs is limited. Meanwhile, previous research suggests that rating agencies tend to incorporate complex information, such as disclosure quality into risk assessments. For example, Aman and Nguyen (2013), Ashbaugh-</w:t>
      </w:r>
      <w:proofErr w:type="spellStart"/>
      <w:r w:rsidRPr="00BA06B6">
        <w:rPr>
          <w:rFonts w:asciiTheme="majorBidi" w:eastAsia="Times New Roman" w:hAnsiTheme="majorBidi" w:cstheme="majorBidi"/>
          <w:sz w:val="24"/>
          <w:szCs w:val="24"/>
          <w:lang w:eastAsia="en-GB"/>
        </w:rPr>
        <w:t>Skaife</w:t>
      </w:r>
      <w:proofErr w:type="spellEnd"/>
      <w:r w:rsidRPr="00BA06B6">
        <w:rPr>
          <w:rFonts w:asciiTheme="majorBidi" w:eastAsia="Times New Roman" w:hAnsiTheme="majorBidi" w:cstheme="majorBidi"/>
          <w:sz w:val="24"/>
          <w:szCs w:val="24"/>
          <w:lang w:eastAsia="en-GB"/>
        </w:rPr>
        <w:t xml:space="preserve"> et al. (2006), </w:t>
      </w:r>
      <w:proofErr w:type="spellStart"/>
      <w:r w:rsidRPr="00BA06B6">
        <w:rPr>
          <w:rFonts w:asciiTheme="majorBidi" w:eastAsia="Times New Roman" w:hAnsiTheme="majorBidi" w:cstheme="majorBidi"/>
          <w:sz w:val="24"/>
          <w:szCs w:val="24"/>
          <w:lang w:eastAsia="en-GB"/>
        </w:rPr>
        <w:t>Bhojraj</w:t>
      </w:r>
      <w:proofErr w:type="spellEnd"/>
      <w:r w:rsidRPr="00BA06B6">
        <w:rPr>
          <w:rFonts w:asciiTheme="majorBidi" w:eastAsia="Times New Roman" w:hAnsiTheme="majorBidi" w:cstheme="majorBidi"/>
          <w:sz w:val="24"/>
          <w:szCs w:val="24"/>
          <w:lang w:eastAsia="en-GB"/>
        </w:rPr>
        <w:t xml:space="preserve"> and Sengupta (2003), Chan et al. (2013), </w:t>
      </w:r>
      <w:proofErr w:type="spellStart"/>
      <w:r w:rsidRPr="00BA06B6">
        <w:rPr>
          <w:rFonts w:asciiTheme="majorBidi" w:eastAsia="Times New Roman" w:hAnsiTheme="majorBidi" w:cstheme="majorBidi"/>
          <w:sz w:val="24"/>
          <w:szCs w:val="24"/>
          <w:lang w:eastAsia="en-GB"/>
        </w:rPr>
        <w:t>DeBoskey</w:t>
      </w:r>
      <w:proofErr w:type="spellEnd"/>
      <w:r w:rsidRPr="00BA06B6">
        <w:rPr>
          <w:rFonts w:asciiTheme="majorBidi" w:eastAsia="Times New Roman" w:hAnsiTheme="majorBidi" w:cstheme="majorBidi"/>
          <w:sz w:val="24"/>
          <w:szCs w:val="24"/>
          <w:lang w:eastAsia="en-GB"/>
        </w:rPr>
        <w:t xml:space="preserve"> and Gillett (2013), </w:t>
      </w:r>
      <w:r w:rsidR="00124E9E" w:rsidRPr="00BA06B6">
        <w:rPr>
          <w:rFonts w:asciiTheme="majorBidi" w:eastAsia="Times New Roman" w:hAnsiTheme="majorBidi" w:cstheme="majorBidi"/>
          <w:sz w:val="24"/>
          <w:szCs w:val="24"/>
          <w:lang w:eastAsia="en-GB"/>
        </w:rPr>
        <w:t xml:space="preserve">He (2018), Heflin et al. (2011), </w:t>
      </w:r>
      <w:proofErr w:type="spellStart"/>
      <w:r w:rsidR="00124E9E" w:rsidRPr="00BA06B6">
        <w:rPr>
          <w:rFonts w:asciiTheme="majorBidi" w:eastAsia="Times New Roman" w:hAnsiTheme="majorBidi" w:cstheme="majorBidi"/>
          <w:sz w:val="24"/>
          <w:szCs w:val="24"/>
          <w:lang w:eastAsia="en-GB"/>
        </w:rPr>
        <w:t>Kuang</w:t>
      </w:r>
      <w:proofErr w:type="spellEnd"/>
      <w:r w:rsidR="00124E9E" w:rsidRPr="00BA06B6">
        <w:rPr>
          <w:rFonts w:asciiTheme="majorBidi" w:eastAsia="Times New Roman" w:hAnsiTheme="majorBidi" w:cstheme="majorBidi"/>
          <w:sz w:val="24"/>
          <w:szCs w:val="24"/>
          <w:lang w:eastAsia="en-GB"/>
        </w:rPr>
        <w:t xml:space="preserve"> and Qin (2013), Sengupta (1998), and</w:t>
      </w:r>
      <w:r w:rsidR="00124E9E" w:rsidRPr="00BA06B6">
        <w:t xml:space="preserve"> </w:t>
      </w:r>
      <w:r w:rsidR="00124E9E" w:rsidRPr="00BA06B6">
        <w:rPr>
          <w:rFonts w:asciiTheme="majorBidi" w:eastAsia="Times New Roman" w:hAnsiTheme="majorBidi" w:cstheme="majorBidi"/>
          <w:sz w:val="24"/>
          <w:szCs w:val="24"/>
          <w:lang w:eastAsia="en-GB"/>
        </w:rPr>
        <w:t xml:space="preserve">Tran (2014) find a positive association between disclosure quality and BCRs. For instance, He (2018) suggests that firms generally </w:t>
      </w:r>
      <w:r w:rsidR="00FE252F" w:rsidRPr="00BA06B6">
        <w:rPr>
          <w:rFonts w:asciiTheme="majorBidi" w:eastAsia="Times New Roman" w:hAnsiTheme="majorBidi" w:cstheme="majorBidi"/>
          <w:sz w:val="24"/>
          <w:szCs w:val="24"/>
          <w:lang w:eastAsia="en-GB"/>
        </w:rPr>
        <w:t>offer</w:t>
      </w:r>
      <w:r w:rsidR="00124E9E" w:rsidRPr="00BA06B6">
        <w:rPr>
          <w:rFonts w:asciiTheme="majorBidi" w:eastAsia="Times New Roman" w:hAnsiTheme="majorBidi" w:cstheme="majorBidi"/>
          <w:sz w:val="24"/>
          <w:szCs w:val="24"/>
          <w:lang w:eastAsia="en-GB"/>
        </w:rPr>
        <w:t xml:space="preserve"> credible commitment to improving disclosure transparency to achieve the desired credit rating. In the same vein, Al-</w:t>
      </w:r>
      <w:proofErr w:type="spellStart"/>
      <w:r w:rsidR="00124E9E" w:rsidRPr="00BA06B6">
        <w:rPr>
          <w:rFonts w:asciiTheme="majorBidi" w:eastAsia="Times New Roman" w:hAnsiTheme="majorBidi" w:cstheme="majorBidi"/>
          <w:sz w:val="24"/>
          <w:szCs w:val="24"/>
          <w:lang w:eastAsia="en-GB"/>
        </w:rPr>
        <w:t>hadi</w:t>
      </w:r>
      <w:proofErr w:type="spellEnd"/>
      <w:r w:rsidR="00124E9E" w:rsidRPr="00BA06B6">
        <w:rPr>
          <w:rFonts w:asciiTheme="majorBidi" w:eastAsia="Times New Roman" w:hAnsiTheme="majorBidi" w:cstheme="majorBidi"/>
          <w:sz w:val="24"/>
          <w:szCs w:val="24"/>
          <w:lang w:eastAsia="en-GB"/>
        </w:rPr>
        <w:t xml:space="preserve"> et al. (2016) suggest that market risk disclosure decreases information asymmetry, which eventually increases investment efficiency using a sample of GCC financial firms. Using a Chinese sample, Li et al. (2018) support the role of risk disclosures in improving firm investment efficiency. Finally, a number of studies show that risk disclosure may impact capital market participants (Campbell et al., 2014; </w:t>
      </w:r>
      <w:proofErr w:type="spellStart"/>
      <w:r w:rsidR="00124E9E" w:rsidRPr="00BA06B6">
        <w:rPr>
          <w:rFonts w:asciiTheme="majorBidi" w:eastAsia="Times New Roman" w:hAnsiTheme="majorBidi" w:cstheme="majorBidi"/>
          <w:sz w:val="24"/>
          <w:szCs w:val="24"/>
          <w:lang w:eastAsia="en-GB"/>
        </w:rPr>
        <w:t>Elbannan</w:t>
      </w:r>
      <w:proofErr w:type="spellEnd"/>
      <w:r w:rsidR="00124E9E" w:rsidRPr="00BA06B6">
        <w:rPr>
          <w:rFonts w:asciiTheme="majorBidi" w:eastAsia="Times New Roman" w:hAnsiTheme="majorBidi" w:cstheme="majorBidi"/>
          <w:sz w:val="24"/>
          <w:szCs w:val="24"/>
          <w:lang w:eastAsia="en-GB"/>
        </w:rPr>
        <w:t xml:space="preserve"> &amp; </w:t>
      </w:r>
      <w:proofErr w:type="spellStart"/>
      <w:r w:rsidR="00124E9E" w:rsidRPr="00BA06B6">
        <w:rPr>
          <w:rFonts w:asciiTheme="majorBidi" w:eastAsia="Times New Roman" w:hAnsiTheme="majorBidi" w:cstheme="majorBidi"/>
          <w:sz w:val="24"/>
          <w:szCs w:val="24"/>
          <w:lang w:eastAsia="en-GB"/>
        </w:rPr>
        <w:t>Elbannan</w:t>
      </w:r>
      <w:proofErr w:type="spellEnd"/>
      <w:r w:rsidR="00124E9E" w:rsidRPr="00BA06B6">
        <w:rPr>
          <w:rFonts w:asciiTheme="majorBidi" w:eastAsia="Times New Roman" w:hAnsiTheme="majorBidi" w:cstheme="majorBidi"/>
          <w:sz w:val="24"/>
          <w:szCs w:val="24"/>
          <w:lang w:eastAsia="en-GB"/>
        </w:rPr>
        <w:t xml:space="preserve">, 2015; Elshandidy &amp; </w:t>
      </w:r>
      <w:proofErr w:type="spellStart"/>
      <w:r w:rsidR="00124E9E" w:rsidRPr="00BA06B6">
        <w:rPr>
          <w:rFonts w:asciiTheme="majorBidi" w:eastAsia="Times New Roman" w:hAnsiTheme="majorBidi" w:cstheme="majorBidi"/>
          <w:sz w:val="24"/>
          <w:szCs w:val="24"/>
          <w:lang w:eastAsia="en-GB"/>
        </w:rPr>
        <w:t>Neri</w:t>
      </w:r>
      <w:proofErr w:type="spellEnd"/>
      <w:r w:rsidR="00124E9E" w:rsidRPr="00BA06B6">
        <w:rPr>
          <w:rFonts w:asciiTheme="majorBidi" w:eastAsia="Times New Roman" w:hAnsiTheme="majorBidi" w:cstheme="majorBidi"/>
          <w:sz w:val="24"/>
          <w:szCs w:val="24"/>
          <w:lang w:eastAsia="en-GB"/>
        </w:rPr>
        <w:t xml:space="preserve">, 2015; Elshandidy &amp; Shrives, 2016; </w:t>
      </w:r>
      <w:proofErr w:type="spellStart"/>
      <w:r w:rsidR="00124E9E" w:rsidRPr="00BA06B6">
        <w:rPr>
          <w:rFonts w:asciiTheme="majorBidi" w:eastAsia="Times New Roman" w:hAnsiTheme="majorBidi" w:cstheme="majorBidi"/>
          <w:sz w:val="24"/>
          <w:szCs w:val="24"/>
          <w:lang w:eastAsia="en-GB"/>
        </w:rPr>
        <w:t>Filzen</w:t>
      </w:r>
      <w:proofErr w:type="spellEnd"/>
      <w:r w:rsidR="00124E9E" w:rsidRPr="00BA06B6">
        <w:rPr>
          <w:rFonts w:asciiTheme="majorBidi" w:eastAsia="Times New Roman" w:hAnsiTheme="majorBidi" w:cstheme="majorBidi"/>
          <w:sz w:val="24"/>
          <w:szCs w:val="24"/>
          <w:lang w:eastAsia="en-GB"/>
        </w:rPr>
        <w:t xml:space="preserve">, 2015; Kravet &amp; </w:t>
      </w:r>
      <w:proofErr w:type="spellStart"/>
      <w:r w:rsidR="00124E9E" w:rsidRPr="00BA06B6">
        <w:rPr>
          <w:rFonts w:asciiTheme="majorBidi" w:eastAsia="Times New Roman" w:hAnsiTheme="majorBidi" w:cstheme="majorBidi"/>
          <w:sz w:val="24"/>
          <w:szCs w:val="24"/>
          <w:lang w:eastAsia="en-GB"/>
        </w:rPr>
        <w:t>Muslu</w:t>
      </w:r>
      <w:proofErr w:type="spellEnd"/>
      <w:r w:rsidR="00124E9E" w:rsidRPr="00BA06B6">
        <w:rPr>
          <w:rFonts w:asciiTheme="majorBidi" w:eastAsia="Times New Roman" w:hAnsiTheme="majorBidi" w:cstheme="majorBidi"/>
          <w:sz w:val="24"/>
          <w:szCs w:val="24"/>
          <w:lang w:eastAsia="en-GB"/>
        </w:rPr>
        <w:t>, 2013; Hope et al., 2016; Tan et al., 2017). For instance, using a USA sample, Hope et al. (2016) suggest that specific risk disclosures help financial analysts to assess fundamental risk</w:t>
      </w:r>
      <w:r w:rsidR="00202898" w:rsidRPr="00BA06B6">
        <w:rPr>
          <w:rFonts w:asciiTheme="majorBidi" w:eastAsia="Times New Roman" w:hAnsiTheme="majorBidi" w:cstheme="majorBidi"/>
          <w:sz w:val="24"/>
          <w:szCs w:val="24"/>
          <w:lang w:eastAsia="en-GB"/>
        </w:rPr>
        <w:t>s that face a firm</w:t>
      </w:r>
      <w:r w:rsidR="00124E9E" w:rsidRPr="00BA06B6">
        <w:rPr>
          <w:rFonts w:asciiTheme="majorBidi" w:eastAsia="Times New Roman" w:hAnsiTheme="majorBidi" w:cstheme="majorBidi"/>
          <w:sz w:val="24"/>
          <w:szCs w:val="24"/>
          <w:lang w:eastAsia="en-GB"/>
        </w:rPr>
        <w:t xml:space="preserve">. </w:t>
      </w:r>
      <w:proofErr w:type="spellStart"/>
      <w:r w:rsidR="00124E9E" w:rsidRPr="00BA06B6">
        <w:rPr>
          <w:rFonts w:asciiTheme="majorBidi" w:eastAsia="Times New Roman" w:hAnsiTheme="majorBidi" w:cstheme="majorBidi"/>
          <w:sz w:val="24"/>
          <w:szCs w:val="24"/>
          <w:lang w:eastAsia="en-GB"/>
        </w:rPr>
        <w:t>Heinle</w:t>
      </w:r>
      <w:proofErr w:type="spellEnd"/>
      <w:r w:rsidR="00124E9E" w:rsidRPr="00BA06B6">
        <w:rPr>
          <w:rFonts w:asciiTheme="majorBidi" w:eastAsia="Times New Roman" w:hAnsiTheme="majorBidi" w:cstheme="majorBidi"/>
          <w:sz w:val="24"/>
          <w:szCs w:val="24"/>
          <w:lang w:eastAsia="en-GB"/>
        </w:rPr>
        <w:t xml:space="preserve"> and Smith (2017) also show that improve</w:t>
      </w:r>
      <w:r w:rsidR="00A44665" w:rsidRPr="00BA06B6">
        <w:rPr>
          <w:rFonts w:asciiTheme="majorBidi" w:eastAsia="Times New Roman" w:hAnsiTheme="majorBidi" w:cstheme="majorBidi"/>
          <w:sz w:val="24"/>
          <w:szCs w:val="24"/>
          <w:lang w:eastAsia="en-GB"/>
        </w:rPr>
        <w:t>d</w:t>
      </w:r>
      <w:r w:rsidR="00124E9E" w:rsidRPr="00BA06B6">
        <w:rPr>
          <w:rFonts w:asciiTheme="majorBidi" w:eastAsia="Times New Roman" w:hAnsiTheme="majorBidi" w:cstheme="majorBidi"/>
          <w:sz w:val="24"/>
          <w:szCs w:val="24"/>
          <w:lang w:eastAsia="en-GB"/>
        </w:rPr>
        <w:t xml:space="preserve"> risk disclosures has a negative impact on cost of capital.</w:t>
      </w:r>
    </w:p>
    <w:p w14:paraId="07FED266" w14:textId="1C20002E" w:rsidR="00356CAF" w:rsidRPr="00BA06B6" w:rsidRDefault="00AA068C" w:rsidP="00356CAF">
      <w:pPr>
        <w:spacing w:after="0" w:line="360" w:lineRule="auto"/>
        <w:ind w:firstLine="425"/>
        <w:jc w:val="both"/>
        <w:rPr>
          <w:rFonts w:asciiTheme="majorBidi" w:eastAsia="Times New Roman" w:hAnsiTheme="majorBidi" w:cstheme="majorBidi"/>
          <w:sz w:val="24"/>
          <w:szCs w:val="24"/>
          <w:lang w:val="en-US" w:eastAsia="en-GB"/>
        </w:rPr>
      </w:pPr>
      <w:r w:rsidRPr="00BA06B6">
        <w:rPr>
          <w:rFonts w:asciiTheme="majorBidi" w:eastAsia="Times New Roman" w:hAnsiTheme="majorBidi" w:cstheme="majorBidi"/>
          <w:sz w:val="24"/>
          <w:szCs w:val="24"/>
          <w:lang w:eastAsia="en-GB"/>
        </w:rPr>
        <w:t>However and based on our extensive literature search, the relationship between risk disclosure and BCRs has not been previous</w:t>
      </w:r>
      <w:r w:rsidR="00251D60" w:rsidRPr="00BA06B6">
        <w:rPr>
          <w:rFonts w:asciiTheme="majorBidi" w:eastAsia="Times New Roman" w:hAnsiTheme="majorBidi" w:cstheme="majorBidi"/>
          <w:sz w:val="24"/>
          <w:szCs w:val="24"/>
          <w:lang w:eastAsia="en-GB"/>
        </w:rPr>
        <w:t>ly</w:t>
      </w:r>
      <w:r w:rsidRPr="00BA06B6">
        <w:rPr>
          <w:rFonts w:asciiTheme="majorBidi" w:eastAsia="Times New Roman" w:hAnsiTheme="majorBidi" w:cstheme="majorBidi"/>
          <w:sz w:val="24"/>
          <w:szCs w:val="24"/>
          <w:lang w:eastAsia="en-GB"/>
        </w:rPr>
        <w:t xml:space="preserve"> examined.  </w:t>
      </w:r>
      <w:r w:rsidR="00356CAF" w:rsidRPr="00BA06B6">
        <w:rPr>
          <w:rFonts w:asciiTheme="majorBidi" w:eastAsia="Times New Roman" w:hAnsiTheme="majorBidi" w:cstheme="majorBidi"/>
          <w:sz w:val="24"/>
          <w:szCs w:val="24"/>
          <w:lang w:eastAsia="en-GB"/>
        </w:rPr>
        <w:t xml:space="preserve">This is in line with </w:t>
      </w:r>
      <w:bookmarkStart w:id="23" w:name="_Hlk21670248"/>
      <w:r w:rsidR="00356CAF" w:rsidRPr="00BA06B6">
        <w:rPr>
          <w:rFonts w:asciiTheme="majorBidi" w:eastAsia="SimSun" w:hAnsiTheme="majorBidi" w:cs="Times New Roman"/>
          <w:lang w:val="en-US" w:eastAsia="zh-CN"/>
        </w:rPr>
        <w:t>Elshandidy et al. (2018</w:t>
      </w:r>
      <w:bookmarkEnd w:id="23"/>
      <w:r w:rsidR="00356CAF" w:rsidRPr="00BA06B6">
        <w:rPr>
          <w:rFonts w:asciiTheme="majorBidi" w:eastAsia="SimSun" w:hAnsiTheme="majorBidi" w:cs="Times New Roman"/>
          <w:lang w:val="en-US" w:eastAsia="zh-CN"/>
        </w:rPr>
        <w:t>, p73), who argue that “</w:t>
      </w:r>
      <w:r w:rsidR="00356CAF" w:rsidRPr="00BA06B6">
        <w:rPr>
          <w:rFonts w:asciiTheme="majorBidi" w:eastAsia="SimSun" w:hAnsiTheme="majorBidi" w:cs="Times New Roman"/>
          <w:i/>
          <w:iCs/>
          <w:lang w:val="en-US" w:eastAsia="zh-CN"/>
        </w:rPr>
        <w:t xml:space="preserve">All of the previous studies are concerned with equity markets, with no study yet addressing risk reporting in debt markets. Such studies are required to identify how firms’ </w:t>
      </w:r>
      <w:r w:rsidR="00356CAF" w:rsidRPr="00BA06B6">
        <w:rPr>
          <w:rFonts w:asciiTheme="majorBidi" w:eastAsia="SimSun" w:hAnsiTheme="majorBidi" w:cs="Times New Roman"/>
          <w:i/>
          <w:iCs/>
          <w:lang w:val="en-US" w:eastAsia="zh-CN"/>
        </w:rPr>
        <w:lastRenderedPageBreak/>
        <w:t>risk disclosure strategies affect the following: (i) debt providers’ decisions; (ii) credit ratings; and (iii) predicting distress, default, and bankruptcy risks”</w:t>
      </w:r>
      <w:r w:rsidR="00356CAF" w:rsidRPr="00BA06B6">
        <w:rPr>
          <w:rFonts w:asciiTheme="majorBidi" w:eastAsia="SimSun" w:hAnsiTheme="majorBidi" w:cs="Times New Roman"/>
          <w:lang w:val="en-US" w:eastAsia="zh-CN"/>
        </w:rPr>
        <w:t>.</w:t>
      </w:r>
    </w:p>
    <w:p w14:paraId="55DA537E" w14:textId="17422B6D" w:rsidR="00AA068C" w:rsidRPr="00BA06B6" w:rsidRDefault="00AA068C" w:rsidP="00356CAF">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 xml:space="preserve">This, therefore, offers us a genuine opportunity to make </w:t>
      </w:r>
      <w:r w:rsidR="007C1E6A" w:rsidRPr="00BA06B6">
        <w:rPr>
          <w:rFonts w:asciiTheme="majorBidi" w:eastAsia="Times New Roman" w:hAnsiTheme="majorBidi" w:cstheme="majorBidi"/>
          <w:sz w:val="24"/>
          <w:szCs w:val="24"/>
          <w:lang w:eastAsia="en-GB"/>
        </w:rPr>
        <w:t>a</w:t>
      </w:r>
      <w:r w:rsidRPr="00BA06B6">
        <w:rPr>
          <w:rFonts w:asciiTheme="majorBidi" w:eastAsia="Times New Roman" w:hAnsiTheme="majorBidi" w:cstheme="majorBidi"/>
          <w:sz w:val="24"/>
          <w:szCs w:val="24"/>
          <w:lang w:eastAsia="en-GB"/>
        </w:rPr>
        <w:t xml:space="preserve"> </w:t>
      </w:r>
      <w:r w:rsidR="00A1373D" w:rsidRPr="00BA06B6">
        <w:rPr>
          <w:rFonts w:asciiTheme="majorBidi" w:eastAsia="Times New Roman" w:hAnsiTheme="majorBidi" w:cstheme="majorBidi"/>
          <w:sz w:val="24"/>
          <w:szCs w:val="24"/>
          <w:lang w:eastAsia="en-GB"/>
        </w:rPr>
        <w:t xml:space="preserve">new </w:t>
      </w:r>
      <w:r w:rsidRPr="00BA06B6">
        <w:rPr>
          <w:rFonts w:asciiTheme="majorBidi" w:eastAsia="Times New Roman" w:hAnsiTheme="majorBidi" w:cstheme="majorBidi"/>
          <w:sz w:val="24"/>
          <w:szCs w:val="24"/>
          <w:lang w:eastAsia="en-GB"/>
        </w:rPr>
        <w:t>contribution to the existing literature by examining the link between risk disclosures and BCRs. In particular, and to the extent that general voluntary disclosures are informative, our first hypothesis is that:</w:t>
      </w:r>
    </w:p>
    <w:p w14:paraId="33C1EAB5" w14:textId="7C64D104" w:rsidR="00AA068C" w:rsidRPr="00BA06B6" w:rsidRDefault="00AA068C" w:rsidP="00356CAF">
      <w:pPr>
        <w:spacing w:after="100" w:afterAutospacing="1" w:line="360" w:lineRule="auto"/>
        <w:ind w:firstLine="360"/>
        <w:jc w:val="both"/>
        <w:rPr>
          <w:rFonts w:asciiTheme="majorBidi" w:eastAsia="Times New Roman" w:hAnsiTheme="majorBidi" w:cstheme="majorBidi"/>
          <w:i/>
          <w:iCs/>
          <w:noProof/>
          <w:sz w:val="24"/>
          <w:szCs w:val="24"/>
          <w:lang w:eastAsia="en-GB"/>
        </w:rPr>
      </w:pPr>
      <w:r w:rsidRPr="00BA06B6">
        <w:rPr>
          <w:rFonts w:asciiTheme="majorBidi" w:eastAsia="Times New Roman" w:hAnsiTheme="majorBidi" w:cstheme="majorBidi"/>
          <w:b/>
          <w:bCs/>
          <w:i/>
          <w:iCs/>
          <w:noProof/>
          <w:sz w:val="24"/>
          <w:szCs w:val="24"/>
          <w:lang w:eastAsia="en-GB"/>
        </w:rPr>
        <w:t>H</w:t>
      </w:r>
      <w:r w:rsidRPr="00BA06B6">
        <w:rPr>
          <w:rFonts w:asciiTheme="majorBidi" w:eastAsia="Times New Roman" w:hAnsiTheme="majorBidi" w:cstheme="majorBidi"/>
          <w:b/>
          <w:bCs/>
          <w:i/>
          <w:iCs/>
          <w:noProof/>
          <w:sz w:val="24"/>
          <w:szCs w:val="24"/>
          <w:vertAlign w:val="subscript"/>
          <w:lang w:eastAsia="en-GB"/>
        </w:rPr>
        <w:t>1</w:t>
      </w:r>
      <w:r w:rsidRPr="00BA06B6">
        <w:rPr>
          <w:rFonts w:asciiTheme="majorBidi" w:eastAsia="Times New Roman" w:hAnsiTheme="majorBidi" w:cstheme="majorBidi"/>
          <w:noProof/>
          <w:sz w:val="24"/>
          <w:szCs w:val="24"/>
          <w:lang w:eastAsia="en-GB"/>
        </w:rPr>
        <w:t xml:space="preserve">: </w:t>
      </w:r>
      <w:r w:rsidRPr="00BA06B6">
        <w:rPr>
          <w:rFonts w:asciiTheme="majorBidi" w:eastAsia="Times New Roman" w:hAnsiTheme="majorBidi" w:cstheme="majorBidi"/>
          <w:i/>
          <w:iCs/>
          <w:sz w:val="24"/>
          <w:szCs w:val="24"/>
          <w:lang w:eastAsia="en-GB"/>
        </w:rPr>
        <w:t>Risk disclosures have a positive impact on BCRs.</w:t>
      </w:r>
    </w:p>
    <w:p w14:paraId="3155E4BE" w14:textId="77777777" w:rsidR="00AA068C" w:rsidRPr="00BA06B6" w:rsidRDefault="008F77A2" w:rsidP="00AA068C">
      <w:pPr>
        <w:keepNext/>
        <w:keepLines/>
        <w:numPr>
          <w:ilvl w:val="1"/>
          <w:numId w:val="9"/>
        </w:numPr>
        <w:tabs>
          <w:tab w:val="left" w:pos="1418"/>
        </w:tabs>
        <w:spacing w:before="240" w:after="0" w:line="360" w:lineRule="auto"/>
        <w:contextualSpacing/>
        <w:outlineLvl w:val="0"/>
        <w:rPr>
          <w:rFonts w:asciiTheme="majorBidi" w:eastAsia="Calibri" w:hAnsiTheme="majorBidi" w:cstheme="majorBidi"/>
          <w:b/>
          <w:bCs/>
          <w:sz w:val="24"/>
          <w:szCs w:val="24"/>
        </w:rPr>
      </w:pPr>
      <w:r w:rsidRPr="00BA06B6">
        <w:rPr>
          <w:rFonts w:asciiTheme="majorBidi" w:eastAsia="Calibri" w:hAnsiTheme="majorBidi" w:cstheme="majorBidi"/>
          <w:b/>
          <w:bCs/>
          <w:sz w:val="24"/>
          <w:szCs w:val="24"/>
        </w:rPr>
        <w:t xml:space="preserve"> </w:t>
      </w:r>
      <w:r w:rsidR="00AA068C" w:rsidRPr="00BA06B6">
        <w:rPr>
          <w:rFonts w:asciiTheme="majorBidi" w:eastAsia="Calibri" w:hAnsiTheme="majorBidi" w:cstheme="majorBidi"/>
          <w:b/>
          <w:bCs/>
          <w:sz w:val="24"/>
          <w:szCs w:val="24"/>
        </w:rPr>
        <w:t>|   BCRs</w:t>
      </w:r>
      <w:r w:rsidR="00AA068C" w:rsidRPr="00BA06B6">
        <w:rPr>
          <w:rFonts w:asciiTheme="majorBidi" w:eastAsia="Times New Roman" w:hAnsiTheme="majorBidi" w:cstheme="majorBidi"/>
          <w:sz w:val="24"/>
          <w:szCs w:val="24"/>
          <w:lang w:eastAsia="en-GB"/>
        </w:rPr>
        <w:t>–</w:t>
      </w:r>
      <w:r w:rsidR="00AA068C" w:rsidRPr="00BA06B6">
        <w:rPr>
          <w:rFonts w:asciiTheme="majorBidi" w:eastAsia="Calibri" w:hAnsiTheme="majorBidi" w:cstheme="majorBidi"/>
          <w:b/>
          <w:bCs/>
          <w:sz w:val="24"/>
          <w:szCs w:val="24"/>
        </w:rPr>
        <w:t>risk disclosure nexus: The moderating effect of governance</w:t>
      </w:r>
    </w:p>
    <w:p w14:paraId="47350F56" w14:textId="6088C4B2" w:rsidR="00AA068C" w:rsidRPr="00BA06B6" w:rsidRDefault="00136CA0" w:rsidP="00A1373D">
      <w:pPr>
        <w:spacing w:after="0" w:line="360" w:lineRule="auto"/>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If risk disclosures lead to better BCRs, then</w:t>
      </w:r>
      <w:r w:rsidR="00E927FA"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what factors can alleviate its influence? To our knowledge, prior literature has not examined this question, and the related research offers little theoretical direction or empirical suggestion. Most previous literature on risk disclosure has focused on the main effect with equity markets, with no study</w:t>
      </w:r>
      <w:r w:rsidR="00251D60"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sz w:val="24"/>
          <w:szCs w:val="24"/>
          <w:lang w:eastAsia="en-GB"/>
        </w:rPr>
        <w:t>focussing on risk disclosure in debt markets (</w:t>
      </w:r>
      <w:proofErr w:type="spellStart"/>
      <w:r w:rsidRPr="00BA06B6">
        <w:rPr>
          <w:rFonts w:asciiTheme="majorBidi" w:eastAsia="Times New Roman" w:hAnsiTheme="majorBidi" w:cstheme="majorBidi"/>
          <w:sz w:val="24"/>
          <w:szCs w:val="24"/>
          <w:lang w:eastAsia="en-GB"/>
        </w:rPr>
        <w:t>Elshendidy</w:t>
      </w:r>
      <w:proofErr w:type="spellEnd"/>
      <w:r w:rsidRPr="00BA06B6">
        <w:rPr>
          <w:rFonts w:asciiTheme="majorBidi" w:eastAsia="Times New Roman" w:hAnsiTheme="majorBidi" w:cstheme="majorBidi"/>
          <w:sz w:val="24"/>
          <w:szCs w:val="24"/>
          <w:lang w:eastAsia="en-GB"/>
        </w:rPr>
        <w:t xml:space="preserve"> et al., 2018). Thus, it is important to </w:t>
      </w:r>
      <w:r w:rsidR="00251D60" w:rsidRPr="00BA06B6">
        <w:rPr>
          <w:rFonts w:asciiTheme="majorBidi" w:eastAsia="Times New Roman" w:hAnsiTheme="majorBidi" w:cstheme="majorBidi"/>
          <w:sz w:val="24"/>
          <w:szCs w:val="24"/>
          <w:lang w:eastAsia="en-GB"/>
        </w:rPr>
        <w:t xml:space="preserve">finding </w:t>
      </w:r>
      <w:r w:rsidRPr="00BA06B6">
        <w:rPr>
          <w:rFonts w:asciiTheme="majorBidi" w:eastAsia="Times New Roman" w:hAnsiTheme="majorBidi" w:cstheme="majorBidi"/>
          <w:sz w:val="24"/>
          <w:szCs w:val="24"/>
          <w:lang w:eastAsia="en-GB"/>
        </w:rPr>
        <w:t>the boundary settings of the theory. Building on multi-theoretical framework that incorporates insights from agency, signal</w:t>
      </w:r>
      <w:r w:rsidR="00645C17" w:rsidRPr="00BA06B6">
        <w:rPr>
          <w:rFonts w:asciiTheme="majorBidi" w:eastAsia="Times New Roman" w:hAnsiTheme="majorBidi" w:cstheme="majorBidi"/>
          <w:sz w:val="24"/>
          <w:szCs w:val="24"/>
          <w:lang w:eastAsia="en-GB"/>
        </w:rPr>
        <w:t>ling</w:t>
      </w:r>
      <w:r w:rsidRPr="00BA06B6">
        <w:rPr>
          <w:rFonts w:asciiTheme="majorBidi" w:eastAsia="Times New Roman" w:hAnsiTheme="majorBidi" w:cstheme="majorBidi"/>
          <w:sz w:val="24"/>
          <w:szCs w:val="24"/>
          <w:lang w:eastAsia="en-GB"/>
        </w:rPr>
        <w:t xml:space="preserve">, legitimacy, and resource dependence theories, we explored the idea that governance structures can be a significant moderator of the relationship between risk disclosures and BCRs. Prior Literature suggests that </w:t>
      </w:r>
      <w:r w:rsidR="00AA068C" w:rsidRPr="00BA06B6">
        <w:rPr>
          <w:rFonts w:asciiTheme="majorBidi" w:eastAsia="Times New Roman" w:hAnsiTheme="majorBidi" w:cstheme="majorBidi"/>
          <w:sz w:val="24"/>
          <w:szCs w:val="24"/>
          <w:lang w:eastAsia="en-GB"/>
        </w:rPr>
        <w:t>characteristics of governance structures shape the financial reporting environment and their ability to impact banks’ performance</w:t>
      </w:r>
      <w:r w:rsidR="00F541A6" w:rsidRPr="00BA06B6">
        <w:rPr>
          <w:rFonts w:asciiTheme="majorBidi" w:eastAsia="Times New Roman" w:hAnsiTheme="majorBidi" w:cstheme="majorBidi"/>
          <w:sz w:val="24"/>
          <w:szCs w:val="24"/>
          <w:lang w:eastAsia="en-GB"/>
        </w:rPr>
        <w:t xml:space="preserve"> (Al-</w:t>
      </w:r>
      <w:proofErr w:type="spellStart"/>
      <w:r w:rsidR="00F541A6" w:rsidRPr="00BA06B6">
        <w:rPr>
          <w:rFonts w:asciiTheme="majorBidi" w:eastAsia="Times New Roman" w:hAnsiTheme="majorBidi" w:cstheme="majorBidi"/>
          <w:sz w:val="24"/>
          <w:szCs w:val="24"/>
          <w:lang w:eastAsia="en-GB"/>
        </w:rPr>
        <w:t>Hadi</w:t>
      </w:r>
      <w:proofErr w:type="spellEnd"/>
      <w:r w:rsidR="00F541A6" w:rsidRPr="00BA06B6">
        <w:rPr>
          <w:rFonts w:asciiTheme="majorBidi" w:eastAsia="Times New Roman" w:hAnsiTheme="majorBidi" w:cstheme="majorBidi"/>
          <w:sz w:val="24"/>
          <w:szCs w:val="24"/>
          <w:lang w:eastAsia="en-GB"/>
        </w:rPr>
        <w:t xml:space="preserve"> et al., 2016; Al-</w:t>
      </w:r>
      <w:proofErr w:type="spellStart"/>
      <w:r w:rsidR="00F541A6" w:rsidRPr="00BA06B6">
        <w:rPr>
          <w:rFonts w:asciiTheme="majorBidi" w:eastAsia="Times New Roman" w:hAnsiTheme="majorBidi" w:cstheme="majorBidi"/>
          <w:sz w:val="24"/>
          <w:szCs w:val="24"/>
          <w:lang w:eastAsia="en-GB"/>
        </w:rPr>
        <w:t>Maghzom</w:t>
      </w:r>
      <w:proofErr w:type="spellEnd"/>
      <w:r w:rsidR="00F541A6" w:rsidRPr="00BA06B6">
        <w:rPr>
          <w:rFonts w:asciiTheme="majorBidi" w:eastAsia="Times New Roman" w:hAnsiTheme="majorBidi" w:cstheme="majorBidi"/>
          <w:sz w:val="24"/>
          <w:szCs w:val="24"/>
          <w:lang w:eastAsia="en-GB"/>
        </w:rPr>
        <w:t xml:space="preserve"> et al., 2016; </w:t>
      </w:r>
      <w:proofErr w:type="spellStart"/>
      <w:r w:rsidR="00F541A6" w:rsidRPr="00BA06B6">
        <w:rPr>
          <w:rFonts w:asciiTheme="majorBidi" w:eastAsia="Times New Roman" w:hAnsiTheme="majorBidi" w:cstheme="majorBidi"/>
          <w:sz w:val="24"/>
          <w:szCs w:val="24"/>
          <w:lang w:eastAsia="en-GB"/>
        </w:rPr>
        <w:t>Alnabsha</w:t>
      </w:r>
      <w:proofErr w:type="spellEnd"/>
      <w:r w:rsidR="00F541A6" w:rsidRPr="00BA06B6">
        <w:rPr>
          <w:rFonts w:asciiTheme="majorBidi" w:eastAsia="Times New Roman" w:hAnsiTheme="majorBidi" w:cstheme="majorBidi"/>
          <w:sz w:val="24"/>
          <w:szCs w:val="24"/>
          <w:lang w:eastAsia="en-GB"/>
        </w:rPr>
        <w:t xml:space="preserve"> et al., 2018; Elamer et al., 2017, 2019 </w:t>
      </w:r>
      <w:proofErr w:type="spellStart"/>
      <w:r w:rsidR="00F541A6" w:rsidRPr="00BA06B6">
        <w:rPr>
          <w:rFonts w:asciiTheme="majorBidi" w:eastAsia="Times New Roman" w:hAnsiTheme="majorBidi" w:cstheme="majorBidi"/>
          <w:sz w:val="24"/>
          <w:szCs w:val="24"/>
          <w:lang w:eastAsia="en-GB"/>
        </w:rPr>
        <w:t>a,b</w:t>
      </w:r>
      <w:proofErr w:type="spellEnd"/>
      <w:r w:rsidR="00F541A6" w:rsidRPr="00BA06B6">
        <w:rPr>
          <w:rFonts w:asciiTheme="majorBidi" w:eastAsia="Times New Roman" w:hAnsiTheme="majorBidi" w:cstheme="majorBidi"/>
          <w:sz w:val="24"/>
          <w:szCs w:val="24"/>
          <w:lang w:eastAsia="en-GB"/>
        </w:rPr>
        <w:t>)</w:t>
      </w:r>
      <w:r w:rsidR="00AA068C" w:rsidRPr="00BA06B6">
        <w:rPr>
          <w:rFonts w:asciiTheme="majorBidi" w:eastAsia="Times New Roman" w:hAnsiTheme="majorBidi" w:cstheme="majorBidi"/>
          <w:sz w:val="24"/>
          <w:szCs w:val="24"/>
          <w:lang w:eastAsia="en-GB"/>
        </w:rPr>
        <w:t>. Hence, the influence of risk disclosures on BCRs is likely to be contingent on the characteristics of governance structures (e.g., Ashbaugh-</w:t>
      </w:r>
      <w:proofErr w:type="spellStart"/>
      <w:r w:rsidR="00AA068C" w:rsidRPr="00BA06B6">
        <w:rPr>
          <w:rFonts w:asciiTheme="majorBidi" w:eastAsia="Times New Roman" w:hAnsiTheme="majorBidi" w:cstheme="majorBidi"/>
          <w:sz w:val="24"/>
          <w:szCs w:val="24"/>
          <w:lang w:eastAsia="en-GB"/>
        </w:rPr>
        <w:t>Skaife</w:t>
      </w:r>
      <w:proofErr w:type="spellEnd"/>
      <w:r w:rsidR="00AA068C" w:rsidRPr="00BA06B6">
        <w:rPr>
          <w:rFonts w:asciiTheme="majorBidi" w:eastAsia="Times New Roman" w:hAnsiTheme="majorBidi" w:cstheme="majorBidi"/>
          <w:sz w:val="24"/>
          <w:szCs w:val="24"/>
          <w:lang w:eastAsia="en-GB"/>
        </w:rPr>
        <w:t xml:space="preserve"> et al., 2006; </w:t>
      </w:r>
      <w:proofErr w:type="spellStart"/>
      <w:r w:rsidR="00AA068C" w:rsidRPr="00BA06B6">
        <w:rPr>
          <w:rFonts w:asciiTheme="majorBidi" w:eastAsia="Times New Roman" w:hAnsiTheme="majorBidi" w:cstheme="majorBidi"/>
          <w:sz w:val="24"/>
          <w:szCs w:val="24"/>
          <w:lang w:eastAsia="en-GB"/>
        </w:rPr>
        <w:t>Beltratti</w:t>
      </w:r>
      <w:proofErr w:type="spellEnd"/>
      <w:r w:rsidR="00AA068C" w:rsidRPr="00BA06B6">
        <w:rPr>
          <w:rFonts w:asciiTheme="majorBidi" w:eastAsia="Times New Roman" w:hAnsiTheme="majorBidi" w:cstheme="majorBidi"/>
          <w:sz w:val="24"/>
          <w:szCs w:val="24"/>
          <w:lang w:eastAsia="en-GB"/>
        </w:rPr>
        <w:t xml:space="preserve"> &amp; </w:t>
      </w:r>
      <w:proofErr w:type="spellStart"/>
      <w:r w:rsidR="00AA068C" w:rsidRPr="00BA06B6">
        <w:rPr>
          <w:rFonts w:asciiTheme="majorBidi" w:eastAsia="Times New Roman" w:hAnsiTheme="majorBidi" w:cstheme="majorBidi"/>
          <w:sz w:val="24"/>
          <w:szCs w:val="24"/>
          <w:lang w:eastAsia="en-GB"/>
        </w:rPr>
        <w:t>Stulz</w:t>
      </w:r>
      <w:proofErr w:type="spellEnd"/>
      <w:r w:rsidR="00AA068C" w:rsidRPr="00BA06B6">
        <w:rPr>
          <w:rFonts w:asciiTheme="majorBidi" w:eastAsia="Times New Roman" w:hAnsiTheme="majorBidi" w:cstheme="majorBidi"/>
          <w:sz w:val="24"/>
          <w:szCs w:val="24"/>
          <w:lang w:eastAsia="en-GB"/>
        </w:rPr>
        <w:t xml:space="preserve">, 2012; Samaha et al., 2015). Important among these characteristics are the ownership type and the boards’ structure. Specifically, prior research points out that banks’ board of directors and ownership structures may play significant role than in traditional non-financial institutions. In particular, financial institutions have larger board size and less ownership concentration than non-financial institutions due to complex, opaque and diverse operations, as well as heavy regulations (O’Sullivan et al., 2015). Thus, the influence of risk disclosures on BCRs is expected to be contingent on boards’ structure, particularly the size of the board and the extent of its independence. Of the multiple bank characteristics, boards’ structure appears to be particularly relevant in developing countries. </w:t>
      </w:r>
    </w:p>
    <w:p w14:paraId="599A2690" w14:textId="506CAA0D" w:rsidR="00AE27BB" w:rsidRPr="00BA06B6" w:rsidRDefault="00AA068C" w:rsidP="00A1373D">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Empirically, prior studies indicate that BCRs are affected by firm-level governance structures, such as board size, CEO duality, and board independence (Ashbaugh-</w:t>
      </w:r>
      <w:proofErr w:type="spellStart"/>
      <w:r w:rsidRPr="00BA06B6">
        <w:rPr>
          <w:rFonts w:asciiTheme="majorBidi" w:eastAsia="Times New Roman" w:hAnsiTheme="majorBidi" w:cstheme="majorBidi"/>
          <w:sz w:val="24"/>
          <w:szCs w:val="24"/>
          <w:lang w:eastAsia="en-GB"/>
        </w:rPr>
        <w:t>Skaife</w:t>
      </w:r>
      <w:proofErr w:type="spellEnd"/>
      <w:r w:rsidRPr="00BA06B6">
        <w:rPr>
          <w:rFonts w:asciiTheme="majorBidi" w:eastAsia="Times New Roman" w:hAnsiTheme="majorBidi" w:cstheme="majorBidi"/>
          <w:sz w:val="24"/>
          <w:szCs w:val="24"/>
          <w:lang w:eastAsia="en-GB"/>
        </w:rPr>
        <w:t xml:space="preserve"> et al., 2006; </w:t>
      </w:r>
      <w:proofErr w:type="spellStart"/>
      <w:r w:rsidRPr="00BA06B6">
        <w:rPr>
          <w:rFonts w:asciiTheme="majorBidi" w:eastAsia="Times New Roman" w:hAnsiTheme="majorBidi" w:cstheme="majorBidi"/>
          <w:sz w:val="24"/>
          <w:szCs w:val="24"/>
          <w:lang w:eastAsia="en-GB"/>
        </w:rPr>
        <w:t>Beltratti</w:t>
      </w:r>
      <w:proofErr w:type="spellEnd"/>
      <w:r w:rsidRPr="00BA06B6">
        <w:rPr>
          <w:rFonts w:asciiTheme="majorBidi" w:eastAsia="Times New Roman" w:hAnsiTheme="majorBidi" w:cstheme="majorBidi"/>
          <w:sz w:val="24"/>
          <w:szCs w:val="24"/>
          <w:lang w:eastAsia="en-GB"/>
        </w:rPr>
        <w:t xml:space="preserve"> &amp; </w:t>
      </w:r>
      <w:proofErr w:type="spellStart"/>
      <w:r w:rsidRPr="00BA06B6">
        <w:rPr>
          <w:rFonts w:asciiTheme="majorBidi" w:eastAsia="Times New Roman" w:hAnsiTheme="majorBidi" w:cstheme="majorBidi"/>
          <w:sz w:val="24"/>
          <w:szCs w:val="24"/>
          <w:lang w:eastAsia="en-GB"/>
        </w:rPr>
        <w:t>Stulz</w:t>
      </w:r>
      <w:proofErr w:type="spellEnd"/>
      <w:r w:rsidRPr="00BA06B6">
        <w:rPr>
          <w:rFonts w:asciiTheme="majorBidi" w:eastAsia="Times New Roman" w:hAnsiTheme="majorBidi" w:cstheme="majorBidi"/>
          <w:sz w:val="24"/>
          <w:szCs w:val="24"/>
          <w:lang w:eastAsia="en-GB"/>
        </w:rPr>
        <w:t xml:space="preserve">, 2012; </w:t>
      </w:r>
      <w:proofErr w:type="spellStart"/>
      <w:r w:rsidRPr="00BA06B6">
        <w:rPr>
          <w:rFonts w:asciiTheme="majorBidi" w:eastAsia="Times New Roman" w:hAnsiTheme="majorBidi" w:cstheme="majorBidi"/>
          <w:sz w:val="24"/>
          <w:szCs w:val="24"/>
          <w:lang w:eastAsia="en-GB"/>
        </w:rPr>
        <w:t>Bhojraj</w:t>
      </w:r>
      <w:proofErr w:type="spellEnd"/>
      <w:r w:rsidRPr="00BA06B6">
        <w:rPr>
          <w:rFonts w:asciiTheme="majorBidi" w:eastAsia="Times New Roman" w:hAnsiTheme="majorBidi" w:cstheme="majorBidi"/>
          <w:sz w:val="24"/>
          <w:szCs w:val="24"/>
          <w:lang w:eastAsia="en-GB"/>
        </w:rPr>
        <w:t xml:space="preserve"> &amp; Sengupta, 2003; Bradley &amp; Chen, 2011; </w:t>
      </w:r>
      <w:proofErr w:type="spellStart"/>
      <w:r w:rsidRPr="00BA06B6">
        <w:rPr>
          <w:rFonts w:asciiTheme="majorBidi" w:eastAsia="Times New Roman" w:hAnsiTheme="majorBidi" w:cstheme="majorBidi"/>
          <w:sz w:val="24"/>
          <w:szCs w:val="24"/>
          <w:lang w:eastAsia="en-GB"/>
        </w:rPr>
        <w:t>Grassa</w:t>
      </w:r>
      <w:proofErr w:type="spellEnd"/>
      <w:r w:rsidRPr="00BA06B6">
        <w:rPr>
          <w:rFonts w:asciiTheme="majorBidi" w:eastAsia="Times New Roman" w:hAnsiTheme="majorBidi" w:cstheme="majorBidi"/>
          <w:sz w:val="24"/>
          <w:szCs w:val="24"/>
          <w:lang w:eastAsia="en-GB"/>
        </w:rPr>
        <w:t xml:space="preserve">, 2015; Shen et al., 2012). For instance, less powerful CEOs, greater gender diversity, higher </w:t>
      </w:r>
      <w:r w:rsidRPr="00BA06B6">
        <w:rPr>
          <w:rFonts w:asciiTheme="majorBidi" w:eastAsia="Times New Roman" w:hAnsiTheme="majorBidi" w:cstheme="majorBidi"/>
          <w:sz w:val="24"/>
          <w:szCs w:val="24"/>
          <w:lang w:eastAsia="en-GB"/>
        </w:rPr>
        <w:lastRenderedPageBreak/>
        <w:t>independence</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and increased managerial monitoring often associated with larger boards </w:t>
      </w:r>
      <w:r w:rsidR="00A01A07" w:rsidRPr="00BA06B6">
        <w:rPr>
          <w:rFonts w:asciiTheme="majorBidi" w:eastAsia="Times New Roman" w:hAnsiTheme="majorBidi" w:cstheme="majorBidi"/>
          <w:sz w:val="24"/>
          <w:szCs w:val="24"/>
          <w:lang w:eastAsia="en-GB"/>
        </w:rPr>
        <w:t xml:space="preserve">(Dalton &amp; Dalton, 2011) </w:t>
      </w:r>
      <w:r w:rsidRPr="00BA06B6">
        <w:rPr>
          <w:rFonts w:asciiTheme="majorBidi" w:eastAsia="Times New Roman" w:hAnsiTheme="majorBidi" w:cstheme="majorBidi"/>
          <w:sz w:val="24"/>
          <w:szCs w:val="24"/>
          <w:lang w:eastAsia="en-GB"/>
        </w:rPr>
        <w:t>can reduce agency conflicts among shareholders, managers</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and bondholders. Similarly, resource dependence theory suggests that larger boards may offer better access to the external environment by facilitating access to vital resources and thereby enhance BCRs (Aman &amp; Nguyen, 2013).</w:t>
      </w:r>
      <w:r w:rsidR="00A01A07" w:rsidRPr="00BA06B6">
        <w:rPr>
          <w:rFonts w:asciiTheme="majorBidi" w:eastAsia="Times New Roman" w:hAnsiTheme="majorBidi" w:cstheme="majorBidi"/>
          <w:sz w:val="24"/>
          <w:szCs w:val="24"/>
          <w:lang w:eastAsia="en-GB"/>
        </w:rPr>
        <w:t xml:space="preserve"> </w:t>
      </w:r>
      <w:r w:rsidR="00AE27BB" w:rsidRPr="00BA06B6">
        <w:rPr>
          <w:rFonts w:asciiTheme="majorBidi" w:eastAsia="Times New Roman" w:hAnsiTheme="majorBidi" w:cstheme="majorBidi"/>
          <w:sz w:val="24"/>
          <w:szCs w:val="24"/>
          <w:lang w:eastAsia="en-GB"/>
        </w:rPr>
        <w:t xml:space="preserve">Thus, the board supervisory effectiveness may work as an important moderator, helping or obstructing </w:t>
      </w:r>
      <w:r w:rsidR="00AE55F0" w:rsidRPr="00BA06B6">
        <w:rPr>
          <w:rFonts w:asciiTheme="majorBidi" w:eastAsia="Times New Roman" w:hAnsiTheme="majorBidi" w:cstheme="majorBidi"/>
          <w:sz w:val="24"/>
          <w:szCs w:val="24"/>
          <w:lang w:eastAsia="en-GB"/>
        </w:rPr>
        <w:t xml:space="preserve">the </w:t>
      </w:r>
      <w:r w:rsidR="00AE27BB" w:rsidRPr="00BA06B6">
        <w:rPr>
          <w:rFonts w:asciiTheme="majorBidi" w:eastAsia="Times New Roman" w:hAnsiTheme="majorBidi" w:cstheme="majorBidi"/>
          <w:sz w:val="24"/>
          <w:szCs w:val="24"/>
          <w:lang w:eastAsia="en-GB"/>
        </w:rPr>
        <w:t>risk disclosure</w:t>
      </w:r>
      <w:r w:rsidR="00AE55F0" w:rsidRPr="00BA06B6">
        <w:rPr>
          <w:rFonts w:asciiTheme="majorBidi" w:eastAsia="Times New Roman" w:hAnsiTheme="majorBidi" w:cstheme="majorBidi"/>
          <w:sz w:val="24"/>
          <w:szCs w:val="24"/>
          <w:lang w:eastAsia="en-GB"/>
        </w:rPr>
        <w:t>–</w:t>
      </w:r>
      <w:r w:rsidR="00AE27BB" w:rsidRPr="00BA06B6">
        <w:rPr>
          <w:rFonts w:asciiTheme="majorBidi" w:eastAsia="Times New Roman" w:hAnsiTheme="majorBidi" w:cstheme="majorBidi"/>
          <w:sz w:val="24"/>
          <w:szCs w:val="24"/>
          <w:lang w:eastAsia="en-GB"/>
        </w:rPr>
        <w:t>BCRs relationship (</w:t>
      </w:r>
      <w:r w:rsidR="0014611E" w:rsidRPr="00BA06B6">
        <w:rPr>
          <w:rFonts w:asciiTheme="majorBidi" w:eastAsia="Times New Roman" w:hAnsiTheme="majorBidi" w:cstheme="majorBidi"/>
          <w:sz w:val="24"/>
          <w:szCs w:val="24"/>
          <w:lang w:eastAsia="en-GB"/>
        </w:rPr>
        <w:t xml:space="preserve">Elshandidy &amp; </w:t>
      </w:r>
      <w:proofErr w:type="spellStart"/>
      <w:r w:rsidR="0014611E" w:rsidRPr="00BA06B6">
        <w:rPr>
          <w:rFonts w:asciiTheme="majorBidi" w:eastAsia="Times New Roman" w:hAnsiTheme="majorBidi" w:cstheme="majorBidi"/>
          <w:sz w:val="24"/>
          <w:szCs w:val="24"/>
          <w:lang w:eastAsia="en-GB"/>
        </w:rPr>
        <w:t>Neri</w:t>
      </w:r>
      <w:proofErr w:type="spellEnd"/>
      <w:r w:rsidR="0014611E" w:rsidRPr="00BA06B6">
        <w:rPr>
          <w:rFonts w:asciiTheme="majorBidi" w:eastAsia="Times New Roman" w:hAnsiTheme="majorBidi" w:cstheme="majorBidi"/>
          <w:sz w:val="24"/>
          <w:szCs w:val="24"/>
          <w:lang w:eastAsia="en-GB"/>
        </w:rPr>
        <w:t xml:space="preserve">, 2015; </w:t>
      </w:r>
      <w:proofErr w:type="spellStart"/>
      <w:r w:rsidR="0014611E" w:rsidRPr="00BA06B6">
        <w:rPr>
          <w:rFonts w:asciiTheme="majorBidi" w:eastAsia="Times New Roman" w:hAnsiTheme="majorBidi" w:cstheme="majorBidi"/>
          <w:sz w:val="24"/>
          <w:szCs w:val="24"/>
          <w:lang w:eastAsia="en-GB"/>
        </w:rPr>
        <w:t>Elzahar</w:t>
      </w:r>
      <w:proofErr w:type="spellEnd"/>
      <w:r w:rsidR="0014611E" w:rsidRPr="00BA06B6">
        <w:rPr>
          <w:rFonts w:asciiTheme="majorBidi" w:eastAsia="Times New Roman" w:hAnsiTheme="majorBidi" w:cstheme="majorBidi"/>
          <w:sz w:val="24"/>
          <w:szCs w:val="24"/>
          <w:lang w:eastAsia="en-GB"/>
        </w:rPr>
        <w:t xml:space="preserve"> &amp; Hussainey, 2012; Mokhtar &amp; </w:t>
      </w:r>
      <w:proofErr w:type="spellStart"/>
      <w:r w:rsidR="0014611E" w:rsidRPr="00BA06B6">
        <w:rPr>
          <w:rFonts w:asciiTheme="majorBidi" w:eastAsia="Times New Roman" w:hAnsiTheme="majorBidi" w:cstheme="majorBidi"/>
          <w:sz w:val="24"/>
          <w:szCs w:val="24"/>
          <w:lang w:eastAsia="en-GB"/>
        </w:rPr>
        <w:t>Mellet</w:t>
      </w:r>
      <w:proofErr w:type="spellEnd"/>
      <w:r w:rsidR="0014611E" w:rsidRPr="00BA06B6">
        <w:rPr>
          <w:rFonts w:asciiTheme="majorBidi" w:eastAsia="Times New Roman" w:hAnsiTheme="majorBidi" w:cstheme="majorBidi"/>
          <w:sz w:val="24"/>
          <w:szCs w:val="24"/>
          <w:lang w:eastAsia="en-GB"/>
        </w:rPr>
        <w:t>, 2013; Nt</w:t>
      </w:r>
      <w:r w:rsidR="00AE55F0" w:rsidRPr="00BA06B6">
        <w:rPr>
          <w:rFonts w:asciiTheme="majorBidi" w:eastAsia="Times New Roman" w:hAnsiTheme="majorBidi" w:cstheme="majorBidi"/>
          <w:sz w:val="24"/>
          <w:szCs w:val="24"/>
          <w:lang w:eastAsia="en-GB"/>
        </w:rPr>
        <w:t>i</w:t>
      </w:r>
      <w:r w:rsidR="0014611E" w:rsidRPr="00BA06B6">
        <w:rPr>
          <w:rFonts w:asciiTheme="majorBidi" w:eastAsia="Times New Roman" w:hAnsiTheme="majorBidi" w:cstheme="majorBidi"/>
          <w:sz w:val="24"/>
          <w:szCs w:val="24"/>
          <w:lang w:eastAsia="en-GB"/>
        </w:rPr>
        <w:t xml:space="preserve">m et al., 2013; </w:t>
      </w:r>
      <w:proofErr w:type="spellStart"/>
      <w:r w:rsidR="00AE27BB" w:rsidRPr="00BA06B6">
        <w:rPr>
          <w:rFonts w:asciiTheme="majorBidi" w:eastAsia="Times New Roman" w:hAnsiTheme="majorBidi" w:cstheme="majorBidi"/>
          <w:sz w:val="24"/>
          <w:szCs w:val="24"/>
          <w:lang w:eastAsia="en-GB"/>
        </w:rPr>
        <w:t>Tourigny</w:t>
      </w:r>
      <w:proofErr w:type="spellEnd"/>
      <w:r w:rsidR="00AE27BB" w:rsidRPr="00BA06B6">
        <w:rPr>
          <w:rFonts w:asciiTheme="majorBidi" w:eastAsia="Times New Roman" w:hAnsiTheme="majorBidi" w:cstheme="majorBidi"/>
          <w:sz w:val="24"/>
          <w:szCs w:val="24"/>
          <w:lang w:eastAsia="en-GB"/>
        </w:rPr>
        <w:t xml:space="preserve"> et al., 2003). Specifically, improve</w:t>
      </w:r>
      <w:r w:rsidR="00AE55F0" w:rsidRPr="00BA06B6">
        <w:rPr>
          <w:rFonts w:asciiTheme="majorBidi" w:eastAsia="Times New Roman" w:hAnsiTheme="majorBidi" w:cstheme="majorBidi"/>
          <w:sz w:val="24"/>
          <w:szCs w:val="24"/>
          <w:lang w:eastAsia="en-GB"/>
        </w:rPr>
        <w:t>ment in</w:t>
      </w:r>
      <w:r w:rsidR="00AE27BB" w:rsidRPr="00BA06B6">
        <w:rPr>
          <w:rFonts w:asciiTheme="majorBidi" w:eastAsia="Times New Roman" w:hAnsiTheme="majorBidi" w:cstheme="majorBidi"/>
          <w:sz w:val="24"/>
          <w:szCs w:val="24"/>
          <w:lang w:eastAsia="en-GB"/>
        </w:rPr>
        <w:t xml:space="preserve"> the effectiveness of board supervision leads to improv</w:t>
      </w:r>
      <w:r w:rsidR="00AE55F0" w:rsidRPr="00BA06B6">
        <w:rPr>
          <w:rFonts w:asciiTheme="majorBidi" w:eastAsia="Times New Roman" w:hAnsiTheme="majorBidi" w:cstheme="majorBidi"/>
          <w:sz w:val="24"/>
          <w:szCs w:val="24"/>
          <w:lang w:eastAsia="en-GB"/>
        </w:rPr>
        <w:t>ement in</w:t>
      </w:r>
      <w:r w:rsidR="00AE27BB" w:rsidRPr="00BA06B6">
        <w:rPr>
          <w:rFonts w:asciiTheme="majorBidi" w:eastAsia="Times New Roman" w:hAnsiTheme="majorBidi" w:cstheme="majorBidi"/>
          <w:sz w:val="24"/>
          <w:szCs w:val="24"/>
          <w:lang w:eastAsia="en-GB"/>
        </w:rPr>
        <w:t xml:space="preserve"> manage</w:t>
      </w:r>
      <w:r w:rsidR="00AE55F0" w:rsidRPr="00BA06B6">
        <w:rPr>
          <w:rFonts w:asciiTheme="majorBidi" w:eastAsia="Times New Roman" w:hAnsiTheme="majorBidi" w:cstheme="majorBidi"/>
          <w:sz w:val="24"/>
          <w:szCs w:val="24"/>
          <w:lang w:eastAsia="en-GB"/>
        </w:rPr>
        <w:t>rial</w:t>
      </w:r>
      <w:r w:rsidR="00AE27BB" w:rsidRPr="00BA06B6">
        <w:rPr>
          <w:rFonts w:asciiTheme="majorBidi" w:eastAsia="Times New Roman" w:hAnsiTheme="majorBidi" w:cstheme="majorBidi"/>
          <w:sz w:val="24"/>
          <w:szCs w:val="24"/>
          <w:lang w:eastAsia="en-GB"/>
        </w:rPr>
        <w:t xml:space="preserve"> monitoring, which might affect risk </w:t>
      </w:r>
      <w:r w:rsidR="00AE55F0" w:rsidRPr="00BA06B6">
        <w:rPr>
          <w:rFonts w:asciiTheme="majorBidi" w:eastAsia="Times New Roman" w:hAnsiTheme="majorBidi" w:cstheme="majorBidi"/>
          <w:sz w:val="24"/>
          <w:szCs w:val="24"/>
          <w:lang w:eastAsia="en-GB"/>
        </w:rPr>
        <w:t xml:space="preserve">the </w:t>
      </w:r>
      <w:r w:rsidR="00AE27BB" w:rsidRPr="00BA06B6">
        <w:rPr>
          <w:rFonts w:asciiTheme="majorBidi" w:eastAsia="Times New Roman" w:hAnsiTheme="majorBidi" w:cstheme="majorBidi"/>
          <w:sz w:val="24"/>
          <w:szCs w:val="24"/>
          <w:lang w:eastAsia="en-GB"/>
        </w:rPr>
        <w:t>disclosure</w:t>
      </w:r>
      <w:r w:rsidR="00AE55F0" w:rsidRPr="00BA06B6">
        <w:rPr>
          <w:rFonts w:asciiTheme="majorBidi" w:eastAsia="Times New Roman" w:hAnsiTheme="majorBidi" w:cstheme="majorBidi"/>
          <w:sz w:val="24"/>
          <w:szCs w:val="24"/>
          <w:lang w:eastAsia="en-GB"/>
        </w:rPr>
        <w:t>–</w:t>
      </w:r>
      <w:r w:rsidR="00AE27BB" w:rsidRPr="00BA06B6">
        <w:rPr>
          <w:rFonts w:asciiTheme="majorBidi" w:eastAsia="Times New Roman" w:hAnsiTheme="majorBidi" w:cstheme="majorBidi"/>
          <w:sz w:val="24"/>
          <w:szCs w:val="24"/>
          <w:lang w:eastAsia="en-GB"/>
        </w:rPr>
        <w:t>BCRs relationship positively, if: the percentage of independent directors increases (</w:t>
      </w:r>
      <w:proofErr w:type="spellStart"/>
      <w:r w:rsidR="007C36C8" w:rsidRPr="00BA06B6">
        <w:rPr>
          <w:rFonts w:asciiTheme="majorBidi" w:eastAsia="Times New Roman" w:hAnsiTheme="majorBidi" w:cstheme="majorBidi"/>
          <w:sz w:val="24"/>
          <w:szCs w:val="24"/>
          <w:lang w:eastAsia="en-GB"/>
        </w:rPr>
        <w:t>Alshbili</w:t>
      </w:r>
      <w:proofErr w:type="spellEnd"/>
      <w:r w:rsidR="007C36C8" w:rsidRPr="00BA06B6">
        <w:rPr>
          <w:rFonts w:asciiTheme="majorBidi" w:eastAsia="Times New Roman" w:hAnsiTheme="majorBidi" w:cstheme="majorBidi"/>
          <w:sz w:val="24"/>
          <w:szCs w:val="24"/>
          <w:lang w:eastAsia="en-GB"/>
        </w:rPr>
        <w:t xml:space="preserve"> et al., 2018; </w:t>
      </w:r>
      <w:r w:rsidR="000150D5" w:rsidRPr="00BA06B6">
        <w:rPr>
          <w:rFonts w:asciiTheme="majorBidi" w:eastAsia="Times New Roman" w:hAnsiTheme="majorBidi" w:cstheme="majorBidi"/>
          <w:sz w:val="24"/>
          <w:szCs w:val="24"/>
          <w:lang w:eastAsia="en-GB"/>
        </w:rPr>
        <w:t>Barakat &amp; Hussainey, 2013;</w:t>
      </w:r>
      <w:r w:rsidR="00AE27BB" w:rsidRPr="00BA06B6">
        <w:rPr>
          <w:rFonts w:asciiTheme="majorBidi" w:eastAsia="Times New Roman" w:hAnsiTheme="majorBidi" w:cstheme="majorBidi"/>
          <w:sz w:val="24"/>
          <w:szCs w:val="24"/>
          <w:lang w:eastAsia="en-GB"/>
        </w:rPr>
        <w:t xml:space="preserve"> </w:t>
      </w:r>
      <w:proofErr w:type="spellStart"/>
      <w:r w:rsidR="00AE27BB" w:rsidRPr="00BA06B6">
        <w:rPr>
          <w:rFonts w:asciiTheme="majorBidi" w:eastAsia="Times New Roman" w:hAnsiTheme="majorBidi" w:cstheme="majorBidi"/>
          <w:sz w:val="24"/>
          <w:szCs w:val="24"/>
          <w:lang w:eastAsia="en-GB"/>
        </w:rPr>
        <w:t>Conyon</w:t>
      </w:r>
      <w:proofErr w:type="spellEnd"/>
      <w:r w:rsidR="00AE27BB" w:rsidRPr="00BA06B6">
        <w:rPr>
          <w:rFonts w:asciiTheme="majorBidi" w:eastAsia="Times New Roman" w:hAnsiTheme="majorBidi" w:cstheme="majorBidi"/>
          <w:sz w:val="24"/>
          <w:szCs w:val="24"/>
          <w:lang w:eastAsia="en-GB"/>
        </w:rPr>
        <w:t xml:space="preserve"> </w:t>
      </w:r>
      <w:r w:rsidR="000150D5" w:rsidRPr="00BA06B6">
        <w:rPr>
          <w:rFonts w:asciiTheme="majorBidi" w:eastAsia="Times New Roman" w:hAnsiTheme="majorBidi" w:cstheme="majorBidi"/>
          <w:sz w:val="24"/>
          <w:szCs w:val="24"/>
          <w:lang w:eastAsia="en-GB"/>
        </w:rPr>
        <w:t>&amp;</w:t>
      </w:r>
      <w:r w:rsidR="00AE27BB" w:rsidRPr="00BA06B6">
        <w:rPr>
          <w:rFonts w:asciiTheme="majorBidi" w:eastAsia="Times New Roman" w:hAnsiTheme="majorBidi" w:cstheme="majorBidi"/>
          <w:sz w:val="24"/>
          <w:szCs w:val="24"/>
          <w:lang w:eastAsia="en-GB"/>
        </w:rPr>
        <w:t xml:space="preserve"> Peck, 1998), the of CEO and Chairman are different – </w:t>
      </w:r>
      <w:r w:rsidR="00AE55F0" w:rsidRPr="00BA06B6">
        <w:rPr>
          <w:rFonts w:asciiTheme="majorBidi" w:eastAsia="Times New Roman" w:hAnsiTheme="majorBidi" w:cstheme="majorBidi"/>
          <w:sz w:val="24"/>
          <w:szCs w:val="24"/>
          <w:lang w:eastAsia="en-GB"/>
        </w:rPr>
        <w:t>no role</w:t>
      </w:r>
      <w:r w:rsidR="00AE27BB" w:rsidRPr="00BA06B6">
        <w:rPr>
          <w:rFonts w:asciiTheme="majorBidi" w:eastAsia="Times New Roman" w:hAnsiTheme="majorBidi" w:cstheme="majorBidi"/>
          <w:sz w:val="24"/>
          <w:szCs w:val="24"/>
          <w:lang w:eastAsia="en-GB"/>
        </w:rPr>
        <w:t xml:space="preserve"> duality – (</w:t>
      </w:r>
      <w:r w:rsidR="000150D5" w:rsidRPr="00BA06B6">
        <w:rPr>
          <w:rFonts w:asciiTheme="majorBidi" w:eastAsia="Times New Roman" w:hAnsiTheme="majorBidi" w:cstheme="majorBidi"/>
          <w:sz w:val="24"/>
          <w:szCs w:val="24"/>
          <w:lang w:eastAsia="en-GB"/>
        </w:rPr>
        <w:t>Al-</w:t>
      </w:r>
      <w:proofErr w:type="spellStart"/>
      <w:r w:rsidR="000150D5" w:rsidRPr="00BA06B6">
        <w:rPr>
          <w:rFonts w:asciiTheme="majorBidi" w:eastAsia="Times New Roman" w:hAnsiTheme="majorBidi" w:cstheme="majorBidi"/>
          <w:sz w:val="24"/>
          <w:szCs w:val="24"/>
          <w:lang w:eastAsia="en-GB"/>
        </w:rPr>
        <w:t>Hadi</w:t>
      </w:r>
      <w:proofErr w:type="spellEnd"/>
      <w:r w:rsidR="000150D5" w:rsidRPr="00BA06B6">
        <w:rPr>
          <w:rFonts w:asciiTheme="majorBidi" w:eastAsia="Times New Roman" w:hAnsiTheme="majorBidi" w:cstheme="majorBidi"/>
          <w:sz w:val="24"/>
          <w:szCs w:val="24"/>
          <w:lang w:eastAsia="en-GB"/>
        </w:rPr>
        <w:t xml:space="preserve"> et al., 2016; Al-</w:t>
      </w:r>
      <w:proofErr w:type="spellStart"/>
      <w:r w:rsidR="000150D5" w:rsidRPr="00BA06B6">
        <w:rPr>
          <w:rFonts w:asciiTheme="majorBidi" w:eastAsia="Times New Roman" w:hAnsiTheme="majorBidi" w:cstheme="majorBidi"/>
          <w:sz w:val="24"/>
          <w:szCs w:val="24"/>
          <w:lang w:eastAsia="en-GB"/>
        </w:rPr>
        <w:t>Maghzom</w:t>
      </w:r>
      <w:proofErr w:type="spellEnd"/>
      <w:r w:rsidR="000150D5" w:rsidRPr="00BA06B6">
        <w:rPr>
          <w:rFonts w:asciiTheme="majorBidi" w:eastAsia="Times New Roman" w:hAnsiTheme="majorBidi" w:cstheme="majorBidi"/>
          <w:sz w:val="24"/>
          <w:szCs w:val="24"/>
          <w:lang w:eastAsia="en-GB"/>
        </w:rPr>
        <w:t xml:space="preserve"> et al., 2016</w:t>
      </w:r>
      <w:r w:rsidR="00372C0A" w:rsidRPr="00BA06B6">
        <w:rPr>
          <w:rFonts w:asciiTheme="majorBidi" w:eastAsia="Times New Roman" w:hAnsiTheme="majorBidi" w:cstheme="majorBidi"/>
          <w:sz w:val="24"/>
          <w:szCs w:val="24"/>
          <w:lang w:eastAsia="en-GB"/>
        </w:rPr>
        <w:t xml:space="preserve">; </w:t>
      </w:r>
      <w:proofErr w:type="spellStart"/>
      <w:r w:rsidR="007C36C8" w:rsidRPr="00BA06B6">
        <w:rPr>
          <w:rFonts w:asciiTheme="majorBidi" w:eastAsia="Times New Roman" w:hAnsiTheme="majorBidi" w:cstheme="majorBidi"/>
          <w:sz w:val="24"/>
          <w:szCs w:val="24"/>
          <w:lang w:eastAsia="en-GB"/>
        </w:rPr>
        <w:t>Alnabsha</w:t>
      </w:r>
      <w:proofErr w:type="spellEnd"/>
      <w:r w:rsidR="007C36C8" w:rsidRPr="00BA06B6">
        <w:rPr>
          <w:rFonts w:asciiTheme="majorBidi" w:eastAsia="Times New Roman" w:hAnsiTheme="majorBidi" w:cstheme="majorBidi"/>
          <w:sz w:val="24"/>
          <w:szCs w:val="24"/>
          <w:lang w:eastAsia="en-GB"/>
        </w:rPr>
        <w:t xml:space="preserve"> et al., 2018; </w:t>
      </w:r>
      <w:r w:rsidR="00372C0A" w:rsidRPr="00BA06B6">
        <w:rPr>
          <w:rFonts w:asciiTheme="majorBidi" w:eastAsia="Times New Roman" w:hAnsiTheme="majorBidi" w:cstheme="majorBidi"/>
          <w:sz w:val="24"/>
          <w:szCs w:val="24"/>
          <w:lang w:eastAsia="en-GB"/>
        </w:rPr>
        <w:t>Elamer et al., 2017, 2019</w:t>
      </w:r>
      <w:r w:rsidR="007C36C8" w:rsidRPr="00BA06B6">
        <w:rPr>
          <w:rFonts w:asciiTheme="majorBidi" w:eastAsia="Times New Roman" w:hAnsiTheme="majorBidi" w:cstheme="majorBidi"/>
          <w:sz w:val="24"/>
          <w:szCs w:val="24"/>
          <w:lang w:eastAsia="en-GB"/>
        </w:rPr>
        <w:t xml:space="preserve"> </w:t>
      </w:r>
      <w:proofErr w:type="spellStart"/>
      <w:r w:rsidR="007C36C8" w:rsidRPr="00BA06B6">
        <w:rPr>
          <w:rFonts w:asciiTheme="majorBidi" w:eastAsia="Times New Roman" w:hAnsiTheme="majorBidi" w:cstheme="majorBidi"/>
          <w:sz w:val="24"/>
          <w:szCs w:val="24"/>
          <w:lang w:eastAsia="en-GB"/>
        </w:rPr>
        <w:t>a,b</w:t>
      </w:r>
      <w:proofErr w:type="spellEnd"/>
      <w:r w:rsidR="00AE27BB" w:rsidRPr="00BA06B6">
        <w:rPr>
          <w:rFonts w:asciiTheme="majorBidi" w:eastAsia="Times New Roman" w:hAnsiTheme="majorBidi" w:cstheme="majorBidi"/>
          <w:sz w:val="24"/>
          <w:szCs w:val="24"/>
          <w:lang w:eastAsia="en-GB"/>
        </w:rPr>
        <w:t>), and the percentage of independent directors increases (</w:t>
      </w:r>
      <w:r w:rsidR="007B4EB7" w:rsidRPr="00BA06B6">
        <w:rPr>
          <w:rFonts w:asciiTheme="majorBidi" w:eastAsia="Times New Roman" w:hAnsiTheme="majorBidi" w:cstheme="majorBidi"/>
          <w:sz w:val="24"/>
          <w:szCs w:val="24"/>
          <w:lang w:eastAsia="en-GB"/>
        </w:rPr>
        <w:t>Al-</w:t>
      </w:r>
      <w:proofErr w:type="spellStart"/>
      <w:r w:rsidR="007B4EB7" w:rsidRPr="00BA06B6">
        <w:rPr>
          <w:rFonts w:asciiTheme="majorBidi" w:eastAsia="Times New Roman" w:hAnsiTheme="majorBidi" w:cstheme="majorBidi"/>
          <w:sz w:val="24"/>
          <w:szCs w:val="24"/>
          <w:lang w:eastAsia="en-GB"/>
        </w:rPr>
        <w:t>Maghzom</w:t>
      </w:r>
      <w:proofErr w:type="spellEnd"/>
      <w:r w:rsidR="007B4EB7" w:rsidRPr="00BA06B6">
        <w:rPr>
          <w:rFonts w:asciiTheme="majorBidi" w:eastAsia="Times New Roman" w:hAnsiTheme="majorBidi" w:cstheme="majorBidi"/>
          <w:sz w:val="24"/>
          <w:szCs w:val="24"/>
          <w:lang w:eastAsia="en-GB"/>
        </w:rPr>
        <w:t xml:space="preserve"> et al., 2016; Barakat &amp; Hussainey, 2013</w:t>
      </w:r>
      <w:r w:rsidR="00AE27BB" w:rsidRPr="00BA06B6">
        <w:rPr>
          <w:rFonts w:asciiTheme="majorBidi" w:eastAsia="Times New Roman" w:hAnsiTheme="majorBidi" w:cstheme="majorBidi"/>
          <w:sz w:val="24"/>
          <w:szCs w:val="24"/>
          <w:lang w:eastAsia="en-GB"/>
        </w:rPr>
        <w:t xml:space="preserve">). Also, it is essential to cogitate board size as an aspect </w:t>
      </w:r>
      <w:r w:rsidR="00AE55F0" w:rsidRPr="00BA06B6">
        <w:rPr>
          <w:rFonts w:asciiTheme="majorBidi" w:eastAsia="Times New Roman" w:hAnsiTheme="majorBidi" w:cstheme="majorBidi"/>
          <w:sz w:val="24"/>
          <w:szCs w:val="24"/>
          <w:lang w:eastAsia="en-GB"/>
        </w:rPr>
        <w:t xml:space="preserve">that drive </w:t>
      </w:r>
      <w:r w:rsidR="00AE27BB" w:rsidRPr="00BA06B6">
        <w:rPr>
          <w:rFonts w:asciiTheme="majorBidi" w:eastAsia="Times New Roman" w:hAnsiTheme="majorBidi" w:cstheme="majorBidi"/>
          <w:sz w:val="24"/>
          <w:szCs w:val="24"/>
          <w:lang w:eastAsia="en-GB"/>
        </w:rPr>
        <w:t>board supervisory effectiveness. Coles et al. (2008) and Jensen (1993) emphasise that that larger boards</w:t>
      </w:r>
      <w:r w:rsidR="007256C3" w:rsidRPr="00BA06B6">
        <w:rPr>
          <w:rFonts w:asciiTheme="majorBidi" w:eastAsia="Times New Roman" w:hAnsiTheme="majorBidi" w:cstheme="majorBidi"/>
          <w:sz w:val="24"/>
          <w:szCs w:val="24"/>
          <w:lang w:eastAsia="en-GB"/>
        </w:rPr>
        <w:t xml:space="preserve"> </w:t>
      </w:r>
      <w:r w:rsidR="00AE27BB" w:rsidRPr="00BA06B6">
        <w:rPr>
          <w:rFonts w:asciiTheme="majorBidi" w:eastAsia="Times New Roman" w:hAnsiTheme="majorBidi" w:cstheme="majorBidi"/>
          <w:sz w:val="24"/>
          <w:szCs w:val="24"/>
          <w:lang w:eastAsia="en-GB"/>
        </w:rPr>
        <w:t>tend to have problems of coordination, communication</w:t>
      </w:r>
      <w:r w:rsidR="00251D60" w:rsidRPr="00BA06B6">
        <w:rPr>
          <w:rFonts w:asciiTheme="majorBidi" w:eastAsia="Times New Roman" w:hAnsiTheme="majorBidi" w:cstheme="majorBidi"/>
          <w:sz w:val="24"/>
          <w:szCs w:val="24"/>
          <w:lang w:eastAsia="en-GB"/>
        </w:rPr>
        <w:t>,</w:t>
      </w:r>
      <w:r w:rsidR="00AE27BB" w:rsidRPr="00BA06B6">
        <w:rPr>
          <w:rFonts w:asciiTheme="majorBidi" w:eastAsia="Times New Roman" w:hAnsiTheme="majorBidi" w:cstheme="majorBidi"/>
          <w:sz w:val="24"/>
          <w:szCs w:val="24"/>
          <w:lang w:eastAsia="en-GB"/>
        </w:rPr>
        <w:t xml:space="preserve"> and free-riding, and thereby impact negatively on the level of risk disclosures and BCRs.</w:t>
      </w:r>
    </w:p>
    <w:p w14:paraId="19204640" w14:textId="73C48BB6" w:rsidR="00AA068C" w:rsidRPr="00BA06B6" w:rsidRDefault="00AA068C" w:rsidP="00251D60">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 xml:space="preserve">In addition to boards’ structure, the impact of risk disclosures on BCRs is further likely to be contingent also on the ownership type – whether government, foreign, or block ownership is present. </w:t>
      </w:r>
      <w:r w:rsidR="00A01A07" w:rsidRPr="00BA06B6">
        <w:rPr>
          <w:rFonts w:asciiTheme="majorBidi" w:eastAsia="Times New Roman" w:hAnsiTheme="majorBidi" w:cstheme="majorBidi"/>
          <w:sz w:val="24"/>
          <w:szCs w:val="24"/>
          <w:lang w:eastAsia="en-GB"/>
        </w:rPr>
        <w:t>The level of ownership concentration and the type of control employed by main shareholders will incidentally determine the board supervisory effectiveness, conditioning the effect of risk disclosures on BCRs (</w:t>
      </w:r>
      <w:bookmarkStart w:id="24" w:name="_Hlk21668844"/>
      <w:r w:rsidR="00AC5F55" w:rsidRPr="00BA06B6">
        <w:rPr>
          <w:rFonts w:asciiTheme="majorBidi" w:eastAsia="Times New Roman" w:hAnsiTheme="majorBidi" w:cstheme="majorBidi"/>
          <w:sz w:val="24"/>
          <w:szCs w:val="24"/>
          <w:lang w:eastAsia="en-GB"/>
        </w:rPr>
        <w:t>Barakat &amp; Hussainey, 2013; Al-</w:t>
      </w:r>
      <w:proofErr w:type="spellStart"/>
      <w:r w:rsidR="00AC5F55" w:rsidRPr="00BA06B6">
        <w:rPr>
          <w:rFonts w:asciiTheme="majorBidi" w:eastAsia="Times New Roman" w:hAnsiTheme="majorBidi" w:cstheme="majorBidi"/>
          <w:sz w:val="24"/>
          <w:szCs w:val="24"/>
          <w:lang w:eastAsia="en-GB"/>
        </w:rPr>
        <w:t>Hadi</w:t>
      </w:r>
      <w:proofErr w:type="spellEnd"/>
      <w:r w:rsidR="00AC5F55" w:rsidRPr="00BA06B6">
        <w:rPr>
          <w:rFonts w:asciiTheme="majorBidi" w:eastAsia="Times New Roman" w:hAnsiTheme="majorBidi" w:cstheme="majorBidi"/>
          <w:sz w:val="24"/>
          <w:szCs w:val="24"/>
          <w:lang w:eastAsia="en-GB"/>
        </w:rPr>
        <w:t xml:space="preserve"> et al., 2016</w:t>
      </w:r>
      <w:r w:rsidR="000150D5" w:rsidRPr="00BA06B6">
        <w:rPr>
          <w:rFonts w:asciiTheme="majorBidi" w:eastAsia="Times New Roman" w:hAnsiTheme="majorBidi" w:cstheme="majorBidi"/>
          <w:sz w:val="24"/>
          <w:szCs w:val="24"/>
          <w:lang w:eastAsia="en-GB"/>
        </w:rPr>
        <w:t xml:space="preserve">; </w:t>
      </w:r>
      <w:r w:rsidR="000C4B9A" w:rsidRPr="00BA06B6">
        <w:rPr>
          <w:rFonts w:asciiTheme="majorBidi" w:eastAsia="Times New Roman" w:hAnsiTheme="majorBidi" w:cstheme="majorBidi"/>
          <w:sz w:val="24"/>
          <w:szCs w:val="24"/>
          <w:lang w:eastAsia="en-GB"/>
        </w:rPr>
        <w:t>Al-</w:t>
      </w:r>
      <w:proofErr w:type="spellStart"/>
      <w:r w:rsidR="000C4B9A" w:rsidRPr="00BA06B6">
        <w:rPr>
          <w:rFonts w:asciiTheme="majorBidi" w:eastAsia="Times New Roman" w:hAnsiTheme="majorBidi" w:cstheme="majorBidi"/>
          <w:sz w:val="24"/>
          <w:szCs w:val="24"/>
          <w:lang w:eastAsia="en-GB"/>
        </w:rPr>
        <w:t>Maghzom</w:t>
      </w:r>
      <w:proofErr w:type="spellEnd"/>
      <w:r w:rsidR="000C4B9A" w:rsidRPr="00BA06B6">
        <w:rPr>
          <w:rFonts w:asciiTheme="majorBidi" w:eastAsia="Times New Roman" w:hAnsiTheme="majorBidi" w:cstheme="majorBidi"/>
          <w:sz w:val="24"/>
          <w:szCs w:val="24"/>
          <w:lang w:eastAsia="en-GB"/>
        </w:rPr>
        <w:t xml:space="preserve"> et al., 2016</w:t>
      </w:r>
      <w:bookmarkEnd w:id="24"/>
      <w:r w:rsidR="002F2319" w:rsidRPr="00BA06B6">
        <w:rPr>
          <w:rFonts w:asciiTheme="majorBidi" w:eastAsia="Times New Roman" w:hAnsiTheme="majorBidi" w:cstheme="majorBidi"/>
          <w:sz w:val="24"/>
          <w:szCs w:val="24"/>
          <w:lang w:eastAsia="en-GB"/>
        </w:rPr>
        <w:t>; Elamer et al., 2017</w:t>
      </w:r>
      <w:r w:rsidR="00A01A07" w:rsidRPr="00BA06B6">
        <w:rPr>
          <w:rFonts w:asciiTheme="majorBidi" w:eastAsia="Times New Roman" w:hAnsiTheme="majorBidi" w:cstheme="majorBidi"/>
          <w:sz w:val="24"/>
          <w:szCs w:val="24"/>
          <w:lang w:eastAsia="en-GB"/>
        </w:rPr>
        <w:t xml:space="preserve">). </w:t>
      </w:r>
      <w:r w:rsidR="00251D60" w:rsidRPr="00BA06B6">
        <w:rPr>
          <w:rFonts w:asciiTheme="majorBidi" w:eastAsia="Times New Roman" w:hAnsiTheme="majorBidi" w:cstheme="majorBidi"/>
          <w:sz w:val="24"/>
          <w:szCs w:val="24"/>
          <w:lang w:eastAsia="en-GB"/>
        </w:rPr>
        <w:t xml:space="preserve">The literature </w:t>
      </w:r>
      <w:r w:rsidR="00A01A07" w:rsidRPr="00BA06B6">
        <w:rPr>
          <w:rFonts w:asciiTheme="majorBidi" w:eastAsia="Times New Roman" w:hAnsiTheme="majorBidi" w:cstheme="majorBidi"/>
          <w:sz w:val="24"/>
          <w:szCs w:val="24"/>
          <w:lang w:eastAsia="en-GB"/>
        </w:rPr>
        <w:t>largely favours the view that when ownership is concentrated</w:t>
      </w:r>
      <w:r w:rsidR="00251D60" w:rsidRPr="00BA06B6">
        <w:rPr>
          <w:rFonts w:asciiTheme="majorBidi" w:eastAsia="Times New Roman" w:hAnsiTheme="majorBidi" w:cstheme="majorBidi"/>
          <w:sz w:val="24"/>
          <w:szCs w:val="24"/>
          <w:lang w:eastAsia="en-GB"/>
        </w:rPr>
        <w:t>,</w:t>
      </w:r>
      <w:r w:rsidR="00A01A07" w:rsidRPr="00BA06B6">
        <w:rPr>
          <w:rFonts w:asciiTheme="majorBidi" w:eastAsia="Times New Roman" w:hAnsiTheme="majorBidi" w:cstheme="majorBidi"/>
          <w:sz w:val="24"/>
          <w:szCs w:val="24"/>
          <w:lang w:eastAsia="en-GB"/>
        </w:rPr>
        <w:t xml:space="preserve"> disclosure is poorer</w:t>
      </w:r>
      <w:r w:rsidR="00251D60" w:rsidRPr="00BA06B6">
        <w:rPr>
          <w:rFonts w:asciiTheme="majorBidi" w:eastAsia="Times New Roman" w:hAnsiTheme="majorBidi" w:cstheme="majorBidi"/>
          <w:sz w:val="24"/>
          <w:szCs w:val="24"/>
          <w:lang w:eastAsia="en-GB"/>
        </w:rPr>
        <w:t>,</w:t>
      </w:r>
      <w:r w:rsidR="00A01A07" w:rsidRPr="00BA06B6">
        <w:rPr>
          <w:rFonts w:asciiTheme="majorBidi" w:eastAsia="Times New Roman" w:hAnsiTheme="majorBidi" w:cstheme="majorBidi"/>
          <w:sz w:val="24"/>
          <w:szCs w:val="24"/>
          <w:lang w:eastAsia="en-GB"/>
        </w:rPr>
        <w:t xml:space="preserve"> and the BCRs they obtain </w:t>
      </w:r>
      <w:r w:rsidR="00251D60" w:rsidRPr="00BA06B6">
        <w:rPr>
          <w:rFonts w:asciiTheme="majorBidi" w:eastAsia="Times New Roman" w:hAnsiTheme="majorBidi" w:cstheme="majorBidi"/>
          <w:sz w:val="24"/>
          <w:szCs w:val="24"/>
          <w:lang w:eastAsia="en-GB"/>
        </w:rPr>
        <w:t xml:space="preserve">are </w:t>
      </w:r>
      <w:r w:rsidR="00A01A07" w:rsidRPr="00BA06B6">
        <w:rPr>
          <w:rFonts w:asciiTheme="majorBidi" w:eastAsia="Times New Roman" w:hAnsiTheme="majorBidi" w:cstheme="majorBidi"/>
          <w:sz w:val="24"/>
          <w:szCs w:val="24"/>
          <w:lang w:eastAsia="en-GB"/>
        </w:rPr>
        <w:t>more likely to be lower (</w:t>
      </w:r>
      <w:r w:rsidR="000150D5" w:rsidRPr="00BA06B6">
        <w:rPr>
          <w:rFonts w:asciiTheme="majorBidi" w:eastAsia="Times New Roman" w:hAnsiTheme="majorBidi" w:cstheme="majorBidi"/>
          <w:sz w:val="24"/>
          <w:szCs w:val="24"/>
          <w:lang w:eastAsia="en-GB"/>
        </w:rPr>
        <w:t>Barakat &amp; Hussainey, 2013;</w:t>
      </w:r>
      <w:r w:rsidR="00A01A07" w:rsidRPr="00BA06B6">
        <w:rPr>
          <w:rFonts w:asciiTheme="majorBidi" w:eastAsia="Times New Roman" w:hAnsiTheme="majorBidi" w:cstheme="majorBidi"/>
          <w:sz w:val="24"/>
          <w:szCs w:val="24"/>
          <w:lang w:eastAsia="en-GB"/>
        </w:rPr>
        <w:t xml:space="preserve"> Werner et al., 2005). However, ownership concentration may indicate that stockholders are better capable </w:t>
      </w:r>
      <w:r w:rsidR="00251D60" w:rsidRPr="00BA06B6">
        <w:rPr>
          <w:rFonts w:asciiTheme="majorBidi" w:eastAsia="Times New Roman" w:hAnsiTheme="majorBidi" w:cstheme="majorBidi"/>
          <w:sz w:val="24"/>
          <w:szCs w:val="24"/>
          <w:lang w:eastAsia="en-GB"/>
        </w:rPr>
        <w:t>of protecting</w:t>
      </w:r>
      <w:r w:rsidR="00A01A07" w:rsidRPr="00BA06B6">
        <w:rPr>
          <w:rFonts w:asciiTheme="majorBidi" w:eastAsia="Times New Roman" w:hAnsiTheme="majorBidi" w:cstheme="majorBidi"/>
          <w:sz w:val="24"/>
          <w:szCs w:val="24"/>
          <w:lang w:eastAsia="en-GB"/>
        </w:rPr>
        <w:t xml:space="preserve"> their interests. </w:t>
      </w:r>
      <w:r w:rsidR="000150D5" w:rsidRPr="00BA06B6">
        <w:rPr>
          <w:rFonts w:asciiTheme="majorBidi" w:eastAsia="Times New Roman" w:hAnsiTheme="majorBidi" w:cstheme="majorBidi"/>
          <w:sz w:val="24"/>
          <w:szCs w:val="24"/>
          <w:lang w:eastAsia="en-GB"/>
        </w:rPr>
        <w:t>Thus,</w:t>
      </w:r>
      <w:r w:rsidR="00A01A07" w:rsidRPr="00BA06B6">
        <w:rPr>
          <w:rFonts w:asciiTheme="majorBidi" w:eastAsia="Times New Roman" w:hAnsiTheme="majorBidi" w:cstheme="majorBidi"/>
          <w:sz w:val="24"/>
          <w:szCs w:val="24"/>
          <w:lang w:eastAsia="en-GB"/>
        </w:rPr>
        <w:t xml:space="preserve"> large shareholders may improve risk disclosures, which may lead to improve</w:t>
      </w:r>
      <w:r w:rsidR="007256C3" w:rsidRPr="00BA06B6">
        <w:rPr>
          <w:rFonts w:asciiTheme="majorBidi" w:eastAsia="Times New Roman" w:hAnsiTheme="majorBidi" w:cstheme="majorBidi"/>
          <w:sz w:val="24"/>
          <w:szCs w:val="24"/>
          <w:lang w:eastAsia="en-GB"/>
        </w:rPr>
        <w:t>d</w:t>
      </w:r>
      <w:r w:rsidR="00A01A07" w:rsidRPr="00BA06B6">
        <w:rPr>
          <w:rFonts w:asciiTheme="majorBidi" w:eastAsia="Times New Roman" w:hAnsiTheme="majorBidi" w:cstheme="majorBidi"/>
          <w:sz w:val="24"/>
          <w:szCs w:val="24"/>
          <w:lang w:eastAsia="en-GB"/>
        </w:rPr>
        <w:t xml:space="preserve"> BCRs (</w:t>
      </w:r>
      <w:r w:rsidR="000150D5" w:rsidRPr="00BA06B6">
        <w:rPr>
          <w:rFonts w:asciiTheme="majorBidi" w:eastAsia="Times New Roman" w:hAnsiTheme="majorBidi" w:cstheme="majorBidi"/>
          <w:sz w:val="24"/>
          <w:szCs w:val="24"/>
          <w:lang w:eastAsia="en-GB"/>
        </w:rPr>
        <w:t>Barakat &amp; Hussainey, 2013; Al-</w:t>
      </w:r>
      <w:proofErr w:type="spellStart"/>
      <w:r w:rsidR="000150D5" w:rsidRPr="00BA06B6">
        <w:rPr>
          <w:rFonts w:asciiTheme="majorBidi" w:eastAsia="Times New Roman" w:hAnsiTheme="majorBidi" w:cstheme="majorBidi"/>
          <w:sz w:val="24"/>
          <w:szCs w:val="24"/>
          <w:lang w:eastAsia="en-GB"/>
        </w:rPr>
        <w:t>Hadi</w:t>
      </w:r>
      <w:proofErr w:type="spellEnd"/>
      <w:r w:rsidR="000150D5" w:rsidRPr="00BA06B6">
        <w:rPr>
          <w:rFonts w:asciiTheme="majorBidi" w:eastAsia="Times New Roman" w:hAnsiTheme="majorBidi" w:cstheme="majorBidi"/>
          <w:sz w:val="24"/>
          <w:szCs w:val="24"/>
          <w:lang w:eastAsia="en-GB"/>
        </w:rPr>
        <w:t xml:space="preserve"> et al., 2016; Al-</w:t>
      </w:r>
      <w:proofErr w:type="spellStart"/>
      <w:r w:rsidR="000150D5" w:rsidRPr="00BA06B6">
        <w:rPr>
          <w:rFonts w:asciiTheme="majorBidi" w:eastAsia="Times New Roman" w:hAnsiTheme="majorBidi" w:cstheme="majorBidi"/>
          <w:sz w:val="24"/>
          <w:szCs w:val="24"/>
          <w:lang w:eastAsia="en-GB"/>
        </w:rPr>
        <w:t>Maghzom</w:t>
      </w:r>
      <w:proofErr w:type="spellEnd"/>
      <w:r w:rsidR="000150D5" w:rsidRPr="00BA06B6">
        <w:rPr>
          <w:rFonts w:asciiTheme="majorBidi" w:eastAsia="Times New Roman" w:hAnsiTheme="majorBidi" w:cstheme="majorBidi"/>
          <w:sz w:val="24"/>
          <w:szCs w:val="24"/>
          <w:lang w:eastAsia="en-GB"/>
        </w:rPr>
        <w:t xml:space="preserve"> et al., 2016). </w:t>
      </w:r>
      <w:r w:rsidR="00A01A07" w:rsidRPr="00BA06B6">
        <w:rPr>
          <w:rFonts w:asciiTheme="majorBidi" w:eastAsia="Times New Roman" w:hAnsiTheme="majorBidi" w:cstheme="majorBidi"/>
          <w:sz w:val="24"/>
          <w:szCs w:val="24"/>
          <w:lang w:eastAsia="en-GB"/>
        </w:rPr>
        <w:t>However, the key owners’ interest, capability and motivation to employ supervision will decide the effectiveness of</w:t>
      </w:r>
      <w:r w:rsidR="007256C3" w:rsidRPr="00BA06B6">
        <w:rPr>
          <w:rFonts w:asciiTheme="majorBidi" w:eastAsia="Times New Roman" w:hAnsiTheme="majorBidi" w:cstheme="majorBidi"/>
          <w:sz w:val="24"/>
          <w:szCs w:val="24"/>
          <w:lang w:eastAsia="en-GB"/>
        </w:rPr>
        <w:t xml:space="preserve"> the extent of</w:t>
      </w:r>
      <w:r w:rsidR="00A01A07" w:rsidRPr="00BA06B6">
        <w:rPr>
          <w:rFonts w:asciiTheme="majorBidi" w:eastAsia="Times New Roman" w:hAnsiTheme="majorBidi" w:cstheme="majorBidi"/>
          <w:sz w:val="24"/>
          <w:szCs w:val="24"/>
          <w:lang w:eastAsia="en-GB"/>
        </w:rPr>
        <w:t xml:space="preserve"> </w:t>
      </w:r>
      <w:r w:rsidR="007256C3" w:rsidRPr="00BA06B6">
        <w:rPr>
          <w:rFonts w:asciiTheme="majorBidi" w:eastAsia="Times New Roman" w:hAnsiTheme="majorBidi" w:cstheme="majorBidi"/>
          <w:sz w:val="24"/>
          <w:szCs w:val="24"/>
          <w:lang w:eastAsia="en-GB"/>
        </w:rPr>
        <w:t xml:space="preserve">managerial </w:t>
      </w:r>
      <w:r w:rsidR="00A01A07" w:rsidRPr="00BA06B6">
        <w:rPr>
          <w:rFonts w:asciiTheme="majorBidi" w:eastAsia="Times New Roman" w:hAnsiTheme="majorBidi" w:cstheme="majorBidi"/>
          <w:sz w:val="24"/>
          <w:szCs w:val="24"/>
          <w:lang w:eastAsia="en-GB"/>
        </w:rPr>
        <w:t>monitoring (</w:t>
      </w:r>
      <w:r w:rsidR="000150D5" w:rsidRPr="00BA06B6">
        <w:rPr>
          <w:rFonts w:asciiTheme="majorBidi" w:eastAsia="Times New Roman" w:hAnsiTheme="majorBidi" w:cstheme="majorBidi"/>
          <w:sz w:val="24"/>
          <w:szCs w:val="24"/>
          <w:lang w:eastAsia="en-GB"/>
        </w:rPr>
        <w:t>Al-</w:t>
      </w:r>
      <w:proofErr w:type="spellStart"/>
      <w:r w:rsidR="000150D5" w:rsidRPr="00BA06B6">
        <w:rPr>
          <w:rFonts w:asciiTheme="majorBidi" w:eastAsia="Times New Roman" w:hAnsiTheme="majorBidi" w:cstheme="majorBidi"/>
          <w:sz w:val="24"/>
          <w:szCs w:val="24"/>
          <w:lang w:eastAsia="en-GB"/>
        </w:rPr>
        <w:t>Hadi</w:t>
      </w:r>
      <w:proofErr w:type="spellEnd"/>
      <w:r w:rsidR="000150D5" w:rsidRPr="00BA06B6">
        <w:rPr>
          <w:rFonts w:asciiTheme="majorBidi" w:eastAsia="Times New Roman" w:hAnsiTheme="majorBidi" w:cstheme="majorBidi"/>
          <w:sz w:val="24"/>
          <w:szCs w:val="24"/>
          <w:lang w:eastAsia="en-GB"/>
        </w:rPr>
        <w:t xml:space="preserve"> et al., 2016, 2017; </w:t>
      </w:r>
      <w:r w:rsidR="00A01A07" w:rsidRPr="00BA06B6">
        <w:rPr>
          <w:rFonts w:asciiTheme="majorBidi" w:eastAsia="Times New Roman" w:hAnsiTheme="majorBidi" w:cstheme="majorBidi"/>
          <w:sz w:val="24"/>
          <w:szCs w:val="24"/>
          <w:lang w:eastAsia="en-GB"/>
        </w:rPr>
        <w:t>Young et al., 2008</w:t>
      </w:r>
      <w:r w:rsidR="000150D5" w:rsidRPr="00BA06B6">
        <w:rPr>
          <w:rFonts w:asciiTheme="majorBidi" w:eastAsia="Times New Roman" w:hAnsiTheme="majorBidi" w:cstheme="majorBidi"/>
          <w:sz w:val="24"/>
          <w:szCs w:val="24"/>
          <w:lang w:eastAsia="en-GB"/>
        </w:rPr>
        <w:t>). There</w:t>
      </w:r>
      <w:r w:rsidRPr="00BA06B6">
        <w:rPr>
          <w:rFonts w:asciiTheme="majorBidi" w:eastAsia="Times New Roman" w:hAnsiTheme="majorBidi" w:cstheme="majorBidi"/>
          <w:sz w:val="24"/>
          <w:szCs w:val="24"/>
          <w:lang w:eastAsia="en-GB"/>
        </w:rPr>
        <w:t xml:space="preserve"> are a number of reasons for expecting that the influence of risk disclosures on BCRs may be weaker in government- and block-owned banks</w:t>
      </w:r>
      <w:r w:rsidR="000150D5" w:rsidRPr="00BA06B6">
        <w:rPr>
          <w:rFonts w:asciiTheme="majorBidi" w:eastAsia="Times New Roman" w:hAnsiTheme="majorBidi" w:cstheme="majorBidi"/>
          <w:sz w:val="24"/>
          <w:szCs w:val="24"/>
          <w:lang w:eastAsia="en-GB"/>
        </w:rPr>
        <w:t xml:space="preserve"> (Barakat &amp; Hussainey, 2013; Al-</w:t>
      </w:r>
      <w:proofErr w:type="spellStart"/>
      <w:r w:rsidR="000150D5" w:rsidRPr="00BA06B6">
        <w:rPr>
          <w:rFonts w:asciiTheme="majorBidi" w:eastAsia="Times New Roman" w:hAnsiTheme="majorBidi" w:cstheme="majorBidi"/>
          <w:sz w:val="24"/>
          <w:szCs w:val="24"/>
          <w:lang w:eastAsia="en-GB"/>
        </w:rPr>
        <w:t>Hadi</w:t>
      </w:r>
      <w:proofErr w:type="spellEnd"/>
      <w:r w:rsidR="000150D5" w:rsidRPr="00BA06B6">
        <w:rPr>
          <w:rFonts w:asciiTheme="majorBidi" w:eastAsia="Times New Roman" w:hAnsiTheme="majorBidi" w:cstheme="majorBidi"/>
          <w:sz w:val="24"/>
          <w:szCs w:val="24"/>
          <w:lang w:eastAsia="en-GB"/>
        </w:rPr>
        <w:t xml:space="preserve"> et al., 2016; Al-</w:t>
      </w:r>
      <w:proofErr w:type="spellStart"/>
      <w:r w:rsidR="000150D5" w:rsidRPr="00BA06B6">
        <w:rPr>
          <w:rFonts w:asciiTheme="majorBidi" w:eastAsia="Times New Roman" w:hAnsiTheme="majorBidi" w:cstheme="majorBidi"/>
          <w:sz w:val="24"/>
          <w:szCs w:val="24"/>
          <w:lang w:eastAsia="en-GB"/>
        </w:rPr>
        <w:t>Maghzom</w:t>
      </w:r>
      <w:proofErr w:type="spellEnd"/>
      <w:r w:rsidR="000150D5" w:rsidRPr="00BA06B6">
        <w:rPr>
          <w:rFonts w:asciiTheme="majorBidi" w:eastAsia="Times New Roman" w:hAnsiTheme="majorBidi" w:cstheme="majorBidi"/>
          <w:sz w:val="24"/>
          <w:szCs w:val="24"/>
          <w:lang w:eastAsia="en-GB"/>
        </w:rPr>
        <w:t xml:space="preserve"> et al., 2016)</w:t>
      </w:r>
      <w:r w:rsidRPr="00BA06B6">
        <w:rPr>
          <w:rFonts w:asciiTheme="majorBidi" w:eastAsia="Times New Roman" w:hAnsiTheme="majorBidi" w:cstheme="majorBidi"/>
          <w:sz w:val="24"/>
          <w:szCs w:val="24"/>
          <w:lang w:eastAsia="en-GB"/>
        </w:rPr>
        <w:t xml:space="preserve">. First, key shareholders are expected to have both the motivation to </w:t>
      </w:r>
      <w:r w:rsidRPr="00BA06B6">
        <w:rPr>
          <w:rFonts w:asciiTheme="majorBidi" w:eastAsia="Times New Roman" w:hAnsiTheme="majorBidi" w:cstheme="majorBidi"/>
          <w:sz w:val="24"/>
          <w:szCs w:val="24"/>
          <w:lang w:eastAsia="en-GB"/>
        </w:rPr>
        <w:lastRenderedPageBreak/>
        <w:t>monitor management’s behaviour and</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therefore, arguably reduced level of agency problems. However, extent of agency conflict may rather increase between key shareholders and minority shareholders</w:t>
      </w:r>
      <w:r w:rsidR="000150D5" w:rsidRPr="00BA06B6">
        <w:rPr>
          <w:rFonts w:asciiTheme="majorBidi" w:eastAsia="Times New Roman" w:hAnsiTheme="majorBidi" w:cstheme="majorBidi"/>
          <w:sz w:val="24"/>
          <w:szCs w:val="24"/>
          <w:lang w:eastAsia="en-GB"/>
        </w:rPr>
        <w:t xml:space="preserve"> (Barakat &amp; Hussainey, 2013; Al-</w:t>
      </w:r>
      <w:proofErr w:type="spellStart"/>
      <w:r w:rsidR="000150D5" w:rsidRPr="00BA06B6">
        <w:rPr>
          <w:rFonts w:asciiTheme="majorBidi" w:eastAsia="Times New Roman" w:hAnsiTheme="majorBidi" w:cstheme="majorBidi"/>
          <w:sz w:val="24"/>
          <w:szCs w:val="24"/>
          <w:lang w:eastAsia="en-GB"/>
        </w:rPr>
        <w:t>Hadi</w:t>
      </w:r>
      <w:proofErr w:type="spellEnd"/>
      <w:r w:rsidR="000150D5" w:rsidRPr="00BA06B6">
        <w:rPr>
          <w:rFonts w:asciiTheme="majorBidi" w:eastAsia="Times New Roman" w:hAnsiTheme="majorBidi" w:cstheme="majorBidi"/>
          <w:sz w:val="24"/>
          <w:szCs w:val="24"/>
          <w:lang w:eastAsia="en-GB"/>
        </w:rPr>
        <w:t xml:space="preserve"> et al., 2016; Al-</w:t>
      </w:r>
      <w:proofErr w:type="spellStart"/>
      <w:r w:rsidR="000150D5" w:rsidRPr="00BA06B6">
        <w:rPr>
          <w:rFonts w:asciiTheme="majorBidi" w:eastAsia="Times New Roman" w:hAnsiTheme="majorBidi" w:cstheme="majorBidi"/>
          <w:sz w:val="24"/>
          <w:szCs w:val="24"/>
          <w:lang w:eastAsia="en-GB"/>
        </w:rPr>
        <w:t>Maghzom</w:t>
      </w:r>
      <w:proofErr w:type="spellEnd"/>
      <w:r w:rsidR="000150D5" w:rsidRPr="00BA06B6">
        <w:rPr>
          <w:rFonts w:asciiTheme="majorBidi" w:eastAsia="Times New Roman" w:hAnsiTheme="majorBidi" w:cstheme="majorBidi"/>
          <w:sz w:val="24"/>
          <w:szCs w:val="24"/>
          <w:lang w:eastAsia="en-GB"/>
        </w:rPr>
        <w:t xml:space="preserve"> et al., 2016). </w:t>
      </w:r>
      <w:r w:rsidRPr="00BA06B6">
        <w:rPr>
          <w:rFonts w:asciiTheme="majorBidi" w:eastAsia="Times New Roman" w:hAnsiTheme="majorBidi" w:cstheme="majorBidi"/>
          <w:sz w:val="24"/>
          <w:szCs w:val="24"/>
          <w:lang w:eastAsia="en-GB"/>
        </w:rPr>
        <w:t xml:space="preserve"> For example, block owners may collude and connive with management with the aim of expropriating the wealth of minority shareholders, which may adversely affect the level of risk disclosures and BCRs (</w:t>
      </w:r>
      <w:r w:rsidR="000150D5" w:rsidRPr="00BA06B6">
        <w:rPr>
          <w:rFonts w:asciiTheme="majorBidi" w:eastAsia="Times New Roman" w:hAnsiTheme="majorBidi" w:cstheme="majorBidi"/>
          <w:sz w:val="24"/>
          <w:szCs w:val="24"/>
          <w:lang w:eastAsia="en-GB"/>
        </w:rPr>
        <w:t>Al-</w:t>
      </w:r>
      <w:proofErr w:type="spellStart"/>
      <w:r w:rsidR="000150D5" w:rsidRPr="00BA06B6">
        <w:rPr>
          <w:rFonts w:asciiTheme="majorBidi" w:eastAsia="Times New Roman" w:hAnsiTheme="majorBidi" w:cstheme="majorBidi"/>
          <w:sz w:val="24"/>
          <w:szCs w:val="24"/>
          <w:lang w:eastAsia="en-GB"/>
        </w:rPr>
        <w:t>Hadi</w:t>
      </w:r>
      <w:proofErr w:type="spellEnd"/>
      <w:r w:rsidR="000150D5" w:rsidRPr="00BA06B6">
        <w:rPr>
          <w:rFonts w:asciiTheme="majorBidi" w:eastAsia="Times New Roman" w:hAnsiTheme="majorBidi" w:cstheme="majorBidi"/>
          <w:sz w:val="24"/>
          <w:szCs w:val="24"/>
          <w:lang w:eastAsia="en-GB"/>
        </w:rPr>
        <w:t xml:space="preserve"> et al., 2016, 2017; </w:t>
      </w:r>
      <w:proofErr w:type="spellStart"/>
      <w:r w:rsidRPr="00BA06B6">
        <w:rPr>
          <w:rFonts w:asciiTheme="majorBidi" w:eastAsia="Times New Roman" w:hAnsiTheme="majorBidi" w:cstheme="majorBidi"/>
          <w:sz w:val="24"/>
          <w:szCs w:val="24"/>
          <w:lang w:eastAsia="en-GB"/>
        </w:rPr>
        <w:t>Fama</w:t>
      </w:r>
      <w:proofErr w:type="spellEnd"/>
      <w:r w:rsidRPr="00BA06B6">
        <w:rPr>
          <w:rFonts w:asciiTheme="majorBidi" w:eastAsia="Times New Roman" w:hAnsiTheme="majorBidi" w:cstheme="majorBidi"/>
          <w:sz w:val="24"/>
          <w:szCs w:val="24"/>
          <w:lang w:eastAsia="en-GB"/>
        </w:rPr>
        <w:t xml:space="preserve"> &amp; Jensen, 1983; Jensen &amp; </w:t>
      </w:r>
      <w:proofErr w:type="spellStart"/>
      <w:r w:rsidRPr="00BA06B6">
        <w:rPr>
          <w:rFonts w:asciiTheme="majorBidi" w:eastAsia="Times New Roman" w:hAnsiTheme="majorBidi" w:cstheme="majorBidi"/>
          <w:sz w:val="24"/>
          <w:szCs w:val="24"/>
          <w:lang w:eastAsia="en-GB"/>
        </w:rPr>
        <w:t>Meckling</w:t>
      </w:r>
      <w:proofErr w:type="spellEnd"/>
      <w:r w:rsidRPr="00BA06B6">
        <w:rPr>
          <w:rFonts w:asciiTheme="majorBidi" w:eastAsia="Times New Roman" w:hAnsiTheme="majorBidi" w:cstheme="majorBidi"/>
          <w:sz w:val="24"/>
          <w:szCs w:val="24"/>
          <w:lang w:eastAsia="en-GB"/>
        </w:rPr>
        <w:t xml:space="preserve">, 1976; Shleifer &amp; </w:t>
      </w:r>
      <w:proofErr w:type="spellStart"/>
      <w:r w:rsidRPr="00BA06B6">
        <w:rPr>
          <w:rFonts w:asciiTheme="majorBidi" w:eastAsia="Times New Roman" w:hAnsiTheme="majorBidi" w:cstheme="majorBidi"/>
          <w:sz w:val="24"/>
          <w:szCs w:val="24"/>
          <w:lang w:eastAsia="en-GB"/>
        </w:rPr>
        <w:t>Vishny</w:t>
      </w:r>
      <w:proofErr w:type="spellEnd"/>
      <w:r w:rsidRPr="00BA06B6">
        <w:rPr>
          <w:rFonts w:asciiTheme="majorBidi" w:eastAsia="Times New Roman" w:hAnsiTheme="majorBidi" w:cstheme="majorBidi"/>
          <w:sz w:val="24"/>
          <w:szCs w:val="24"/>
          <w:lang w:eastAsia="en-GB"/>
        </w:rPr>
        <w:t>, 1997). Second, the role of government or foreigners as major shareholders, especially in unstable economies with political stability, regulatory, and corruption problems may help in reducing agency conflicts, which can have a positive effect on the level of risk disclosures and BCRs (</w:t>
      </w:r>
      <w:r w:rsidR="000150D5" w:rsidRPr="00BA06B6">
        <w:rPr>
          <w:rFonts w:asciiTheme="majorBidi" w:eastAsia="Times New Roman" w:hAnsiTheme="majorBidi" w:cstheme="majorBidi"/>
          <w:sz w:val="24"/>
          <w:szCs w:val="24"/>
          <w:lang w:eastAsia="en-GB"/>
        </w:rPr>
        <w:t>Barakat &amp; Hussainey, 2013; Al-</w:t>
      </w:r>
      <w:proofErr w:type="spellStart"/>
      <w:r w:rsidR="000150D5" w:rsidRPr="00BA06B6">
        <w:rPr>
          <w:rFonts w:asciiTheme="majorBidi" w:eastAsia="Times New Roman" w:hAnsiTheme="majorBidi" w:cstheme="majorBidi"/>
          <w:sz w:val="24"/>
          <w:szCs w:val="24"/>
          <w:lang w:eastAsia="en-GB"/>
        </w:rPr>
        <w:t>Hadi</w:t>
      </w:r>
      <w:proofErr w:type="spellEnd"/>
      <w:r w:rsidR="000150D5" w:rsidRPr="00BA06B6">
        <w:rPr>
          <w:rFonts w:asciiTheme="majorBidi" w:eastAsia="Times New Roman" w:hAnsiTheme="majorBidi" w:cstheme="majorBidi"/>
          <w:sz w:val="24"/>
          <w:szCs w:val="24"/>
          <w:lang w:eastAsia="en-GB"/>
        </w:rPr>
        <w:t xml:space="preserve"> et al., 2016, 2017; Al-</w:t>
      </w:r>
      <w:proofErr w:type="spellStart"/>
      <w:r w:rsidR="000150D5" w:rsidRPr="00BA06B6">
        <w:rPr>
          <w:rFonts w:asciiTheme="majorBidi" w:eastAsia="Times New Roman" w:hAnsiTheme="majorBidi" w:cstheme="majorBidi"/>
          <w:sz w:val="24"/>
          <w:szCs w:val="24"/>
          <w:lang w:eastAsia="en-GB"/>
        </w:rPr>
        <w:t>Maghzom</w:t>
      </w:r>
      <w:proofErr w:type="spellEnd"/>
      <w:r w:rsidR="000150D5" w:rsidRPr="00BA06B6">
        <w:rPr>
          <w:rFonts w:asciiTheme="majorBidi" w:eastAsia="Times New Roman" w:hAnsiTheme="majorBidi" w:cstheme="majorBidi"/>
          <w:sz w:val="24"/>
          <w:szCs w:val="24"/>
          <w:lang w:eastAsia="en-GB"/>
        </w:rPr>
        <w:t xml:space="preserve"> et al., 2016; </w:t>
      </w:r>
      <w:proofErr w:type="spellStart"/>
      <w:r w:rsidRPr="00BA06B6">
        <w:rPr>
          <w:rFonts w:asciiTheme="majorBidi" w:eastAsia="Times New Roman" w:hAnsiTheme="majorBidi" w:cstheme="majorBidi"/>
          <w:sz w:val="24"/>
          <w:szCs w:val="24"/>
          <w:lang w:eastAsia="en-GB"/>
        </w:rPr>
        <w:t>Borisova</w:t>
      </w:r>
      <w:proofErr w:type="spellEnd"/>
      <w:r w:rsidRPr="00BA06B6">
        <w:rPr>
          <w:rFonts w:asciiTheme="majorBidi" w:eastAsia="Times New Roman" w:hAnsiTheme="majorBidi" w:cstheme="majorBidi"/>
          <w:sz w:val="24"/>
          <w:szCs w:val="24"/>
          <w:lang w:eastAsia="en-GB"/>
        </w:rPr>
        <w:t xml:space="preserve"> et al., 2015; Kaufmann et al., 2010; Shleifer &amp; </w:t>
      </w:r>
      <w:proofErr w:type="spellStart"/>
      <w:r w:rsidRPr="00BA06B6">
        <w:rPr>
          <w:rFonts w:asciiTheme="majorBidi" w:eastAsia="Times New Roman" w:hAnsiTheme="majorBidi" w:cstheme="majorBidi"/>
          <w:sz w:val="24"/>
          <w:szCs w:val="24"/>
          <w:lang w:eastAsia="en-GB"/>
        </w:rPr>
        <w:t>Vishny</w:t>
      </w:r>
      <w:proofErr w:type="spellEnd"/>
      <w:r w:rsidRPr="00BA06B6">
        <w:rPr>
          <w:rFonts w:asciiTheme="majorBidi" w:eastAsia="Times New Roman" w:hAnsiTheme="majorBidi" w:cstheme="majorBidi"/>
          <w:sz w:val="24"/>
          <w:szCs w:val="24"/>
          <w:lang w:eastAsia="en-GB"/>
        </w:rPr>
        <w:t xml:space="preserve">, 1997). </w:t>
      </w:r>
      <w:r w:rsidR="00A01A07" w:rsidRPr="00BA06B6">
        <w:rPr>
          <w:rFonts w:asciiTheme="majorBidi" w:eastAsia="Times New Roman" w:hAnsiTheme="majorBidi" w:cstheme="majorBidi"/>
          <w:sz w:val="24"/>
          <w:szCs w:val="24"/>
          <w:lang w:eastAsia="en-GB"/>
        </w:rPr>
        <w:t xml:space="preserve">Compared with Anglo-Saxon firms, the ownership structure of MENA banks is exceptionally concentrated, to the extent that there are nearly no banks with dispersed ownership (Amico, 2014; </w:t>
      </w:r>
      <w:r w:rsidR="000150D5" w:rsidRPr="00BA06B6">
        <w:rPr>
          <w:rFonts w:asciiTheme="majorBidi" w:eastAsia="Times New Roman" w:hAnsiTheme="majorBidi" w:cstheme="majorBidi"/>
          <w:sz w:val="24"/>
          <w:szCs w:val="24"/>
          <w:lang w:eastAsia="en-GB"/>
        </w:rPr>
        <w:t>Al-</w:t>
      </w:r>
      <w:proofErr w:type="spellStart"/>
      <w:r w:rsidR="000150D5" w:rsidRPr="00BA06B6">
        <w:rPr>
          <w:rFonts w:asciiTheme="majorBidi" w:eastAsia="Times New Roman" w:hAnsiTheme="majorBidi" w:cstheme="majorBidi"/>
          <w:sz w:val="24"/>
          <w:szCs w:val="24"/>
          <w:lang w:eastAsia="en-GB"/>
        </w:rPr>
        <w:t>Hadi</w:t>
      </w:r>
      <w:proofErr w:type="spellEnd"/>
      <w:r w:rsidR="000150D5" w:rsidRPr="00BA06B6">
        <w:rPr>
          <w:rFonts w:asciiTheme="majorBidi" w:eastAsia="Times New Roman" w:hAnsiTheme="majorBidi" w:cstheme="majorBidi"/>
          <w:sz w:val="24"/>
          <w:szCs w:val="24"/>
          <w:lang w:eastAsia="en-GB"/>
        </w:rPr>
        <w:t xml:space="preserve"> et al., 2016; Al-</w:t>
      </w:r>
      <w:proofErr w:type="spellStart"/>
      <w:r w:rsidR="000150D5" w:rsidRPr="00BA06B6">
        <w:rPr>
          <w:rFonts w:asciiTheme="majorBidi" w:eastAsia="Times New Roman" w:hAnsiTheme="majorBidi" w:cstheme="majorBidi"/>
          <w:sz w:val="24"/>
          <w:szCs w:val="24"/>
          <w:lang w:eastAsia="en-GB"/>
        </w:rPr>
        <w:t>Maghzom</w:t>
      </w:r>
      <w:proofErr w:type="spellEnd"/>
      <w:r w:rsidR="000150D5" w:rsidRPr="00BA06B6">
        <w:rPr>
          <w:rFonts w:asciiTheme="majorBidi" w:eastAsia="Times New Roman" w:hAnsiTheme="majorBidi" w:cstheme="majorBidi"/>
          <w:sz w:val="24"/>
          <w:szCs w:val="24"/>
          <w:lang w:eastAsia="en-GB"/>
        </w:rPr>
        <w:t xml:space="preserve"> et al., 2016</w:t>
      </w:r>
      <w:r w:rsidR="00A01A07" w:rsidRPr="00BA06B6">
        <w:rPr>
          <w:rFonts w:asciiTheme="majorBidi" w:eastAsia="Times New Roman" w:hAnsiTheme="majorBidi" w:cstheme="majorBidi"/>
          <w:sz w:val="24"/>
          <w:szCs w:val="24"/>
          <w:lang w:eastAsia="en-GB"/>
        </w:rPr>
        <w:t>). Therefore</w:t>
      </w:r>
      <w:r w:rsidRPr="00BA06B6">
        <w:rPr>
          <w:rFonts w:asciiTheme="majorBidi" w:eastAsia="Times New Roman" w:hAnsiTheme="majorBidi" w:cstheme="majorBidi"/>
          <w:sz w:val="24"/>
          <w:szCs w:val="24"/>
          <w:lang w:eastAsia="en-GB"/>
        </w:rPr>
        <w:t xml:space="preserve">, in such a context, we will expect ownership structure to also have a moderating effect on the relationship between risk disclosure and BCRs. </w:t>
      </w:r>
    </w:p>
    <w:p w14:paraId="0633CA43" w14:textId="77777777" w:rsidR="00AA068C" w:rsidRPr="00BA06B6" w:rsidRDefault="00AA068C" w:rsidP="00AA068C">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 xml:space="preserve">Meanwhile, prior studies examining the moderating effect of governance structures (board and ownership mechanisms) on the relationship between risk disclosures and BCRs are generally rare, but particularly acute in emerging countries, such as those in the MENA region. Therefore, our final hypothesis is that: </w:t>
      </w:r>
    </w:p>
    <w:p w14:paraId="0BE32AFC" w14:textId="77777777" w:rsidR="00AA068C" w:rsidRPr="00BA06B6" w:rsidRDefault="00AA068C" w:rsidP="00AA068C">
      <w:pPr>
        <w:spacing w:after="100" w:afterAutospacing="1" w:line="360" w:lineRule="auto"/>
        <w:ind w:firstLine="360"/>
        <w:jc w:val="both"/>
        <w:rPr>
          <w:rFonts w:asciiTheme="majorBidi" w:eastAsia="Times New Roman" w:hAnsiTheme="majorBidi" w:cstheme="majorBidi"/>
          <w:i/>
          <w:iCs/>
          <w:noProof/>
          <w:sz w:val="24"/>
          <w:szCs w:val="24"/>
          <w:lang w:eastAsia="en-GB"/>
        </w:rPr>
      </w:pPr>
      <w:r w:rsidRPr="00BA06B6">
        <w:rPr>
          <w:rFonts w:asciiTheme="majorBidi" w:eastAsia="Times New Roman" w:hAnsiTheme="majorBidi" w:cstheme="majorBidi"/>
          <w:b/>
          <w:bCs/>
          <w:i/>
          <w:iCs/>
          <w:noProof/>
          <w:sz w:val="24"/>
          <w:szCs w:val="24"/>
          <w:lang w:eastAsia="en-GB"/>
        </w:rPr>
        <w:t>H</w:t>
      </w:r>
      <w:r w:rsidRPr="00BA06B6">
        <w:rPr>
          <w:rFonts w:asciiTheme="majorBidi" w:eastAsia="Times New Roman" w:hAnsiTheme="majorBidi" w:cstheme="majorBidi"/>
          <w:b/>
          <w:bCs/>
          <w:i/>
          <w:iCs/>
          <w:noProof/>
          <w:sz w:val="24"/>
          <w:szCs w:val="24"/>
          <w:vertAlign w:val="subscript"/>
          <w:lang w:eastAsia="en-GB"/>
        </w:rPr>
        <w:t>2</w:t>
      </w:r>
      <w:r w:rsidRPr="00BA06B6">
        <w:rPr>
          <w:rFonts w:asciiTheme="majorBidi" w:eastAsia="Times New Roman" w:hAnsiTheme="majorBidi" w:cstheme="majorBidi"/>
          <w:noProof/>
          <w:sz w:val="24"/>
          <w:szCs w:val="24"/>
          <w:lang w:eastAsia="en-GB"/>
        </w:rPr>
        <w:t xml:space="preserve">: </w:t>
      </w:r>
      <w:r w:rsidRPr="00BA06B6">
        <w:rPr>
          <w:rFonts w:asciiTheme="majorBidi" w:eastAsia="Times New Roman" w:hAnsiTheme="majorBidi" w:cstheme="majorBidi"/>
          <w:i/>
          <w:iCs/>
          <w:sz w:val="24"/>
          <w:szCs w:val="24"/>
          <w:lang w:eastAsia="en-GB"/>
        </w:rPr>
        <w:t>governance structures (i.e., SSB, board size, CEO duality, gender diversity, BBID, block, governmental, and foreign ownership) moderate the relationship between risk disclosures and BCRs.</w:t>
      </w:r>
    </w:p>
    <w:p w14:paraId="24F4B354" w14:textId="77777777" w:rsidR="00AA068C" w:rsidRPr="00BA06B6" w:rsidRDefault="008F77A2" w:rsidP="00136CA0">
      <w:pPr>
        <w:keepNext/>
        <w:keepLines/>
        <w:tabs>
          <w:tab w:val="left" w:pos="0"/>
        </w:tabs>
        <w:spacing w:after="0" w:line="360" w:lineRule="auto"/>
        <w:contextualSpacing/>
        <w:jc w:val="both"/>
        <w:outlineLvl w:val="0"/>
        <w:rPr>
          <w:rFonts w:asciiTheme="majorBidi" w:eastAsia="Times New Roman" w:hAnsiTheme="majorBidi" w:cstheme="majorBidi"/>
          <w:b/>
          <w:bCs/>
          <w:sz w:val="24"/>
          <w:szCs w:val="24"/>
        </w:rPr>
      </w:pPr>
      <w:bookmarkStart w:id="25" w:name="_Toc453539604"/>
      <w:bookmarkStart w:id="26" w:name="_Toc453539720"/>
      <w:bookmarkStart w:id="27" w:name="_Toc457534124"/>
      <w:r w:rsidRPr="00BA06B6">
        <w:rPr>
          <w:rFonts w:asciiTheme="majorBidi" w:eastAsia="Times New Roman" w:hAnsiTheme="majorBidi" w:cstheme="majorBidi"/>
          <w:b/>
          <w:bCs/>
          <w:sz w:val="24"/>
          <w:szCs w:val="24"/>
        </w:rPr>
        <w:t xml:space="preserve"> </w:t>
      </w:r>
      <w:r w:rsidR="00136CA0" w:rsidRPr="00BA06B6">
        <w:rPr>
          <w:rFonts w:asciiTheme="majorBidi" w:eastAsia="Times New Roman" w:hAnsiTheme="majorBidi" w:cstheme="majorBidi"/>
          <w:b/>
          <w:bCs/>
          <w:sz w:val="24"/>
          <w:szCs w:val="24"/>
        </w:rPr>
        <w:t xml:space="preserve">4 </w:t>
      </w:r>
      <w:r w:rsidR="00AA068C" w:rsidRPr="00BA06B6">
        <w:rPr>
          <w:rFonts w:asciiTheme="majorBidi" w:eastAsia="Times New Roman" w:hAnsiTheme="majorBidi" w:cstheme="majorBidi"/>
          <w:b/>
          <w:bCs/>
          <w:sz w:val="24"/>
          <w:szCs w:val="24"/>
        </w:rPr>
        <w:t>|    RESEARCH DESIGN</w:t>
      </w:r>
      <w:bookmarkEnd w:id="25"/>
      <w:bookmarkEnd w:id="26"/>
      <w:bookmarkEnd w:id="27"/>
    </w:p>
    <w:p w14:paraId="5A9076AE" w14:textId="77777777" w:rsidR="00AA068C" w:rsidRPr="00BA06B6" w:rsidRDefault="008F77A2" w:rsidP="00AA068C">
      <w:pPr>
        <w:keepNext/>
        <w:keepLines/>
        <w:numPr>
          <w:ilvl w:val="0"/>
          <w:numId w:val="10"/>
        </w:numPr>
        <w:tabs>
          <w:tab w:val="left" w:pos="1418"/>
        </w:tabs>
        <w:spacing w:before="240" w:after="0" w:line="360" w:lineRule="auto"/>
        <w:ind w:left="426"/>
        <w:contextualSpacing/>
        <w:outlineLvl w:val="0"/>
        <w:rPr>
          <w:rFonts w:asciiTheme="majorBidi" w:eastAsia="Calibri" w:hAnsiTheme="majorBidi" w:cstheme="majorBidi"/>
          <w:b/>
          <w:bCs/>
          <w:sz w:val="24"/>
          <w:szCs w:val="24"/>
        </w:rPr>
      </w:pPr>
      <w:bookmarkStart w:id="28" w:name="_Toc453539605"/>
      <w:bookmarkStart w:id="29" w:name="_Toc453539721"/>
      <w:bookmarkStart w:id="30" w:name="_Toc457534125"/>
      <w:r w:rsidRPr="00BA06B6">
        <w:rPr>
          <w:rFonts w:asciiTheme="majorBidi" w:eastAsia="Calibri" w:hAnsiTheme="majorBidi" w:cstheme="majorBidi"/>
          <w:b/>
          <w:bCs/>
          <w:sz w:val="24"/>
          <w:szCs w:val="24"/>
        </w:rPr>
        <w:t xml:space="preserve"> </w:t>
      </w:r>
      <w:r w:rsidR="00AA068C" w:rsidRPr="00BA06B6">
        <w:rPr>
          <w:rFonts w:asciiTheme="majorBidi" w:eastAsia="Calibri" w:hAnsiTheme="majorBidi" w:cstheme="majorBidi"/>
          <w:b/>
          <w:bCs/>
          <w:sz w:val="24"/>
          <w:szCs w:val="24"/>
        </w:rPr>
        <w:t>|   Sample selection and data sources</w:t>
      </w:r>
      <w:bookmarkEnd w:id="28"/>
      <w:bookmarkEnd w:id="29"/>
      <w:bookmarkEnd w:id="30"/>
      <w:r w:rsidR="00AA068C" w:rsidRPr="00BA06B6">
        <w:rPr>
          <w:rFonts w:asciiTheme="majorBidi" w:eastAsia="Calibri" w:hAnsiTheme="majorBidi" w:cstheme="majorBidi"/>
          <w:b/>
          <w:bCs/>
          <w:sz w:val="24"/>
          <w:szCs w:val="24"/>
        </w:rPr>
        <w:t xml:space="preserve"> </w:t>
      </w:r>
    </w:p>
    <w:p w14:paraId="7325D0E4" w14:textId="77777777" w:rsidR="00AA068C" w:rsidRPr="00BA06B6" w:rsidRDefault="00AA068C" w:rsidP="00AA068C">
      <w:pPr>
        <w:spacing w:after="0" w:line="360" w:lineRule="auto"/>
        <w:jc w:val="both"/>
        <w:rPr>
          <w:rFonts w:asciiTheme="majorBidi" w:eastAsia="Times New Roman" w:hAnsiTheme="majorBidi" w:cstheme="majorBidi"/>
          <w:iCs/>
          <w:sz w:val="24"/>
          <w:szCs w:val="24"/>
          <w:lang w:eastAsia="en-GB"/>
        </w:rPr>
      </w:pPr>
      <w:bookmarkStart w:id="31" w:name="_Toc454034602"/>
      <w:r w:rsidRPr="00BA06B6">
        <w:rPr>
          <w:rFonts w:asciiTheme="majorBidi" w:eastAsia="Times New Roman" w:hAnsiTheme="majorBidi" w:cstheme="majorBidi"/>
          <w:noProof/>
          <w:sz w:val="24"/>
          <w:szCs w:val="24"/>
          <w:lang w:eastAsia="en-GB"/>
        </w:rPr>
        <w:t>The</w:t>
      </w:r>
      <w:r w:rsidRPr="00BA06B6">
        <w:rPr>
          <w:rFonts w:asciiTheme="majorBidi" w:eastAsia="Times New Roman" w:hAnsiTheme="majorBidi" w:cstheme="majorBidi"/>
          <w:sz w:val="24"/>
          <w:szCs w:val="24"/>
          <w:lang w:eastAsia="en-GB"/>
        </w:rPr>
        <w:t xml:space="preserve"> sample was selected from a total population of 118 listed commercial and Islamic banks in 12 MENA countries with full data over eight fiscal years (2006 to 2013). The banks (countries) were initially identified based on the </w:t>
      </w:r>
      <w:proofErr w:type="spellStart"/>
      <w:r w:rsidRPr="00BA06B6">
        <w:rPr>
          <w:rFonts w:asciiTheme="majorBidi" w:eastAsia="Times New Roman" w:hAnsiTheme="majorBidi" w:cstheme="majorBidi"/>
          <w:i/>
          <w:sz w:val="24"/>
          <w:szCs w:val="24"/>
          <w:lang w:eastAsia="en-GB"/>
        </w:rPr>
        <w:t>Bankscope</w:t>
      </w:r>
      <w:proofErr w:type="spellEnd"/>
      <w:r w:rsidRPr="00BA06B6">
        <w:rPr>
          <w:rFonts w:asciiTheme="majorBidi" w:eastAsia="Times New Roman" w:hAnsiTheme="majorBidi" w:cstheme="majorBidi"/>
          <w:sz w:val="24"/>
          <w:szCs w:val="24"/>
          <w:lang w:eastAsia="en-GB"/>
        </w:rPr>
        <w:t xml:space="preserve"> database, but due to the unavailability of some of the required data, the final sample consisted of 95 banks listed in 12 MENA stock exchanges, generating a total of 700 observations.</w:t>
      </w:r>
      <w:bookmarkEnd w:id="31"/>
      <w:r w:rsidRPr="00BA06B6">
        <w:rPr>
          <w:rFonts w:asciiTheme="majorBidi" w:eastAsia="Times New Roman" w:hAnsiTheme="majorBidi" w:cstheme="majorBidi"/>
          <w:sz w:val="24"/>
          <w:szCs w:val="24"/>
          <w:lang w:eastAsia="en-GB"/>
        </w:rPr>
        <w:t xml:space="preserve"> </w:t>
      </w:r>
    </w:p>
    <w:p w14:paraId="0CCBB94F" w14:textId="77777777" w:rsidR="00AA068C" w:rsidRPr="00BA06B6" w:rsidRDefault="00AA068C" w:rsidP="00AA068C">
      <w:pPr>
        <w:spacing w:after="0" w:line="240" w:lineRule="auto"/>
        <w:jc w:val="center"/>
        <w:rPr>
          <w:rFonts w:asciiTheme="majorBidi" w:eastAsia="Times New Roman" w:hAnsiTheme="majorBidi" w:cstheme="majorBidi"/>
          <w:sz w:val="24"/>
          <w:szCs w:val="24"/>
          <w:lang w:val="en-US" w:eastAsia="en-GB"/>
        </w:rPr>
      </w:pPr>
      <w:r w:rsidRPr="00BA06B6">
        <w:rPr>
          <w:rFonts w:asciiTheme="majorBidi" w:eastAsia="Times New Roman" w:hAnsiTheme="majorBidi" w:cstheme="majorBidi"/>
          <w:sz w:val="24"/>
          <w:szCs w:val="24"/>
          <w:lang w:val="en-US" w:eastAsia="en-GB"/>
        </w:rPr>
        <w:t>Insert Table 2 about here</w:t>
      </w:r>
    </w:p>
    <w:p w14:paraId="23713A61" w14:textId="77777777" w:rsidR="00A1373D" w:rsidRPr="00BA06B6" w:rsidRDefault="00A1373D" w:rsidP="00A1373D">
      <w:pPr>
        <w:spacing w:after="0" w:line="360" w:lineRule="auto"/>
        <w:ind w:firstLine="425"/>
        <w:jc w:val="both"/>
        <w:rPr>
          <w:rFonts w:asciiTheme="majorBidi" w:eastAsia="Times New Roman" w:hAnsiTheme="majorBidi" w:cstheme="majorBidi"/>
          <w:noProof/>
          <w:sz w:val="24"/>
          <w:szCs w:val="24"/>
          <w:lang w:eastAsia="en-GB"/>
        </w:rPr>
      </w:pPr>
      <w:bookmarkStart w:id="32" w:name="_Toc454034715"/>
    </w:p>
    <w:p w14:paraId="7E90D68D" w14:textId="1DECE09A" w:rsidR="00AA068C" w:rsidRPr="00BA06B6" w:rsidRDefault="00AA068C" w:rsidP="00A1373D">
      <w:pPr>
        <w:spacing w:after="0" w:line="360" w:lineRule="auto"/>
        <w:ind w:firstLine="425"/>
        <w:jc w:val="both"/>
        <w:rPr>
          <w:rFonts w:asciiTheme="majorBidi" w:eastAsia="Times New Roman" w:hAnsiTheme="majorBidi" w:cstheme="majorBidi"/>
          <w:iCs/>
          <w:sz w:val="24"/>
          <w:szCs w:val="24"/>
          <w:lang w:eastAsia="en-GB"/>
        </w:rPr>
      </w:pPr>
      <w:r w:rsidRPr="00BA06B6">
        <w:rPr>
          <w:rFonts w:asciiTheme="majorBidi" w:eastAsia="Times New Roman" w:hAnsiTheme="majorBidi" w:cstheme="majorBidi"/>
          <w:noProof/>
          <w:sz w:val="24"/>
          <w:szCs w:val="24"/>
          <w:lang w:eastAsia="en-GB"/>
        </w:rPr>
        <w:lastRenderedPageBreak/>
        <w:t>The</w:t>
      </w:r>
      <w:r w:rsidRPr="00BA06B6">
        <w:rPr>
          <w:rFonts w:asciiTheme="majorBidi" w:eastAsia="Times New Roman" w:hAnsiTheme="majorBidi" w:cstheme="majorBidi"/>
          <w:iCs/>
          <w:sz w:val="24"/>
          <w:szCs w:val="24"/>
          <w:lang w:eastAsia="en-GB"/>
        </w:rPr>
        <w:t xml:space="preserve"> study </w:t>
      </w:r>
      <w:r w:rsidRPr="00BA06B6">
        <w:rPr>
          <w:rFonts w:asciiTheme="majorBidi" w:eastAsia="Times New Roman" w:hAnsiTheme="majorBidi" w:cstheme="majorBidi"/>
          <w:sz w:val="24"/>
          <w:szCs w:val="24"/>
          <w:lang w:eastAsia="en-GB"/>
        </w:rPr>
        <w:t>covers</w:t>
      </w:r>
      <w:r w:rsidRPr="00BA06B6">
        <w:rPr>
          <w:rFonts w:asciiTheme="majorBidi" w:eastAsia="Times New Roman" w:hAnsiTheme="majorBidi" w:cstheme="majorBidi"/>
          <w:iCs/>
          <w:sz w:val="24"/>
          <w:szCs w:val="24"/>
          <w:lang w:eastAsia="en-GB"/>
        </w:rPr>
        <w:t xml:space="preserve"> these eight fiscal years as they represent the most recent years for which data was available for the sampled banks.</w:t>
      </w:r>
      <w:r w:rsidR="00356CAF" w:rsidRPr="00BA06B6">
        <w:rPr>
          <w:rFonts w:asciiTheme="majorBidi" w:eastAsia="Times New Roman" w:hAnsiTheme="majorBidi" w:cstheme="majorBidi"/>
          <w:iCs/>
          <w:sz w:val="24"/>
          <w:szCs w:val="24"/>
          <w:lang w:eastAsia="en-GB"/>
        </w:rPr>
        <w:t xml:space="preserve"> We begin with 2006 as the Basel accord became applicable in the MENA region from mid-2005. Also, data is not available for a majority of our sample prior to </w:t>
      </w:r>
      <w:r w:rsidR="00251D60" w:rsidRPr="00BA06B6">
        <w:rPr>
          <w:rFonts w:asciiTheme="majorBidi" w:eastAsia="Times New Roman" w:hAnsiTheme="majorBidi" w:cstheme="majorBidi"/>
          <w:iCs/>
          <w:sz w:val="24"/>
          <w:szCs w:val="24"/>
          <w:lang w:eastAsia="en-GB"/>
        </w:rPr>
        <w:t xml:space="preserve">the </w:t>
      </w:r>
      <w:r w:rsidR="00356CAF" w:rsidRPr="00BA06B6">
        <w:rPr>
          <w:rFonts w:asciiTheme="majorBidi" w:eastAsia="Times New Roman" w:hAnsiTheme="majorBidi" w:cstheme="majorBidi"/>
          <w:iCs/>
          <w:sz w:val="24"/>
          <w:szCs w:val="24"/>
          <w:lang w:eastAsia="en-GB"/>
        </w:rPr>
        <w:t>year 2006.</w:t>
      </w:r>
      <w:r w:rsidRPr="00BA06B6">
        <w:rPr>
          <w:rFonts w:asciiTheme="majorBidi" w:eastAsia="Times New Roman" w:hAnsiTheme="majorBidi" w:cstheme="majorBidi"/>
          <w:iCs/>
          <w:sz w:val="24"/>
          <w:szCs w:val="24"/>
          <w:lang w:eastAsia="en-GB"/>
        </w:rPr>
        <w:t xml:space="preserve"> Noticeably, the sample timeframe spans over the pre-, during, and post-2007/08 financial crisis periods. A detailed sample construction procedure is presented in </w:t>
      </w:r>
      <w:hyperlink w:anchor="Table2" w:history="1">
        <w:r w:rsidRPr="00BA06B6">
          <w:rPr>
            <w:rFonts w:asciiTheme="majorBidi" w:eastAsia="Times New Roman" w:hAnsiTheme="majorBidi" w:cstheme="majorBidi"/>
            <w:iCs/>
            <w:sz w:val="24"/>
            <w:szCs w:val="24"/>
            <w:lang w:eastAsia="en-GB"/>
          </w:rPr>
          <w:t>Table 2</w:t>
        </w:r>
      </w:hyperlink>
      <w:r w:rsidRPr="00BA06B6">
        <w:rPr>
          <w:rFonts w:asciiTheme="majorBidi" w:eastAsia="Times New Roman" w:hAnsiTheme="majorBidi" w:cstheme="majorBidi"/>
          <w:iCs/>
          <w:sz w:val="24"/>
          <w:szCs w:val="24"/>
          <w:lang w:eastAsia="en-GB"/>
        </w:rPr>
        <w:t xml:space="preserve">. </w:t>
      </w:r>
      <w:r w:rsidRPr="00BA06B6">
        <w:rPr>
          <w:rFonts w:asciiTheme="majorBidi" w:eastAsia="Times New Roman" w:hAnsiTheme="majorBidi" w:cstheme="majorBidi"/>
          <w:sz w:val="24"/>
          <w:szCs w:val="24"/>
          <w:lang w:eastAsia="en-GB"/>
        </w:rPr>
        <w:t xml:space="preserve">Risk disclosures and corporate governance data were collected from banks’ annual reports, which were downloaded from the </w:t>
      </w:r>
      <w:r w:rsidRPr="00BA06B6">
        <w:rPr>
          <w:rFonts w:asciiTheme="majorBidi" w:eastAsia="Times New Roman" w:hAnsiTheme="majorBidi" w:cstheme="majorBidi"/>
          <w:i/>
          <w:sz w:val="24"/>
          <w:szCs w:val="24"/>
          <w:lang w:eastAsia="en-GB"/>
        </w:rPr>
        <w:t xml:space="preserve">Perfect Information </w:t>
      </w:r>
      <w:r w:rsidRPr="00BA06B6">
        <w:rPr>
          <w:rFonts w:asciiTheme="majorBidi" w:eastAsia="Times New Roman" w:hAnsiTheme="majorBidi" w:cstheme="majorBidi"/>
          <w:sz w:val="24"/>
          <w:szCs w:val="24"/>
          <w:lang w:eastAsia="en-GB"/>
        </w:rPr>
        <w:t xml:space="preserve">database or from the banks’ own websites. Finally, financial data was collected from annual reports, as well as the </w:t>
      </w:r>
      <w:proofErr w:type="spellStart"/>
      <w:r w:rsidRPr="00BA06B6">
        <w:rPr>
          <w:rFonts w:asciiTheme="majorBidi" w:eastAsia="Times New Roman" w:hAnsiTheme="majorBidi" w:cstheme="majorBidi"/>
          <w:i/>
          <w:sz w:val="24"/>
          <w:szCs w:val="24"/>
          <w:lang w:eastAsia="en-GB"/>
        </w:rPr>
        <w:t>Bankscope</w:t>
      </w:r>
      <w:proofErr w:type="spellEnd"/>
      <w:r w:rsidRPr="00BA06B6">
        <w:rPr>
          <w:rFonts w:asciiTheme="majorBidi" w:eastAsia="Times New Roman" w:hAnsiTheme="majorBidi" w:cstheme="majorBidi"/>
          <w:i/>
          <w:sz w:val="24"/>
          <w:szCs w:val="24"/>
          <w:lang w:eastAsia="en-GB"/>
        </w:rPr>
        <w:t xml:space="preserve"> database. </w:t>
      </w:r>
      <w:r w:rsidRPr="00BA06B6">
        <w:rPr>
          <w:rFonts w:asciiTheme="majorBidi" w:eastAsia="Times New Roman" w:hAnsiTheme="majorBidi" w:cstheme="majorBidi"/>
          <w:sz w:val="24"/>
          <w:szCs w:val="24"/>
          <w:lang w:eastAsia="en-GB"/>
        </w:rPr>
        <w:t xml:space="preserve">Country-level macroeconomic and governance data was collected from the </w:t>
      </w:r>
      <w:r w:rsidRPr="00BA06B6">
        <w:rPr>
          <w:rFonts w:asciiTheme="majorBidi" w:eastAsia="Times New Roman" w:hAnsiTheme="majorBidi" w:cstheme="majorBidi"/>
          <w:i/>
          <w:sz w:val="24"/>
          <w:szCs w:val="24"/>
          <w:lang w:eastAsia="en-GB"/>
        </w:rPr>
        <w:t xml:space="preserve">World Bank </w:t>
      </w:r>
      <w:bookmarkStart w:id="33" w:name="_Toc454034716"/>
      <w:bookmarkEnd w:id="32"/>
      <w:r w:rsidRPr="00BA06B6">
        <w:rPr>
          <w:rFonts w:asciiTheme="majorBidi" w:eastAsia="Times New Roman" w:hAnsiTheme="majorBidi" w:cstheme="majorBidi"/>
          <w:i/>
          <w:sz w:val="24"/>
          <w:szCs w:val="24"/>
          <w:lang w:eastAsia="en-GB"/>
        </w:rPr>
        <w:t>database.</w:t>
      </w:r>
      <w:r w:rsidRPr="00BA06B6">
        <w:rPr>
          <w:rFonts w:asciiTheme="majorBidi" w:eastAsia="Times New Roman" w:hAnsiTheme="majorBidi" w:cstheme="majorBidi"/>
          <w:noProof/>
          <w:sz w:val="24"/>
          <w:szCs w:val="24"/>
          <w:lang w:eastAsia="en-GB"/>
        </w:rPr>
        <w:t xml:space="preserve"> </w:t>
      </w:r>
      <w:bookmarkEnd w:id="33"/>
    </w:p>
    <w:p w14:paraId="1583CAAC" w14:textId="77777777" w:rsidR="00AA068C" w:rsidRPr="00BA06B6" w:rsidRDefault="008F77A2" w:rsidP="00AA068C">
      <w:pPr>
        <w:keepNext/>
        <w:keepLines/>
        <w:numPr>
          <w:ilvl w:val="0"/>
          <w:numId w:val="10"/>
        </w:numPr>
        <w:tabs>
          <w:tab w:val="left" w:pos="1418"/>
        </w:tabs>
        <w:spacing w:before="240" w:after="0" w:line="360" w:lineRule="auto"/>
        <w:ind w:left="426"/>
        <w:contextualSpacing/>
        <w:outlineLvl w:val="0"/>
        <w:rPr>
          <w:rFonts w:asciiTheme="majorBidi" w:eastAsia="Calibri" w:hAnsiTheme="majorBidi" w:cstheme="majorBidi"/>
          <w:b/>
          <w:bCs/>
          <w:sz w:val="24"/>
          <w:szCs w:val="24"/>
        </w:rPr>
      </w:pPr>
      <w:bookmarkStart w:id="34" w:name="_Toc453539606"/>
      <w:bookmarkStart w:id="35" w:name="_Toc453539722"/>
      <w:bookmarkStart w:id="36" w:name="_Toc457534126"/>
      <w:r w:rsidRPr="00BA06B6">
        <w:rPr>
          <w:rFonts w:asciiTheme="majorBidi" w:eastAsia="Calibri" w:hAnsiTheme="majorBidi" w:cstheme="majorBidi"/>
          <w:b/>
          <w:bCs/>
          <w:sz w:val="24"/>
          <w:szCs w:val="24"/>
        </w:rPr>
        <w:t xml:space="preserve"> </w:t>
      </w:r>
      <w:r w:rsidR="00AA068C" w:rsidRPr="00BA06B6">
        <w:rPr>
          <w:rFonts w:asciiTheme="majorBidi" w:eastAsia="Calibri" w:hAnsiTheme="majorBidi" w:cstheme="majorBidi"/>
          <w:b/>
          <w:bCs/>
          <w:sz w:val="24"/>
          <w:szCs w:val="24"/>
        </w:rPr>
        <w:t>|   Variables definition</w:t>
      </w:r>
      <w:bookmarkEnd w:id="34"/>
      <w:bookmarkEnd w:id="35"/>
      <w:bookmarkEnd w:id="36"/>
      <w:r w:rsidR="00AA068C" w:rsidRPr="00BA06B6">
        <w:rPr>
          <w:rFonts w:asciiTheme="majorBidi" w:eastAsia="Calibri" w:hAnsiTheme="majorBidi" w:cstheme="majorBidi"/>
          <w:b/>
          <w:bCs/>
          <w:sz w:val="24"/>
          <w:szCs w:val="24"/>
        </w:rPr>
        <w:t xml:space="preserve"> and model specification</w:t>
      </w:r>
    </w:p>
    <w:p w14:paraId="7C02EE3D" w14:textId="504E15CA" w:rsidR="00AA068C" w:rsidRPr="00BA06B6" w:rsidRDefault="00AA068C" w:rsidP="00A1373D">
      <w:pPr>
        <w:spacing w:after="0" w:line="360" w:lineRule="auto"/>
        <w:jc w:val="both"/>
        <w:rPr>
          <w:rFonts w:asciiTheme="majorBidi" w:eastAsia="Times New Roman" w:hAnsiTheme="majorBidi" w:cstheme="majorBidi"/>
          <w:iCs/>
          <w:sz w:val="24"/>
          <w:szCs w:val="24"/>
          <w:lang w:eastAsia="en-GB"/>
        </w:rPr>
      </w:pPr>
      <w:bookmarkStart w:id="37" w:name="_Toc454034717"/>
      <w:r w:rsidRPr="00BA06B6">
        <w:rPr>
          <w:rFonts w:asciiTheme="majorBidi" w:eastAsia="Times New Roman" w:hAnsiTheme="majorBidi" w:cstheme="majorBidi"/>
          <w:sz w:val="24"/>
          <w:szCs w:val="24"/>
          <w:lang w:eastAsia="en-GB"/>
        </w:rPr>
        <w:t xml:space="preserve">We classify the variables into six main categories as </w:t>
      </w:r>
      <w:r w:rsidRPr="00BA06B6">
        <w:rPr>
          <w:rFonts w:asciiTheme="majorBidi" w:eastAsia="Times New Roman" w:hAnsiTheme="majorBidi" w:cstheme="majorBidi"/>
          <w:iCs/>
          <w:sz w:val="24"/>
          <w:szCs w:val="24"/>
          <w:lang w:eastAsia="en-GB"/>
        </w:rPr>
        <w:t xml:space="preserve">described in </w:t>
      </w:r>
      <w:hyperlink w:anchor="Table3" w:history="1">
        <w:r w:rsidRPr="00BA06B6">
          <w:rPr>
            <w:rFonts w:asciiTheme="majorBidi" w:eastAsia="Times New Roman" w:hAnsiTheme="majorBidi" w:cstheme="majorBidi"/>
            <w:iCs/>
            <w:sz w:val="24"/>
            <w:szCs w:val="24"/>
            <w:lang w:eastAsia="en-GB"/>
          </w:rPr>
          <w:t>Table 3</w:t>
        </w:r>
      </w:hyperlink>
      <w:r w:rsidRPr="00BA06B6">
        <w:rPr>
          <w:rFonts w:asciiTheme="majorBidi" w:eastAsia="Times New Roman" w:hAnsiTheme="majorBidi" w:cstheme="majorBidi"/>
          <w:iCs/>
          <w:sz w:val="24"/>
          <w:szCs w:val="24"/>
          <w:lang w:eastAsia="en-GB"/>
        </w:rPr>
        <w:t xml:space="preserve">, which provides </w:t>
      </w:r>
      <w:r w:rsidRPr="00BA06B6">
        <w:rPr>
          <w:rFonts w:asciiTheme="majorBidi" w:eastAsia="Times New Roman" w:hAnsiTheme="majorBidi" w:cstheme="majorBidi"/>
          <w:sz w:val="24"/>
          <w:szCs w:val="24"/>
          <w:lang w:eastAsia="en-GB"/>
        </w:rPr>
        <w:t xml:space="preserve">full definition of </w:t>
      </w:r>
      <w:r w:rsidRPr="00BA06B6">
        <w:rPr>
          <w:rFonts w:asciiTheme="majorBidi" w:eastAsia="Times New Roman" w:hAnsiTheme="majorBidi" w:cstheme="majorBidi"/>
          <w:noProof/>
          <w:sz w:val="24"/>
          <w:szCs w:val="24"/>
          <w:lang w:eastAsia="en-GB"/>
        </w:rPr>
        <w:t>all</w:t>
      </w:r>
      <w:r w:rsidRPr="00BA06B6">
        <w:rPr>
          <w:rFonts w:asciiTheme="majorBidi" w:eastAsia="Times New Roman" w:hAnsiTheme="majorBidi" w:cstheme="majorBidi"/>
          <w:sz w:val="24"/>
          <w:szCs w:val="24"/>
          <w:lang w:eastAsia="en-GB"/>
        </w:rPr>
        <w:t xml:space="preserve"> of the variables employed in the study. </w:t>
      </w:r>
      <w:r w:rsidRPr="00BA06B6">
        <w:rPr>
          <w:rFonts w:asciiTheme="majorBidi" w:eastAsia="Times New Roman" w:hAnsiTheme="majorBidi" w:cstheme="majorBidi"/>
          <w:iCs/>
          <w:sz w:val="24"/>
          <w:szCs w:val="24"/>
          <w:lang w:eastAsia="en-GB"/>
        </w:rPr>
        <w:t>Firstly</w:t>
      </w:r>
      <w:r w:rsidRPr="00BA06B6">
        <w:rPr>
          <w:rFonts w:asciiTheme="majorBidi" w:eastAsia="Times New Roman" w:hAnsiTheme="majorBidi" w:cstheme="majorBidi"/>
          <w:sz w:val="24"/>
          <w:szCs w:val="24"/>
          <w:lang w:eastAsia="en-GB"/>
        </w:rPr>
        <w:t xml:space="preserve">, following past studies (e.g., </w:t>
      </w:r>
      <w:hyperlink w:anchor="_ENREF_14" w:tooltip="Ashbaugh-Skaife, 2006 #295" w:history="1">
        <w:r w:rsidRPr="00BA06B6">
          <w:rPr>
            <w:rFonts w:asciiTheme="majorBidi" w:eastAsia="Times New Roman" w:hAnsiTheme="majorBidi" w:cstheme="majorBidi"/>
            <w:sz w:val="24"/>
            <w:szCs w:val="24"/>
            <w:lang w:eastAsia="en-GB"/>
          </w:rPr>
          <w:fldChar w:fldCharType="begin"/>
        </w:r>
        <w:r w:rsidRPr="00BA06B6">
          <w:rPr>
            <w:rFonts w:asciiTheme="majorBidi" w:eastAsia="Times New Roman" w:hAnsiTheme="majorBidi" w:cstheme="majorBidi"/>
            <w:sz w:val="24"/>
            <w:szCs w:val="24"/>
            <w:lang w:eastAsia="en-GB"/>
          </w:rPr>
          <w:instrText xml:space="preserve"> ADDIN EN.CITE &lt;EndNote&gt;&lt;Cite AuthorYear="1"&gt;&lt;Author&gt;Ashbaugh-Skaife&lt;/Author&gt;&lt;Year&gt;2006&lt;/Year&gt;&lt;RecNum&gt;295&lt;/RecNum&gt;&lt;DisplayText&gt;Ashbaugh-Skaife et al. (2006)&lt;/DisplayText&gt;&lt;record&gt;&lt;rec-number&gt;295&lt;/rec-number&gt;&lt;foreign-keys&gt;&lt;key app="EN" db-id="2dxffaaevppfp1e50wgpfxs8pwda290z0az0" timestamp="1441186037"&gt;295&lt;/key&gt;&lt;/foreign-keys&gt;&lt;ref-type name="Journal Article"&gt;17&lt;/ref-type&gt;&lt;contributors&gt;&lt;authors&gt;&lt;author&gt;Ashbaugh-Skaife, Hollis&lt;/author&gt;&lt;author&gt;Collins, Daniel W&lt;/author&gt;&lt;author&gt;LaFond, Ryan&lt;/author&gt;&lt;/authors&gt;&lt;/contributors&gt;&lt;titles&gt;&lt;title&gt;The effects of corporate governance on firms’ credit ratings&lt;/title&gt;&lt;secondary-title&gt;Journal of accounting and economics&lt;/secondary-title&gt;&lt;/titles&gt;&lt;periodical&gt;&lt;full-title&gt;Journal of Accounting and Economics&lt;/full-title&gt;&lt;/periodical&gt;&lt;pages&gt;203-243&lt;/pages&gt;&lt;volume&gt;42&lt;/volume&gt;&lt;number&gt;1&lt;/number&gt;&lt;dates&gt;&lt;year&gt;2006&lt;/year&gt;&lt;/dates&gt;&lt;isbn&gt;0165-4101&lt;/isbn&gt;&lt;urls&gt;&lt;/urls&gt;&lt;/record&gt;&lt;/Cite&gt;&lt;/EndNote&gt;</w:instrText>
        </w:r>
        <w:r w:rsidRPr="00BA06B6">
          <w:rPr>
            <w:rFonts w:asciiTheme="majorBidi" w:eastAsia="Times New Roman" w:hAnsiTheme="majorBidi" w:cstheme="majorBidi"/>
            <w:sz w:val="24"/>
            <w:szCs w:val="24"/>
            <w:lang w:eastAsia="en-GB"/>
          </w:rPr>
          <w:fldChar w:fldCharType="separate"/>
        </w:r>
        <w:r w:rsidRPr="00BA06B6">
          <w:rPr>
            <w:rFonts w:asciiTheme="majorBidi" w:eastAsia="Times New Roman" w:hAnsiTheme="majorBidi" w:cstheme="majorBidi"/>
            <w:noProof/>
            <w:sz w:val="24"/>
            <w:szCs w:val="24"/>
            <w:lang w:eastAsia="en-GB"/>
          </w:rPr>
          <w:t xml:space="preserve">Ashbaugh-Skaife et al., 2006; </w:t>
        </w:r>
        <w:r w:rsidRPr="00BA06B6">
          <w:rPr>
            <w:rFonts w:asciiTheme="majorBidi" w:eastAsia="Times New Roman" w:hAnsiTheme="majorBidi" w:cstheme="majorBidi"/>
            <w:sz w:val="24"/>
            <w:szCs w:val="24"/>
            <w:lang w:eastAsia="en-GB"/>
          </w:rPr>
          <w:fldChar w:fldCharType="end"/>
        </w:r>
      </w:hyperlink>
      <w:hyperlink w:anchor="_ENREF_67" w:tooltip="Grassa, 2015 #120" w:history="1">
        <w:r w:rsidRPr="00BA06B6">
          <w:rPr>
            <w:rFonts w:asciiTheme="majorBidi" w:eastAsia="Times New Roman" w:hAnsiTheme="majorBidi" w:cstheme="majorBidi"/>
            <w:sz w:val="24"/>
            <w:szCs w:val="24"/>
            <w:lang w:eastAsia="en-GB"/>
          </w:rPr>
          <w:fldChar w:fldCharType="begin"/>
        </w:r>
        <w:r w:rsidRPr="00BA06B6">
          <w:rPr>
            <w:rFonts w:asciiTheme="majorBidi" w:eastAsia="Times New Roman" w:hAnsiTheme="majorBidi" w:cstheme="majorBidi"/>
            <w:sz w:val="24"/>
            <w:szCs w:val="24"/>
            <w:lang w:eastAsia="en-GB"/>
          </w:rPr>
          <w:instrText xml:space="preserve"> ADDIN EN.CITE &lt;EndNote&gt;&lt;Cite AuthorYear="1"&gt;&lt;Author&gt;Grassa&lt;/Author&gt;&lt;Year&gt;2015&lt;/Year&gt;&lt;RecNum&gt;120&lt;/RecNum&gt;&lt;DisplayText&gt;Grassa (2015)&lt;/DisplayText&gt;&lt;record&gt;&lt;rec-number&gt;120&lt;/rec-number&gt;&lt;foreign-keys&gt;&lt;key app="EN" db-id="2dxffaaevppfp1e50wgpfxs8pwda290z0az0" timestamp="1441185858"&gt;120&lt;/key&gt;&lt;/foreign-keys&gt;&lt;ref-type name="Journal Article"&gt;17&lt;/ref-type&gt;&lt;contributors&gt;&lt;authors&gt;&lt;author&gt;Grassa, Rihab&lt;/author&gt;&lt;/authors&gt;&lt;/contributors&gt;&lt;titles&gt;&lt;title&gt;Corporate governance and credit rating in Islamic banks: Does Shariah governance matters?&lt;/title&gt;&lt;secondary-title&gt;Journal of Management &amp;amp; Governance&lt;/secondary-title&gt;&lt;/titles&gt;&lt;periodical&gt;&lt;full-title&gt;Journal of Management &amp;amp; Governance&lt;/full-title&gt;&lt;/periodical&gt;&lt;pages&gt;1-32&lt;/pages&gt;&lt;dates&gt;&lt;year&gt;2015&lt;/year&gt;&lt;/dates&gt;&lt;isbn&gt;1385-3457&lt;/isbn&gt;&lt;urls&gt;&lt;/urls&gt;&lt;/record&gt;&lt;/Cite&gt;&lt;/EndNote&gt;</w:instrText>
        </w:r>
        <w:r w:rsidRPr="00BA06B6">
          <w:rPr>
            <w:rFonts w:asciiTheme="majorBidi" w:eastAsia="Times New Roman" w:hAnsiTheme="majorBidi" w:cstheme="majorBidi"/>
            <w:sz w:val="24"/>
            <w:szCs w:val="24"/>
            <w:lang w:eastAsia="en-GB"/>
          </w:rPr>
          <w:fldChar w:fldCharType="separate"/>
        </w:r>
        <w:r w:rsidRPr="00BA06B6">
          <w:rPr>
            <w:rFonts w:asciiTheme="majorBidi" w:eastAsia="Times New Roman" w:hAnsiTheme="majorBidi" w:cstheme="majorBidi"/>
            <w:noProof/>
            <w:sz w:val="24"/>
            <w:szCs w:val="24"/>
            <w:lang w:eastAsia="en-GB"/>
          </w:rPr>
          <w:t xml:space="preserve">Grassa, 2015; </w:t>
        </w:r>
        <w:r w:rsidRPr="00BA06B6">
          <w:rPr>
            <w:rFonts w:asciiTheme="majorBidi" w:eastAsia="Times New Roman" w:hAnsiTheme="majorBidi" w:cstheme="majorBidi"/>
            <w:sz w:val="24"/>
            <w:szCs w:val="24"/>
            <w:lang w:eastAsia="en-GB"/>
          </w:rPr>
          <w:fldChar w:fldCharType="end"/>
        </w:r>
      </w:hyperlink>
      <w:proofErr w:type="spellStart"/>
      <w:r w:rsidRPr="00BA06B6">
        <w:rPr>
          <w:rFonts w:asciiTheme="majorBidi" w:eastAsia="Times New Roman" w:hAnsiTheme="majorBidi" w:cstheme="majorBidi"/>
          <w:sz w:val="24"/>
          <w:szCs w:val="24"/>
          <w:lang w:eastAsia="en-GB"/>
        </w:rPr>
        <w:t>Jorion</w:t>
      </w:r>
      <w:proofErr w:type="spellEnd"/>
      <w:r w:rsidRPr="00BA06B6">
        <w:rPr>
          <w:rFonts w:asciiTheme="majorBidi" w:eastAsia="Times New Roman" w:hAnsiTheme="majorBidi" w:cstheme="majorBidi"/>
          <w:sz w:val="24"/>
          <w:szCs w:val="24"/>
          <w:lang w:eastAsia="en-GB"/>
        </w:rPr>
        <w:t xml:space="preserve"> et al., 2009), the dependent variable is the </w:t>
      </w:r>
      <w:r w:rsidRPr="00BA06B6">
        <w:rPr>
          <w:rFonts w:asciiTheme="majorBidi" w:eastAsia="SimSun" w:hAnsiTheme="majorBidi" w:cstheme="majorBidi"/>
          <w:sz w:val="24"/>
          <w:szCs w:val="24"/>
          <w:lang w:val="en-US" w:eastAsia="en-GB"/>
        </w:rPr>
        <w:t>Fitch long-term issuer default ratings</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sz w:val="24"/>
          <w:szCs w:val="24"/>
          <w:lang w:val="en-US" w:eastAsia="en-GB"/>
        </w:rPr>
        <w:t>RATE</w:t>
      </w:r>
      <w:r w:rsidRPr="00BA06B6">
        <w:rPr>
          <w:rFonts w:asciiTheme="majorBidi" w:eastAsia="Times New Roman" w:hAnsiTheme="majorBidi" w:cstheme="majorBidi"/>
          <w:sz w:val="24"/>
          <w:szCs w:val="24"/>
          <w:lang w:eastAsia="en-GB"/>
        </w:rPr>
        <w:t xml:space="preserve">). The main reason for choosing </w:t>
      </w:r>
      <w:r w:rsidRPr="00BA06B6">
        <w:rPr>
          <w:rFonts w:asciiTheme="majorBidi" w:eastAsia="SimSun" w:hAnsiTheme="majorBidi" w:cstheme="majorBidi"/>
          <w:bCs/>
          <w:sz w:val="24"/>
          <w:szCs w:val="24"/>
          <w:lang w:val="en-US" w:eastAsia="zh-CN"/>
        </w:rPr>
        <w:t xml:space="preserve">Fitch is that it has the largest market share of the banking market in the MENA region. </w:t>
      </w:r>
      <w:r w:rsidRPr="00BA06B6">
        <w:rPr>
          <w:rFonts w:asciiTheme="majorBidi" w:eastAsia="Times New Roman" w:hAnsiTheme="majorBidi" w:cstheme="majorBidi"/>
          <w:noProof/>
          <w:sz w:val="24"/>
          <w:szCs w:val="24"/>
          <w:lang w:eastAsia="en-GB"/>
        </w:rPr>
        <w:t>As</w:t>
      </w:r>
      <w:r w:rsidRPr="00BA06B6">
        <w:rPr>
          <w:rFonts w:asciiTheme="majorBidi" w:eastAsia="Times New Roman" w:hAnsiTheme="majorBidi" w:cstheme="majorBidi"/>
          <w:sz w:val="24"/>
          <w:szCs w:val="24"/>
          <w:lang w:eastAsia="en-GB"/>
        </w:rPr>
        <w:t xml:space="preserve"> explained by Fitch, a </w:t>
      </w:r>
      <w:r w:rsidRPr="00BA06B6">
        <w:rPr>
          <w:rFonts w:asciiTheme="majorBidi" w:eastAsia="SimSun" w:hAnsiTheme="majorBidi" w:cstheme="majorBidi"/>
          <w:sz w:val="24"/>
          <w:szCs w:val="24"/>
          <w:lang w:val="en-US" w:eastAsia="en-GB"/>
        </w:rPr>
        <w:t>long-term issuer default ratings</w:t>
      </w:r>
      <w:r w:rsidRPr="00BA06B6">
        <w:rPr>
          <w:rFonts w:asciiTheme="majorBidi" w:eastAsia="Times New Roman" w:hAnsiTheme="majorBidi" w:cstheme="majorBidi"/>
          <w:sz w:val="24"/>
          <w:szCs w:val="24"/>
          <w:lang w:eastAsia="en-GB"/>
        </w:rPr>
        <w:t xml:space="preserve"> represent the rating agency’s current opinion on an entity's overall vulnerability to default on its financial commitments, which reflect the financially uncured nature of that entity </w:t>
      </w:r>
      <w:r w:rsidRPr="00BA06B6">
        <w:rPr>
          <w:rFonts w:asciiTheme="majorBidi" w:eastAsia="Times New Roman" w:hAnsiTheme="majorBidi" w:cstheme="majorBidi"/>
          <w:sz w:val="24"/>
          <w:szCs w:val="24"/>
          <w:lang w:eastAsia="en-GB"/>
        </w:rPr>
        <w:fldChar w:fldCharType="begin"/>
      </w:r>
      <w:r w:rsidRPr="00BA06B6">
        <w:rPr>
          <w:rFonts w:asciiTheme="majorBidi" w:eastAsia="Times New Roman" w:hAnsiTheme="majorBidi" w:cstheme="majorBidi"/>
          <w:sz w:val="24"/>
          <w:szCs w:val="24"/>
          <w:lang w:eastAsia="en-GB"/>
        </w:rPr>
        <w:instrText xml:space="preserve"> ADDIN EN.CITE &lt;EndNote&gt;&lt;Cite&gt;&lt;Author&gt;FitchRatings&lt;/Author&gt;&lt;Year&gt;2015&lt;/Year&gt;&lt;RecNum&gt;707&lt;/RecNum&gt;&lt;DisplayText&gt;(FitchRatings, 2015)&lt;/DisplayText&gt;&lt;record&gt;&lt;rec-number&gt;707&lt;/rec-number&gt;&lt;foreign-keys&gt;&lt;key app="EN" db-id="2dxffaaevppfp1e50wgpfxs8pwda290z0az0" timestamp="1441882113"&gt;707&lt;/key&gt;&lt;/foreign-keys&gt;&lt;ref-type name="Journal Article"&gt;17&lt;/ref-type&gt;&lt;contributors&gt;&lt;authors&gt;&lt;author&gt;FitchRatings&lt;/author&gt;&lt;/authors&gt;&lt;/contributors&gt;&lt;titles&gt;&lt;title&gt;International Issuer and Credit Rating Scales&lt;/title&gt;&lt;secondary-title&gt;New York&lt;/secondary-title&gt;&lt;/titles&gt;&lt;periodical&gt;&lt;full-title&gt;New York&lt;/full-title&gt;&lt;/periodical&gt;&lt;dates&gt;&lt;year&gt;2015&lt;/year&gt;&lt;/dates&gt;&lt;urls&gt;&lt;related-urls&gt;&lt;url&gt;https://www.fitchratings.com/jsp/general/RatingsDefinitions.faces?context=5&amp;amp;context_ln=5&amp;amp;detail=507&amp;amp;detail_ln=500&lt;/url&gt;&lt;/related-urls&gt;&lt;/urls&gt;&lt;/record&gt;&lt;/Cite&gt;&lt;/EndNote&gt;</w:instrText>
      </w:r>
      <w:r w:rsidRPr="00BA06B6">
        <w:rPr>
          <w:rFonts w:asciiTheme="majorBidi" w:eastAsia="Times New Roman" w:hAnsiTheme="majorBidi" w:cstheme="majorBidi"/>
          <w:sz w:val="24"/>
          <w:szCs w:val="24"/>
          <w:lang w:eastAsia="en-GB"/>
        </w:rPr>
        <w:fldChar w:fldCharType="separate"/>
      </w:r>
      <w:r w:rsidRPr="00BA06B6">
        <w:rPr>
          <w:rFonts w:asciiTheme="majorBidi" w:eastAsia="Times New Roman" w:hAnsiTheme="majorBidi" w:cstheme="majorBidi"/>
          <w:noProof/>
          <w:sz w:val="24"/>
          <w:szCs w:val="24"/>
          <w:lang w:eastAsia="en-GB"/>
        </w:rPr>
        <w:t>(</w:t>
      </w:r>
      <w:hyperlink w:anchor="_ENREF_64" w:tooltip="FitchRatings, 2015 #707" w:history="1">
        <w:r w:rsidRPr="00BA06B6">
          <w:rPr>
            <w:rFonts w:asciiTheme="majorBidi" w:eastAsia="Times New Roman" w:hAnsiTheme="majorBidi" w:cstheme="majorBidi"/>
            <w:noProof/>
            <w:sz w:val="24"/>
            <w:szCs w:val="24"/>
            <w:lang w:eastAsia="en-GB"/>
          </w:rPr>
          <w:t>Fitch Ratings, 2015</w:t>
        </w:r>
      </w:hyperlink>
      <w:r w:rsidRPr="00BA06B6">
        <w:rPr>
          <w:rFonts w:asciiTheme="majorBidi" w:eastAsia="Times New Roman" w:hAnsiTheme="majorBidi" w:cstheme="majorBidi"/>
          <w:noProof/>
          <w:sz w:val="24"/>
          <w:szCs w:val="24"/>
          <w:lang w:eastAsia="en-GB"/>
        </w:rPr>
        <w:t>)</w:t>
      </w:r>
      <w:r w:rsidRPr="00BA06B6">
        <w:rPr>
          <w:rFonts w:asciiTheme="majorBidi" w:eastAsia="Times New Roman" w:hAnsiTheme="majorBidi" w:cstheme="majorBidi"/>
          <w:sz w:val="24"/>
          <w:szCs w:val="24"/>
          <w:lang w:eastAsia="en-GB"/>
        </w:rPr>
        <w:fldChar w:fldCharType="end"/>
      </w:r>
      <w:r w:rsidRPr="00BA06B6">
        <w:rPr>
          <w:rFonts w:asciiTheme="majorBidi" w:eastAsia="Times New Roman" w:hAnsiTheme="majorBidi" w:cstheme="majorBidi"/>
          <w:sz w:val="24"/>
          <w:szCs w:val="24"/>
          <w:lang w:eastAsia="en-GB"/>
        </w:rPr>
        <w:t xml:space="preserve">. We assign the Fitch </w:t>
      </w:r>
      <w:r w:rsidRPr="00BA06B6">
        <w:rPr>
          <w:rFonts w:asciiTheme="majorBidi" w:eastAsia="SimSun" w:hAnsiTheme="majorBidi" w:cstheme="majorBidi"/>
          <w:bCs/>
          <w:sz w:val="24"/>
          <w:szCs w:val="24"/>
          <w:lang w:val="en-US" w:eastAsia="zh-CN"/>
        </w:rPr>
        <w:t>ratings,</w:t>
      </w:r>
      <w:r w:rsidRPr="00BA06B6">
        <w:rPr>
          <w:rFonts w:asciiTheme="majorBidi" w:eastAsia="Times New Roman" w:hAnsiTheme="majorBidi" w:cstheme="majorBidi"/>
          <w:sz w:val="24"/>
          <w:szCs w:val="24"/>
          <w:lang w:eastAsia="en-GB"/>
        </w:rPr>
        <w:t xml:space="preserve"> a value from 1, which reflects </w:t>
      </w:r>
      <w:r w:rsidR="00251D60" w:rsidRPr="00BA06B6">
        <w:rPr>
          <w:rFonts w:asciiTheme="majorBidi" w:eastAsia="Times New Roman" w:hAnsiTheme="majorBidi" w:cstheme="majorBidi"/>
          <w:sz w:val="24"/>
          <w:szCs w:val="24"/>
          <w:lang w:eastAsia="en-GB"/>
        </w:rPr>
        <w:t xml:space="preserve">the </w:t>
      </w:r>
      <w:r w:rsidRPr="00BA06B6">
        <w:rPr>
          <w:rFonts w:asciiTheme="majorBidi" w:eastAsia="Times New Roman" w:hAnsiTheme="majorBidi" w:cstheme="majorBidi"/>
          <w:sz w:val="24"/>
          <w:szCs w:val="24"/>
          <w:lang w:eastAsia="en-GB"/>
        </w:rPr>
        <w:t xml:space="preserve">highest default risk and lowest BCR, to 22, which reflects </w:t>
      </w:r>
      <w:r w:rsidR="00251D60" w:rsidRPr="00BA06B6">
        <w:rPr>
          <w:rFonts w:asciiTheme="majorBidi" w:eastAsia="Times New Roman" w:hAnsiTheme="majorBidi" w:cstheme="majorBidi"/>
          <w:sz w:val="24"/>
          <w:szCs w:val="24"/>
          <w:lang w:eastAsia="en-GB"/>
        </w:rPr>
        <w:t xml:space="preserve">the </w:t>
      </w:r>
      <w:r w:rsidRPr="00BA06B6">
        <w:rPr>
          <w:rFonts w:asciiTheme="majorBidi" w:eastAsia="Times New Roman" w:hAnsiTheme="majorBidi" w:cstheme="majorBidi"/>
          <w:sz w:val="24"/>
          <w:szCs w:val="24"/>
          <w:lang w:eastAsia="en-GB"/>
        </w:rPr>
        <w:t xml:space="preserve">lowest default risk and highest BCR, as </w:t>
      </w:r>
      <w:r w:rsidRPr="00BA06B6">
        <w:rPr>
          <w:rFonts w:asciiTheme="majorBidi" w:eastAsia="Times New Roman" w:hAnsiTheme="majorBidi" w:cstheme="majorBidi"/>
          <w:iCs/>
          <w:sz w:val="24"/>
          <w:szCs w:val="24"/>
          <w:lang w:eastAsia="en-GB"/>
        </w:rPr>
        <w:t xml:space="preserve">described in </w:t>
      </w:r>
      <w:hyperlink w:anchor="Table3" w:history="1">
        <w:r w:rsidRPr="00BA06B6">
          <w:rPr>
            <w:rFonts w:asciiTheme="majorBidi" w:eastAsia="Times New Roman" w:hAnsiTheme="majorBidi" w:cstheme="majorBidi"/>
            <w:iCs/>
            <w:sz w:val="24"/>
            <w:szCs w:val="24"/>
            <w:lang w:eastAsia="en-GB"/>
          </w:rPr>
          <w:t>Table 3</w:t>
        </w:r>
      </w:hyperlink>
      <w:r w:rsidRPr="00BA06B6">
        <w:rPr>
          <w:rFonts w:asciiTheme="majorBidi" w:eastAsia="Times New Roman" w:hAnsiTheme="majorBidi" w:cstheme="majorBidi"/>
          <w:iCs/>
          <w:sz w:val="24"/>
          <w:szCs w:val="24"/>
          <w:lang w:eastAsia="en-GB"/>
        </w:rPr>
        <w:t>.</w:t>
      </w:r>
      <w:bookmarkEnd w:id="37"/>
    </w:p>
    <w:p w14:paraId="177A9E7D" w14:textId="59B27615" w:rsidR="00356CAF" w:rsidRPr="00BA06B6" w:rsidRDefault="00AA068C" w:rsidP="00A1373D">
      <w:pPr>
        <w:spacing w:after="0" w:line="360" w:lineRule="auto"/>
        <w:ind w:firstLine="425"/>
        <w:jc w:val="both"/>
        <w:rPr>
          <w:rFonts w:ascii="Times New Roman" w:eastAsia="Times New Roman" w:hAnsi="Times New Roman" w:cs="Times New Roman"/>
          <w:noProof/>
          <w:lang w:eastAsia="en-GB"/>
        </w:rPr>
      </w:pPr>
      <w:bookmarkStart w:id="38" w:name="_Toc454034718"/>
      <w:r w:rsidRPr="00BA06B6">
        <w:rPr>
          <w:rFonts w:asciiTheme="majorBidi" w:eastAsia="Times New Roman" w:hAnsiTheme="majorBidi" w:cstheme="majorBidi"/>
          <w:sz w:val="24"/>
          <w:szCs w:val="24"/>
          <w:lang w:eastAsia="en-GB"/>
        </w:rPr>
        <w:t xml:space="preserve">Secondly, we collect data on </w:t>
      </w:r>
      <w:r w:rsidRPr="00BA06B6">
        <w:rPr>
          <w:rFonts w:asciiTheme="majorBidi" w:eastAsia="Times New Roman" w:hAnsiTheme="majorBidi" w:cstheme="majorBidi"/>
          <w:bCs/>
          <w:sz w:val="24"/>
          <w:szCs w:val="24"/>
          <w:lang w:eastAsia="en-GB"/>
        </w:rPr>
        <w:t>risk disclosure index (</w:t>
      </w:r>
      <w:r w:rsidRPr="00BA06B6">
        <w:rPr>
          <w:rFonts w:asciiTheme="majorBidi" w:eastAsia="Times New Roman" w:hAnsiTheme="majorBidi" w:cstheme="majorBidi"/>
          <w:bCs/>
          <w:i/>
          <w:iCs/>
          <w:sz w:val="24"/>
          <w:szCs w:val="24"/>
          <w:lang w:eastAsia="en-GB"/>
        </w:rPr>
        <w:t>RDI</w:t>
      </w:r>
      <w:r w:rsidRPr="00BA06B6">
        <w:rPr>
          <w:rFonts w:asciiTheme="majorBidi" w:eastAsia="Times New Roman" w:hAnsiTheme="majorBidi" w:cstheme="majorBidi"/>
          <w:bCs/>
          <w:sz w:val="24"/>
          <w:szCs w:val="24"/>
          <w:lang w:eastAsia="en-GB"/>
        </w:rPr>
        <w:t xml:space="preserve">), </w:t>
      </w:r>
      <w:r w:rsidRPr="00BA06B6">
        <w:rPr>
          <w:rFonts w:asciiTheme="majorBidi" w:eastAsia="Times New Roman" w:hAnsiTheme="majorBidi" w:cstheme="majorBidi"/>
          <w:sz w:val="24"/>
          <w:szCs w:val="24"/>
          <w:lang w:eastAsia="en-GB"/>
        </w:rPr>
        <w:t xml:space="preserve">which strives to measure the level of risk disclosure in six key areas and 96 individual items drawn from the IFRS 7 and 9/IAS 32 and 39, Basel Accords (I, II and III), and prior literature </w:t>
      </w:r>
      <w:r w:rsidRPr="00BA06B6">
        <w:rPr>
          <w:rFonts w:asciiTheme="majorBidi" w:eastAsia="Times New Roman" w:hAnsiTheme="majorBidi" w:cstheme="majorBidi"/>
          <w:sz w:val="24"/>
          <w:szCs w:val="24"/>
          <w:lang w:eastAsia="en-GB"/>
        </w:rPr>
        <w:fldChar w:fldCharType="begin">
          <w:fldData xml:space="preserve">PEVuZE5vdGU+PENpdGU+PEF1dGhvcj5CYXJha2F0PC9BdXRob3I+PFllYXI+MjAxMzwvWWVhcj48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</w:fldData>
        </w:fldChar>
      </w:r>
      <w:r w:rsidRPr="00BA06B6">
        <w:rPr>
          <w:rFonts w:asciiTheme="majorBidi" w:eastAsia="Times New Roman" w:hAnsiTheme="majorBidi" w:cstheme="majorBidi"/>
          <w:sz w:val="24"/>
          <w:szCs w:val="24"/>
          <w:lang w:eastAsia="en-GB"/>
        </w:rPr>
        <w:instrText xml:space="preserve"> ADDIN EN.CITE </w:instrText>
      </w:r>
      <w:r w:rsidRPr="00BA06B6">
        <w:rPr>
          <w:rFonts w:asciiTheme="majorBidi" w:eastAsia="Times New Roman" w:hAnsiTheme="majorBidi" w:cstheme="majorBidi"/>
          <w:sz w:val="24"/>
          <w:szCs w:val="24"/>
          <w:lang w:eastAsia="en-GB"/>
        </w:rPr>
        <w:fldChar w:fldCharType="begin">
          <w:fldData xml:space="preserve">PEVuZE5vdGU+PENpdGU+PEF1dGhvcj5CYXJha2F0PC9BdXRob3I+PFllYXI+MjAxMzwvWWVhcj48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</w:fldData>
        </w:fldChar>
      </w:r>
      <w:r w:rsidRPr="00BA06B6">
        <w:rPr>
          <w:rFonts w:asciiTheme="majorBidi" w:eastAsia="Times New Roman" w:hAnsiTheme="majorBidi" w:cstheme="majorBidi"/>
          <w:sz w:val="24"/>
          <w:szCs w:val="24"/>
          <w:lang w:eastAsia="en-GB"/>
        </w:rPr>
        <w:instrText xml:space="preserve"> ADDIN EN.CITE.DATA </w:instrText>
      </w:r>
      <w:r w:rsidRPr="00BA06B6">
        <w:rPr>
          <w:rFonts w:asciiTheme="majorBidi" w:eastAsia="Times New Roman" w:hAnsiTheme="majorBidi" w:cstheme="majorBidi"/>
          <w:sz w:val="24"/>
          <w:szCs w:val="24"/>
          <w:lang w:eastAsia="en-GB"/>
        </w:rPr>
      </w:r>
      <w:r w:rsidRPr="00BA06B6">
        <w:rPr>
          <w:rFonts w:asciiTheme="majorBidi" w:eastAsia="Times New Roman" w:hAnsiTheme="majorBidi" w:cstheme="majorBidi"/>
          <w:sz w:val="24"/>
          <w:szCs w:val="24"/>
          <w:lang w:eastAsia="en-GB"/>
        </w:rPr>
        <w:fldChar w:fldCharType="end"/>
      </w:r>
      <w:r w:rsidRPr="00BA06B6">
        <w:rPr>
          <w:rFonts w:asciiTheme="majorBidi" w:eastAsia="Times New Roman" w:hAnsiTheme="majorBidi" w:cstheme="majorBidi"/>
          <w:sz w:val="24"/>
          <w:szCs w:val="24"/>
          <w:lang w:eastAsia="en-GB"/>
        </w:rPr>
      </w:r>
      <w:r w:rsidRPr="00BA06B6">
        <w:rPr>
          <w:rFonts w:asciiTheme="majorBidi" w:eastAsia="Times New Roman" w:hAnsiTheme="majorBidi" w:cstheme="majorBidi"/>
          <w:sz w:val="24"/>
          <w:szCs w:val="24"/>
          <w:lang w:eastAsia="en-GB"/>
        </w:rPr>
        <w:fldChar w:fldCharType="separate"/>
      </w:r>
      <w:r w:rsidRPr="00BA06B6">
        <w:rPr>
          <w:rFonts w:asciiTheme="majorBidi" w:eastAsia="Times New Roman" w:hAnsiTheme="majorBidi" w:cstheme="majorBidi"/>
          <w:noProof/>
          <w:sz w:val="24"/>
          <w:szCs w:val="24"/>
          <w:lang w:eastAsia="en-GB"/>
        </w:rPr>
        <w:t xml:space="preserve">(e.g., </w:t>
      </w:r>
      <w:hyperlink w:anchor="_ENREF_68" w:tooltip="Greco, 2012 #124" w:history="1">
        <w:r w:rsidRPr="00BA06B6">
          <w:rPr>
            <w:rFonts w:asciiTheme="majorBidi" w:eastAsia="Times New Roman" w:hAnsiTheme="majorBidi" w:cstheme="majorBidi"/>
            <w:noProof/>
            <w:sz w:val="24"/>
            <w:szCs w:val="24"/>
            <w:lang w:eastAsia="en-GB"/>
          </w:rPr>
          <w:t>Greco 2012</w:t>
        </w:r>
      </w:hyperlink>
      <w:r w:rsidRPr="00BA06B6">
        <w:rPr>
          <w:rFonts w:asciiTheme="majorBidi" w:eastAsia="Times New Roman" w:hAnsiTheme="majorBidi" w:cstheme="majorBidi"/>
          <w:noProof/>
          <w:sz w:val="24"/>
          <w:szCs w:val="24"/>
          <w:lang w:eastAsia="en-GB"/>
        </w:rPr>
        <w:t xml:space="preserve">, </w:t>
      </w:r>
      <w:hyperlink w:anchor="_ENREF_104" w:tooltip="Ntim, 2013 #288" w:history="1">
        <w:r w:rsidRPr="00BA06B6">
          <w:rPr>
            <w:rFonts w:asciiTheme="majorBidi" w:eastAsia="Times New Roman" w:hAnsiTheme="majorBidi" w:cstheme="majorBidi"/>
            <w:noProof/>
            <w:sz w:val="24"/>
            <w:szCs w:val="24"/>
            <w:lang w:eastAsia="en-GB"/>
          </w:rPr>
          <w:t>Ntim et al. 2013</w:t>
        </w:r>
      </w:hyperlink>
      <w:r w:rsidRPr="00BA06B6">
        <w:rPr>
          <w:rFonts w:asciiTheme="majorBidi" w:eastAsia="Times New Roman" w:hAnsiTheme="majorBidi" w:cstheme="majorBidi"/>
          <w:noProof/>
          <w:sz w:val="24"/>
          <w:szCs w:val="24"/>
          <w:lang w:eastAsia="en-GB"/>
        </w:rPr>
        <w:t>)</w:t>
      </w:r>
      <w:r w:rsidRPr="00BA06B6">
        <w:rPr>
          <w:rFonts w:asciiTheme="majorBidi" w:eastAsia="Times New Roman" w:hAnsiTheme="majorBidi" w:cstheme="majorBidi"/>
          <w:sz w:val="24"/>
          <w:szCs w:val="24"/>
          <w:lang w:eastAsia="en-GB"/>
        </w:rPr>
        <w:fldChar w:fldCharType="end"/>
      </w:r>
      <w:r w:rsidRPr="00BA06B6">
        <w:rPr>
          <w:rFonts w:asciiTheme="majorBidi" w:eastAsia="Times New Roman" w:hAnsiTheme="majorBidi" w:cstheme="majorBidi"/>
          <w:sz w:val="24"/>
          <w:szCs w:val="24"/>
          <w:lang w:eastAsia="en-GB"/>
        </w:rPr>
        <w:t>. Appendix 1 contains the individual items and their scoring procedure. The sub-indices consist of credit risk disclosure index (</w:t>
      </w:r>
      <w:r w:rsidRPr="00BA06B6">
        <w:rPr>
          <w:rFonts w:asciiTheme="majorBidi" w:eastAsia="Times New Roman" w:hAnsiTheme="majorBidi" w:cstheme="majorBidi"/>
          <w:i/>
          <w:sz w:val="24"/>
          <w:szCs w:val="24"/>
          <w:lang w:eastAsia="en-GB"/>
        </w:rPr>
        <w:t>CRDI</w:t>
      </w:r>
      <w:r w:rsidRPr="00BA06B6">
        <w:rPr>
          <w:rFonts w:asciiTheme="majorBidi" w:eastAsia="Times New Roman" w:hAnsiTheme="majorBidi" w:cstheme="majorBidi"/>
          <w:sz w:val="24"/>
          <w:szCs w:val="24"/>
          <w:lang w:eastAsia="en-GB"/>
        </w:rPr>
        <w:t>); liquidity risk disclosure index (</w:t>
      </w:r>
      <w:r w:rsidRPr="00BA06B6">
        <w:rPr>
          <w:rFonts w:asciiTheme="majorBidi" w:eastAsia="Times New Roman" w:hAnsiTheme="majorBidi" w:cstheme="majorBidi"/>
          <w:i/>
          <w:sz w:val="24"/>
          <w:szCs w:val="24"/>
          <w:lang w:eastAsia="en-GB"/>
        </w:rPr>
        <w:t>LRDI</w:t>
      </w:r>
      <w:r w:rsidRPr="00BA06B6">
        <w:rPr>
          <w:rFonts w:asciiTheme="majorBidi" w:eastAsia="Times New Roman" w:hAnsiTheme="majorBidi" w:cstheme="majorBidi"/>
          <w:sz w:val="24"/>
          <w:szCs w:val="24"/>
          <w:lang w:eastAsia="en-GB"/>
        </w:rPr>
        <w:t>); market risk disclosure index (</w:t>
      </w:r>
      <w:r w:rsidRPr="00BA06B6">
        <w:rPr>
          <w:rFonts w:asciiTheme="majorBidi" w:eastAsia="Times New Roman" w:hAnsiTheme="majorBidi" w:cstheme="majorBidi"/>
          <w:i/>
          <w:iCs/>
          <w:sz w:val="24"/>
          <w:szCs w:val="24"/>
          <w:lang w:eastAsia="en-GB"/>
        </w:rPr>
        <w:t>MRDI</w:t>
      </w:r>
      <w:r w:rsidRPr="00BA06B6">
        <w:rPr>
          <w:rFonts w:asciiTheme="majorBidi" w:eastAsia="Times New Roman" w:hAnsiTheme="majorBidi" w:cstheme="majorBidi"/>
          <w:sz w:val="24"/>
          <w:szCs w:val="24"/>
          <w:lang w:eastAsia="en-GB"/>
        </w:rPr>
        <w:t>); capital adequacy risk disclosure index (</w:t>
      </w:r>
      <w:r w:rsidRPr="00BA06B6">
        <w:rPr>
          <w:rFonts w:asciiTheme="majorBidi" w:eastAsia="Times New Roman" w:hAnsiTheme="majorBidi" w:cstheme="majorBidi"/>
          <w:i/>
          <w:sz w:val="24"/>
          <w:szCs w:val="24"/>
          <w:lang w:eastAsia="en-GB"/>
        </w:rPr>
        <w:t>ARDI</w:t>
      </w:r>
      <w:r w:rsidRPr="00BA06B6">
        <w:rPr>
          <w:rFonts w:asciiTheme="majorBidi" w:eastAsia="Times New Roman" w:hAnsiTheme="majorBidi" w:cstheme="majorBidi"/>
          <w:sz w:val="24"/>
          <w:szCs w:val="24"/>
          <w:lang w:eastAsia="en-GB"/>
        </w:rPr>
        <w:t>); operational risk disclosure quality index (</w:t>
      </w:r>
      <w:r w:rsidRPr="00BA06B6">
        <w:rPr>
          <w:rFonts w:asciiTheme="majorBidi" w:eastAsia="Times New Roman" w:hAnsiTheme="majorBidi" w:cstheme="majorBidi"/>
          <w:i/>
          <w:sz w:val="24"/>
          <w:szCs w:val="24"/>
          <w:lang w:eastAsia="en-GB"/>
        </w:rPr>
        <w:t>ODQI</w:t>
      </w:r>
      <w:r w:rsidRPr="00BA06B6">
        <w:rPr>
          <w:rFonts w:asciiTheme="majorBidi" w:eastAsia="Times New Roman" w:hAnsiTheme="majorBidi" w:cstheme="majorBidi"/>
          <w:sz w:val="24"/>
          <w:szCs w:val="24"/>
          <w:lang w:eastAsia="en-GB"/>
        </w:rPr>
        <w:t>); and strategic risks disclosure quality index (</w:t>
      </w:r>
      <w:r w:rsidRPr="00BA06B6">
        <w:rPr>
          <w:rFonts w:asciiTheme="majorBidi" w:eastAsia="Times New Roman" w:hAnsiTheme="majorBidi" w:cstheme="majorBidi"/>
          <w:i/>
          <w:sz w:val="24"/>
          <w:szCs w:val="24"/>
          <w:lang w:eastAsia="en-GB"/>
        </w:rPr>
        <w:t>SRDI</w:t>
      </w:r>
      <w:r w:rsidRPr="00BA06B6">
        <w:rPr>
          <w:rFonts w:asciiTheme="majorBidi" w:eastAsia="Times New Roman" w:hAnsiTheme="majorBidi" w:cstheme="majorBidi"/>
          <w:sz w:val="24"/>
          <w:szCs w:val="24"/>
          <w:lang w:eastAsia="en-GB"/>
        </w:rPr>
        <w:t>).</w:t>
      </w:r>
      <w:bookmarkEnd w:id="38"/>
      <w:r w:rsidRPr="00BA06B6">
        <w:rPr>
          <w:rFonts w:asciiTheme="majorBidi" w:eastAsia="Times New Roman" w:hAnsiTheme="majorBidi" w:cstheme="majorBidi"/>
          <w:sz w:val="24"/>
          <w:szCs w:val="24"/>
          <w:lang w:eastAsia="en-GB"/>
        </w:rPr>
        <w:t xml:space="preserve"> </w:t>
      </w:r>
      <w:bookmarkStart w:id="39" w:name="_Toc454034719"/>
      <w:r w:rsidR="00356CAF" w:rsidRPr="00BA06B6">
        <w:rPr>
          <w:rFonts w:ascii="Times New Roman" w:eastAsia="Times New Roman" w:hAnsi="Times New Roman" w:cs="Times New Roman"/>
          <w:noProof/>
          <w:lang w:eastAsia="en-GB"/>
        </w:rPr>
        <w:t>The index measurement method is frequently critiqued for being intrinsically subjective (Marston &amp; Shrives, 1991). Thus, to decrease bias, we employed the next steps. Firstly, two independent researchers coded a sample of 10 annual reports independently</w:t>
      </w:r>
      <w:r w:rsidR="00251D60" w:rsidRPr="00BA06B6">
        <w:rPr>
          <w:rFonts w:ascii="Times New Roman" w:eastAsia="Times New Roman" w:hAnsi="Times New Roman" w:cs="Times New Roman"/>
          <w:noProof/>
          <w:lang w:eastAsia="en-GB"/>
        </w:rPr>
        <w:t>,</w:t>
      </w:r>
      <w:r w:rsidR="00356CAF" w:rsidRPr="00BA06B6">
        <w:rPr>
          <w:rFonts w:ascii="Times New Roman" w:eastAsia="Times New Roman" w:hAnsi="Times New Roman" w:cs="Times New Roman"/>
          <w:noProof/>
          <w:lang w:eastAsia="en-GB"/>
        </w:rPr>
        <w:t xml:space="preserve"> and their grades were matched. </w:t>
      </w:r>
      <w:r w:rsidR="00251D60" w:rsidRPr="00BA06B6">
        <w:rPr>
          <w:rFonts w:ascii="Times New Roman" w:eastAsia="Times New Roman" w:hAnsi="Times New Roman" w:cs="Times New Roman"/>
          <w:noProof/>
          <w:lang w:eastAsia="en-GB"/>
        </w:rPr>
        <w:t>N</w:t>
      </w:r>
      <w:r w:rsidR="00356CAF" w:rsidRPr="00BA06B6">
        <w:rPr>
          <w:rFonts w:ascii="Times New Roman" w:eastAsia="Times New Roman" w:hAnsi="Times New Roman" w:cs="Times New Roman"/>
          <w:noProof/>
          <w:lang w:eastAsia="en-GB"/>
        </w:rPr>
        <w:t xml:space="preserve">o key discrepancies happened, with high agreement coefficient (0.83) that is greater than the acceptable threshold in the social science (reliability level ranges from 0.70 to 0.80) (Beattie et al., 2004; Krippendorff, 2004; Marston &amp; Shrives, 1991). Secondly and subsequently, a single researcher (the </w:t>
      </w:r>
      <w:r w:rsidR="00356CAF" w:rsidRPr="00BA06B6">
        <w:rPr>
          <w:rFonts w:ascii="Times New Roman" w:eastAsia="Times New Roman" w:hAnsi="Times New Roman" w:cs="Times New Roman"/>
          <w:noProof/>
          <w:lang w:eastAsia="en-GB"/>
        </w:rPr>
        <w:lastRenderedPageBreak/>
        <w:t xml:space="preserve">main coder) finalized the coding of the rest of the </w:t>
      </w:r>
      <w:r w:rsidR="00356CAF" w:rsidRPr="00BA06B6">
        <w:rPr>
          <w:rFonts w:asciiTheme="majorBidi" w:eastAsia="Times New Roman" w:hAnsiTheme="majorBidi" w:cstheme="majorBidi"/>
          <w:bCs/>
          <w:i/>
          <w:iCs/>
          <w:sz w:val="24"/>
          <w:szCs w:val="24"/>
          <w:lang w:eastAsia="en-GB"/>
        </w:rPr>
        <w:t>RDI</w:t>
      </w:r>
      <w:r w:rsidR="00356CAF" w:rsidRPr="00BA06B6">
        <w:rPr>
          <w:rFonts w:ascii="Times New Roman" w:eastAsia="Times New Roman" w:hAnsi="Times New Roman" w:cs="Times New Roman"/>
          <w:noProof/>
          <w:lang w:eastAsia="en-GB"/>
        </w:rPr>
        <w:t xml:space="preserve">. Thirdly, the main researcher re-coded a sample of five annual reports randomly, and the findings were compared with his earlier original coding results. Seemingly, no significant discrepancies happened, with high agreement coefficient (0.95). Finally, we use Cronbach’s alpha to evaluate the internal consistency of the </w:t>
      </w:r>
      <w:r w:rsidR="00356CAF" w:rsidRPr="00BA06B6">
        <w:rPr>
          <w:rFonts w:ascii="Times New Roman" w:eastAsia="Times New Roman" w:hAnsi="Times New Roman" w:cs="Times New Roman"/>
          <w:i/>
          <w:noProof/>
          <w:lang w:eastAsia="en-GB"/>
        </w:rPr>
        <w:t>RDI</w:t>
      </w:r>
      <w:r w:rsidR="00356CAF" w:rsidRPr="00BA06B6">
        <w:rPr>
          <w:rFonts w:ascii="Times New Roman" w:eastAsia="Times New Roman" w:hAnsi="Times New Roman" w:cs="Times New Roman"/>
          <w:noProof/>
          <w:lang w:eastAsia="en-GB"/>
        </w:rPr>
        <w:t xml:space="preserve">. The Cronbach’s alpha was satisfactorily high at 83.50%; noticing that the threshold level for Cronbach’s alpha is 70% </w:t>
      </w:r>
      <w:r w:rsidR="00356CAF" w:rsidRPr="00BA06B6">
        <w:rPr>
          <w:rFonts w:ascii="Times New Roman" w:eastAsia="Times New Roman" w:hAnsi="Times New Roman" w:cs="Times New Roman"/>
          <w:noProof/>
          <w:lang w:eastAsia="en-GB"/>
        </w:rPr>
        <w:fldChar w:fldCharType="begin"/>
      </w:r>
      <w:r w:rsidR="00356CAF" w:rsidRPr="00BA06B6">
        <w:rPr>
          <w:rFonts w:ascii="Times New Roman" w:eastAsia="Times New Roman" w:hAnsi="Times New Roman" w:cs="Times New Roman"/>
          <w:noProof/>
          <w:lang w:eastAsia="en-GB"/>
        </w:rPr>
        <w:instrText xml:space="preserve"> ADDIN EN.CITE &lt;EndNote&gt;&lt;Cite&gt;&lt;Author&gt;Deumes&lt;/Author&gt;&lt;Year&gt;2008&lt;/Year&gt;&lt;RecNum&gt;148&lt;/RecNum&gt;&lt;DisplayText&gt;(Deumes, 2008; Elshandidy, 2016)&lt;/DisplayText&gt;&lt;record&gt;&lt;rec-number&gt;148&lt;/rec-number&gt;&lt;foreign-keys&gt;&lt;key app="EN" db-id="t5v9xwx225adw1erxp8pdzxowddx2vd020f0"&gt;148&lt;/key&gt;&lt;/foreign-keys&gt;&lt;ref-type name="Journal Article"&gt;17&lt;/ref-type&gt;&lt;contributors&gt;&lt;authors&gt;&lt;author&gt;Deumes, Rogier&lt;/author&gt;&lt;/authors&gt;&lt;/contributors&gt;&lt;titles&gt;&lt;title&gt;Corporate risk reporting a content analysis of narrative risk disclosures in prospectuses&lt;/title&gt;&lt;secondary-title&gt;Journal of Business Communication&lt;/secondary-title&gt;&lt;/titles&gt;&lt;periodical&gt;&lt;full-title&gt;Journal of Business Communication&lt;/full-title&gt;&lt;/periodical&gt;&lt;pages&gt;120-157&lt;/pages&gt;&lt;volume&gt;45&lt;/volume&gt;&lt;number&gt;2&lt;/number&gt;&lt;dates&gt;&lt;year&gt;2008&lt;/year&gt;&lt;/dates&gt;&lt;isbn&gt;2329-4884&lt;/isbn&gt;&lt;urls&gt;&lt;/urls&gt;&lt;/record&gt;&lt;/Cite&gt;&lt;Cite&gt;&lt;Author&gt;Elshandidy&lt;/Author&gt;&lt;Year&gt;2016&lt;/Year&gt;&lt;RecNum&gt;606&lt;/RecNum&gt;&lt;record&gt;&lt;rec-number&gt;606&lt;/rec-number&gt;&lt;foreign-keys&gt;&lt;key app="EN" db-id="t5v9xwx225adw1erxp8pdzxowddx2vd020f0"&gt;606&lt;/key&gt;&lt;/foreign-keys&gt;&lt;ref-type name="Journal Article"&gt;17&lt;/ref-type&gt;&lt;contributors&gt;&lt;authors&gt;&lt;author&gt;Elshandidy, Tamer&lt;/author&gt;&lt;/authors&gt;&lt;/contributors&gt;&lt;titles&gt;&lt;title&gt;Stock price informativeness of risk-related disclosure: Does time orientation matter&lt;/title&gt;&lt;secondary-title&gt;In British accounting&amp;amp; finance association (BAFA) Annual Conference, University of Bath, UK&lt;/secondary-title&gt;&lt;/titles&gt;&lt;periodical&gt;&lt;full-title&gt;In British accounting&amp;amp; finance association (BAFA) ANNUAL CONFERENCE, University of Bath, UK&lt;/full-title&gt;&lt;/periodical&gt;&lt;volume&gt;Retrieved from http://bafa.ac.uk/events/upcoming-events/annual-conference.html&lt;/volume&gt;&lt;dates&gt;&lt;year&gt;2016&lt;/year&gt;&lt;/dates&gt;&lt;urls&gt;&lt;/urls&gt;&lt;/record&gt;&lt;/Cite&gt;&lt;/EndNote&gt;</w:instrText>
      </w:r>
      <w:r w:rsidR="00356CAF" w:rsidRPr="00BA06B6">
        <w:rPr>
          <w:rFonts w:ascii="Times New Roman" w:eastAsia="Times New Roman" w:hAnsi="Times New Roman" w:cs="Times New Roman"/>
          <w:noProof/>
          <w:lang w:eastAsia="en-GB"/>
        </w:rPr>
        <w:fldChar w:fldCharType="separate"/>
      </w:r>
      <w:r w:rsidR="00356CAF" w:rsidRPr="00BA06B6">
        <w:rPr>
          <w:rFonts w:ascii="Times New Roman" w:eastAsia="Times New Roman" w:hAnsi="Times New Roman" w:cs="Times New Roman"/>
          <w:noProof/>
          <w:lang w:eastAsia="en-GB"/>
        </w:rPr>
        <w:t xml:space="preserve">(Elghuweel </w:t>
      </w:r>
      <w:r w:rsidR="00356CAF" w:rsidRPr="00BA06B6">
        <w:rPr>
          <w:rFonts w:ascii="Times New Roman" w:eastAsia="Times New Roman" w:hAnsi="Times New Roman" w:cs="Times New Roman"/>
          <w:i/>
          <w:noProof/>
          <w:lang w:eastAsia="en-GB"/>
        </w:rPr>
        <w:t>et al</w:t>
      </w:r>
      <w:r w:rsidR="00356CAF" w:rsidRPr="00BA06B6">
        <w:rPr>
          <w:rFonts w:ascii="Times New Roman" w:eastAsia="Times New Roman" w:hAnsi="Times New Roman" w:cs="Times New Roman"/>
          <w:noProof/>
          <w:lang w:eastAsia="en-GB"/>
        </w:rPr>
        <w:t>., 2017)</w:t>
      </w:r>
      <w:r w:rsidR="00356CAF" w:rsidRPr="00BA06B6">
        <w:rPr>
          <w:rFonts w:ascii="Times New Roman" w:eastAsia="Times New Roman" w:hAnsi="Times New Roman" w:cs="Times New Roman"/>
          <w:noProof/>
          <w:lang w:eastAsia="en-GB"/>
        </w:rPr>
        <w:fldChar w:fldCharType="end"/>
      </w:r>
      <w:r w:rsidR="00356CAF" w:rsidRPr="00BA06B6">
        <w:rPr>
          <w:rFonts w:ascii="Times New Roman" w:eastAsia="Times New Roman" w:hAnsi="Times New Roman" w:cs="Times New Roman"/>
          <w:noProof/>
          <w:lang w:eastAsia="en-GB"/>
        </w:rPr>
        <w:t xml:space="preserve">. </w:t>
      </w:r>
    </w:p>
    <w:p w14:paraId="561ECC7E" w14:textId="6F6D3907" w:rsidR="00AA068C" w:rsidRPr="00BA06B6" w:rsidRDefault="00AA068C" w:rsidP="00AA068C">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 xml:space="preserve">Third, we use </w:t>
      </w:r>
      <w:r w:rsidR="00251D60" w:rsidRPr="00BA06B6">
        <w:rPr>
          <w:rFonts w:asciiTheme="majorBidi" w:eastAsia="Times New Roman" w:hAnsiTheme="majorBidi" w:cstheme="majorBidi"/>
          <w:sz w:val="24"/>
          <w:szCs w:val="24"/>
          <w:lang w:eastAsia="en-GB"/>
        </w:rPr>
        <w:t xml:space="preserve">the </w:t>
      </w:r>
      <w:r w:rsidRPr="00BA06B6">
        <w:rPr>
          <w:rFonts w:asciiTheme="majorBidi" w:eastAsia="Times New Roman" w:hAnsiTheme="majorBidi" w:cstheme="majorBidi"/>
          <w:i/>
          <w:iCs/>
          <w:sz w:val="24"/>
          <w:szCs w:val="24"/>
          <w:lang w:eastAsia="en-GB"/>
        </w:rPr>
        <w:t xml:space="preserve">Shariah </w:t>
      </w:r>
      <w:r w:rsidRPr="00BA06B6">
        <w:rPr>
          <w:rFonts w:asciiTheme="majorBidi" w:eastAsia="Times New Roman" w:hAnsiTheme="majorBidi" w:cstheme="majorBidi"/>
          <w:sz w:val="24"/>
          <w:szCs w:val="24"/>
          <w:lang w:eastAsia="en-GB"/>
        </w:rPr>
        <w:t>supervisory board (</w:t>
      </w:r>
      <w:r w:rsidRPr="00BA06B6">
        <w:rPr>
          <w:rFonts w:asciiTheme="majorBidi" w:eastAsia="Times New Roman" w:hAnsiTheme="majorBidi" w:cstheme="majorBidi"/>
          <w:i/>
          <w:iCs/>
          <w:sz w:val="24"/>
          <w:szCs w:val="24"/>
          <w:lang w:eastAsia="en-GB"/>
        </w:rPr>
        <w:t>SSB</w:t>
      </w:r>
      <w:r w:rsidRPr="00BA06B6">
        <w:rPr>
          <w:rFonts w:asciiTheme="majorBidi" w:eastAsia="Times New Roman" w:hAnsiTheme="majorBidi" w:cstheme="majorBidi"/>
          <w:sz w:val="24"/>
          <w:szCs w:val="24"/>
          <w:lang w:eastAsia="en-GB"/>
        </w:rPr>
        <w:t>) as a proxy for Islamic governance. Fourth, board structure variables include board size (</w:t>
      </w:r>
      <w:r w:rsidRPr="00BA06B6">
        <w:rPr>
          <w:rFonts w:asciiTheme="majorBidi" w:eastAsia="Times New Roman" w:hAnsiTheme="majorBidi" w:cstheme="majorBidi"/>
          <w:i/>
          <w:iCs/>
          <w:sz w:val="24"/>
          <w:szCs w:val="24"/>
          <w:lang w:eastAsia="en-GB"/>
        </w:rPr>
        <w:t>BS</w:t>
      </w:r>
      <w:r w:rsidRPr="00BA06B6">
        <w:rPr>
          <w:rFonts w:asciiTheme="majorBidi" w:eastAsia="Times New Roman" w:hAnsiTheme="majorBidi" w:cstheme="majorBidi"/>
          <w:sz w:val="24"/>
          <w:szCs w:val="24"/>
          <w:lang w:eastAsia="en-GB"/>
        </w:rPr>
        <w:t>), CEO power (</w:t>
      </w:r>
      <w:r w:rsidRPr="00BA06B6">
        <w:rPr>
          <w:rFonts w:asciiTheme="majorBidi" w:eastAsia="Times New Roman" w:hAnsiTheme="majorBidi" w:cstheme="majorBidi"/>
          <w:i/>
          <w:iCs/>
          <w:sz w:val="24"/>
          <w:szCs w:val="24"/>
          <w:lang w:eastAsia="en-GB"/>
        </w:rPr>
        <w:t>DUAL</w:t>
      </w:r>
      <w:r w:rsidRPr="00BA06B6">
        <w:rPr>
          <w:rFonts w:asciiTheme="majorBidi" w:eastAsia="Times New Roman" w:hAnsiTheme="majorBidi" w:cstheme="majorBidi"/>
          <w:sz w:val="24"/>
          <w:szCs w:val="24"/>
          <w:lang w:eastAsia="en-GB"/>
        </w:rPr>
        <w:t>), gender diversity (</w:t>
      </w:r>
      <w:r w:rsidRPr="00BA06B6">
        <w:rPr>
          <w:rFonts w:asciiTheme="majorBidi" w:eastAsia="Times New Roman" w:hAnsiTheme="majorBidi" w:cstheme="majorBidi"/>
          <w:i/>
          <w:iCs/>
          <w:sz w:val="24"/>
          <w:szCs w:val="24"/>
          <w:lang w:eastAsia="en-GB"/>
        </w:rPr>
        <w:t>GDB</w:t>
      </w:r>
      <w:r w:rsidRPr="00BA06B6">
        <w:rPr>
          <w:rFonts w:asciiTheme="majorBidi" w:eastAsia="Times New Roman" w:hAnsiTheme="majorBidi" w:cstheme="majorBidi"/>
          <w:sz w:val="24"/>
          <w:szCs w:val="24"/>
          <w:lang w:eastAsia="en-GB"/>
        </w:rPr>
        <w:t>), and board independence</w:t>
      </w:r>
      <w:r w:rsidRPr="00BA06B6">
        <w:rPr>
          <w:rFonts w:asciiTheme="majorBidi" w:eastAsia="Times New Roman" w:hAnsiTheme="majorBidi" w:cstheme="majorBidi"/>
          <w:bCs/>
          <w:sz w:val="24"/>
          <w:szCs w:val="24"/>
          <w:lang w:eastAsia="en-GB"/>
        </w:rPr>
        <w:t xml:space="preserve"> (</w:t>
      </w:r>
      <w:r w:rsidRPr="00BA06B6">
        <w:rPr>
          <w:rFonts w:asciiTheme="majorBidi" w:eastAsia="Times New Roman" w:hAnsiTheme="majorBidi" w:cstheme="majorBidi"/>
          <w:bCs/>
          <w:i/>
          <w:iCs/>
          <w:sz w:val="24"/>
          <w:szCs w:val="24"/>
          <w:lang w:eastAsia="en-GB"/>
        </w:rPr>
        <w:t>BBID</w:t>
      </w:r>
      <w:r w:rsidRPr="00BA06B6">
        <w:rPr>
          <w:rFonts w:asciiTheme="majorBidi" w:eastAsia="Times New Roman" w:hAnsiTheme="majorBidi" w:cstheme="majorBidi"/>
          <w:bCs/>
          <w:sz w:val="24"/>
          <w:szCs w:val="24"/>
          <w:lang w:eastAsia="en-GB"/>
        </w:rPr>
        <w:t>)</w:t>
      </w:r>
      <w:r w:rsidRPr="00BA06B6">
        <w:rPr>
          <w:rFonts w:asciiTheme="majorBidi" w:eastAsia="Times New Roman" w:hAnsiTheme="majorBidi" w:cstheme="majorBidi"/>
          <w:sz w:val="24"/>
          <w:szCs w:val="24"/>
          <w:lang w:eastAsia="en-GB"/>
        </w:rPr>
        <w:t>. Fifth, ownership structure variables include block ownership (</w:t>
      </w:r>
      <w:r w:rsidRPr="00BA06B6">
        <w:rPr>
          <w:rFonts w:asciiTheme="majorBidi" w:eastAsia="Times New Roman" w:hAnsiTheme="majorBidi" w:cstheme="majorBidi"/>
          <w:i/>
          <w:iCs/>
          <w:sz w:val="24"/>
          <w:szCs w:val="24"/>
          <w:lang w:eastAsia="en-GB"/>
        </w:rPr>
        <w:t>BOWN</w:t>
      </w:r>
      <w:r w:rsidRPr="00BA06B6">
        <w:rPr>
          <w:rFonts w:asciiTheme="majorBidi" w:eastAsia="Times New Roman" w:hAnsiTheme="majorBidi" w:cstheme="majorBidi"/>
          <w:sz w:val="24"/>
          <w:szCs w:val="24"/>
          <w:lang w:eastAsia="en-GB"/>
        </w:rPr>
        <w:t>), foreign ownership (</w:t>
      </w:r>
      <w:r w:rsidRPr="00BA06B6">
        <w:rPr>
          <w:rFonts w:asciiTheme="majorBidi" w:eastAsia="Times New Roman" w:hAnsiTheme="majorBidi" w:cstheme="majorBidi"/>
          <w:i/>
          <w:iCs/>
          <w:sz w:val="24"/>
          <w:szCs w:val="24"/>
          <w:lang w:eastAsia="en-GB"/>
        </w:rPr>
        <w:t>FOWN</w:t>
      </w:r>
      <w:r w:rsidRPr="00BA06B6">
        <w:rPr>
          <w:rFonts w:asciiTheme="majorBidi" w:eastAsia="Times New Roman" w:hAnsiTheme="majorBidi" w:cstheme="majorBidi"/>
          <w:sz w:val="24"/>
          <w:szCs w:val="24"/>
          <w:lang w:eastAsia="en-GB"/>
        </w:rPr>
        <w:t>)</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and government ownership (</w:t>
      </w:r>
      <w:r w:rsidRPr="00BA06B6">
        <w:rPr>
          <w:rFonts w:asciiTheme="majorBidi" w:eastAsia="Times New Roman" w:hAnsiTheme="majorBidi" w:cstheme="majorBidi"/>
          <w:i/>
          <w:iCs/>
          <w:sz w:val="24"/>
          <w:szCs w:val="24"/>
          <w:lang w:eastAsia="en-GB"/>
        </w:rPr>
        <w:t>GOWN</w:t>
      </w:r>
      <w:r w:rsidRPr="00BA06B6">
        <w:rPr>
          <w:rFonts w:asciiTheme="majorBidi" w:eastAsia="Times New Roman" w:hAnsiTheme="majorBidi" w:cstheme="majorBidi"/>
          <w:sz w:val="24"/>
          <w:szCs w:val="24"/>
          <w:lang w:eastAsia="en-GB"/>
        </w:rPr>
        <w:t>).</w:t>
      </w:r>
      <w:bookmarkEnd w:id="39"/>
      <w:r w:rsidRPr="00BA06B6">
        <w:rPr>
          <w:rFonts w:asciiTheme="majorBidi" w:eastAsia="Times New Roman" w:hAnsiTheme="majorBidi" w:cstheme="majorBidi"/>
          <w:sz w:val="24"/>
          <w:szCs w:val="24"/>
          <w:lang w:eastAsia="en-GB"/>
        </w:rPr>
        <w:t xml:space="preserve"> </w:t>
      </w:r>
    </w:p>
    <w:p w14:paraId="7697E89E" w14:textId="475920C4" w:rsidR="00AA068C" w:rsidRPr="00BA06B6" w:rsidRDefault="00AA068C" w:rsidP="00A1373D">
      <w:pPr>
        <w:spacing w:after="0" w:line="360" w:lineRule="auto"/>
        <w:ind w:firstLine="425"/>
        <w:jc w:val="both"/>
        <w:rPr>
          <w:rFonts w:asciiTheme="majorBidi" w:eastAsia="Times New Roman" w:hAnsiTheme="majorBidi" w:cstheme="majorBidi"/>
          <w:sz w:val="24"/>
          <w:szCs w:val="24"/>
          <w:lang w:eastAsia="en-GB"/>
        </w:rPr>
      </w:pPr>
      <w:bookmarkStart w:id="40" w:name="_Toc454034772"/>
      <w:r w:rsidRPr="00BA06B6">
        <w:rPr>
          <w:rFonts w:asciiTheme="majorBidi" w:eastAsia="Times New Roman" w:hAnsiTheme="majorBidi" w:cstheme="majorBidi"/>
          <w:sz w:val="24"/>
          <w:szCs w:val="24"/>
          <w:lang w:eastAsia="en-GB"/>
        </w:rPr>
        <w:t xml:space="preserve">Finally, the models contain a large number of bank- and country-level control variables, which past studies suggest can affect BCRs </w:t>
      </w:r>
      <w:r w:rsidRPr="00BA06B6">
        <w:rPr>
          <w:rFonts w:asciiTheme="majorBidi" w:eastAsia="Times New Roman" w:hAnsiTheme="majorBidi" w:cstheme="majorBidi"/>
          <w:sz w:val="24"/>
          <w:szCs w:val="24"/>
          <w:lang w:eastAsia="en-GB"/>
        </w:rPr>
        <w:fldChar w:fldCharType="begin">
          <w:fldData xml:space="preserve">PEVuZE5vdGU+PENpdGU+PEF1dGhvcj5TZW5ndXB0YTwvQXV0aG9yPjxZZWFyPjE5OTg8L1llYXI+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</w:fldData>
        </w:fldChar>
      </w:r>
      <w:r w:rsidRPr="00BA06B6">
        <w:rPr>
          <w:rFonts w:asciiTheme="majorBidi" w:eastAsia="Times New Roman" w:hAnsiTheme="majorBidi" w:cstheme="majorBidi"/>
          <w:sz w:val="24"/>
          <w:szCs w:val="24"/>
          <w:lang w:eastAsia="en-GB"/>
        </w:rPr>
        <w:instrText xml:space="preserve"> ADDIN EN.CITE </w:instrText>
      </w:r>
      <w:r w:rsidRPr="00BA06B6">
        <w:rPr>
          <w:rFonts w:asciiTheme="majorBidi" w:eastAsia="Times New Roman" w:hAnsiTheme="majorBidi" w:cstheme="majorBidi"/>
          <w:sz w:val="24"/>
          <w:szCs w:val="24"/>
          <w:lang w:eastAsia="en-GB"/>
        </w:rPr>
        <w:fldChar w:fldCharType="begin">
          <w:fldData xml:space="preserve">PEVuZE5vdGU+PENpdGU+PEF1dGhvcj5TZW5ndXB0YTwvQXV0aG9yPjxZZWFyPjE5OTg8L1llYXI+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</w:fldData>
        </w:fldChar>
      </w:r>
      <w:r w:rsidRPr="00BA06B6">
        <w:rPr>
          <w:rFonts w:asciiTheme="majorBidi" w:eastAsia="Times New Roman" w:hAnsiTheme="majorBidi" w:cstheme="majorBidi"/>
          <w:sz w:val="24"/>
          <w:szCs w:val="24"/>
          <w:lang w:eastAsia="en-GB"/>
        </w:rPr>
        <w:instrText xml:space="preserve"> ADDIN EN.CITE.DATA </w:instrText>
      </w:r>
      <w:r w:rsidRPr="00BA06B6">
        <w:rPr>
          <w:rFonts w:asciiTheme="majorBidi" w:eastAsia="Times New Roman" w:hAnsiTheme="majorBidi" w:cstheme="majorBidi"/>
          <w:sz w:val="24"/>
          <w:szCs w:val="24"/>
          <w:lang w:eastAsia="en-GB"/>
        </w:rPr>
      </w:r>
      <w:r w:rsidRPr="00BA06B6">
        <w:rPr>
          <w:rFonts w:asciiTheme="majorBidi" w:eastAsia="Times New Roman" w:hAnsiTheme="majorBidi" w:cstheme="majorBidi"/>
          <w:sz w:val="24"/>
          <w:szCs w:val="24"/>
          <w:lang w:eastAsia="en-GB"/>
        </w:rPr>
        <w:fldChar w:fldCharType="end"/>
      </w:r>
      <w:r w:rsidRPr="00BA06B6">
        <w:rPr>
          <w:rFonts w:asciiTheme="majorBidi" w:eastAsia="Times New Roman" w:hAnsiTheme="majorBidi" w:cstheme="majorBidi"/>
          <w:sz w:val="24"/>
          <w:szCs w:val="24"/>
          <w:lang w:eastAsia="en-GB"/>
        </w:rPr>
      </w:r>
      <w:r w:rsidRPr="00BA06B6">
        <w:rPr>
          <w:rFonts w:asciiTheme="majorBidi" w:eastAsia="Times New Roman" w:hAnsiTheme="majorBidi" w:cstheme="majorBidi"/>
          <w:sz w:val="24"/>
          <w:szCs w:val="24"/>
          <w:lang w:eastAsia="en-GB"/>
        </w:rPr>
        <w:fldChar w:fldCharType="separate"/>
      </w:r>
      <w:r w:rsidRPr="00BA06B6">
        <w:rPr>
          <w:rFonts w:asciiTheme="majorBidi" w:eastAsia="Times New Roman" w:hAnsiTheme="majorBidi" w:cstheme="majorBidi"/>
          <w:noProof/>
          <w:sz w:val="24"/>
          <w:szCs w:val="24"/>
          <w:lang w:eastAsia="en-GB"/>
        </w:rPr>
        <w:t xml:space="preserve">(e.g., </w:t>
      </w:r>
      <w:hyperlink w:anchor="_ENREF_9" w:tooltip="Aman, 2013 #285" w:history="1">
        <w:r w:rsidRPr="00BA06B6">
          <w:rPr>
            <w:rFonts w:asciiTheme="majorBidi" w:eastAsia="Times New Roman" w:hAnsiTheme="majorBidi" w:cstheme="majorBidi"/>
            <w:noProof/>
            <w:sz w:val="24"/>
            <w:szCs w:val="24"/>
            <w:lang w:eastAsia="en-GB"/>
          </w:rPr>
          <w:t xml:space="preserve">Aman </w:t>
        </w:r>
        <w:r w:rsidRPr="00BA06B6">
          <w:rPr>
            <w:rFonts w:asciiTheme="majorBidi" w:eastAsia="Times New Roman" w:hAnsiTheme="majorBidi" w:cstheme="majorBidi"/>
            <w:sz w:val="24"/>
            <w:szCs w:val="24"/>
            <w:lang w:eastAsia="en-GB"/>
          </w:rPr>
          <w:t xml:space="preserve">&amp; </w:t>
        </w:r>
        <w:r w:rsidRPr="00BA06B6">
          <w:rPr>
            <w:rFonts w:asciiTheme="majorBidi" w:eastAsia="Times New Roman" w:hAnsiTheme="majorBidi" w:cstheme="majorBidi"/>
            <w:noProof/>
            <w:sz w:val="24"/>
            <w:szCs w:val="24"/>
            <w:lang w:eastAsia="en-GB"/>
          </w:rPr>
          <w:t>Nguyen, 2013</w:t>
        </w:r>
      </w:hyperlink>
      <w:r w:rsidRPr="00BA06B6">
        <w:rPr>
          <w:rFonts w:asciiTheme="majorBidi" w:eastAsia="Times New Roman" w:hAnsiTheme="majorBidi" w:cstheme="majorBidi"/>
          <w:noProof/>
          <w:sz w:val="24"/>
          <w:szCs w:val="24"/>
          <w:lang w:eastAsia="en-GB"/>
        </w:rPr>
        <w:t xml:space="preserve">; </w:t>
      </w:r>
      <w:hyperlink w:anchor="_ENREF_14" w:tooltip="Ashbaugh-Skaife, 2006 #295" w:history="1">
        <w:r w:rsidRPr="00BA06B6">
          <w:rPr>
            <w:rFonts w:asciiTheme="majorBidi" w:eastAsia="Times New Roman" w:hAnsiTheme="majorBidi" w:cstheme="majorBidi"/>
            <w:noProof/>
            <w:sz w:val="24"/>
            <w:szCs w:val="24"/>
            <w:lang w:eastAsia="en-GB"/>
          </w:rPr>
          <w:t>Ashbaugh-Skaife et al., 2006</w:t>
        </w:r>
      </w:hyperlink>
      <w:r w:rsidRPr="00BA06B6">
        <w:rPr>
          <w:rFonts w:asciiTheme="majorBidi" w:eastAsia="Times New Roman" w:hAnsiTheme="majorBidi" w:cstheme="majorBidi"/>
          <w:noProof/>
          <w:sz w:val="24"/>
          <w:szCs w:val="24"/>
          <w:lang w:eastAsia="en-GB"/>
        </w:rPr>
        <w:t xml:space="preserve">; </w:t>
      </w:r>
      <w:hyperlink w:anchor="_ENREF_32" w:tooltip="Bhojraj, 2003 #510" w:history="1">
        <w:r w:rsidRPr="00BA06B6">
          <w:rPr>
            <w:rFonts w:asciiTheme="majorBidi" w:eastAsia="Times New Roman" w:hAnsiTheme="majorBidi" w:cstheme="majorBidi"/>
            <w:noProof/>
            <w:sz w:val="24"/>
            <w:szCs w:val="24"/>
            <w:lang w:eastAsia="en-GB"/>
          </w:rPr>
          <w:t xml:space="preserve">Bhojraj </w:t>
        </w:r>
        <w:r w:rsidRPr="00BA06B6">
          <w:rPr>
            <w:rFonts w:asciiTheme="majorBidi" w:eastAsia="Times New Roman" w:hAnsiTheme="majorBidi" w:cstheme="majorBidi"/>
            <w:sz w:val="24"/>
            <w:szCs w:val="24"/>
            <w:lang w:eastAsia="en-GB"/>
          </w:rPr>
          <w:t xml:space="preserve">&amp; </w:t>
        </w:r>
        <w:r w:rsidRPr="00BA06B6">
          <w:rPr>
            <w:rFonts w:asciiTheme="majorBidi" w:eastAsia="Times New Roman" w:hAnsiTheme="majorBidi" w:cstheme="majorBidi"/>
            <w:noProof/>
            <w:sz w:val="24"/>
            <w:szCs w:val="24"/>
            <w:lang w:eastAsia="en-GB"/>
          </w:rPr>
          <w:t>Sengupta, 2003</w:t>
        </w:r>
      </w:hyperlink>
      <w:r w:rsidRPr="00BA06B6">
        <w:rPr>
          <w:rFonts w:asciiTheme="majorBidi" w:eastAsia="Times New Roman" w:hAnsiTheme="majorBidi" w:cstheme="majorBidi"/>
          <w:noProof/>
          <w:sz w:val="24"/>
          <w:szCs w:val="24"/>
          <w:lang w:eastAsia="en-GB"/>
        </w:rPr>
        <w:t xml:space="preserve">; </w:t>
      </w:r>
      <w:hyperlink w:anchor="_ENREF_46" w:tooltip="DeBoskey, 2013 #34" w:history="1">
        <w:r w:rsidRPr="00BA06B6">
          <w:rPr>
            <w:rFonts w:asciiTheme="majorBidi" w:eastAsia="Times New Roman" w:hAnsiTheme="majorBidi" w:cstheme="majorBidi"/>
            <w:noProof/>
            <w:sz w:val="24"/>
            <w:szCs w:val="24"/>
            <w:lang w:eastAsia="en-GB"/>
          </w:rPr>
          <w:t xml:space="preserve">DeBoskey </w:t>
        </w:r>
        <w:r w:rsidRPr="00BA06B6">
          <w:rPr>
            <w:rFonts w:asciiTheme="majorBidi" w:eastAsia="Times New Roman" w:hAnsiTheme="majorBidi" w:cstheme="majorBidi"/>
            <w:sz w:val="24"/>
            <w:szCs w:val="24"/>
            <w:lang w:eastAsia="en-GB"/>
          </w:rPr>
          <w:t xml:space="preserve">&amp; </w:t>
        </w:r>
        <w:r w:rsidRPr="00BA06B6">
          <w:rPr>
            <w:rFonts w:asciiTheme="majorBidi" w:eastAsia="Times New Roman" w:hAnsiTheme="majorBidi" w:cstheme="majorBidi"/>
            <w:noProof/>
            <w:sz w:val="24"/>
            <w:szCs w:val="24"/>
            <w:lang w:eastAsia="en-GB"/>
          </w:rPr>
          <w:t>Gillett, 2013</w:t>
        </w:r>
      </w:hyperlink>
      <w:r w:rsidRPr="00BA06B6">
        <w:rPr>
          <w:rFonts w:asciiTheme="majorBidi" w:eastAsia="Times New Roman" w:hAnsiTheme="majorBidi" w:cstheme="majorBidi"/>
          <w:noProof/>
          <w:sz w:val="24"/>
          <w:szCs w:val="24"/>
          <w:lang w:eastAsia="en-GB"/>
        </w:rPr>
        <w:t xml:space="preserve">; </w:t>
      </w:r>
      <w:hyperlink w:anchor="_ENREF_67" w:tooltip="Grassa, 2015 #120" w:history="1">
        <w:r w:rsidRPr="00BA06B6">
          <w:rPr>
            <w:rFonts w:asciiTheme="majorBidi" w:eastAsia="Times New Roman" w:hAnsiTheme="majorBidi" w:cstheme="majorBidi"/>
            <w:noProof/>
            <w:sz w:val="24"/>
            <w:szCs w:val="24"/>
            <w:lang w:eastAsia="en-GB"/>
          </w:rPr>
          <w:t>Grassa, 2015</w:t>
        </w:r>
      </w:hyperlink>
      <w:r w:rsidRPr="00BA06B6">
        <w:rPr>
          <w:rFonts w:asciiTheme="majorBidi" w:eastAsia="Times New Roman" w:hAnsiTheme="majorBidi" w:cstheme="majorBidi"/>
          <w:noProof/>
          <w:sz w:val="24"/>
          <w:szCs w:val="24"/>
          <w:lang w:eastAsia="en-GB"/>
        </w:rPr>
        <w:t xml:space="preserve">; </w:t>
      </w:r>
      <w:hyperlink w:anchor="_ENREF_75" w:tooltip="Heflin, 2011 #76" w:history="1">
        <w:r w:rsidRPr="00BA06B6">
          <w:rPr>
            <w:rFonts w:asciiTheme="majorBidi" w:eastAsia="Times New Roman" w:hAnsiTheme="majorBidi" w:cstheme="majorBidi"/>
            <w:noProof/>
            <w:sz w:val="24"/>
            <w:szCs w:val="24"/>
            <w:lang w:eastAsia="en-GB"/>
          </w:rPr>
          <w:t>Heflin et al., 2011</w:t>
        </w:r>
      </w:hyperlink>
      <w:r w:rsidRPr="00BA06B6">
        <w:rPr>
          <w:rFonts w:asciiTheme="majorBidi" w:eastAsia="Times New Roman" w:hAnsiTheme="majorBidi" w:cstheme="majorBidi"/>
          <w:noProof/>
          <w:sz w:val="24"/>
          <w:szCs w:val="24"/>
          <w:lang w:eastAsia="en-GB"/>
        </w:rPr>
        <w:t xml:space="preserve">; </w:t>
      </w:r>
      <w:hyperlink w:anchor="_ENREF_90" w:tooltip="Kuang, 2013 #551" w:history="1">
        <w:r w:rsidRPr="00BA06B6">
          <w:rPr>
            <w:rFonts w:asciiTheme="majorBidi" w:eastAsia="Times New Roman" w:hAnsiTheme="majorBidi" w:cstheme="majorBidi"/>
            <w:noProof/>
            <w:sz w:val="24"/>
            <w:szCs w:val="24"/>
            <w:lang w:eastAsia="en-GB"/>
          </w:rPr>
          <w:t xml:space="preserve">Kuang </w:t>
        </w:r>
        <w:r w:rsidRPr="00BA06B6">
          <w:rPr>
            <w:rFonts w:asciiTheme="majorBidi" w:eastAsia="Times New Roman" w:hAnsiTheme="majorBidi" w:cstheme="majorBidi"/>
            <w:sz w:val="24"/>
            <w:szCs w:val="24"/>
            <w:lang w:eastAsia="en-GB"/>
          </w:rPr>
          <w:t xml:space="preserve">&amp; </w:t>
        </w:r>
        <w:r w:rsidRPr="00BA06B6">
          <w:rPr>
            <w:rFonts w:asciiTheme="majorBidi" w:eastAsia="Times New Roman" w:hAnsiTheme="majorBidi" w:cstheme="majorBidi"/>
            <w:noProof/>
            <w:sz w:val="24"/>
            <w:szCs w:val="24"/>
            <w:lang w:eastAsia="en-GB"/>
          </w:rPr>
          <w:t>Qin, 2013</w:t>
        </w:r>
      </w:hyperlink>
      <w:r w:rsidRPr="00BA06B6">
        <w:rPr>
          <w:rFonts w:asciiTheme="majorBidi" w:eastAsia="Times New Roman" w:hAnsiTheme="majorBidi" w:cstheme="majorBidi"/>
          <w:noProof/>
          <w:sz w:val="24"/>
          <w:szCs w:val="24"/>
          <w:lang w:eastAsia="en-GB"/>
        </w:rPr>
        <w:t xml:space="preserve">; </w:t>
      </w:r>
      <w:hyperlink w:anchor="_ENREF_121" w:tooltip="Sengupta, 1998 #331" w:history="1">
        <w:r w:rsidRPr="00BA06B6">
          <w:rPr>
            <w:rFonts w:asciiTheme="majorBidi" w:eastAsia="Times New Roman" w:hAnsiTheme="majorBidi" w:cstheme="majorBidi"/>
            <w:noProof/>
            <w:sz w:val="24"/>
            <w:szCs w:val="24"/>
            <w:lang w:eastAsia="en-GB"/>
          </w:rPr>
          <w:t>Sengupta, 1998</w:t>
        </w:r>
      </w:hyperlink>
      <w:r w:rsidRPr="00BA06B6">
        <w:rPr>
          <w:rFonts w:asciiTheme="majorBidi" w:eastAsia="Times New Roman" w:hAnsiTheme="majorBidi" w:cstheme="majorBidi"/>
          <w:noProof/>
          <w:sz w:val="24"/>
          <w:szCs w:val="24"/>
          <w:lang w:eastAsia="en-GB"/>
        </w:rPr>
        <w:t>)</w:t>
      </w:r>
      <w:r w:rsidRPr="00BA06B6">
        <w:rPr>
          <w:rFonts w:asciiTheme="majorBidi" w:eastAsia="Times New Roman" w:hAnsiTheme="majorBidi" w:cstheme="majorBidi"/>
          <w:sz w:val="24"/>
          <w:szCs w:val="24"/>
          <w:lang w:eastAsia="en-GB"/>
        </w:rPr>
        <w:fldChar w:fldCharType="end"/>
      </w:r>
      <w:r w:rsidRPr="00BA06B6">
        <w:rPr>
          <w:rFonts w:asciiTheme="majorBidi" w:eastAsia="Times New Roman" w:hAnsiTheme="majorBidi" w:cstheme="majorBidi"/>
          <w:sz w:val="24"/>
          <w:szCs w:val="24"/>
          <w:lang w:eastAsia="en-GB"/>
        </w:rPr>
        <w:t>. Bank-level control variables include bank size (</w:t>
      </w:r>
      <w:r w:rsidRPr="00BA06B6">
        <w:rPr>
          <w:rFonts w:asciiTheme="majorBidi" w:eastAsia="Times New Roman" w:hAnsiTheme="majorBidi" w:cstheme="majorBidi"/>
          <w:i/>
          <w:iCs/>
          <w:sz w:val="24"/>
          <w:szCs w:val="24"/>
          <w:lang w:eastAsia="en-GB"/>
        </w:rPr>
        <w:t>LNTA</w:t>
      </w:r>
      <w:r w:rsidRPr="00BA06B6">
        <w:rPr>
          <w:rFonts w:asciiTheme="majorBidi" w:eastAsia="Times New Roman" w:hAnsiTheme="majorBidi" w:cstheme="majorBidi"/>
          <w:sz w:val="24"/>
          <w:szCs w:val="24"/>
          <w:lang w:eastAsia="en-GB"/>
        </w:rPr>
        <w:t>), performance (</w:t>
      </w:r>
      <w:r w:rsidRPr="00BA06B6">
        <w:rPr>
          <w:rFonts w:asciiTheme="majorBidi" w:eastAsia="Times New Roman" w:hAnsiTheme="majorBidi" w:cstheme="majorBidi"/>
          <w:i/>
          <w:iCs/>
          <w:sz w:val="24"/>
          <w:szCs w:val="24"/>
          <w:lang w:eastAsia="en-GB"/>
        </w:rPr>
        <w:t>ROAA</w:t>
      </w:r>
      <w:r w:rsidRPr="00BA06B6">
        <w:rPr>
          <w:rFonts w:asciiTheme="majorBidi" w:eastAsia="Times New Roman" w:hAnsiTheme="majorBidi" w:cstheme="majorBidi"/>
          <w:sz w:val="24"/>
          <w:szCs w:val="24"/>
          <w:lang w:eastAsia="en-GB"/>
        </w:rPr>
        <w:t>), liquidity (</w:t>
      </w:r>
      <w:r w:rsidRPr="00BA06B6">
        <w:rPr>
          <w:rFonts w:asciiTheme="majorBidi" w:eastAsia="Times New Roman" w:hAnsiTheme="majorBidi" w:cstheme="majorBidi"/>
          <w:bCs/>
          <w:i/>
          <w:iCs/>
          <w:sz w:val="24"/>
          <w:szCs w:val="24"/>
          <w:lang w:eastAsia="en-GB"/>
        </w:rPr>
        <w:t>LIQ</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bCs/>
          <w:sz w:val="24"/>
          <w:szCs w:val="24"/>
          <w:lang w:eastAsia="en-GB"/>
        </w:rPr>
        <w:t xml:space="preserve">income diversity </w:t>
      </w:r>
      <w:r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bCs/>
          <w:i/>
          <w:iCs/>
          <w:sz w:val="24"/>
          <w:szCs w:val="24"/>
          <w:lang w:eastAsia="en-GB"/>
        </w:rPr>
        <w:t>INCD</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bCs/>
          <w:sz w:val="24"/>
          <w:szCs w:val="24"/>
          <w:lang w:eastAsia="en-GB"/>
        </w:rPr>
        <w:t>operations efficiency</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bCs/>
          <w:i/>
          <w:iCs/>
          <w:sz w:val="24"/>
          <w:szCs w:val="24"/>
          <w:lang w:eastAsia="en-GB"/>
        </w:rPr>
        <w:t>COST</w:t>
      </w:r>
      <w:r w:rsidRPr="00BA06B6">
        <w:rPr>
          <w:rFonts w:asciiTheme="majorBidi" w:eastAsia="Times New Roman" w:hAnsiTheme="majorBidi" w:cstheme="majorBidi"/>
          <w:sz w:val="24"/>
          <w:szCs w:val="24"/>
          <w:lang w:eastAsia="en-GB"/>
        </w:rPr>
        <w:t>), capital (</w:t>
      </w:r>
      <w:r w:rsidRPr="00BA06B6">
        <w:rPr>
          <w:rFonts w:asciiTheme="majorBidi" w:eastAsia="Times New Roman" w:hAnsiTheme="majorBidi" w:cstheme="majorBidi"/>
          <w:bCs/>
          <w:i/>
          <w:iCs/>
          <w:sz w:val="24"/>
          <w:szCs w:val="24"/>
          <w:lang w:eastAsia="en-GB"/>
        </w:rPr>
        <w:t>CAP</w:t>
      </w:r>
      <w:r w:rsidRPr="00BA06B6">
        <w:rPr>
          <w:rFonts w:asciiTheme="majorBidi" w:eastAsia="Times New Roman" w:hAnsiTheme="majorBidi" w:cstheme="majorBidi"/>
          <w:sz w:val="24"/>
          <w:szCs w:val="24"/>
          <w:lang w:eastAsia="en-GB"/>
        </w:rPr>
        <w:t>)</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and year dummies (</w:t>
      </w:r>
      <w:r w:rsidRPr="00BA06B6">
        <w:rPr>
          <w:rFonts w:asciiTheme="majorBidi" w:eastAsia="Times New Roman" w:hAnsiTheme="majorBidi" w:cstheme="majorBidi"/>
          <w:i/>
          <w:iCs/>
          <w:sz w:val="24"/>
          <w:szCs w:val="24"/>
          <w:lang w:eastAsia="en-GB"/>
        </w:rPr>
        <w:t>YD</w:t>
      </w:r>
      <w:r w:rsidRPr="00BA06B6">
        <w:rPr>
          <w:rFonts w:asciiTheme="majorBidi" w:eastAsia="Times New Roman" w:hAnsiTheme="majorBidi" w:cstheme="majorBidi"/>
          <w:sz w:val="24"/>
          <w:szCs w:val="24"/>
          <w:lang w:eastAsia="en-GB"/>
        </w:rPr>
        <w:t xml:space="preserve">). Country-level governance variables include </w:t>
      </w:r>
      <w:r w:rsidRPr="00BA06B6">
        <w:rPr>
          <w:rFonts w:asciiTheme="majorBidi" w:eastAsia="Times New Roman" w:hAnsiTheme="majorBidi" w:cstheme="majorBidi"/>
          <w:bCs/>
          <w:sz w:val="24"/>
          <w:szCs w:val="24"/>
          <w:lang w:eastAsia="en-GB"/>
        </w:rPr>
        <w:t>voice and accountability</w:t>
      </w:r>
      <w:r w:rsidRPr="00BA06B6">
        <w:rPr>
          <w:rFonts w:asciiTheme="majorBidi" w:eastAsia="SimSun" w:hAnsiTheme="majorBidi" w:cstheme="majorBidi"/>
          <w:bCs/>
          <w:sz w:val="24"/>
          <w:szCs w:val="24"/>
          <w:lang w:eastAsia="zh-CN"/>
        </w:rPr>
        <w:t xml:space="preserve"> (</w:t>
      </w:r>
      <w:r w:rsidRPr="00BA06B6">
        <w:rPr>
          <w:rFonts w:asciiTheme="majorBidi" w:eastAsia="Times New Roman" w:hAnsiTheme="majorBidi" w:cstheme="majorBidi"/>
          <w:bCs/>
          <w:i/>
          <w:iCs/>
          <w:sz w:val="24"/>
          <w:szCs w:val="24"/>
          <w:lang w:eastAsia="en-GB"/>
        </w:rPr>
        <w:t>V&amp;A</w:t>
      </w:r>
      <w:r w:rsidRPr="00BA06B6">
        <w:rPr>
          <w:rFonts w:asciiTheme="majorBidi" w:eastAsia="Times New Roman" w:hAnsiTheme="majorBidi" w:cstheme="majorBidi"/>
          <w:bCs/>
          <w:sz w:val="24"/>
          <w:szCs w:val="24"/>
          <w:lang w:eastAsia="en-GB"/>
        </w:rPr>
        <w:t>), regulatory quality (</w:t>
      </w:r>
      <w:r w:rsidRPr="00BA06B6">
        <w:rPr>
          <w:rFonts w:asciiTheme="majorBidi" w:eastAsia="Times New Roman" w:hAnsiTheme="majorBidi" w:cstheme="majorBidi"/>
          <w:bCs/>
          <w:i/>
          <w:iCs/>
          <w:sz w:val="24"/>
          <w:szCs w:val="24"/>
          <w:lang w:eastAsia="en-GB"/>
        </w:rPr>
        <w:t>RQ</w:t>
      </w:r>
      <w:r w:rsidRPr="00BA06B6">
        <w:rPr>
          <w:rFonts w:asciiTheme="majorBidi" w:eastAsia="Times New Roman" w:hAnsiTheme="majorBidi" w:cstheme="majorBidi"/>
          <w:bCs/>
          <w:sz w:val="24"/>
          <w:szCs w:val="24"/>
          <w:lang w:eastAsia="en-GB"/>
        </w:rPr>
        <w:t xml:space="preserve">), and </w:t>
      </w:r>
      <w:r w:rsidR="00251D60" w:rsidRPr="00BA06B6">
        <w:rPr>
          <w:rFonts w:asciiTheme="majorBidi" w:eastAsia="Times New Roman" w:hAnsiTheme="majorBidi" w:cstheme="majorBidi"/>
          <w:bCs/>
          <w:sz w:val="24"/>
          <w:szCs w:val="24"/>
          <w:lang w:eastAsia="en-GB"/>
        </w:rPr>
        <w:t xml:space="preserve">the </w:t>
      </w:r>
      <w:r w:rsidRPr="00BA06B6">
        <w:rPr>
          <w:rFonts w:asciiTheme="majorBidi" w:eastAsia="Times New Roman" w:hAnsiTheme="majorBidi" w:cstheme="majorBidi"/>
          <w:bCs/>
          <w:sz w:val="24"/>
          <w:szCs w:val="24"/>
          <w:lang w:eastAsia="en-GB"/>
        </w:rPr>
        <w:t>rule of law (</w:t>
      </w:r>
      <w:r w:rsidRPr="00BA06B6">
        <w:rPr>
          <w:rFonts w:asciiTheme="majorBidi" w:eastAsia="Times New Roman" w:hAnsiTheme="majorBidi" w:cstheme="majorBidi"/>
          <w:bCs/>
          <w:i/>
          <w:iCs/>
          <w:sz w:val="24"/>
          <w:szCs w:val="24"/>
          <w:lang w:val="en-US" w:eastAsia="en-GB"/>
        </w:rPr>
        <w:t>RL</w:t>
      </w:r>
      <w:r w:rsidRPr="00BA06B6">
        <w:rPr>
          <w:rFonts w:asciiTheme="majorBidi" w:eastAsia="Times New Roman" w:hAnsiTheme="majorBidi" w:cstheme="majorBidi"/>
          <w:bCs/>
          <w:sz w:val="24"/>
          <w:szCs w:val="24"/>
          <w:lang w:val="en-US" w:eastAsia="en-GB"/>
        </w:rPr>
        <w:t>),</w:t>
      </w:r>
      <w:r w:rsidRPr="00BA06B6">
        <w:rPr>
          <w:rFonts w:asciiTheme="majorBidi" w:eastAsia="Times New Roman" w:hAnsiTheme="majorBidi" w:cstheme="majorBidi"/>
          <w:sz w:val="24"/>
          <w:szCs w:val="24"/>
          <w:lang w:eastAsia="en-GB"/>
        </w:rPr>
        <w:t xml:space="preserve"> whilst country-level macro-economic variables include inflation (</w:t>
      </w:r>
      <w:r w:rsidRPr="00BA06B6">
        <w:rPr>
          <w:rFonts w:asciiTheme="majorBidi" w:eastAsia="Times New Roman" w:hAnsiTheme="majorBidi" w:cstheme="majorBidi"/>
          <w:i/>
          <w:iCs/>
          <w:sz w:val="24"/>
          <w:szCs w:val="24"/>
          <w:lang w:eastAsia="en-GB"/>
        </w:rPr>
        <w:t>INFL</w:t>
      </w:r>
      <w:r w:rsidRPr="00BA06B6">
        <w:rPr>
          <w:rFonts w:asciiTheme="majorBidi" w:eastAsia="Times New Roman" w:hAnsiTheme="majorBidi" w:cstheme="majorBidi"/>
          <w:sz w:val="24"/>
          <w:szCs w:val="24"/>
          <w:lang w:eastAsia="en-GB"/>
        </w:rPr>
        <w:t>), and GDP per capita (</w:t>
      </w:r>
      <w:r w:rsidRPr="00BA06B6">
        <w:rPr>
          <w:rFonts w:asciiTheme="majorBidi" w:eastAsia="Times New Roman" w:hAnsiTheme="majorBidi" w:cstheme="majorBidi"/>
          <w:i/>
          <w:iCs/>
          <w:sz w:val="24"/>
          <w:szCs w:val="24"/>
          <w:lang w:eastAsia="en-GB"/>
        </w:rPr>
        <w:t>GDP</w:t>
      </w:r>
      <w:r w:rsidRPr="00BA06B6">
        <w:rPr>
          <w:rFonts w:asciiTheme="majorBidi" w:eastAsia="Times New Roman" w:hAnsiTheme="majorBidi" w:cstheme="majorBidi"/>
          <w:sz w:val="24"/>
          <w:szCs w:val="24"/>
          <w:lang w:eastAsia="en-GB"/>
        </w:rPr>
        <w:t>)</w:t>
      </w:r>
      <w:r w:rsidR="00664216" w:rsidRPr="00BA06B6">
        <w:rPr>
          <w:rFonts w:asciiTheme="majorBidi" w:eastAsia="Times New Roman" w:hAnsiTheme="majorBidi" w:cstheme="majorBidi"/>
          <w:sz w:val="24"/>
          <w:szCs w:val="24"/>
          <w:lang w:eastAsia="en-GB"/>
        </w:rPr>
        <w:t xml:space="preserve"> (Abdallah et al., 2015; Al-</w:t>
      </w:r>
      <w:proofErr w:type="spellStart"/>
      <w:r w:rsidR="00664216" w:rsidRPr="00BA06B6">
        <w:rPr>
          <w:rFonts w:asciiTheme="majorBidi" w:eastAsia="Times New Roman" w:hAnsiTheme="majorBidi" w:cstheme="majorBidi"/>
          <w:sz w:val="24"/>
          <w:szCs w:val="24"/>
          <w:lang w:eastAsia="en-GB"/>
        </w:rPr>
        <w:t>Hadi</w:t>
      </w:r>
      <w:proofErr w:type="spellEnd"/>
      <w:r w:rsidR="00664216" w:rsidRPr="00BA06B6">
        <w:rPr>
          <w:rFonts w:asciiTheme="majorBidi" w:eastAsia="Times New Roman" w:hAnsiTheme="majorBidi" w:cstheme="majorBidi"/>
          <w:sz w:val="24"/>
          <w:szCs w:val="24"/>
          <w:lang w:eastAsia="en-GB"/>
        </w:rPr>
        <w:t xml:space="preserve"> et al., 2016a, b; Barakat &amp; Hussainey, 2013, Elamer et al., 2017, 2018, 2019)</w:t>
      </w:r>
      <w:r w:rsidRPr="00BA06B6">
        <w:rPr>
          <w:rFonts w:asciiTheme="majorBidi" w:eastAsia="Times New Roman" w:hAnsiTheme="majorBidi" w:cstheme="majorBidi"/>
          <w:sz w:val="24"/>
          <w:szCs w:val="24"/>
          <w:lang w:eastAsia="en-GB"/>
        </w:rPr>
        <w:t>.</w:t>
      </w:r>
    </w:p>
    <w:p w14:paraId="3CC3F65A" w14:textId="77777777" w:rsidR="00AA068C" w:rsidRPr="00BA06B6" w:rsidRDefault="00AA068C" w:rsidP="00AA068C">
      <w:pPr>
        <w:tabs>
          <w:tab w:val="left" w:pos="851"/>
        </w:tabs>
        <w:spacing w:after="0" w:line="240" w:lineRule="auto"/>
        <w:ind w:firstLine="720"/>
        <w:jc w:val="center"/>
        <w:rPr>
          <w:rFonts w:asciiTheme="majorBidi" w:eastAsia="Calibri" w:hAnsiTheme="majorBidi" w:cstheme="majorBidi"/>
          <w:bCs/>
          <w:sz w:val="24"/>
          <w:szCs w:val="24"/>
        </w:rPr>
      </w:pPr>
      <w:r w:rsidRPr="00BA06B6">
        <w:rPr>
          <w:rFonts w:asciiTheme="majorBidi" w:eastAsia="Times New Roman" w:hAnsiTheme="majorBidi" w:cstheme="majorBidi"/>
          <w:iCs/>
          <w:sz w:val="24"/>
          <w:szCs w:val="24"/>
          <w:lang w:eastAsia="en-GB"/>
        </w:rPr>
        <w:t xml:space="preserve">Insert </w:t>
      </w:r>
      <w:hyperlink w:anchor="Table3" w:history="1">
        <w:r w:rsidRPr="00BA06B6">
          <w:rPr>
            <w:rFonts w:asciiTheme="majorBidi" w:eastAsia="Times New Roman" w:hAnsiTheme="majorBidi" w:cstheme="majorBidi"/>
            <w:iCs/>
            <w:sz w:val="24"/>
            <w:szCs w:val="24"/>
            <w:lang w:eastAsia="en-GB"/>
          </w:rPr>
          <w:t>Table 3</w:t>
        </w:r>
      </w:hyperlink>
      <w:r w:rsidRPr="00BA06B6">
        <w:rPr>
          <w:rFonts w:asciiTheme="majorBidi" w:eastAsia="Times New Roman" w:hAnsiTheme="majorBidi" w:cstheme="majorBidi"/>
          <w:iCs/>
          <w:sz w:val="24"/>
          <w:szCs w:val="24"/>
          <w:lang w:eastAsia="en-GB"/>
        </w:rPr>
        <w:t xml:space="preserve"> about</w:t>
      </w:r>
      <w:r w:rsidRPr="00BA06B6">
        <w:rPr>
          <w:rFonts w:asciiTheme="majorBidi" w:eastAsia="Calibri" w:hAnsiTheme="majorBidi" w:cstheme="majorBidi"/>
          <w:bCs/>
          <w:sz w:val="24"/>
          <w:szCs w:val="24"/>
        </w:rPr>
        <w:t xml:space="preserve"> here</w:t>
      </w:r>
    </w:p>
    <w:p w14:paraId="44CEA566" w14:textId="77777777" w:rsidR="00AA068C" w:rsidRPr="00BA06B6" w:rsidRDefault="00AA068C" w:rsidP="00AA068C">
      <w:pPr>
        <w:spacing w:after="0" w:line="240" w:lineRule="auto"/>
        <w:ind w:firstLine="425"/>
        <w:jc w:val="both"/>
        <w:rPr>
          <w:rFonts w:asciiTheme="majorBidi" w:eastAsia="Times New Roman" w:hAnsiTheme="majorBidi" w:cstheme="majorBidi"/>
          <w:sz w:val="24"/>
          <w:szCs w:val="24"/>
          <w:lang w:eastAsia="en-GB"/>
        </w:rPr>
      </w:pPr>
      <w:bookmarkStart w:id="41" w:name="_Toc454034773"/>
      <w:bookmarkEnd w:id="40"/>
    </w:p>
    <w:p w14:paraId="46AC1791" w14:textId="77777777" w:rsidR="00AA068C" w:rsidRPr="00BA06B6" w:rsidRDefault="00AA068C" w:rsidP="00AA068C">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Assuming that all the hypothesised relationships are linear, our basic ordered logistic regression model to be estimated is:</w:t>
      </w:r>
      <w:bookmarkEnd w:id="41"/>
      <w:r w:rsidRPr="00BA06B6">
        <w:rPr>
          <w:rFonts w:asciiTheme="majorBidi" w:eastAsia="Times New Roman" w:hAnsiTheme="majorBidi" w:cstheme="majorBidi"/>
          <w:sz w:val="24"/>
          <w:szCs w:val="24"/>
          <w:lang w:eastAsia="en-GB"/>
        </w:rPr>
        <w:t xml:space="preserve">   </w:t>
      </w:r>
    </w:p>
    <w:bookmarkStart w:id="42" w:name="_Toc454034774"/>
    <w:p w14:paraId="5310E387" w14:textId="77777777" w:rsidR="00AA068C" w:rsidRPr="00BA06B6" w:rsidRDefault="00AA068C" w:rsidP="00AA068C">
      <w:pPr>
        <w:tabs>
          <w:tab w:val="left" w:pos="851"/>
          <w:tab w:val="left" w:pos="2985"/>
        </w:tabs>
        <w:spacing w:after="0" w:line="360" w:lineRule="auto"/>
        <w:jc w:val="right"/>
        <w:rPr>
          <w:rFonts w:asciiTheme="majorBidi" w:eastAsia="Calibri" w:hAnsiTheme="majorBidi" w:cstheme="majorBidi"/>
          <w:sz w:val="24"/>
          <w:szCs w:val="24"/>
        </w:rPr>
      </w:pPr>
      <w:r w:rsidRPr="00BA06B6">
        <w:rPr>
          <w:rFonts w:asciiTheme="majorBidi" w:eastAsia="Calibri" w:hAnsiTheme="majorBidi" w:cstheme="majorBidi"/>
          <w:position w:val="-28"/>
          <w:sz w:val="24"/>
          <w:szCs w:val="24"/>
        </w:rPr>
        <w:object w:dxaOrig="7020" w:dyaOrig="680" w14:anchorId="66C21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29.25pt" o:ole="">
            <v:imagedata r:id="rId13" o:title=""/>
          </v:shape>
          <o:OLEObject Type="Embed" ProgID="Equation.3" ShapeID="_x0000_i1025" DrawAspect="Content" ObjectID="_1654109773" r:id="rId14"/>
        </w:object>
      </w:r>
      <w:r w:rsidRPr="00BA06B6">
        <w:rPr>
          <w:rFonts w:asciiTheme="majorBidi" w:eastAsia="Calibri" w:hAnsiTheme="majorBidi" w:cstheme="majorBidi"/>
          <w:sz w:val="24"/>
          <w:szCs w:val="24"/>
        </w:rPr>
        <w:t xml:space="preserve">             (1)</w:t>
      </w:r>
      <w:bookmarkEnd w:id="42"/>
    </w:p>
    <w:p w14:paraId="49F58151" w14:textId="77777777" w:rsidR="00AA068C" w:rsidRPr="00BA06B6" w:rsidRDefault="00AA068C" w:rsidP="00AA068C">
      <w:pPr>
        <w:spacing w:after="0" w:line="360" w:lineRule="auto"/>
        <w:jc w:val="both"/>
        <w:rPr>
          <w:rFonts w:asciiTheme="majorBidi" w:eastAsia="Times New Roman" w:hAnsiTheme="majorBidi" w:cstheme="majorBidi"/>
          <w:sz w:val="24"/>
          <w:szCs w:val="24"/>
          <w:lang w:eastAsia="en-GB"/>
        </w:rPr>
      </w:pPr>
      <w:bookmarkStart w:id="43" w:name="_Toc454034775"/>
      <w:r w:rsidRPr="00BA06B6">
        <w:rPr>
          <w:rFonts w:asciiTheme="majorBidi" w:eastAsia="Times New Roman" w:hAnsiTheme="majorBidi" w:cstheme="majorBidi"/>
          <w:sz w:val="24"/>
          <w:szCs w:val="24"/>
          <w:lang w:eastAsia="en-GB"/>
        </w:rPr>
        <w:t>where:</w:t>
      </w:r>
      <w:bookmarkEnd w:id="43"/>
    </w:p>
    <w:p w14:paraId="6A6EE102" w14:textId="77777777" w:rsidR="00AA068C" w:rsidRPr="00BA06B6" w:rsidRDefault="00AA068C" w:rsidP="00AA068C">
      <w:pPr>
        <w:spacing w:after="0" w:line="360" w:lineRule="auto"/>
        <w:ind w:firstLine="425"/>
        <w:jc w:val="both"/>
        <w:rPr>
          <w:rFonts w:asciiTheme="majorBidi" w:eastAsia="Times New Roman" w:hAnsiTheme="majorBidi" w:cstheme="majorBidi"/>
          <w:sz w:val="24"/>
          <w:szCs w:val="24"/>
          <w:lang w:eastAsia="en-GB"/>
        </w:rPr>
      </w:pPr>
      <w:bookmarkStart w:id="44" w:name="_Toc454034776"/>
      <w:r w:rsidRPr="00BA06B6">
        <w:rPr>
          <w:rFonts w:asciiTheme="majorBidi" w:eastAsia="Times New Roman" w:hAnsiTheme="majorBidi" w:cstheme="majorBidi"/>
          <w:i/>
          <w:noProof/>
          <w:sz w:val="24"/>
          <w:szCs w:val="24"/>
          <w:lang w:eastAsia="en-GB"/>
        </w:rPr>
        <w:t>RATE</w:t>
      </w:r>
      <w:r w:rsidRPr="00BA06B6">
        <w:rPr>
          <w:rFonts w:asciiTheme="majorBidi" w:eastAsia="Times New Roman" w:hAnsiTheme="majorBidi" w:cstheme="majorBidi"/>
          <w:bCs/>
          <w:sz w:val="24"/>
          <w:szCs w:val="24"/>
          <w:lang w:eastAsia="en-GB"/>
        </w:rPr>
        <w:t xml:space="preserve"> </w:t>
      </w:r>
      <w:r w:rsidRPr="00BA06B6">
        <w:rPr>
          <w:rFonts w:asciiTheme="majorBidi" w:eastAsia="Times New Roman" w:hAnsiTheme="majorBidi" w:cstheme="majorBidi"/>
          <w:sz w:val="24"/>
          <w:szCs w:val="24"/>
          <w:lang w:eastAsia="en-GB"/>
        </w:rPr>
        <w:t>refers</w:t>
      </w:r>
      <w:r w:rsidRPr="00BA06B6">
        <w:rPr>
          <w:rFonts w:asciiTheme="majorBidi" w:eastAsia="Times New Roman" w:hAnsiTheme="majorBidi" w:cstheme="majorBidi"/>
          <w:bCs/>
          <w:sz w:val="24"/>
          <w:szCs w:val="24"/>
          <w:lang w:eastAsia="en-GB"/>
        </w:rPr>
        <w:t xml:space="preserve"> to </w:t>
      </w:r>
      <w:r w:rsidRPr="00BA06B6">
        <w:rPr>
          <w:rFonts w:asciiTheme="majorBidi" w:eastAsia="Times New Roman" w:hAnsiTheme="majorBidi" w:cstheme="majorBidi"/>
          <w:sz w:val="24"/>
          <w:szCs w:val="24"/>
          <w:lang w:eastAsia="en-GB"/>
        </w:rPr>
        <w:t>Fitch</w:t>
      </w:r>
      <w:r w:rsidRPr="00BA06B6">
        <w:rPr>
          <w:rFonts w:asciiTheme="majorBidi" w:eastAsia="Times New Roman" w:hAnsiTheme="majorBidi" w:cstheme="majorBidi"/>
          <w:bCs/>
          <w:sz w:val="24"/>
          <w:szCs w:val="24"/>
          <w:lang w:val="en-US" w:eastAsia="en-GB"/>
        </w:rPr>
        <w:t xml:space="preserve"> long-term issuer default ratings; </w:t>
      </w:r>
      <w:r w:rsidRPr="00BA06B6">
        <w:rPr>
          <w:rFonts w:asciiTheme="majorBidi" w:eastAsia="Times New Roman" w:hAnsiTheme="majorBidi" w:cstheme="majorBidi"/>
          <w:bCs/>
          <w:i/>
          <w:iCs/>
          <w:sz w:val="24"/>
          <w:szCs w:val="24"/>
          <w:lang w:val="en-US" w:eastAsia="en-GB"/>
        </w:rPr>
        <w:t>RDI</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bCs/>
          <w:sz w:val="24"/>
          <w:szCs w:val="24"/>
          <w:lang w:eastAsia="en-GB"/>
        </w:rPr>
        <w:t>refers to</w:t>
      </w:r>
      <w:r w:rsidRPr="00BA06B6">
        <w:rPr>
          <w:rFonts w:asciiTheme="majorBidi" w:eastAsia="Times New Roman" w:hAnsiTheme="majorBidi" w:cstheme="majorBidi"/>
          <w:sz w:val="24"/>
          <w:szCs w:val="24"/>
          <w:lang w:eastAsia="en-GB"/>
        </w:rPr>
        <w:t xml:space="preserve"> risk disclosure index proxy for risk disclosure level; </w:t>
      </w:r>
      <w:r w:rsidRPr="00BA06B6">
        <w:rPr>
          <w:rFonts w:asciiTheme="majorBidi" w:eastAsia="Times New Roman" w:hAnsiTheme="majorBidi" w:cstheme="majorBidi"/>
          <w:bCs/>
          <w:i/>
          <w:iCs/>
          <w:sz w:val="24"/>
          <w:szCs w:val="24"/>
          <w:lang w:val="en-US" w:eastAsia="en-GB"/>
        </w:rPr>
        <w:t>RDI</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sz w:val="24"/>
          <w:szCs w:val="24"/>
          <w:lang w:eastAsia="en-GB"/>
        </w:rPr>
        <w:t>CG</w:t>
      </w:r>
      <w:r w:rsidRPr="00BA06B6">
        <w:rPr>
          <w:rFonts w:asciiTheme="majorBidi" w:eastAsia="Times New Roman" w:hAnsiTheme="majorBidi" w:cstheme="majorBidi"/>
          <w:sz w:val="24"/>
          <w:szCs w:val="24"/>
          <w:lang w:eastAsia="en-GB"/>
        </w:rPr>
        <w:t xml:space="preserve"> refers to </w:t>
      </w:r>
      <w:r w:rsidRPr="00BA06B6">
        <w:rPr>
          <w:rFonts w:asciiTheme="majorBidi" w:eastAsia="Times New Roman" w:hAnsiTheme="majorBidi" w:cstheme="majorBidi"/>
          <w:bCs/>
          <w:i/>
          <w:iCs/>
          <w:sz w:val="24"/>
          <w:szCs w:val="24"/>
          <w:lang w:val="en-US" w:eastAsia="en-GB"/>
        </w:rPr>
        <w:t>RDI</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SSB,</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bCs/>
          <w:i/>
          <w:iCs/>
          <w:sz w:val="24"/>
          <w:szCs w:val="24"/>
          <w:lang w:val="en-US" w:eastAsia="en-GB"/>
        </w:rPr>
        <w:t>RDI</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bCs/>
          <w:i/>
          <w:iCs/>
          <w:sz w:val="24"/>
          <w:szCs w:val="24"/>
          <w:lang w:eastAsia="en-GB"/>
        </w:rPr>
        <w:t>BS</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bCs/>
          <w:i/>
          <w:iCs/>
          <w:sz w:val="24"/>
          <w:szCs w:val="24"/>
          <w:lang w:val="en-US" w:eastAsia="en-GB"/>
        </w:rPr>
        <w:t>RDI</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DUAL</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bCs/>
          <w:i/>
          <w:iCs/>
          <w:sz w:val="24"/>
          <w:szCs w:val="24"/>
          <w:lang w:val="en-US" w:eastAsia="en-GB"/>
        </w:rPr>
        <w:t>RDI</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GDB</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bCs/>
          <w:i/>
          <w:iCs/>
          <w:sz w:val="24"/>
          <w:szCs w:val="24"/>
          <w:lang w:val="en-US" w:eastAsia="en-GB"/>
        </w:rPr>
        <w:t>RDI</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sz w:val="24"/>
          <w:szCs w:val="24"/>
          <w:lang w:eastAsia="en-GB"/>
        </w:rPr>
        <w:t>BBID</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bCs/>
          <w:i/>
          <w:iCs/>
          <w:sz w:val="24"/>
          <w:szCs w:val="24"/>
          <w:lang w:val="en-US" w:eastAsia="en-GB"/>
        </w:rPr>
        <w:t>RDI</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BOWN</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bCs/>
          <w:i/>
          <w:iCs/>
          <w:sz w:val="24"/>
          <w:szCs w:val="24"/>
          <w:lang w:val="en-US" w:eastAsia="en-GB"/>
        </w:rPr>
        <w:t>RDI</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GOWN</w:t>
      </w:r>
      <w:r w:rsidRPr="00BA06B6">
        <w:rPr>
          <w:rFonts w:asciiTheme="majorBidi" w:eastAsia="Times New Roman" w:hAnsiTheme="majorBidi" w:cstheme="majorBidi"/>
          <w:sz w:val="24"/>
          <w:szCs w:val="24"/>
          <w:lang w:eastAsia="en-GB"/>
        </w:rPr>
        <w:t xml:space="preserve">, and </w:t>
      </w:r>
      <w:r w:rsidRPr="00BA06B6">
        <w:rPr>
          <w:rFonts w:asciiTheme="majorBidi" w:eastAsia="Times New Roman" w:hAnsiTheme="majorBidi" w:cstheme="majorBidi"/>
          <w:bCs/>
          <w:i/>
          <w:iCs/>
          <w:sz w:val="24"/>
          <w:szCs w:val="24"/>
          <w:lang w:val="en-US" w:eastAsia="en-GB"/>
        </w:rPr>
        <w:t>RDI</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bCs/>
          <w:i/>
          <w:iCs/>
          <w:sz w:val="24"/>
          <w:szCs w:val="24"/>
          <w:lang w:eastAsia="en-GB"/>
        </w:rPr>
        <w:t>FOWN</w:t>
      </w:r>
      <w:r w:rsidRPr="00BA06B6">
        <w:rPr>
          <w:rFonts w:asciiTheme="majorBidi" w:eastAsia="Times New Roman" w:hAnsiTheme="majorBidi" w:cstheme="majorBidi"/>
          <w:i/>
          <w:sz w:val="24"/>
          <w:szCs w:val="24"/>
          <w:lang w:eastAsia="en-GB"/>
        </w:rPr>
        <w:t>.</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CONTROLS</w:t>
      </w:r>
      <w:r w:rsidRPr="00BA06B6">
        <w:rPr>
          <w:rFonts w:asciiTheme="majorBidi" w:eastAsia="Times New Roman" w:hAnsiTheme="majorBidi" w:cstheme="majorBidi"/>
          <w:sz w:val="24"/>
          <w:szCs w:val="24"/>
          <w:lang w:eastAsia="en-GB"/>
        </w:rPr>
        <w:t xml:space="preserve"> refers to the bank- and country-level control variables, including</w:t>
      </w:r>
      <w:r w:rsidRPr="00BA06B6">
        <w:rPr>
          <w:rFonts w:asciiTheme="majorBidi" w:eastAsia="Times New Roman" w:hAnsiTheme="majorBidi" w:cstheme="majorBidi"/>
          <w:i/>
          <w:iCs/>
          <w:sz w:val="24"/>
          <w:szCs w:val="24"/>
          <w:lang w:eastAsia="en-GB"/>
        </w:rPr>
        <w:t xml:space="preserve"> LNTA</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ROAA</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bCs/>
          <w:i/>
          <w:iCs/>
          <w:sz w:val="24"/>
          <w:szCs w:val="24"/>
          <w:lang w:eastAsia="en-GB"/>
        </w:rPr>
        <w:t>LIQ</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bCs/>
          <w:i/>
          <w:iCs/>
          <w:sz w:val="24"/>
          <w:szCs w:val="24"/>
          <w:lang w:eastAsia="en-GB"/>
        </w:rPr>
        <w:t>INCD</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bCs/>
          <w:i/>
          <w:iCs/>
          <w:sz w:val="24"/>
          <w:szCs w:val="24"/>
          <w:lang w:eastAsia="en-GB"/>
        </w:rPr>
        <w:t>COST</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bCs/>
          <w:i/>
          <w:iCs/>
          <w:sz w:val="24"/>
          <w:szCs w:val="24"/>
          <w:lang w:eastAsia="en-GB"/>
        </w:rPr>
        <w:t>CAP</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bCs/>
          <w:i/>
          <w:iCs/>
          <w:sz w:val="24"/>
          <w:szCs w:val="24"/>
          <w:lang w:eastAsia="en-GB"/>
        </w:rPr>
        <w:t>V&amp;A</w:t>
      </w:r>
      <w:r w:rsidRPr="00BA06B6">
        <w:rPr>
          <w:rFonts w:asciiTheme="majorBidi" w:eastAsia="Times New Roman" w:hAnsiTheme="majorBidi" w:cstheme="majorBidi"/>
          <w:bCs/>
          <w:sz w:val="24"/>
          <w:szCs w:val="24"/>
          <w:lang w:eastAsia="en-GB"/>
        </w:rPr>
        <w:t xml:space="preserve">, </w:t>
      </w:r>
      <w:r w:rsidRPr="00BA06B6">
        <w:rPr>
          <w:rFonts w:asciiTheme="majorBidi" w:eastAsia="Times New Roman" w:hAnsiTheme="majorBidi" w:cstheme="majorBidi"/>
          <w:bCs/>
          <w:i/>
          <w:iCs/>
          <w:sz w:val="24"/>
          <w:szCs w:val="24"/>
          <w:lang w:eastAsia="en-GB"/>
        </w:rPr>
        <w:t>RQ</w:t>
      </w:r>
      <w:r w:rsidRPr="00BA06B6">
        <w:rPr>
          <w:rFonts w:asciiTheme="majorBidi" w:eastAsia="Times New Roman" w:hAnsiTheme="majorBidi" w:cstheme="majorBidi"/>
          <w:bCs/>
          <w:sz w:val="24"/>
          <w:szCs w:val="24"/>
          <w:lang w:eastAsia="en-GB"/>
        </w:rPr>
        <w:t xml:space="preserve">, </w:t>
      </w:r>
      <w:r w:rsidRPr="00BA06B6">
        <w:rPr>
          <w:rFonts w:asciiTheme="majorBidi" w:eastAsia="Times New Roman" w:hAnsiTheme="majorBidi" w:cstheme="majorBidi"/>
          <w:bCs/>
          <w:i/>
          <w:iCs/>
          <w:sz w:val="24"/>
          <w:szCs w:val="24"/>
          <w:lang w:val="en-US" w:eastAsia="en-GB"/>
        </w:rPr>
        <w:t>RL</w:t>
      </w:r>
      <w:r w:rsidRPr="00BA06B6">
        <w:rPr>
          <w:rFonts w:asciiTheme="majorBidi" w:eastAsia="Times New Roman" w:hAnsiTheme="majorBidi" w:cstheme="majorBidi"/>
          <w:bCs/>
          <w:sz w:val="24"/>
          <w:szCs w:val="24"/>
          <w:lang w:val="en-US" w:eastAsia="en-GB"/>
        </w:rPr>
        <w:t xml:space="preserve">, </w:t>
      </w:r>
      <w:r w:rsidRPr="00BA06B6">
        <w:rPr>
          <w:rFonts w:asciiTheme="majorBidi" w:eastAsia="Times New Roman" w:hAnsiTheme="majorBidi" w:cstheme="majorBidi"/>
          <w:i/>
          <w:sz w:val="24"/>
          <w:szCs w:val="24"/>
          <w:lang w:eastAsia="en-GB"/>
        </w:rPr>
        <w:t>YD</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INFL</w:t>
      </w:r>
      <w:r w:rsidRPr="00BA06B6">
        <w:rPr>
          <w:rFonts w:asciiTheme="majorBidi" w:eastAsia="Times New Roman" w:hAnsiTheme="majorBidi" w:cstheme="majorBidi"/>
          <w:sz w:val="24"/>
          <w:szCs w:val="24"/>
          <w:lang w:eastAsia="en-GB"/>
        </w:rPr>
        <w:t xml:space="preserve">, and </w:t>
      </w:r>
      <w:r w:rsidRPr="00BA06B6">
        <w:rPr>
          <w:rFonts w:asciiTheme="majorBidi" w:eastAsia="Times New Roman" w:hAnsiTheme="majorBidi" w:cstheme="majorBidi"/>
          <w:i/>
          <w:iCs/>
          <w:sz w:val="24"/>
          <w:szCs w:val="24"/>
          <w:lang w:eastAsia="en-GB"/>
        </w:rPr>
        <w:t>GDP</w:t>
      </w:r>
      <w:r w:rsidRPr="00BA06B6">
        <w:rPr>
          <w:rFonts w:asciiTheme="majorBidi" w:eastAsia="Times New Roman" w:hAnsiTheme="majorBidi" w:cstheme="majorBidi"/>
          <w:sz w:val="24"/>
          <w:szCs w:val="24"/>
          <w:lang w:eastAsia="en-GB"/>
        </w:rPr>
        <w:t xml:space="preserve">. </w:t>
      </w:r>
    </w:p>
    <w:p w14:paraId="3ABAE8BC" w14:textId="77777777" w:rsidR="00AA068C" w:rsidRPr="00BA06B6" w:rsidRDefault="00AA068C" w:rsidP="00AA068C">
      <w:pPr>
        <w:spacing w:after="0" w:line="240" w:lineRule="auto"/>
        <w:ind w:firstLine="425"/>
        <w:jc w:val="both"/>
        <w:rPr>
          <w:rFonts w:asciiTheme="majorBidi" w:eastAsia="Times New Roman" w:hAnsiTheme="majorBidi" w:cstheme="majorBidi"/>
          <w:sz w:val="24"/>
          <w:szCs w:val="24"/>
          <w:lang w:eastAsia="en-GB"/>
        </w:rPr>
      </w:pPr>
    </w:p>
    <w:p w14:paraId="2F7F5A6D" w14:textId="77777777" w:rsidR="00AA068C" w:rsidRPr="00BA06B6" w:rsidRDefault="008F77A2" w:rsidP="00136CA0">
      <w:pPr>
        <w:keepNext/>
        <w:keepLines/>
        <w:tabs>
          <w:tab w:val="left" w:pos="0"/>
        </w:tabs>
        <w:spacing w:after="0" w:line="360" w:lineRule="auto"/>
        <w:contextualSpacing/>
        <w:jc w:val="both"/>
        <w:outlineLvl w:val="0"/>
        <w:rPr>
          <w:rFonts w:asciiTheme="majorBidi" w:eastAsia="Times New Roman" w:hAnsiTheme="majorBidi" w:cstheme="majorBidi"/>
          <w:b/>
          <w:bCs/>
          <w:sz w:val="24"/>
          <w:szCs w:val="24"/>
        </w:rPr>
      </w:pPr>
      <w:bookmarkStart w:id="45" w:name="_Toc453539608"/>
      <w:bookmarkStart w:id="46" w:name="_Toc453539724"/>
      <w:bookmarkStart w:id="47" w:name="_Toc457534128"/>
      <w:bookmarkEnd w:id="44"/>
      <w:r w:rsidRPr="00BA06B6">
        <w:rPr>
          <w:rFonts w:asciiTheme="majorBidi" w:eastAsia="Times New Roman" w:hAnsiTheme="majorBidi" w:cstheme="majorBidi"/>
          <w:b/>
          <w:bCs/>
          <w:sz w:val="24"/>
          <w:szCs w:val="24"/>
        </w:rPr>
        <w:lastRenderedPageBreak/>
        <w:t xml:space="preserve"> </w:t>
      </w:r>
      <w:r w:rsidR="00136CA0" w:rsidRPr="00BA06B6">
        <w:rPr>
          <w:rFonts w:asciiTheme="majorBidi" w:eastAsia="Times New Roman" w:hAnsiTheme="majorBidi" w:cstheme="majorBidi"/>
          <w:b/>
          <w:bCs/>
          <w:sz w:val="24"/>
          <w:szCs w:val="24"/>
        </w:rPr>
        <w:t xml:space="preserve">5 </w:t>
      </w:r>
      <w:r w:rsidR="00AA068C" w:rsidRPr="00BA06B6">
        <w:rPr>
          <w:rFonts w:asciiTheme="majorBidi" w:eastAsia="Times New Roman" w:hAnsiTheme="majorBidi" w:cstheme="majorBidi"/>
          <w:b/>
          <w:bCs/>
          <w:sz w:val="24"/>
          <w:szCs w:val="24"/>
        </w:rPr>
        <w:t>|   EMPIRICAL RESULTS AND DISCUSSION</w:t>
      </w:r>
      <w:bookmarkEnd w:id="45"/>
      <w:bookmarkEnd w:id="46"/>
      <w:bookmarkEnd w:id="47"/>
    </w:p>
    <w:p w14:paraId="43BCD12D" w14:textId="77777777" w:rsidR="00AA068C" w:rsidRPr="00BA06B6" w:rsidRDefault="008F77A2" w:rsidP="00AA068C">
      <w:pPr>
        <w:keepNext/>
        <w:keepLines/>
        <w:numPr>
          <w:ilvl w:val="0"/>
          <w:numId w:val="4"/>
        </w:numPr>
        <w:tabs>
          <w:tab w:val="left" w:pos="993"/>
        </w:tabs>
        <w:spacing w:after="0" w:line="360" w:lineRule="auto"/>
        <w:ind w:left="426"/>
        <w:outlineLvl w:val="1"/>
        <w:rPr>
          <w:rFonts w:asciiTheme="majorBidi" w:eastAsia="Calibri" w:hAnsiTheme="majorBidi" w:cstheme="majorBidi"/>
          <w:b/>
          <w:bCs/>
          <w:sz w:val="24"/>
          <w:szCs w:val="24"/>
        </w:rPr>
      </w:pPr>
      <w:bookmarkStart w:id="48" w:name="_Toc453539609"/>
      <w:bookmarkStart w:id="49" w:name="_Toc453539725"/>
      <w:bookmarkStart w:id="50" w:name="_Toc457534129"/>
      <w:r w:rsidRPr="00BA06B6">
        <w:rPr>
          <w:rFonts w:asciiTheme="majorBidi" w:eastAsia="Calibri" w:hAnsiTheme="majorBidi" w:cstheme="majorBidi"/>
          <w:b/>
          <w:bCs/>
          <w:sz w:val="24"/>
          <w:szCs w:val="24"/>
        </w:rPr>
        <w:t xml:space="preserve"> </w:t>
      </w:r>
      <w:r w:rsidR="00AA068C" w:rsidRPr="00BA06B6">
        <w:rPr>
          <w:rFonts w:asciiTheme="majorBidi" w:eastAsia="Calibri" w:hAnsiTheme="majorBidi" w:cstheme="majorBidi"/>
          <w:b/>
          <w:bCs/>
          <w:sz w:val="24"/>
          <w:szCs w:val="24"/>
        </w:rPr>
        <w:t>|   Descriptive statistics and bivariate analyses</w:t>
      </w:r>
      <w:bookmarkEnd w:id="48"/>
      <w:bookmarkEnd w:id="49"/>
      <w:bookmarkEnd w:id="50"/>
      <w:r w:rsidR="00AA068C" w:rsidRPr="00BA06B6">
        <w:rPr>
          <w:rFonts w:asciiTheme="majorBidi" w:eastAsia="Calibri" w:hAnsiTheme="majorBidi" w:cstheme="majorBidi"/>
          <w:b/>
          <w:bCs/>
          <w:sz w:val="24"/>
          <w:szCs w:val="24"/>
        </w:rPr>
        <w:t xml:space="preserve"> </w:t>
      </w:r>
    </w:p>
    <w:p w14:paraId="3DB1936C" w14:textId="2E68DA06" w:rsidR="00AA068C" w:rsidRPr="00BA06B6" w:rsidRDefault="007234A6" w:rsidP="00A1373D">
      <w:pPr>
        <w:spacing w:after="0" w:line="360" w:lineRule="auto"/>
        <w:jc w:val="both"/>
        <w:rPr>
          <w:rFonts w:asciiTheme="majorBidi" w:eastAsia="Times New Roman" w:hAnsiTheme="majorBidi" w:cstheme="majorBidi"/>
          <w:sz w:val="24"/>
          <w:szCs w:val="24"/>
          <w:lang w:eastAsia="en-GB"/>
        </w:rPr>
      </w:pPr>
      <w:hyperlink w:anchor="Table4" w:history="1">
        <w:bookmarkStart w:id="51" w:name="_Toc454034801"/>
        <w:r w:rsidR="00AA068C" w:rsidRPr="00BA06B6">
          <w:rPr>
            <w:rFonts w:asciiTheme="majorBidi" w:eastAsia="Times New Roman" w:hAnsiTheme="majorBidi" w:cstheme="majorBidi"/>
            <w:noProof/>
            <w:sz w:val="24"/>
            <w:szCs w:val="24"/>
            <w:lang w:eastAsia="en-GB"/>
          </w:rPr>
          <w:t>Table</w:t>
        </w:r>
        <w:r w:rsidR="00AA068C" w:rsidRPr="00BA06B6">
          <w:rPr>
            <w:rFonts w:asciiTheme="majorBidi" w:eastAsia="Times New Roman" w:hAnsiTheme="majorBidi" w:cstheme="majorBidi"/>
            <w:sz w:val="24"/>
            <w:szCs w:val="24"/>
            <w:lang w:eastAsia="en-GB"/>
          </w:rPr>
          <w:t xml:space="preserve"> 4</w:t>
        </w:r>
      </w:hyperlink>
      <w:r w:rsidR="00AA068C" w:rsidRPr="00BA06B6">
        <w:rPr>
          <w:rFonts w:asciiTheme="majorBidi" w:eastAsia="Times New Roman" w:hAnsiTheme="majorBidi" w:cstheme="majorBidi"/>
          <w:sz w:val="24"/>
          <w:szCs w:val="24"/>
          <w:lang w:eastAsia="en-GB"/>
        </w:rPr>
        <w:t xml:space="preserve"> summarises descriptive statistics for the </w:t>
      </w:r>
      <w:r w:rsidR="00AA068C" w:rsidRPr="00BA06B6">
        <w:rPr>
          <w:rFonts w:asciiTheme="majorBidi" w:eastAsia="SimSun" w:hAnsiTheme="majorBidi" w:cstheme="majorBidi"/>
          <w:i/>
          <w:iCs/>
          <w:sz w:val="24"/>
          <w:szCs w:val="24"/>
          <w:lang w:val="en-US" w:eastAsia="en-GB"/>
        </w:rPr>
        <w:t>RATE,</w:t>
      </w:r>
      <w:r w:rsidR="00AA068C" w:rsidRPr="00BA06B6">
        <w:rPr>
          <w:rFonts w:asciiTheme="majorBidi" w:eastAsia="Times New Roman" w:hAnsiTheme="majorBidi" w:cstheme="majorBidi"/>
          <w:sz w:val="24"/>
          <w:szCs w:val="24"/>
          <w:lang w:eastAsia="en-GB"/>
        </w:rPr>
        <w:t xml:space="preserve"> </w:t>
      </w:r>
      <w:r w:rsidR="00AA068C" w:rsidRPr="00BA06B6">
        <w:rPr>
          <w:rFonts w:asciiTheme="majorBidi" w:eastAsia="SimSun" w:hAnsiTheme="majorBidi" w:cstheme="majorBidi"/>
          <w:sz w:val="24"/>
          <w:szCs w:val="24"/>
          <w:lang w:val="en-US" w:eastAsia="en-GB"/>
        </w:rPr>
        <w:t>un-weighted (</w:t>
      </w:r>
      <w:r w:rsidR="00AA068C" w:rsidRPr="00BA06B6">
        <w:rPr>
          <w:rFonts w:asciiTheme="majorBidi" w:eastAsia="SimSun" w:hAnsiTheme="majorBidi" w:cstheme="majorBidi"/>
          <w:i/>
          <w:iCs/>
          <w:sz w:val="24"/>
          <w:szCs w:val="24"/>
          <w:lang w:val="en-US" w:eastAsia="en-GB"/>
        </w:rPr>
        <w:t>RDI</w:t>
      </w:r>
      <w:r w:rsidR="00AA068C" w:rsidRPr="00BA06B6">
        <w:rPr>
          <w:rFonts w:asciiTheme="majorBidi" w:eastAsia="SimSun" w:hAnsiTheme="majorBidi" w:cstheme="majorBidi"/>
          <w:sz w:val="24"/>
          <w:szCs w:val="24"/>
          <w:lang w:val="en-US" w:eastAsia="en-GB"/>
        </w:rPr>
        <w:t>), weighted</w:t>
      </w:r>
      <w:r w:rsidR="00AA068C" w:rsidRPr="00BA06B6">
        <w:rPr>
          <w:rFonts w:asciiTheme="majorBidi" w:eastAsia="SimSun" w:hAnsiTheme="majorBidi" w:cstheme="majorBidi"/>
          <w:i/>
          <w:iCs/>
          <w:sz w:val="24"/>
          <w:szCs w:val="24"/>
          <w:lang w:val="en-US" w:eastAsia="en-GB"/>
        </w:rPr>
        <w:t xml:space="preserve"> </w:t>
      </w:r>
      <w:r w:rsidR="00AA068C" w:rsidRPr="00BA06B6">
        <w:rPr>
          <w:rFonts w:asciiTheme="majorBidi" w:eastAsia="Times New Roman" w:hAnsiTheme="majorBidi" w:cstheme="majorBidi"/>
          <w:sz w:val="24"/>
          <w:szCs w:val="24"/>
          <w:lang w:eastAsia="en-GB"/>
        </w:rPr>
        <w:t>risk disclosures index (</w:t>
      </w:r>
      <w:r w:rsidR="00AA068C" w:rsidRPr="00BA06B6">
        <w:rPr>
          <w:rFonts w:asciiTheme="majorBidi" w:eastAsia="Times New Roman" w:hAnsiTheme="majorBidi" w:cstheme="majorBidi"/>
          <w:i/>
          <w:iCs/>
          <w:sz w:val="24"/>
          <w:szCs w:val="24"/>
          <w:lang w:eastAsia="en-GB"/>
        </w:rPr>
        <w:t>W-RDI</w:t>
      </w:r>
      <w:r w:rsidR="00AA068C" w:rsidRPr="00BA06B6">
        <w:rPr>
          <w:rFonts w:asciiTheme="majorBidi" w:eastAsia="Times New Roman" w:hAnsiTheme="majorBidi" w:cstheme="majorBidi"/>
          <w:sz w:val="24"/>
          <w:szCs w:val="24"/>
          <w:lang w:eastAsia="en-GB"/>
        </w:rPr>
        <w:t xml:space="preserve">), and </w:t>
      </w:r>
      <w:r w:rsidR="00AA068C" w:rsidRPr="00BA06B6">
        <w:rPr>
          <w:rFonts w:asciiTheme="majorBidi" w:eastAsia="SimSun" w:hAnsiTheme="majorBidi" w:cstheme="majorBidi"/>
          <w:i/>
          <w:iCs/>
          <w:sz w:val="24"/>
          <w:szCs w:val="24"/>
          <w:lang w:val="en-US" w:eastAsia="en-GB"/>
        </w:rPr>
        <w:t xml:space="preserve">SSB </w:t>
      </w:r>
      <w:r w:rsidR="00AA068C" w:rsidRPr="00BA06B6">
        <w:rPr>
          <w:rFonts w:asciiTheme="majorBidi" w:eastAsia="Times New Roman" w:hAnsiTheme="majorBidi" w:cstheme="majorBidi"/>
          <w:bCs/>
          <w:sz w:val="24"/>
          <w:szCs w:val="24"/>
          <w:lang w:eastAsia="en-GB"/>
        </w:rPr>
        <w:t xml:space="preserve">for all bank fiscal years and also separately for each of the </w:t>
      </w:r>
      <w:r w:rsidR="00251D60" w:rsidRPr="00BA06B6">
        <w:rPr>
          <w:rFonts w:asciiTheme="majorBidi" w:eastAsia="Times New Roman" w:hAnsiTheme="majorBidi" w:cstheme="majorBidi"/>
          <w:bCs/>
          <w:sz w:val="24"/>
          <w:szCs w:val="24"/>
          <w:lang w:eastAsia="en-GB"/>
        </w:rPr>
        <w:t>eight-</w:t>
      </w:r>
      <w:r w:rsidR="00AA068C" w:rsidRPr="00BA06B6">
        <w:rPr>
          <w:rFonts w:asciiTheme="majorBidi" w:eastAsia="Times New Roman" w:hAnsiTheme="majorBidi" w:cstheme="majorBidi"/>
          <w:bCs/>
          <w:sz w:val="24"/>
          <w:szCs w:val="24"/>
          <w:lang w:eastAsia="en-GB"/>
        </w:rPr>
        <w:t xml:space="preserve">firm years investigated </w:t>
      </w:r>
      <w:r w:rsidR="00AA068C" w:rsidRPr="00BA06B6">
        <w:rPr>
          <w:rFonts w:asciiTheme="majorBidi" w:eastAsia="Times New Roman" w:hAnsiTheme="majorBidi" w:cstheme="majorBidi"/>
          <w:sz w:val="24"/>
          <w:szCs w:val="24"/>
          <w:lang w:eastAsia="en-GB"/>
        </w:rPr>
        <w:t xml:space="preserve">from 2006 to 2013. Table 4 shows that there is a high amount of variation in the BCRs between banks. For instance, </w:t>
      </w:r>
      <w:r w:rsidR="00AA068C" w:rsidRPr="00BA06B6">
        <w:rPr>
          <w:rFonts w:asciiTheme="majorBidi" w:eastAsia="Times New Roman" w:hAnsiTheme="majorBidi" w:cstheme="majorBidi"/>
          <w:i/>
          <w:iCs/>
          <w:sz w:val="24"/>
          <w:szCs w:val="24"/>
          <w:lang w:eastAsia="en-GB"/>
        </w:rPr>
        <w:t>RATE</w:t>
      </w:r>
      <w:r w:rsidR="00AA068C" w:rsidRPr="00BA06B6">
        <w:rPr>
          <w:rFonts w:asciiTheme="majorBidi" w:eastAsia="Times New Roman" w:hAnsiTheme="majorBidi" w:cstheme="majorBidi"/>
          <w:sz w:val="24"/>
          <w:szCs w:val="24"/>
          <w:lang w:eastAsia="en-GB"/>
        </w:rPr>
        <w:t xml:space="preserve"> ranges from a minimum of 1 (highest default likelihood) to a maximum of 19 (lowest default likelihood)</w:t>
      </w:r>
      <w:r w:rsidR="00AA068C" w:rsidRPr="00BA06B6">
        <w:rPr>
          <w:rFonts w:asciiTheme="majorBidi" w:eastAsia="SimSun" w:hAnsiTheme="majorBidi" w:cstheme="majorBidi"/>
          <w:sz w:val="24"/>
          <w:szCs w:val="24"/>
          <w:lang w:val="en-US" w:eastAsia="en-GB"/>
        </w:rPr>
        <w:t xml:space="preserve"> </w:t>
      </w:r>
      <w:r w:rsidR="00AA068C" w:rsidRPr="00BA06B6">
        <w:rPr>
          <w:rFonts w:asciiTheme="majorBidi" w:eastAsia="Times New Roman" w:hAnsiTheme="majorBidi" w:cstheme="majorBidi"/>
          <w:sz w:val="24"/>
          <w:szCs w:val="24"/>
          <w:lang w:eastAsia="en-GB"/>
        </w:rPr>
        <w:t xml:space="preserve">with the median </w:t>
      </w:r>
      <w:r w:rsidR="00AA068C" w:rsidRPr="00BA06B6">
        <w:rPr>
          <w:rFonts w:asciiTheme="majorBidi" w:eastAsia="Times New Roman" w:hAnsiTheme="majorBidi" w:cstheme="majorBidi"/>
          <w:i/>
          <w:iCs/>
          <w:sz w:val="24"/>
          <w:szCs w:val="24"/>
          <w:lang w:eastAsia="en-GB"/>
        </w:rPr>
        <w:t>RATE</w:t>
      </w:r>
      <w:r w:rsidR="00AA068C" w:rsidRPr="00BA06B6">
        <w:rPr>
          <w:rFonts w:asciiTheme="majorBidi" w:eastAsia="Times New Roman" w:hAnsiTheme="majorBidi" w:cstheme="majorBidi"/>
          <w:sz w:val="24"/>
          <w:szCs w:val="24"/>
          <w:lang w:eastAsia="en-GB"/>
        </w:rPr>
        <w:t xml:space="preserve"> of 14.12 (good credit quality), which indicates that most banks in MENA have good credit rating. However, there has been a continuous decrease in BCRs from 2008 onwards, which reflects the impact of continued crises, noticeably beginning with the GFC in 2007, and credit crunch in 2010.</w:t>
      </w:r>
      <w:bookmarkEnd w:id="51"/>
      <w:r w:rsidR="00AA068C" w:rsidRPr="00BA06B6">
        <w:rPr>
          <w:rFonts w:asciiTheme="majorBidi" w:eastAsia="Times New Roman" w:hAnsiTheme="majorBidi" w:cstheme="majorBidi"/>
          <w:sz w:val="24"/>
          <w:szCs w:val="24"/>
          <w:lang w:eastAsia="en-GB"/>
        </w:rPr>
        <w:t xml:space="preserve"> </w:t>
      </w:r>
      <w:bookmarkStart w:id="52" w:name="_Toc454035016"/>
      <w:bookmarkStart w:id="53" w:name="_Toc453542123"/>
      <w:r w:rsidR="00AA068C" w:rsidRPr="00BA06B6">
        <w:rPr>
          <w:rFonts w:asciiTheme="majorBidi" w:eastAsia="Times New Roman" w:hAnsiTheme="majorBidi" w:cstheme="majorBidi"/>
          <w:sz w:val="24"/>
          <w:szCs w:val="24"/>
          <w:lang w:eastAsia="en-GB"/>
        </w:rPr>
        <w:t xml:space="preserve">Specifically, the </w:t>
      </w:r>
      <w:r w:rsidR="00AA068C" w:rsidRPr="00BA06B6">
        <w:rPr>
          <w:rFonts w:asciiTheme="majorBidi" w:eastAsia="Times New Roman" w:hAnsiTheme="majorBidi" w:cstheme="majorBidi"/>
          <w:i/>
          <w:iCs/>
          <w:sz w:val="24"/>
          <w:szCs w:val="24"/>
          <w:lang w:eastAsia="en-GB"/>
        </w:rPr>
        <w:t>RATE</w:t>
      </w:r>
      <w:r w:rsidR="00AA068C" w:rsidRPr="00BA06B6">
        <w:rPr>
          <w:rFonts w:asciiTheme="majorBidi" w:eastAsia="Times New Roman" w:hAnsiTheme="majorBidi" w:cstheme="majorBidi"/>
          <w:sz w:val="24"/>
          <w:szCs w:val="24"/>
          <w:lang w:eastAsia="en-GB"/>
        </w:rPr>
        <w:t xml:space="preserve"> averages around </w:t>
      </w:r>
      <w:r w:rsidR="00AA068C" w:rsidRPr="00BA06B6">
        <w:rPr>
          <w:rFonts w:asciiTheme="majorBidi" w:eastAsia="SimSun" w:hAnsiTheme="majorBidi" w:cstheme="majorBidi"/>
          <w:sz w:val="24"/>
          <w:szCs w:val="24"/>
          <w:lang w:val="en-US" w:eastAsia="zh-CN"/>
        </w:rPr>
        <w:t>14.4, 14.29, 14.09</w:t>
      </w:r>
      <w:r w:rsidR="00AA068C" w:rsidRPr="00BA06B6">
        <w:rPr>
          <w:rFonts w:asciiTheme="majorBidi" w:eastAsia="Times New Roman" w:hAnsiTheme="majorBidi" w:cstheme="majorBidi"/>
          <w:sz w:val="24"/>
          <w:szCs w:val="24"/>
          <w:lang w:eastAsia="en-GB"/>
        </w:rPr>
        <w:t xml:space="preserve">, </w:t>
      </w:r>
      <w:r w:rsidR="00AA068C" w:rsidRPr="00BA06B6">
        <w:rPr>
          <w:rFonts w:asciiTheme="majorBidi" w:eastAsia="SimSun" w:hAnsiTheme="majorBidi" w:cstheme="majorBidi"/>
          <w:sz w:val="24"/>
          <w:szCs w:val="24"/>
          <w:lang w:val="en-US" w:eastAsia="zh-CN"/>
        </w:rPr>
        <w:t>13.77</w:t>
      </w:r>
      <w:r w:rsidR="00AA068C" w:rsidRPr="00BA06B6">
        <w:rPr>
          <w:rFonts w:asciiTheme="majorBidi" w:eastAsia="Times New Roman" w:hAnsiTheme="majorBidi" w:cstheme="majorBidi"/>
          <w:sz w:val="24"/>
          <w:szCs w:val="24"/>
          <w:lang w:val="en-US" w:eastAsia="en-GB"/>
        </w:rPr>
        <w:t xml:space="preserve">, </w:t>
      </w:r>
      <w:r w:rsidR="00AA068C" w:rsidRPr="00BA06B6">
        <w:rPr>
          <w:rFonts w:asciiTheme="majorBidi" w:eastAsia="SimSun" w:hAnsiTheme="majorBidi" w:cstheme="majorBidi"/>
          <w:sz w:val="24"/>
          <w:szCs w:val="24"/>
          <w:lang w:val="en-US" w:eastAsia="zh-CN"/>
        </w:rPr>
        <w:t xml:space="preserve">13.69, and 13.84 </w:t>
      </w:r>
      <w:r w:rsidR="00AA068C" w:rsidRPr="00BA06B6">
        <w:rPr>
          <w:rFonts w:asciiTheme="majorBidi" w:eastAsia="Times New Roman" w:hAnsiTheme="majorBidi" w:cstheme="majorBidi"/>
          <w:sz w:val="24"/>
          <w:szCs w:val="24"/>
          <w:lang w:eastAsia="en-GB"/>
        </w:rPr>
        <w:t xml:space="preserve">in 2008, 2009, 2010, 2011 and 2012, respectively. However, the </w:t>
      </w:r>
      <w:r w:rsidR="00AA068C" w:rsidRPr="00BA06B6">
        <w:rPr>
          <w:rFonts w:asciiTheme="majorBidi" w:eastAsia="Times New Roman" w:hAnsiTheme="majorBidi" w:cstheme="majorBidi"/>
          <w:i/>
          <w:iCs/>
          <w:sz w:val="24"/>
          <w:szCs w:val="24"/>
          <w:lang w:eastAsia="en-GB"/>
        </w:rPr>
        <w:t>RATE</w:t>
      </w:r>
      <w:r w:rsidR="00AA068C" w:rsidRPr="00BA06B6">
        <w:rPr>
          <w:rFonts w:asciiTheme="majorBidi" w:eastAsia="Times New Roman" w:hAnsiTheme="majorBidi" w:cstheme="majorBidi"/>
          <w:sz w:val="24"/>
          <w:szCs w:val="24"/>
          <w:lang w:eastAsia="en-GB"/>
        </w:rPr>
        <w:t xml:space="preserve"> started to experience observable increases in 2013, which indicates relative recovery among MENA banks from the GFC crisis’s effects. Finally, </w:t>
      </w:r>
      <w:r w:rsidR="00AA068C" w:rsidRPr="00BA06B6">
        <w:rPr>
          <w:rFonts w:asciiTheme="majorBidi" w:eastAsia="Times New Roman" w:hAnsiTheme="majorBidi" w:cstheme="majorBidi"/>
          <w:bCs/>
          <w:sz w:val="24"/>
          <w:szCs w:val="24"/>
          <w:lang w:eastAsia="en-GB"/>
        </w:rPr>
        <w:t>there is evidence that the level of</w:t>
      </w:r>
      <w:r w:rsidR="00AA068C" w:rsidRPr="00BA06B6">
        <w:rPr>
          <w:rFonts w:asciiTheme="majorBidi" w:eastAsia="Times New Roman" w:hAnsiTheme="majorBidi" w:cstheme="majorBidi"/>
          <w:sz w:val="24"/>
          <w:szCs w:val="24"/>
          <w:lang w:eastAsia="en-GB"/>
        </w:rPr>
        <w:t xml:space="preserve"> listed bank </w:t>
      </w:r>
      <w:r w:rsidR="00AA068C" w:rsidRPr="00BA06B6">
        <w:rPr>
          <w:rFonts w:asciiTheme="majorBidi" w:eastAsia="Times New Roman" w:hAnsiTheme="majorBidi" w:cstheme="majorBidi"/>
          <w:i/>
          <w:iCs/>
          <w:sz w:val="24"/>
          <w:szCs w:val="24"/>
          <w:lang w:eastAsia="en-GB"/>
        </w:rPr>
        <w:t>RATE</w:t>
      </w:r>
      <w:r w:rsidR="00AA068C" w:rsidRPr="00BA06B6">
        <w:rPr>
          <w:rFonts w:asciiTheme="majorBidi" w:eastAsia="Times New Roman" w:hAnsiTheme="majorBidi" w:cstheme="majorBidi"/>
          <w:sz w:val="24"/>
          <w:szCs w:val="24"/>
          <w:lang w:eastAsia="en-GB"/>
        </w:rPr>
        <w:t xml:space="preserve"> before GFC is higher than those reported during and after GFC. This evidence reflects the extensive rate reversals and corrective measures taken by the credit rating agencies towards addressing apparent flaws that were inherent in their rating methodologies.</w:t>
      </w:r>
      <w:bookmarkEnd w:id="52"/>
    </w:p>
    <w:p w14:paraId="60717B89" w14:textId="77777777" w:rsidR="00AA068C" w:rsidRPr="00BA06B6" w:rsidRDefault="00AA068C" w:rsidP="00AA068C">
      <w:pPr>
        <w:spacing w:before="100" w:beforeAutospacing="1" w:after="100" w:afterAutospacing="1" w:line="240" w:lineRule="auto"/>
        <w:ind w:firstLine="425"/>
        <w:jc w:val="center"/>
        <w:rPr>
          <w:rFonts w:asciiTheme="majorBidi" w:eastAsia="Times New Roman" w:hAnsiTheme="majorBidi" w:cstheme="majorBidi"/>
          <w:noProof/>
          <w:sz w:val="24"/>
          <w:szCs w:val="24"/>
          <w:lang w:eastAsia="en-GB"/>
        </w:rPr>
      </w:pPr>
      <w:r w:rsidRPr="00BA06B6">
        <w:rPr>
          <w:rFonts w:asciiTheme="majorBidi" w:eastAsia="Times New Roman" w:hAnsiTheme="majorBidi" w:cstheme="majorBidi"/>
          <w:sz w:val="24"/>
          <w:szCs w:val="24"/>
          <w:lang w:eastAsia="en-GB"/>
        </w:rPr>
        <w:t>Insert Table 4 about here</w:t>
      </w:r>
      <w:bookmarkStart w:id="54" w:name="_Toc454035017"/>
      <w:bookmarkEnd w:id="53"/>
    </w:p>
    <w:p w14:paraId="7C9D26C9" w14:textId="0780EA9B" w:rsidR="00AA068C" w:rsidRPr="00BA06B6" w:rsidRDefault="00AA068C" w:rsidP="00A1373D">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 xml:space="preserve">Also, </w:t>
      </w:r>
      <w:hyperlink w:anchor="Table4" w:history="1">
        <w:r w:rsidRPr="00BA06B6">
          <w:rPr>
            <w:rFonts w:asciiTheme="majorBidi" w:eastAsia="Times New Roman" w:hAnsiTheme="majorBidi" w:cstheme="majorBidi"/>
            <w:sz w:val="24"/>
            <w:szCs w:val="24"/>
            <w:lang w:eastAsia="en-GB"/>
          </w:rPr>
          <w:t>Table 4</w:t>
        </w:r>
      </w:hyperlink>
      <w:r w:rsidRPr="00BA06B6">
        <w:rPr>
          <w:rFonts w:asciiTheme="majorBidi" w:eastAsia="Times New Roman" w:hAnsiTheme="majorBidi" w:cstheme="majorBidi"/>
          <w:sz w:val="24"/>
          <w:szCs w:val="24"/>
          <w:lang w:eastAsia="en-GB"/>
        </w:rPr>
        <w:t xml:space="preserve"> reports that there is high variability in risk disclosures among MENA banks. For example</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and in line with past evidence (Ntim et al., 2013), the un-weighted </w:t>
      </w:r>
      <w:r w:rsidRPr="00BA06B6">
        <w:rPr>
          <w:rFonts w:asciiTheme="majorBidi" w:eastAsia="Times New Roman" w:hAnsiTheme="majorBidi" w:cstheme="majorBidi"/>
          <w:i/>
          <w:iCs/>
          <w:sz w:val="24"/>
          <w:szCs w:val="24"/>
          <w:lang w:eastAsia="en-GB"/>
        </w:rPr>
        <w:t>RDI</w:t>
      </w:r>
      <w:r w:rsidRPr="00BA06B6">
        <w:rPr>
          <w:rFonts w:asciiTheme="majorBidi" w:eastAsia="Times New Roman" w:hAnsiTheme="majorBidi" w:cstheme="majorBidi"/>
          <w:sz w:val="24"/>
          <w:szCs w:val="24"/>
          <w:lang w:eastAsia="en-GB"/>
        </w:rPr>
        <w:t xml:space="preserve"> ranges from a minimum of 1 (1.04%) to a maximum of 84 (87.50%) with a mean of </w:t>
      </w:r>
      <w:r w:rsidRPr="00BA06B6">
        <w:rPr>
          <w:rFonts w:asciiTheme="majorBidi" w:eastAsia="SimSun" w:hAnsiTheme="majorBidi" w:cstheme="majorBidi"/>
          <w:sz w:val="24"/>
          <w:szCs w:val="24"/>
          <w:lang w:val="en-US" w:eastAsia="zh-CN"/>
        </w:rPr>
        <w:t>56.24</w:t>
      </w:r>
      <w:r w:rsidRPr="00BA06B6">
        <w:rPr>
          <w:rFonts w:asciiTheme="majorBidi" w:eastAsia="Times New Roman" w:hAnsiTheme="majorBidi" w:cstheme="majorBidi"/>
          <w:sz w:val="24"/>
          <w:szCs w:val="24"/>
          <w:lang w:eastAsia="en-GB"/>
        </w:rPr>
        <w:t xml:space="preserve"> (58.58%). Risk disclosure level (percentage) indicates that there is a significant level of discretion in the bank management's disclosure choices. It is also noticeable that there has been a stable improvement in the risk disclosures during and after the crisis. For instance, the banks have </w:t>
      </w:r>
      <w:r w:rsidRPr="00BA06B6">
        <w:rPr>
          <w:rFonts w:asciiTheme="majorBidi" w:eastAsia="Times New Roman" w:hAnsiTheme="majorBidi" w:cstheme="majorBidi"/>
          <w:i/>
          <w:iCs/>
          <w:sz w:val="24"/>
          <w:szCs w:val="24"/>
          <w:lang w:eastAsia="en-GB"/>
        </w:rPr>
        <w:t>RDI</w:t>
      </w:r>
      <w:r w:rsidRPr="00BA06B6">
        <w:rPr>
          <w:rFonts w:asciiTheme="majorBidi" w:eastAsia="Times New Roman" w:hAnsiTheme="majorBidi" w:cstheme="majorBidi"/>
          <w:sz w:val="24"/>
          <w:szCs w:val="24"/>
          <w:lang w:eastAsia="en-GB"/>
        </w:rPr>
        <w:t xml:space="preserve"> mean score (percentage) of </w:t>
      </w:r>
      <w:r w:rsidRPr="00BA06B6">
        <w:rPr>
          <w:rFonts w:asciiTheme="majorBidi" w:eastAsia="Times New Roman" w:hAnsiTheme="majorBidi" w:cstheme="majorBidi"/>
          <w:sz w:val="24"/>
          <w:szCs w:val="24"/>
          <w:lang w:val="en-US" w:eastAsia="en-GB"/>
        </w:rPr>
        <w:t>35.95</w:t>
      </w:r>
      <w:r w:rsidRPr="00BA06B6">
        <w:rPr>
          <w:rFonts w:asciiTheme="majorBidi" w:eastAsia="Times New Roman" w:hAnsiTheme="majorBidi" w:cstheme="majorBidi"/>
          <w:sz w:val="24"/>
          <w:szCs w:val="24"/>
          <w:lang w:eastAsia="en-GB"/>
        </w:rPr>
        <w:t xml:space="preserve"> (37.45%), </w:t>
      </w:r>
      <w:r w:rsidRPr="00BA06B6">
        <w:rPr>
          <w:rFonts w:asciiTheme="majorBidi" w:eastAsia="Times New Roman" w:hAnsiTheme="majorBidi" w:cstheme="majorBidi"/>
          <w:sz w:val="24"/>
          <w:szCs w:val="24"/>
          <w:lang w:val="en-US" w:eastAsia="en-GB"/>
        </w:rPr>
        <w:t>49.77</w:t>
      </w:r>
      <w:r w:rsidRPr="00BA06B6">
        <w:rPr>
          <w:rFonts w:asciiTheme="majorBidi" w:eastAsia="Times New Roman" w:hAnsiTheme="majorBidi" w:cstheme="majorBidi"/>
          <w:sz w:val="24"/>
          <w:szCs w:val="24"/>
          <w:lang w:eastAsia="en-GB"/>
        </w:rPr>
        <w:t xml:space="preserve"> (51.84%), </w:t>
      </w:r>
      <w:r w:rsidRPr="00BA06B6">
        <w:rPr>
          <w:rFonts w:asciiTheme="majorBidi" w:eastAsia="Times New Roman" w:hAnsiTheme="majorBidi" w:cstheme="majorBidi"/>
          <w:sz w:val="24"/>
          <w:szCs w:val="24"/>
          <w:lang w:val="en-US" w:eastAsia="en-GB"/>
        </w:rPr>
        <w:t>54.55</w:t>
      </w:r>
      <w:r w:rsidRPr="00BA06B6">
        <w:rPr>
          <w:rFonts w:asciiTheme="majorBidi" w:eastAsia="Times New Roman" w:hAnsiTheme="majorBidi" w:cstheme="majorBidi"/>
          <w:sz w:val="24"/>
          <w:szCs w:val="24"/>
          <w:lang w:eastAsia="en-GB"/>
        </w:rPr>
        <w:t xml:space="preserve"> (56.82%), 57.44 (59.83), 61.24 (63.79%), 61.55 (64.11%), 62.51 (65.11%), and 63.60 (66.25%) in 2006, 2007, 2008, 2009, 2010, 2011, 2012, and 2013, respectively.</w:t>
      </w:r>
      <w:bookmarkEnd w:id="54"/>
      <w:r w:rsidRPr="00BA06B6">
        <w:rPr>
          <w:rFonts w:asciiTheme="majorBidi" w:eastAsia="Times New Roman" w:hAnsiTheme="majorBidi" w:cstheme="majorBidi"/>
          <w:sz w:val="24"/>
          <w:szCs w:val="24"/>
          <w:lang w:eastAsia="en-GB"/>
        </w:rPr>
        <w:t xml:space="preserve"> </w:t>
      </w:r>
    </w:p>
    <w:p w14:paraId="33E5DC10" w14:textId="408075BD" w:rsidR="00AA068C" w:rsidRPr="00BA06B6" w:rsidRDefault="00AA068C" w:rsidP="00251D60">
      <w:pPr>
        <w:spacing w:after="0" w:line="360" w:lineRule="auto"/>
        <w:ind w:firstLine="425"/>
        <w:jc w:val="both"/>
        <w:rPr>
          <w:rFonts w:asciiTheme="majorBidi" w:eastAsia="Times New Roman" w:hAnsiTheme="majorBidi" w:cstheme="majorBidi"/>
          <w:sz w:val="24"/>
          <w:szCs w:val="24"/>
          <w:lang w:eastAsia="en-GB"/>
        </w:rPr>
      </w:pPr>
      <w:bookmarkStart w:id="55" w:name="_Toc454035018"/>
      <w:r w:rsidRPr="00BA06B6">
        <w:rPr>
          <w:rFonts w:asciiTheme="majorBidi" w:eastAsia="Times New Roman" w:hAnsiTheme="majorBidi" w:cstheme="majorBidi"/>
          <w:sz w:val="24"/>
          <w:szCs w:val="24"/>
          <w:lang w:eastAsia="en-GB"/>
        </w:rPr>
        <w:t xml:space="preserve">This indicates that the GFC and credit crunch appeared to have impacted on the extent of the banks’ risk disclosures, especially after regulatory reforms (CG codes, Basel II, III and IFRS 7, 9/IAS 32, 39) in most of the countries sampled. Finally, a steady increase in </w:t>
      </w:r>
      <w:r w:rsidRPr="00BA06B6">
        <w:rPr>
          <w:rFonts w:asciiTheme="majorBidi" w:eastAsia="Times New Roman" w:hAnsiTheme="majorBidi" w:cstheme="majorBidi"/>
          <w:i/>
          <w:iCs/>
          <w:sz w:val="24"/>
          <w:szCs w:val="24"/>
          <w:lang w:eastAsia="en-GB"/>
        </w:rPr>
        <w:t>SSB</w:t>
      </w:r>
      <w:r w:rsidRPr="00BA06B6">
        <w:rPr>
          <w:rFonts w:asciiTheme="majorBidi" w:eastAsia="Times New Roman" w:hAnsiTheme="majorBidi" w:cstheme="majorBidi"/>
          <w:sz w:val="24"/>
          <w:szCs w:val="24"/>
          <w:lang w:eastAsia="en-GB"/>
        </w:rPr>
        <w:t xml:space="preserve"> is also observable, which indicates the importance of banks’ complying with </w:t>
      </w:r>
      <w:r w:rsidRPr="00BA06B6">
        <w:rPr>
          <w:rFonts w:asciiTheme="majorBidi" w:eastAsia="Times New Roman" w:hAnsiTheme="majorBidi" w:cstheme="majorBidi"/>
          <w:i/>
          <w:iCs/>
          <w:sz w:val="24"/>
          <w:szCs w:val="24"/>
          <w:lang w:eastAsia="en-GB"/>
        </w:rPr>
        <w:t xml:space="preserve">Shariah </w:t>
      </w:r>
      <w:r w:rsidRPr="00BA06B6">
        <w:rPr>
          <w:rFonts w:asciiTheme="majorBidi" w:eastAsia="Times New Roman" w:hAnsiTheme="majorBidi" w:cstheme="majorBidi"/>
          <w:sz w:val="24"/>
          <w:szCs w:val="24"/>
          <w:lang w:eastAsia="en-GB"/>
        </w:rPr>
        <w:t xml:space="preserve">rules and in signalling their </w:t>
      </w:r>
      <w:r w:rsidR="00251D60" w:rsidRPr="00BA06B6">
        <w:rPr>
          <w:rFonts w:asciiTheme="majorBidi" w:eastAsia="Times New Roman" w:hAnsiTheme="majorBidi" w:cstheme="majorBidi"/>
          <w:i/>
          <w:iCs/>
          <w:sz w:val="24"/>
          <w:szCs w:val="24"/>
          <w:lang w:eastAsia="en-GB"/>
        </w:rPr>
        <w:t>Shariah-</w:t>
      </w:r>
      <w:r w:rsidRPr="00BA06B6">
        <w:rPr>
          <w:rFonts w:asciiTheme="majorBidi" w:eastAsia="Times New Roman" w:hAnsiTheme="majorBidi" w:cstheme="majorBidi"/>
          <w:sz w:val="24"/>
          <w:szCs w:val="24"/>
          <w:lang w:eastAsia="en-GB"/>
        </w:rPr>
        <w:t xml:space="preserve">compliant status to their stakeholders with a view to legitimising their operations as shown in Table 4. However, disclosures relating to the </w:t>
      </w:r>
      <w:r w:rsidRPr="00BA06B6">
        <w:rPr>
          <w:rFonts w:asciiTheme="majorBidi" w:eastAsia="Times New Roman" w:hAnsiTheme="majorBidi" w:cstheme="majorBidi"/>
          <w:i/>
          <w:sz w:val="24"/>
          <w:szCs w:val="24"/>
          <w:lang w:eastAsia="en-GB"/>
        </w:rPr>
        <w:t>SSB’s</w:t>
      </w:r>
      <w:r w:rsidRPr="00BA06B6">
        <w:rPr>
          <w:rFonts w:asciiTheme="majorBidi" w:eastAsia="Times New Roman" w:hAnsiTheme="majorBidi" w:cstheme="majorBidi"/>
          <w:sz w:val="24"/>
          <w:szCs w:val="24"/>
          <w:lang w:eastAsia="en-GB"/>
        </w:rPr>
        <w:t xml:space="preserve"> composition </w:t>
      </w:r>
      <w:r w:rsidRPr="00BA06B6">
        <w:rPr>
          <w:rFonts w:asciiTheme="majorBidi" w:eastAsia="Times New Roman" w:hAnsiTheme="majorBidi" w:cstheme="majorBidi"/>
          <w:sz w:val="24"/>
          <w:szCs w:val="24"/>
          <w:lang w:eastAsia="en-GB"/>
        </w:rPr>
        <w:lastRenderedPageBreak/>
        <w:t xml:space="preserve">and competence is still very low, which indicates that </w:t>
      </w:r>
      <w:r w:rsidR="00251D60" w:rsidRPr="00BA06B6">
        <w:rPr>
          <w:rFonts w:asciiTheme="majorBidi" w:eastAsia="Times New Roman" w:hAnsiTheme="majorBidi" w:cstheme="majorBidi"/>
          <w:i/>
          <w:iCs/>
          <w:sz w:val="24"/>
          <w:szCs w:val="24"/>
          <w:lang w:eastAsia="en-GB"/>
        </w:rPr>
        <w:t>Shariah-</w:t>
      </w:r>
      <w:r w:rsidRPr="00BA06B6">
        <w:rPr>
          <w:rFonts w:asciiTheme="majorBidi" w:eastAsia="Times New Roman" w:hAnsiTheme="majorBidi" w:cstheme="majorBidi"/>
          <w:sz w:val="24"/>
          <w:szCs w:val="24"/>
          <w:lang w:eastAsia="en-GB"/>
        </w:rPr>
        <w:t>compliant disclosures are not common in MENA banks due to</w:t>
      </w:r>
      <w:r w:rsidR="00251D60" w:rsidRPr="00BA06B6">
        <w:rPr>
          <w:rFonts w:asciiTheme="majorBidi" w:eastAsia="Times New Roman" w:hAnsiTheme="majorBidi" w:cstheme="majorBidi"/>
          <w:sz w:val="24"/>
          <w:szCs w:val="24"/>
          <w:lang w:eastAsia="en-GB"/>
        </w:rPr>
        <w:t xml:space="preserve"> adverse disclosur</w:t>
      </w:r>
      <w:r w:rsidRPr="00BA06B6">
        <w:rPr>
          <w:rFonts w:asciiTheme="majorBidi" w:eastAsia="Times New Roman" w:hAnsiTheme="majorBidi" w:cstheme="majorBidi"/>
          <w:sz w:val="24"/>
          <w:szCs w:val="24"/>
          <w:lang w:eastAsia="en-GB"/>
        </w:rPr>
        <w:t>e culture (</w:t>
      </w:r>
      <w:proofErr w:type="spellStart"/>
      <w:r w:rsidRPr="00BA06B6">
        <w:rPr>
          <w:rFonts w:asciiTheme="majorBidi" w:eastAsia="Times New Roman" w:hAnsiTheme="majorBidi" w:cstheme="majorBidi"/>
          <w:sz w:val="24"/>
          <w:szCs w:val="24"/>
          <w:lang w:eastAsia="en-GB"/>
        </w:rPr>
        <w:t>Koldertsova</w:t>
      </w:r>
      <w:proofErr w:type="spellEnd"/>
      <w:r w:rsidRPr="00BA06B6">
        <w:rPr>
          <w:rFonts w:asciiTheme="majorBidi" w:eastAsia="Times New Roman" w:hAnsiTheme="majorBidi" w:cstheme="majorBidi"/>
          <w:sz w:val="24"/>
          <w:szCs w:val="24"/>
          <w:lang w:eastAsia="en-GB"/>
        </w:rPr>
        <w:t>, 2011; Samaha et al., 2012; World Bank, 2009).</w:t>
      </w:r>
      <w:bookmarkEnd w:id="55"/>
    </w:p>
    <w:p w14:paraId="14383326" w14:textId="5FB399C1" w:rsidR="00AA068C" w:rsidRPr="00BA06B6" w:rsidRDefault="007234A6" w:rsidP="00AA068C">
      <w:pPr>
        <w:spacing w:after="0" w:line="360" w:lineRule="auto"/>
        <w:ind w:firstLine="425"/>
        <w:jc w:val="both"/>
        <w:rPr>
          <w:rFonts w:asciiTheme="majorBidi" w:eastAsia="Times New Roman" w:hAnsiTheme="majorBidi" w:cstheme="majorBidi"/>
          <w:sz w:val="24"/>
          <w:szCs w:val="24"/>
          <w:lang w:eastAsia="en-GB"/>
        </w:rPr>
      </w:pPr>
      <w:hyperlink w:anchor="Table5" w:history="1">
        <w:bookmarkStart w:id="56" w:name="_Toc454035136"/>
        <w:r w:rsidR="00AA068C" w:rsidRPr="00BA06B6">
          <w:rPr>
            <w:rFonts w:asciiTheme="majorBidi" w:eastAsia="Times New Roman" w:hAnsiTheme="majorBidi" w:cstheme="majorBidi"/>
            <w:sz w:val="24"/>
            <w:szCs w:val="24"/>
            <w:lang w:eastAsia="en-GB"/>
          </w:rPr>
          <w:t>Table 5</w:t>
        </w:r>
      </w:hyperlink>
      <w:r w:rsidR="00AA068C" w:rsidRPr="00BA06B6">
        <w:rPr>
          <w:rFonts w:asciiTheme="majorBidi" w:eastAsia="Times New Roman" w:hAnsiTheme="majorBidi" w:cstheme="majorBidi"/>
          <w:sz w:val="24"/>
          <w:szCs w:val="24"/>
          <w:lang w:eastAsia="en-GB"/>
        </w:rPr>
        <w:t xml:space="preserve"> reports descriptive statistics for various governance and control variables included in the models. Generally, there is variability in the distribution of all the variables. For instance, </w:t>
      </w:r>
      <w:r w:rsidR="00AA068C" w:rsidRPr="00BA06B6">
        <w:rPr>
          <w:rFonts w:asciiTheme="majorBidi" w:eastAsia="Times New Roman" w:hAnsiTheme="majorBidi" w:cstheme="majorBidi"/>
          <w:i/>
          <w:iCs/>
          <w:sz w:val="24"/>
          <w:szCs w:val="24"/>
          <w:lang w:eastAsia="en-GB"/>
        </w:rPr>
        <w:t>BOWN</w:t>
      </w:r>
      <w:r w:rsidR="00AA068C" w:rsidRPr="00BA06B6">
        <w:rPr>
          <w:rFonts w:asciiTheme="majorBidi" w:eastAsia="Times New Roman" w:hAnsiTheme="majorBidi" w:cstheme="majorBidi"/>
          <w:sz w:val="24"/>
          <w:szCs w:val="24"/>
          <w:lang w:eastAsia="en-GB"/>
        </w:rPr>
        <w:t xml:space="preserve"> ranges from 0% to 100%</w:t>
      </w:r>
      <w:r w:rsidR="00251D60" w:rsidRPr="00BA06B6">
        <w:rPr>
          <w:rFonts w:asciiTheme="majorBidi" w:eastAsia="Times New Roman" w:hAnsiTheme="majorBidi" w:cstheme="majorBidi"/>
          <w:sz w:val="24"/>
          <w:szCs w:val="24"/>
          <w:lang w:eastAsia="en-GB"/>
        </w:rPr>
        <w:t>,</w:t>
      </w:r>
      <w:r w:rsidR="00AA068C" w:rsidRPr="00BA06B6">
        <w:rPr>
          <w:rFonts w:asciiTheme="majorBidi" w:eastAsia="Times New Roman" w:hAnsiTheme="majorBidi" w:cstheme="majorBidi"/>
          <w:sz w:val="24"/>
          <w:szCs w:val="24"/>
          <w:lang w:eastAsia="en-GB"/>
        </w:rPr>
        <w:t xml:space="preserve"> with an average value of 55.44%. This suggests that despite the recommendations of the Basel Accords, World Bank and OECD best practices regarding the need for greater diversity in ownership structure, MENA banks still have high levels of ownership concentration.</w:t>
      </w:r>
      <w:bookmarkEnd w:id="56"/>
      <w:r w:rsidR="00AA068C" w:rsidRPr="00BA06B6">
        <w:rPr>
          <w:rFonts w:asciiTheme="majorBidi" w:eastAsia="Times New Roman" w:hAnsiTheme="majorBidi" w:cstheme="majorBidi"/>
          <w:sz w:val="24"/>
          <w:szCs w:val="24"/>
          <w:lang w:eastAsia="en-GB"/>
        </w:rPr>
        <w:t xml:space="preserve"> </w:t>
      </w:r>
    </w:p>
    <w:p w14:paraId="4B0EEA68" w14:textId="77777777" w:rsidR="00AA068C" w:rsidRPr="00BA06B6" w:rsidRDefault="00AA068C" w:rsidP="00AA068C">
      <w:pPr>
        <w:spacing w:before="100" w:beforeAutospacing="1" w:after="100" w:afterAutospacing="1" w:line="240" w:lineRule="auto"/>
        <w:ind w:firstLine="425"/>
        <w:jc w:val="center"/>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Insert Table 5 about here</w:t>
      </w:r>
    </w:p>
    <w:p w14:paraId="16437B10" w14:textId="23494CB9" w:rsidR="00AA068C" w:rsidRPr="00BA06B6" w:rsidRDefault="00AA068C" w:rsidP="00A1373D">
      <w:pPr>
        <w:spacing w:after="0" w:line="360" w:lineRule="auto"/>
        <w:ind w:firstLine="425"/>
        <w:jc w:val="both"/>
        <w:rPr>
          <w:rFonts w:asciiTheme="majorBidi" w:eastAsia="Times New Roman" w:hAnsiTheme="majorBidi" w:cstheme="majorBidi"/>
          <w:sz w:val="24"/>
          <w:szCs w:val="24"/>
          <w:lang w:eastAsia="en-GB"/>
        </w:rPr>
      </w:pPr>
      <w:bookmarkStart w:id="57" w:name="_Toc454035137"/>
      <w:r w:rsidRPr="00BA06B6">
        <w:rPr>
          <w:rFonts w:asciiTheme="majorBidi" w:eastAsia="Times New Roman" w:hAnsiTheme="majorBidi" w:cstheme="majorBidi"/>
          <w:sz w:val="24"/>
          <w:szCs w:val="24"/>
          <w:lang w:eastAsia="en-GB"/>
        </w:rPr>
        <w:t xml:space="preserve">Further, our descriptive statistics indicate that the majority of the sampled banks’ are profitable with a mean profitability ratio of </w:t>
      </w:r>
      <w:r w:rsidRPr="00BA06B6">
        <w:rPr>
          <w:rFonts w:asciiTheme="majorBidi" w:eastAsia="Times New Roman" w:hAnsiTheme="majorBidi" w:cstheme="majorBidi"/>
          <w:sz w:val="24"/>
          <w:szCs w:val="24"/>
          <w:lang w:val="en-US" w:eastAsia="en-GB"/>
        </w:rPr>
        <w:t>1.73%</w:t>
      </w:r>
      <w:r w:rsidRPr="00BA06B6">
        <w:rPr>
          <w:rFonts w:asciiTheme="majorBidi" w:eastAsia="Times New Roman" w:hAnsiTheme="majorBidi" w:cstheme="majorBidi"/>
          <w:sz w:val="24"/>
          <w:szCs w:val="24"/>
          <w:lang w:eastAsia="en-GB"/>
        </w:rPr>
        <w:t xml:space="preserve">. Moreover, </w:t>
      </w:r>
      <w:hyperlink w:anchor="Table5" w:history="1">
        <w:r w:rsidRPr="00BA06B6">
          <w:rPr>
            <w:rFonts w:asciiTheme="majorBidi" w:eastAsia="Times New Roman" w:hAnsiTheme="majorBidi" w:cstheme="majorBidi"/>
            <w:sz w:val="24"/>
            <w:szCs w:val="24"/>
            <w:lang w:eastAsia="en-GB"/>
          </w:rPr>
          <w:t>Table 5</w:t>
        </w:r>
      </w:hyperlink>
      <w:r w:rsidRPr="00BA06B6">
        <w:rPr>
          <w:rFonts w:asciiTheme="majorBidi" w:eastAsia="Times New Roman" w:hAnsiTheme="majorBidi" w:cstheme="majorBidi"/>
          <w:sz w:val="24"/>
          <w:szCs w:val="24"/>
          <w:lang w:eastAsia="en-GB"/>
        </w:rPr>
        <w:t xml:space="preserve"> indicates that most of the banks in the sample make a distinction between the chairman and CEO positions with a mean of </w:t>
      </w:r>
      <w:r w:rsidRPr="00BA06B6">
        <w:rPr>
          <w:rFonts w:asciiTheme="majorBidi" w:eastAsia="Times New Roman" w:hAnsiTheme="majorBidi" w:cstheme="majorBidi"/>
          <w:sz w:val="24"/>
          <w:szCs w:val="24"/>
          <w:lang w:val="en-US" w:eastAsia="en-GB"/>
        </w:rPr>
        <w:t>81%,</w:t>
      </w:r>
      <w:r w:rsidRPr="00BA06B6">
        <w:rPr>
          <w:rFonts w:asciiTheme="majorBidi" w:eastAsia="Times New Roman" w:hAnsiTheme="majorBidi" w:cstheme="majorBidi"/>
          <w:sz w:val="24"/>
          <w:szCs w:val="24"/>
          <w:lang w:eastAsia="en-GB"/>
        </w:rPr>
        <w:t xml:space="preserve"> and these findings are consistent with the best practice governance reforms that have been pursued throughout the MENA region.</w:t>
      </w:r>
      <w:bookmarkStart w:id="58" w:name="_Toc454035138"/>
      <w:bookmarkEnd w:id="57"/>
      <w:r w:rsidRPr="00BA06B6">
        <w:rPr>
          <w:rFonts w:asciiTheme="majorBidi" w:eastAsia="Times New Roman" w:hAnsiTheme="majorBidi" w:cstheme="majorBidi"/>
          <w:sz w:val="24"/>
          <w:szCs w:val="24"/>
          <w:lang w:eastAsia="en-GB"/>
        </w:rPr>
        <w:t xml:space="preserve"> Although the board size ranges from five to fifteen directors with a mean of </w:t>
      </w:r>
      <w:r w:rsidRPr="00BA06B6">
        <w:rPr>
          <w:rFonts w:asciiTheme="majorBidi" w:eastAsia="Times New Roman" w:hAnsiTheme="majorBidi" w:cstheme="majorBidi"/>
          <w:sz w:val="24"/>
          <w:szCs w:val="24"/>
          <w:lang w:val="en-US" w:eastAsia="en-GB"/>
        </w:rPr>
        <w:t xml:space="preserve">9.50 </w:t>
      </w:r>
      <w:r w:rsidRPr="00BA06B6">
        <w:rPr>
          <w:rFonts w:asciiTheme="majorBidi" w:eastAsia="Times New Roman" w:hAnsiTheme="majorBidi" w:cstheme="majorBidi"/>
          <w:sz w:val="24"/>
          <w:szCs w:val="24"/>
          <w:lang w:eastAsia="en-GB"/>
        </w:rPr>
        <w:t xml:space="preserve">directors, only </w:t>
      </w:r>
      <w:r w:rsidRPr="00BA06B6">
        <w:rPr>
          <w:rFonts w:asciiTheme="majorBidi" w:eastAsia="Times New Roman" w:hAnsiTheme="majorBidi" w:cstheme="majorBidi"/>
          <w:sz w:val="24"/>
          <w:szCs w:val="24"/>
          <w:lang w:val="en-US" w:eastAsia="en-GB"/>
        </w:rPr>
        <w:t xml:space="preserve">2% of them are observably </w:t>
      </w:r>
      <w:r w:rsidRPr="00BA06B6">
        <w:rPr>
          <w:rFonts w:asciiTheme="majorBidi" w:eastAsia="Times New Roman" w:hAnsiTheme="majorBidi" w:cstheme="majorBidi"/>
          <w:sz w:val="24"/>
          <w:szCs w:val="24"/>
          <w:lang w:eastAsia="en-GB"/>
        </w:rPr>
        <w:t xml:space="preserve">female directors with a maximum of </w:t>
      </w:r>
      <w:r w:rsidRPr="00BA06B6">
        <w:rPr>
          <w:rFonts w:asciiTheme="majorBidi" w:eastAsia="Times New Roman" w:hAnsiTheme="majorBidi" w:cstheme="majorBidi"/>
          <w:sz w:val="24"/>
          <w:szCs w:val="24"/>
          <w:lang w:val="en-US" w:eastAsia="en-GB"/>
        </w:rPr>
        <w:t>27%. This means that men dominate MENA banks’ boards.</w:t>
      </w:r>
      <w:r w:rsidRPr="00BA06B6">
        <w:rPr>
          <w:rFonts w:asciiTheme="majorBidi" w:eastAsia="Times New Roman" w:hAnsiTheme="majorBidi" w:cstheme="majorBidi"/>
          <w:sz w:val="24"/>
          <w:szCs w:val="24"/>
          <w:lang w:eastAsia="en-GB"/>
        </w:rPr>
        <w:t xml:space="preserve"> Regarding the country-level governance variables, </w:t>
      </w:r>
      <w:hyperlink w:anchor="Table5" w:history="1">
        <w:r w:rsidRPr="00BA06B6">
          <w:rPr>
            <w:rFonts w:asciiTheme="majorBidi" w:eastAsia="Times New Roman" w:hAnsiTheme="majorBidi" w:cstheme="majorBidi"/>
            <w:sz w:val="24"/>
            <w:szCs w:val="24"/>
            <w:lang w:eastAsia="en-GB"/>
          </w:rPr>
          <w:t>Table 5</w:t>
        </w:r>
      </w:hyperlink>
      <w:r w:rsidRPr="00BA06B6">
        <w:rPr>
          <w:rFonts w:asciiTheme="majorBidi" w:eastAsia="Times New Roman" w:hAnsiTheme="majorBidi" w:cstheme="majorBidi"/>
          <w:sz w:val="24"/>
          <w:szCs w:val="24"/>
          <w:lang w:eastAsia="en-GB"/>
        </w:rPr>
        <w:t xml:space="preserve"> shows that </w:t>
      </w:r>
      <w:r w:rsidRPr="00BA06B6">
        <w:rPr>
          <w:rFonts w:asciiTheme="majorBidi" w:eastAsia="Times New Roman" w:hAnsiTheme="majorBidi" w:cstheme="majorBidi"/>
          <w:bCs/>
          <w:i/>
          <w:iCs/>
          <w:sz w:val="24"/>
          <w:szCs w:val="24"/>
          <w:lang w:eastAsia="en-GB"/>
        </w:rPr>
        <w:t>voice and accountability</w:t>
      </w:r>
      <w:r w:rsidRPr="00BA06B6">
        <w:rPr>
          <w:rFonts w:asciiTheme="majorBidi" w:eastAsia="Times New Roman" w:hAnsiTheme="majorBidi" w:cstheme="majorBidi"/>
          <w:bCs/>
          <w:sz w:val="24"/>
          <w:szCs w:val="24"/>
          <w:lang w:eastAsia="en-GB"/>
        </w:rPr>
        <w:t xml:space="preserve"> </w:t>
      </w:r>
      <w:r w:rsidR="00B91469" w:rsidRPr="00BA06B6">
        <w:rPr>
          <w:rFonts w:asciiTheme="majorBidi" w:eastAsia="Times New Roman" w:hAnsiTheme="majorBidi" w:cstheme="majorBidi"/>
          <w:bCs/>
          <w:sz w:val="24"/>
          <w:szCs w:val="24"/>
          <w:lang w:eastAsia="en-GB"/>
        </w:rPr>
        <w:t xml:space="preserve">is </w:t>
      </w:r>
      <w:r w:rsidRPr="00BA06B6">
        <w:rPr>
          <w:rFonts w:asciiTheme="majorBidi" w:eastAsia="Times New Roman" w:hAnsiTheme="majorBidi" w:cstheme="majorBidi"/>
          <w:bCs/>
          <w:sz w:val="24"/>
          <w:szCs w:val="24"/>
          <w:lang w:eastAsia="en-GB"/>
        </w:rPr>
        <w:t xml:space="preserve">poor, with a mean value of </w:t>
      </w:r>
      <w:r w:rsidRPr="00BA06B6">
        <w:rPr>
          <w:rFonts w:asciiTheme="majorBidi" w:eastAsia="Times New Roman" w:hAnsiTheme="majorBidi" w:cstheme="majorBidi"/>
          <w:bCs/>
          <w:sz w:val="24"/>
          <w:szCs w:val="24"/>
          <w:lang w:val="en-US" w:eastAsia="en-GB"/>
        </w:rPr>
        <w:t xml:space="preserve">-0.96 and ranges between -1.86 and -0.11. In addition, </w:t>
      </w:r>
      <w:r w:rsidRPr="00BA06B6">
        <w:rPr>
          <w:rFonts w:asciiTheme="majorBidi" w:eastAsia="Times New Roman" w:hAnsiTheme="majorBidi" w:cstheme="majorBidi"/>
          <w:bCs/>
          <w:sz w:val="24"/>
          <w:szCs w:val="24"/>
          <w:lang w:eastAsia="en-GB"/>
        </w:rPr>
        <w:t>regulatory quality (</w:t>
      </w:r>
      <w:r w:rsidRPr="00BA06B6">
        <w:rPr>
          <w:rFonts w:asciiTheme="majorBidi" w:eastAsia="Times New Roman" w:hAnsiTheme="majorBidi" w:cstheme="majorBidi"/>
          <w:bCs/>
          <w:i/>
          <w:iCs/>
          <w:sz w:val="24"/>
          <w:szCs w:val="24"/>
          <w:lang w:eastAsia="en-GB"/>
        </w:rPr>
        <w:t>RQ</w:t>
      </w:r>
      <w:r w:rsidRPr="00BA06B6">
        <w:rPr>
          <w:rFonts w:asciiTheme="majorBidi" w:eastAsia="Times New Roman" w:hAnsiTheme="majorBidi" w:cstheme="majorBidi"/>
          <w:bCs/>
          <w:sz w:val="24"/>
          <w:szCs w:val="24"/>
          <w:lang w:eastAsia="en-GB"/>
        </w:rPr>
        <w:t xml:space="preserve">) and </w:t>
      </w:r>
      <w:r w:rsidR="00251D60" w:rsidRPr="00BA06B6">
        <w:rPr>
          <w:rFonts w:asciiTheme="majorBidi" w:eastAsia="Times New Roman" w:hAnsiTheme="majorBidi" w:cstheme="majorBidi"/>
          <w:bCs/>
          <w:sz w:val="24"/>
          <w:szCs w:val="24"/>
          <w:lang w:eastAsia="en-GB"/>
        </w:rPr>
        <w:t xml:space="preserve">the </w:t>
      </w:r>
      <w:r w:rsidRPr="00BA06B6">
        <w:rPr>
          <w:rFonts w:asciiTheme="majorBidi" w:eastAsia="Times New Roman" w:hAnsiTheme="majorBidi" w:cstheme="majorBidi"/>
          <w:bCs/>
          <w:sz w:val="24"/>
          <w:szCs w:val="24"/>
          <w:lang w:eastAsia="en-GB"/>
        </w:rPr>
        <w:t>rule of low (</w:t>
      </w:r>
      <w:r w:rsidRPr="00BA06B6">
        <w:rPr>
          <w:rFonts w:asciiTheme="majorBidi" w:eastAsia="Times New Roman" w:hAnsiTheme="majorBidi" w:cstheme="majorBidi"/>
          <w:bCs/>
          <w:i/>
          <w:iCs/>
          <w:sz w:val="24"/>
          <w:szCs w:val="24"/>
          <w:lang w:val="en-US" w:eastAsia="en-GB"/>
        </w:rPr>
        <w:t>RL</w:t>
      </w:r>
      <w:r w:rsidRPr="00BA06B6">
        <w:rPr>
          <w:rFonts w:asciiTheme="majorBidi" w:eastAsia="Times New Roman" w:hAnsiTheme="majorBidi" w:cstheme="majorBidi"/>
          <w:bCs/>
          <w:sz w:val="24"/>
          <w:szCs w:val="24"/>
          <w:lang w:val="en-US" w:eastAsia="en-GB"/>
        </w:rPr>
        <w:t>)</w:t>
      </w:r>
      <w:r w:rsidRPr="00BA06B6">
        <w:rPr>
          <w:rFonts w:asciiTheme="majorBidi" w:eastAsia="Times New Roman" w:hAnsiTheme="majorBidi" w:cstheme="majorBidi"/>
          <w:sz w:val="24"/>
          <w:szCs w:val="24"/>
          <w:lang w:eastAsia="en-GB"/>
        </w:rPr>
        <w:t xml:space="preserve"> reflect country-level governance quality with mean values of 0.28 and 0.30, respectively. Finally, the values of </w:t>
      </w:r>
      <w:r w:rsidRPr="00BA06B6">
        <w:rPr>
          <w:rFonts w:asciiTheme="majorBidi" w:eastAsia="Times New Roman" w:hAnsiTheme="majorBidi" w:cstheme="majorBidi"/>
          <w:i/>
          <w:iCs/>
          <w:sz w:val="24"/>
          <w:szCs w:val="24"/>
          <w:lang w:eastAsia="en-GB"/>
        </w:rPr>
        <w:t>LNTA</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LIQ</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INCD</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COST</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CAP</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INFL</w:t>
      </w:r>
      <w:r w:rsidRPr="00BA06B6">
        <w:rPr>
          <w:rFonts w:asciiTheme="majorBidi" w:eastAsia="Times New Roman" w:hAnsiTheme="majorBidi" w:cstheme="majorBidi"/>
          <w:sz w:val="24"/>
          <w:szCs w:val="24"/>
          <w:lang w:eastAsia="en-GB"/>
        </w:rPr>
        <w:t xml:space="preserve">, and </w:t>
      </w:r>
      <w:r w:rsidRPr="00BA06B6">
        <w:rPr>
          <w:rFonts w:asciiTheme="majorBidi" w:eastAsia="Times New Roman" w:hAnsiTheme="majorBidi" w:cstheme="majorBidi"/>
          <w:i/>
          <w:iCs/>
          <w:sz w:val="24"/>
          <w:szCs w:val="24"/>
          <w:lang w:eastAsia="en-GB"/>
        </w:rPr>
        <w:t xml:space="preserve">GDP </w:t>
      </w:r>
      <w:r w:rsidRPr="00BA06B6">
        <w:rPr>
          <w:rFonts w:asciiTheme="majorBidi" w:eastAsia="Times New Roman" w:hAnsiTheme="majorBidi" w:cstheme="majorBidi"/>
          <w:sz w:val="24"/>
          <w:szCs w:val="24"/>
          <w:lang w:eastAsia="en-GB"/>
        </w:rPr>
        <w:t xml:space="preserve">as shown in </w:t>
      </w:r>
      <w:hyperlink w:anchor="Table5" w:history="1">
        <w:r w:rsidRPr="00BA06B6">
          <w:rPr>
            <w:rFonts w:asciiTheme="majorBidi" w:eastAsia="Times New Roman" w:hAnsiTheme="majorBidi" w:cstheme="majorBidi"/>
            <w:sz w:val="24"/>
            <w:szCs w:val="24"/>
            <w:lang w:eastAsia="en-GB"/>
          </w:rPr>
          <w:t>Table 5</w:t>
        </w:r>
      </w:hyperlink>
      <w:r w:rsidRPr="00BA06B6">
        <w:rPr>
          <w:rFonts w:asciiTheme="majorBidi" w:eastAsia="Times New Roman" w:hAnsiTheme="majorBidi" w:cstheme="majorBidi"/>
          <w:sz w:val="24"/>
          <w:szCs w:val="24"/>
          <w:lang w:eastAsia="en-GB"/>
        </w:rPr>
        <w:t xml:space="preserve"> suggest wide variability in the sample and thus reduce possibilities of experiencing any instances of sample selection bias.</w:t>
      </w:r>
      <w:bookmarkEnd w:id="58"/>
      <w:r w:rsidRPr="00BA06B6">
        <w:rPr>
          <w:rFonts w:asciiTheme="majorBidi" w:eastAsia="Times New Roman" w:hAnsiTheme="majorBidi" w:cstheme="majorBidi"/>
          <w:sz w:val="24"/>
          <w:szCs w:val="24"/>
          <w:lang w:eastAsia="en-GB"/>
        </w:rPr>
        <w:t xml:space="preserve"> </w:t>
      </w:r>
    </w:p>
    <w:p w14:paraId="35D4E224" w14:textId="7595A489" w:rsidR="00AA068C" w:rsidRPr="00BA06B6" w:rsidRDefault="00AA068C" w:rsidP="00AA068C">
      <w:pPr>
        <w:spacing w:before="100" w:beforeAutospacing="1" w:after="100" w:afterAutospacing="1" w:line="240" w:lineRule="auto"/>
        <w:ind w:firstLine="425"/>
        <w:jc w:val="center"/>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Insert Table 6 about here</w:t>
      </w:r>
    </w:p>
    <w:p w14:paraId="42F443F0" w14:textId="77777777" w:rsidR="00AA068C" w:rsidRPr="00BA06B6" w:rsidRDefault="00AA068C" w:rsidP="00A1373D">
      <w:pPr>
        <w:spacing w:after="0" w:line="360" w:lineRule="auto"/>
        <w:ind w:firstLine="425"/>
        <w:jc w:val="both"/>
        <w:rPr>
          <w:rFonts w:asciiTheme="majorBidi" w:eastAsia="Times New Roman" w:hAnsiTheme="majorBidi" w:cstheme="majorBidi"/>
          <w:sz w:val="24"/>
          <w:szCs w:val="24"/>
          <w:lang w:eastAsia="en-GB"/>
        </w:rPr>
      </w:pPr>
      <w:bookmarkStart w:id="59" w:name="_Toc454035139"/>
      <w:r w:rsidRPr="00BA06B6">
        <w:rPr>
          <w:rFonts w:asciiTheme="majorBidi" w:eastAsia="Times New Roman" w:hAnsiTheme="majorBidi" w:cstheme="majorBidi"/>
          <w:sz w:val="24"/>
          <w:szCs w:val="24"/>
          <w:lang w:eastAsia="en-GB"/>
        </w:rPr>
        <w:t>Correlation</w:t>
      </w:r>
      <w:r w:rsidRPr="00BA06B6">
        <w:rPr>
          <w:rFonts w:asciiTheme="majorBidi" w:eastAsia="Times New Roman" w:hAnsiTheme="majorBidi" w:cstheme="majorBidi"/>
          <w:noProof/>
          <w:sz w:val="24"/>
          <w:szCs w:val="24"/>
          <w:lang w:eastAsia="en-GB"/>
        </w:rPr>
        <w:t xml:space="preserve"> coefficients among the variables used in the regression models to test for</w:t>
      </w:r>
      <w:r w:rsidRPr="00BA06B6">
        <w:rPr>
          <w:rFonts w:asciiTheme="majorBidi" w:eastAsia="Times New Roman" w:hAnsiTheme="majorBidi" w:cstheme="majorBidi"/>
          <w:sz w:val="24"/>
          <w:szCs w:val="24"/>
          <w:lang w:eastAsia="en-GB"/>
        </w:rPr>
        <w:t xml:space="preserve"> multicollinearity are presented in Table 6. The study reports both the Pearson product-moment correlations and the Spearman rank-order correlations for robust results, and noticeably, the significance and direction of both correlations are generally similar. This demonstrates that there are no serious non-normality problems within the data. Further, there are significant relationships between the variables, as expected.  For example, Table </w:t>
      </w:r>
      <w:hyperlink w:anchor="Table6" w:history="1">
        <w:r w:rsidRPr="00BA06B6">
          <w:rPr>
            <w:rFonts w:asciiTheme="majorBidi" w:eastAsia="Times New Roman" w:hAnsiTheme="majorBidi" w:cstheme="majorBidi"/>
            <w:sz w:val="24"/>
            <w:szCs w:val="24"/>
            <w:lang w:eastAsia="en-GB"/>
          </w:rPr>
          <w:t>6</w:t>
        </w:r>
      </w:hyperlink>
      <w:r w:rsidRPr="00BA06B6">
        <w:rPr>
          <w:rFonts w:asciiTheme="majorBidi" w:eastAsia="Times New Roman" w:hAnsiTheme="majorBidi" w:cstheme="majorBidi"/>
          <w:sz w:val="24"/>
          <w:szCs w:val="24"/>
          <w:lang w:eastAsia="en-GB"/>
        </w:rPr>
        <w:t xml:space="preserve"> shows that </w:t>
      </w:r>
      <w:r w:rsidRPr="00BA06B6">
        <w:rPr>
          <w:rFonts w:asciiTheme="majorBidi" w:eastAsia="Times New Roman" w:hAnsiTheme="majorBidi" w:cstheme="majorBidi"/>
          <w:i/>
          <w:iCs/>
          <w:sz w:val="24"/>
          <w:szCs w:val="24"/>
          <w:lang w:eastAsia="en-GB"/>
        </w:rPr>
        <w:t>RATE</w:t>
      </w:r>
      <w:r w:rsidRPr="00BA06B6">
        <w:rPr>
          <w:rFonts w:asciiTheme="majorBidi" w:eastAsia="Times New Roman" w:hAnsiTheme="majorBidi" w:cstheme="majorBidi"/>
          <w:sz w:val="24"/>
          <w:szCs w:val="24"/>
          <w:lang w:eastAsia="en-GB"/>
        </w:rPr>
        <w:t xml:space="preserve"> is positively and significantly correlated with </w:t>
      </w:r>
      <w:r w:rsidRPr="00BA06B6">
        <w:rPr>
          <w:rFonts w:asciiTheme="majorBidi" w:eastAsia="Times New Roman" w:hAnsiTheme="majorBidi" w:cstheme="majorBidi"/>
          <w:i/>
          <w:iCs/>
          <w:sz w:val="24"/>
          <w:szCs w:val="24"/>
          <w:lang w:eastAsia="en-GB"/>
        </w:rPr>
        <w:t>RDI</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LNTA</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ROAA</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LIQ</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GOWN</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bCs/>
          <w:i/>
          <w:iCs/>
          <w:sz w:val="24"/>
          <w:szCs w:val="24"/>
          <w:lang w:eastAsia="en-GB"/>
        </w:rPr>
        <w:t>BS</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BBID</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SSB</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lastRenderedPageBreak/>
        <w:t>RQ</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bCs/>
          <w:i/>
          <w:iCs/>
          <w:sz w:val="24"/>
          <w:szCs w:val="24"/>
          <w:lang w:val="en-US" w:eastAsia="en-GB"/>
        </w:rPr>
        <w:t xml:space="preserve">RL, </w:t>
      </w:r>
      <w:r w:rsidRPr="00BA06B6">
        <w:rPr>
          <w:rFonts w:asciiTheme="majorBidi" w:eastAsia="Times New Roman" w:hAnsiTheme="majorBidi" w:cstheme="majorBidi"/>
          <w:sz w:val="24"/>
          <w:szCs w:val="24"/>
          <w:lang w:eastAsia="en-GB"/>
        </w:rPr>
        <w:t xml:space="preserve">and </w:t>
      </w:r>
      <w:r w:rsidRPr="00BA06B6">
        <w:rPr>
          <w:rFonts w:asciiTheme="majorBidi" w:eastAsia="Times New Roman" w:hAnsiTheme="majorBidi" w:cstheme="majorBidi"/>
          <w:i/>
          <w:iCs/>
          <w:sz w:val="24"/>
          <w:szCs w:val="24"/>
          <w:lang w:eastAsia="en-GB"/>
        </w:rPr>
        <w:t>GDP</w:t>
      </w:r>
      <w:r w:rsidRPr="00BA06B6">
        <w:rPr>
          <w:rFonts w:asciiTheme="majorBidi" w:eastAsia="Times New Roman" w:hAnsiTheme="majorBidi" w:cstheme="majorBidi"/>
          <w:sz w:val="24"/>
          <w:szCs w:val="24"/>
          <w:lang w:eastAsia="en-GB"/>
        </w:rPr>
        <w:t xml:space="preserve">, whereas </w:t>
      </w:r>
      <w:r w:rsidRPr="00BA06B6">
        <w:rPr>
          <w:rFonts w:asciiTheme="majorBidi" w:eastAsia="Times New Roman" w:hAnsiTheme="majorBidi" w:cstheme="majorBidi"/>
          <w:i/>
          <w:iCs/>
          <w:sz w:val="24"/>
          <w:szCs w:val="24"/>
          <w:lang w:eastAsia="en-GB"/>
        </w:rPr>
        <w:t>RATE</w:t>
      </w:r>
      <w:r w:rsidRPr="00BA06B6">
        <w:rPr>
          <w:rFonts w:asciiTheme="majorBidi" w:eastAsia="Times New Roman" w:hAnsiTheme="majorBidi" w:cstheme="majorBidi"/>
          <w:sz w:val="24"/>
          <w:szCs w:val="24"/>
          <w:lang w:eastAsia="en-GB"/>
        </w:rPr>
        <w:t xml:space="preserve"> is negatively and significantly correlated with </w:t>
      </w:r>
      <w:r w:rsidRPr="00BA06B6">
        <w:rPr>
          <w:rFonts w:asciiTheme="majorBidi" w:eastAsia="Times New Roman" w:hAnsiTheme="majorBidi" w:cstheme="majorBidi"/>
          <w:i/>
          <w:iCs/>
          <w:sz w:val="24"/>
          <w:szCs w:val="24"/>
          <w:lang w:eastAsia="en-GB"/>
        </w:rPr>
        <w:t>COST</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BOWN</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bCs/>
          <w:i/>
          <w:iCs/>
          <w:sz w:val="24"/>
          <w:szCs w:val="24"/>
          <w:lang w:eastAsia="en-GB"/>
        </w:rPr>
        <w:t>FOWN</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DUAL</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val="en-US" w:eastAsia="en-GB"/>
        </w:rPr>
        <w:t>GDB</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V&amp;A,</w:t>
      </w:r>
      <w:r w:rsidRPr="00BA06B6">
        <w:rPr>
          <w:rFonts w:asciiTheme="majorBidi" w:eastAsia="Times New Roman" w:hAnsiTheme="majorBidi" w:cstheme="majorBidi"/>
          <w:sz w:val="24"/>
          <w:szCs w:val="24"/>
          <w:lang w:eastAsia="en-GB"/>
        </w:rPr>
        <w:t xml:space="preserve"> and </w:t>
      </w:r>
      <w:r w:rsidRPr="00BA06B6">
        <w:rPr>
          <w:rFonts w:asciiTheme="majorBidi" w:eastAsia="Times New Roman" w:hAnsiTheme="majorBidi" w:cstheme="majorBidi"/>
          <w:i/>
          <w:iCs/>
          <w:sz w:val="24"/>
          <w:szCs w:val="24"/>
          <w:lang w:eastAsia="en-GB"/>
        </w:rPr>
        <w:t>INFL</w:t>
      </w:r>
      <w:r w:rsidRPr="00BA06B6">
        <w:rPr>
          <w:rFonts w:asciiTheme="majorBidi" w:eastAsia="Times New Roman" w:hAnsiTheme="majorBidi" w:cstheme="majorBidi"/>
          <w:sz w:val="24"/>
          <w:szCs w:val="24"/>
          <w:lang w:eastAsia="en-GB"/>
        </w:rPr>
        <w:t>.</w:t>
      </w:r>
      <w:bookmarkEnd w:id="59"/>
    </w:p>
    <w:p w14:paraId="2FDF2541" w14:textId="77777777" w:rsidR="00AA068C" w:rsidRPr="00BA06B6" w:rsidRDefault="00236344" w:rsidP="00AA068C">
      <w:pPr>
        <w:keepNext/>
        <w:keepLines/>
        <w:numPr>
          <w:ilvl w:val="0"/>
          <w:numId w:val="4"/>
        </w:numPr>
        <w:tabs>
          <w:tab w:val="left" w:pos="993"/>
        </w:tabs>
        <w:spacing w:after="0" w:line="360" w:lineRule="auto"/>
        <w:ind w:left="426"/>
        <w:outlineLvl w:val="1"/>
        <w:rPr>
          <w:rFonts w:asciiTheme="majorBidi" w:eastAsia="Calibri" w:hAnsiTheme="majorBidi" w:cstheme="majorBidi"/>
          <w:b/>
          <w:bCs/>
          <w:sz w:val="24"/>
          <w:szCs w:val="24"/>
        </w:rPr>
      </w:pPr>
      <w:bookmarkStart w:id="60" w:name="_Toc453539610"/>
      <w:bookmarkStart w:id="61" w:name="_Toc453539726"/>
      <w:bookmarkStart w:id="62" w:name="_Toc457534130"/>
      <w:r w:rsidRPr="00BA06B6">
        <w:rPr>
          <w:rFonts w:asciiTheme="majorBidi" w:eastAsia="Calibri" w:hAnsiTheme="majorBidi" w:cstheme="majorBidi"/>
          <w:b/>
          <w:bCs/>
          <w:sz w:val="24"/>
          <w:szCs w:val="24"/>
        </w:rPr>
        <w:t xml:space="preserve"> </w:t>
      </w:r>
      <w:r w:rsidR="00AA068C" w:rsidRPr="00BA06B6">
        <w:rPr>
          <w:rFonts w:asciiTheme="majorBidi" w:eastAsia="Calibri" w:hAnsiTheme="majorBidi" w:cstheme="majorBidi"/>
          <w:b/>
          <w:bCs/>
          <w:sz w:val="24"/>
          <w:szCs w:val="24"/>
        </w:rPr>
        <w:t>|   Results and discussion</w:t>
      </w:r>
      <w:bookmarkEnd w:id="60"/>
      <w:bookmarkEnd w:id="61"/>
      <w:bookmarkEnd w:id="62"/>
    </w:p>
    <w:p w14:paraId="1EA50B01" w14:textId="77777777" w:rsidR="00AA068C" w:rsidRPr="00BA06B6" w:rsidRDefault="007234A6" w:rsidP="00A1373D">
      <w:pPr>
        <w:spacing w:after="0" w:line="360" w:lineRule="auto"/>
        <w:jc w:val="both"/>
        <w:rPr>
          <w:rFonts w:asciiTheme="majorBidi" w:eastAsia="Times New Roman" w:hAnsiTheme="majorBidi" w:cstheme="majorBidi"/>
          <w:iCs/>
          <w:sz w:val="24"/>
          <w:szCs w:val="24"/>
          <w:lang w:eastAsia="en-GB"/>
        </w:rPr>
      </w:pPr>
      <w:hyperlink w:anchor="Table7" w:history="1">
        <w:bookmarkStart w:id="63" w:name="_Toc454035604"/>
        <w:r w:rsidR="00AA068C" w:rsidRPr="00BA06B6">
          <w:rPr>
            <w:rFonts w:asciiTheme="majorBidi" w:eastAsia="Times New Roman" w:hAnsiTheme="majorBidi" w:cstheme="majorBidi"/>
            <w:noProof/>
            <w:sz w:val="24"/>
            <w:szCs w:val="24"/>
            <w:lang w:eastAsia="en-GB"/>
          </w:rPr>
          <w:t>Table 7</w:t>
        </w:r>
      </w:hyperlink>
      <w:r w:rsidR="00AA068C" w:rsidRPr="00BA06B6">
        <w:rPr>
          <w:rFonts w:asciiTheme="majorBidi" w:eastAsia="Times New Roman" w:hAnsiTheme="majorBidi" w:cstheme="majorBidi"/>
          <w:sz w:val="24"/>
          <w:szCs w:val="24"/>
          <w:lang w:eastAsia="en-GB"/>
        </w:rPr>
        <w:t xml:space="preserve"> presents the ordered logistic regression analysis results for 10 different models. As noted previously, this study first examines the </w:t>
      </w:r>
      <w:r w:rsidR="00AA068C" w:rsidRPr="00BA06B6">
        <w:rPr>
          <w:rFonts w:asciiTheme="majorBidi" w:eastAsia="Times New Roman" w:hAnsiTheme="majorBidi" w:cstheme="majorBidi"/>
          <w:noProof/>
          <w:sz w:val="24"/>
          <w:szCs w:val="24"/>
          <w:lang w:eastAsia="en-GB"/>
        </w:rPr>
        <w:t xml:space="preserve">informativeness </w:t>
      </w:r>
      <w:r w:rsidR="00AA068C" w:rsidRPr="00BA06B6">
        <w:rPr>
          <w:rFonts w:asciiTheme="majorBidi" w:eastAsia="Times New Roman" w:hAnsiTheme="majorBidi" w:cstheme="majorBidi"/>
          <w:sz w:val="24"/>
          <w:szCs w:val="24"/>
          <w:lang w:eastAsia="en-GB"/>
        </w:rPr>
        <w:t xml:space="preserve">of risk disclosures, and subsequently, ascertains whether governance structures have a moderating effect on the risk disclosure-BCRs nexus using MENA banks. Generally, the 10 models are all statistically significant (i.e., </w:t>
      </w:r>
      <w:r w:rsidR="00AA068C" w:rsidRPr="00BA06B6">
        <w:rPr>
          <w:rFonts w:asciiTheme="majorBidi" w:eastAsia="Times New Roman" w:hAnsiTheme="majorBidi" w:cstheme="majorBidi"/>
          <w:i/>
          <w:sz w:val="24"/>
          <w:szCs w:val="24"/>
          <w:lang w:eastAsia="en-GB"/>
        </w:rPr>
        <w:t>P</w:t>
      </w:r>
      <w:r w:rsidR="00AA068C" w:rsidRPr="00BA06B6">
        <w:rPr>
          <w:rFonts w:asciiTheme="majorBidi" w:eastAsia="Times New Roman" w:hAnsiTheme="majorBidi" w:cstheme="majorBidi"/>
          <w:sz w:val="24"/>
          <w:szCs w:val="24"/>
          <w:lang w:eastAsia="en-GB"/>
        </w:rPr>
        <w:t xml:space="preserve">-value &lt; 0.01) and explain 47.17, 50.00, 51.19, 65.11, 55.39, 60.58, 69.13, 57.35, 53.26 and 84.21 percent of the variation in </w:t>
      </w:r>
      <w:r w:rsidR="00AA068C" w:rsidRPr="00BA06B6">
        <w:rPr>
          <w:rFonts w:asciiTheme="majorBidi" w:eastAsia="Times New Roman" w:hAnsiTheme="majorBidi" w:cstheme="majorBidi"/>
          <w:i/>
          <w:iCs/>
          <w:sz w:val="24"/>
          <w:szCs w:val="24"/>
          <w:lang w:eastAsia="en-GB"/>
        </w:rPr>
        <w:t>RATE</w:t>
      </w:r>
      <w:r w:rsidR="00AA068C" w:rsidRPr="00BA06B6">
        <w:rPr>
          <w:rFonts w:asciiTheme="majorBidi" w:eastAsia="Times New Roman" w:hAnsiTheme="majorBidi" w:cstheme="majorBidi"/>
          <w:iCs/>
          <w:sz w:val="24"/>
          <w:szCs w:val="24"/>
          <w:lang w:eastAsia="en-GB"/>
        </w:rPr>
        <w:t xml:space="preserve">, respectively. </w:t>
      </w:r>
      <w:bookmarkEnd w:id="63"/>
      <w:r w:rsidR="00AA068C" w:rsidRPr="00BA06B6">
        <w:rPr>
          <w:rFonts w:asciiTheme="majorBidi" w:eastAsia="Times New Roman" w:hAnsiTheme="majorBidi" w:cstheme="majorBidi"/>
          <w:sz w:val="24"/>
          <w:szCs w:val="24"/>
          <w:lang w:eastAsia="en-GB"/>
        </w:rPr>
        <w:t xml:space="preserve"> Similarly,</w:t>
      </w:r>
      <w:bookmarkStart w:id="64" w:name="_Toc454035605"/>
      <w:r w:rsidR="00AA068C" w:rsidRPr="00BA06B6">
        <w:rPr>
          <w:rFonts w:asciiTheme="majorBidi" w:eastAsia="Times New Roman" w:hAnsiTheme="majorBidi" w:cstheme="majorBidi"/>
          <w:sz w:val="24"/>
          <w:szCs w:val="24"/>
          <w:lang w:eastAsia="en-GB"/>
        </w:rPr>
        <w:t xml:space="preserve"> the results show that risk disclosures and the moderating effect of governance structures can explain </w:t>
      </w:r>
      <w:r w:rsidR="00AA068C" w:rsidRPr="00BA06B6">
        <w:rPr>
          <w:rFonts w:asciiTheme="majorBidi" w:eastAsia="Times New Roman" w:hAnsiTheme="majorBidi" w:cstheme="majorBidi"/>
          <w:noProof/>
          <w:sz w:val="24"/>
          <w:szCs w:val="24"/>
          <w:lang w:eastAsia="en-GB"/>
        </w:rPr>
        <w:t>differences</w:t>
      </w:r>
      <w:r w:rsidR="00AA068C" w:rsidRPr="00BA06B6">
        <w:rPr>
          <w:rFonts w:asciiTheme="majorBidi" w:eastAsia="Times New Roman" w:hAnsiTheme="majorBidi" w:cstheme="majorBidi"/>
          <w:sz w:val="24"/>
          <w:szCs w:val="24"/>
          <w:lang w:eastAsia="en-GB"/>
        </w:rPr>
        <w:t xml:space="preserve"> in </w:t>
      </w:r>
      <w:r w:rsidR="00AA068C" w:rsidRPr="00BA06B6">
        <w:rPr>
          <w:rFonts w:asciiTheme="majorBidi" w:eastAsia="Times New Roman" w:hAnsiTheme="majorBidi" w:cstheme="majorBidi"/>
          <w:i/>
          <w:iCs/>
          <w:sz w:val="24"/>
          <w:szCs w:val="24"/>
          <w:lang w:eastAsia="en-GB"/>
        </w:rPr>
        <w:t>RATE</w:t>
      </w:r>
      <w:r w:rsidR="00AA068C" w:rsidRPr="00BA06B6">
        <w:rPr>
          <w:rFonts w:asciiTheme="majorBidi" w:eastAsia="Times New Roman" w:hAnsiTheme="majorBidi" w:cstheme="majorBidi"/>
          <w:iCs/>
          <w:sz w:val="24"/>
          <w:szCs w:val="24"/>
          <w:lang w:eastAsia="en-GB"/>
        </w:rPr>
        <w:t xml:space="preserve"> as follows. </w:t>
      </w:r>
    </w:p>
    <w:p w14:paraId="3CA3D76A" w14:textId="3B7C9F38" w:rsidR="00AA068C" w:rsidRPr="00BA06B6" w:rsidRDefault="00AA068C" w:rsidP="00A1373D">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Firstly, risk disclosure (</w:t>
      </w:r>
      <w:r w:rsidRPr="00BA06B6">
        <w:rPr>
          <w:rFonts w:asciiTheme="majorBidi" w:eastAsia="Times New Roman" w:hAnsiTheme="majorBidi" w:cstheme="majorBidi"/>
          <w:i/>
          <w:iCs/>
          <w:sz w:val="24"/>
          <w:szCs w:val="24"/>
          <w:lang w:eastAsia="en-GB"/>
        </w:rPr>
        <w:t>RDI</w:t>
      </w:r>
      <w:r w:rsidRPr="00BA06B6">
        <w:rPr>
          <w:rFonts w:asciiTheme="majorBidi" w:eastAsia="Times New Roman" w:hAnsiTheme="majorBidi" w:cstheme="majorBidi"/>
          <w:sz w:val="24"/>
          <w:szCs w:val="24"/>
          <w:lang w:eastAsia="en-GB"/>
        </w:rPr>
        <w:t xml:space="preserve">) coefficients in Models 1 to 3 of </w:t>
      </w:r>
      <w:hyperlink w:anchor="Table7" w:history="1">
        <w:r w:rsidRPr="00BA06B6">
          <w:rPr>
            <w:rFonts w:asciiTheme="majorBidi" w:eastAsia="Times New Roman" w:hAnsiTheme="majorBidi" w:cstheme="majorBidi"/>
            <w:sz w:val="24"/>
            <w:szCs w:val="24"/>
            <w:lang w:eastAsia="en-GB"/>
          </w:rPr>
          <w:t>Table 7</w:t>
        </w:r>
      </w:hyperlink>
      <w:r w:rsidRPr="00BA06B6">
        <w:rPr>
          <w:rFonts w:asciiTheme="majorBidi" w:eastAsia="Times New Roman" w:hAnsiTheme="majorBidi" w:cstheme="majorBidi"/>
          <w:sz w:val="24"/>
          <w:szCs w:val="24"/>
          <w:lang w:eastAsia="en-GB"/>
        </w:rPr>
        <w:t xml:space="preserve"> have a positive and statistically significant impact on </w:t>
      </w:r>
      <w:r w:rsidRPr="00BA06B6">
        <w:rPr>
          <w:rFonts w:asciiTheme="majorBidi" w:eastAsia="Times New Roman" w:hAnsiTheme="majorBidi" w:cstheme="majorBidi"/>
          <w:i/>
          <w:iCs/>
          <w:sz w:val="24"/>
          <w:szCs w:val="24"/>
          <w:lang w:eastAsia="en-GB"/>
        </w:rPr>
        <w:t>RATE</w:t>
      </w:r>
      <w:r w:rsidRPr="00BA06B6">
        <w:rPr>
          <w:rFonts w:asciiTheme="majorBidi" w:eastAsia="Times New Roman" w:hAnsiTheme="majorBidi" w:cstheme="majorBidi"/>
          <w:sz w:val="24"/>
          <w:szCs w:val="24"/>
          <w:lang w:eastAsia="en-GB"/>
        </w:rPr>
        <w:t xml:space="preserve">, implying that MENA banks with high </w:t>
      </w:r>
      <w:r w:rsidRPr="00BA06B6">
        <w:rPr>
          <w:rFonts w:asciiTheme="majorBidi" w:eastAsia="Times New Roman" w:hAnsiTheme="majorBidi" w:cstheme="majorBidi"/>
          <w:i/>
          <w:iCs/>
          <w:sz w:val="24"/>
          <w:szCs w:val="24"/>
          <w:lang w:eastAsia="en-GB"/>
        </w:rPr>
        <w:t>RDI</w:t>
      </w:r>
      <w:r w:rsidRPr="00BA06B6">
        <w:rPr>
          <w:rFonts w:asciiTheme="majorBidi" w:eastAsia="Times New Roman" w:hAnsiTheme="majorBidi" w:cstheme="majorBidi"/>
          <w:sz w:val="24"/>
          <w:szCs w:val="24"/>
          <w:lang w:eastAsia="en-GB"/>
        </w:rPr>
        <w:t xml:space="preserve"> are more likely to receive higher ratings, especially post-GFC. The positive relationship between </w:t>
      </w:r>
      <w:r w:rsidRPr="00BA06B6">
        <w:rPr>
          <w:rFonts w:asciiTheme="majorBidi" w:eastAsia="Times New Roman" w:hAnsiTheme="majorBidi" w:cstheme="majorBidi"/>
          <w:i/>
          <w:iCs/>
          <w:sz w:val="24"/>
          <w:szCs w:val="24"/>
          <w:lang w:eastAsia="en-GB"/>
        </w:rPr>
        <w:t>RDI</w:t>
      </w:r>
      <w:r w:rsidRPr="00BA06B6">
        <w:rPr>
          <w:rFonts w:asciiTheme="majorBidi" w:eastAsia="Times New Roman" w:hAnsiTheme="majorBidi" w:cstheme="majorBidi"/>
          <w:sz w:val="24"/>
          <w:szCs w:val="24"/>
          <w:lang w:eastAsia="en-GB"/>
        </w:rPr>
        <w:t xml:space="preserve"> and </w:t>
      </w:r>
      <w:r w:rsidRPr="00BA06B6">
        <w:rPr>
          <w:rFonts w:asciiTheme="majorBidi" w:eastAsia="Times New Roman" w:hAnsiTheme="majorBidi" w:cstheme="majorBidi"/>
          <w:i/>
          <w:iCs/>
          <w:sz w:val="24"/>
          <w:szCs w:val="24"/>
          <w:lang w:eastAsia="en-GB"/>
        </w:rPr>
        <w:t>RATE</w:t>
      </w:r>
      <w:r w:rsidRPr="00BA06B6">
        <w:rPr>
          <w:rFonts w:asciiTheme="majorBidi" w:eastAsia="Times New Roman" w:hAnsiTheme="majorBidi" w:cstheme="majorBidi"/>
          <w:sz w:val="24"/>
          <w:szCs w:val="24"/>
          <w:lang w:eastAsia="en-GB"/>
        </w:rPr>
        <w:t xml:space="preserve"> is consistent with theoretical predictions. That is, increased </w:t>
      </w:r>
      <w:r w:rsidRPr="00BA06B6">
        <w:rPr>
          <w:rFonts w:asciiTheme="majorBidi" w:eastAsia="Times New Roman" w:hAnsiTheme="majorBidi" w:cstheme="majorBidi"/>
          <w:i/>
          <w:iCs/>
          <w:sz w:val="24"/>
          <w:szCs w:val="24"/>
          <w:lang w:eastAsia="en-GB"/>
        </w:rPr>
        <w:t>RDI</w:t>
      </w:r>
      <w:r w:rsidRPr="00BA06B6">
        <w:rPr>
          <w:rFonts w:asciiTheme="majorBidi" w:eastAsia="Times New Roman" w:hAnsiTheme="majorBidi" w:cstheme="majorBidi"/>
          <w:sz w:val="24"/>
          <w:szCs w:val="24"/>
          <w:lang w:eastAsia="en-GB"/>
        </w:rPr>
        <w:t xml:space="preserve"> appears to alleviate agency conflicts (agency theory) by reducing information asymmetry among bondholders, managers and shareholders. In addition, there appears to also be a greater necessity for insiders to improve risk disclosures in order to legitimise (legitimacy theory) their decisions to bondholder</w:t>
      </w:r>
      <w:bookmarkEnd w:id="64"/>
      <w:r w:rsidRPr="00BA06B6">
        <w:rPr>
          <w:rFonts w:asciiTheme="majorBidi" w:eastAsia="Times New Roman" w:hAnsiTheme="majorBidi" w:cstheme="majorBidi"/>
          <w:sz w:val="24"/>
          <w:szCs w:val="24"/>
          <w:lang w:eastAsia="en-GB"/>
        </w:rPr>
        <w:t>s and shareholders.</w:t>
      </w:r>
      <w:bookmarkStart w:id="65" w:name="_Toc454036244"/>
      <w:r w:rsidRPr="00BA06B6">
        <w:rPr>
          <w:rFonts w:asciiTheme="majorBidi" w:eastAsia="Times New Roman" w:hAnsiTheme="majorBidi" w:cstheme="majorBidi"/>
          <w:sz w:val="24"/>
          <w:szCs w:val="24"/>
          <w:lang w:eastAsia="en-GB"/>
        </w:rPr>
        <w:t xml:space="preserve"> Further, committing to greater levels of </w:t>
      </w:r>
      <w:r w:rsidRPr="00BA06B6">
        <w:rPr>
          <w:rFonts w:asciiTheme="majorBidi" w:eastAsia="Times New Roman" w:hAnsiTheme="majorBidi" w:cstheme="majorBidi"/>
          <w:i/>
          <w:sz w:val="24"/>
          <w:szCs w:val="24"/>
          <w:lang w:eastAsia="en-GB"/>
        </w:rPr>
        <w:t xml:space="preserve">RDI </w:t>
      </w:r>
      <w:r w:rsidRPr="00BA06B6">
        <w:rPr>
          <w:rFonts w:asciiTheme="majorBidi" w:eastAsia="Times New Roman" w:hAnsiTheme="majorBidi" w:cstheme="majorBidi"/>
          <w:sz w:val="24"/>
          <w:szCs w:val="24"/>
          <w:lang w:eastAsia="en-GB"/>
        </w:rPr>
        <w:t xml:space="preserve">is one way by which managers can signal (signalling) the quality and future prospects of a bank to the market, which can facilitate access to critical resources (resource dependence), such as finance. This also means that </w:t>
      </w:r>
      <w:r w:rsidRPr="00BA06B6">
        <w:rPr>
          <w:rFonts w:asciiTheme="majorBidi" w:eastAsia="Times New Roman" w:hAnsiTheme="majorBidi" w:cstheme="majorBidi"/>
          <w:i/>
          <w:iCs/>
          <w:sz w:val="24"/>
          <w:szCs w:val="24"/>
          <w:lang w:eastAsia="en-GB"/>
        </w:rPr>
        <w:t>H</w:t>
      </w:r>
      <w:r w:rsidRPr="00BA06B6">
        <w:rPr>
          <w:rFonts w:asciiTheme="majorBidi" w:eastAsia="Times New Roman" w:hAnsiTheme="majorBidi" w:cstheme="majorBidi"/>
          <w:i/>
          <w:iCs/>
          <w:sz w:val="24"/>
          <w:szCs w:val="24"/>
          <w:vertAlign w:val="subscript"/>
          <w:lang w:eastAsia="en-GB"/>
        </w:rPr>
        <w:t>1</w:t>
      </w:r>
      <w:r w:rsidRPr="00BA06B6">
        <w:rPr>
          <w:rFonts w:asciiTheme="majorBidi" w:eastAsia="Times New Roman" w:hAnsiTheme="majorBidi" w:cstheme="majorBidi"/>
          <w:sz w:val="24"/>
          <w:szCs w:val="24"/>
          <w:lang w:eastAsia="en-GB"/>
        </w:rPr>
        <w:t xml:space="preserve"> is empirically supported, as well as offer further support  to the findings of previous studies </w:t>
      </w:r>
      <w:r w:rsidRPr="00BA06B6">
        <w:rPr>
          <w:rFonts w:asciiTheme="majorBidi" w:eastAsia="Times New Roman" w:hAnsiTheme="majorBidi" w:cstheme="majorBidi"/>
          <w:sz w:val="24"/>
          <w:szCs w:val="24"/>
          <w:lang w:eastAsia="en-GB"/>
        </w:rPr>
        <w:fldChar w:fldCharType="begin">
          <w:fldData xml:space="preserve">PEVuZE5vdGU+PENpdGU+PEF1dGhvcj5TZW5ndXB0YTwvQXV0aG9yPjxZZWFyPjE5OTg8L1llYXI+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</w:fldData>
        </w:fldChar>
      </w:r>
      <w:r w:rsidRPr="00BA06B6">
        <w:rPr>
          <w:rFonts w:asciiTheme="majorBidi" w:eastAsia="Times New Roman" w:hAnsiTheme="majorBidi" w:cstheme="majorBidi"/>
          <w:sz w:val="24"/>
          <w:szCs w:val="24"/>
          <w:lang w:eastAsia="en-GB"/>
        </w:rPr>
        <w:instrText xml:space="preserve"> ADDIN EN.CITE </w:instrText>
      </w:r>
      <w:r w:rsidRPr="00BA06B6">
        <w:rPr>
          <w:rFonts w:asciiTheme="majorBidi" w:eastAsia="Times New Roman" w:hAnsiTheme="majorBidi" w:cstheme="majorBidi"/>
          <w:sz w:val="24"/>
          <w:szCs w:val="24"/>
          <w:lang w:eastAsia="en-GB"/>
        </w:rPr>
        <w:fldChar w:fldCharType="begin">
          <w:fldData xml:space="preserve">PEVuZE5vdGU+PENpdGU+PEF1dGhvcj5TZW5ndXB0YTwvQXV0aG9yPjxZZWFyPjE5OTg8L1llYXI+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</w:fldData>
        </w:fldChar>
      </w:r>
      <w:r w:rsidRPr="00BA06B6">
        <w:rPr>
          <w:rFonts w:asciiTheme="majorBidi" w:eastAsia="Times New Roman" w:hAnsiTheme="majorBidi" w:cstheme="majorBidi"/>
          <w:sz w:val="24"/>
          <w:szCs w:val="24"/>
          <w:lang w:eastAsia="en-GB"/>
        </w:rPr>
        <w:instrText xml:space="preserve"> ADDIN EN.CITE.DATA </w:instrText>
      </w:r>
      <w:r w:rsidRPr="00BA06B6">
        <w:rPr>
          <w:rFonts w:asciiTheme="majorBidi" w:eastAsia="Times New Roman" w:hAnsiTheme="majorBidi" w:cstheme="majorBidi"/>
          <w:sz w:val="24"/>
          <w:szCs w:val="24"/>
          <w:lang w:eastAsia="en-GB"/>
        </w:rPr>
      </w:r>
      <w:r w:rsidRPr="00BA06B6">
        <w:rPr>
          <w:rFonts w:asciiTheme="majorBidi" w:eastAsia="Times New Roman" w:hAnsiTheme="majorBidi" w:cstheme="majorBidi"/>
          <w:sz w:val="24"/>
          <w:szCs w:val="24"/>
          <w:lang w:eastAsia="en-GB"/>
        </w:rPr>
        <w:fldChar w:fldCharType="end"/>
      </w:r>
      <w:r w:rsidRPr="00BA06B6">
        <w:rPr>
          <w:rFonts w:asciiTheme="majorBidi" w:eastAsia="Times New Roman" w:hAnsiTheme="majorBidi" w:cstheme="majorBidi"/>
          <w:sz w:val="24"/>
          <w:szCs w:val="24"/>
          <w:lang w:eastAsia="en-GB"/>
        </w:rPr>
      </w:r>
      <w:r w:rsidRPr="00BA06B6">
        <w:rPr>
          <w:rFonts w:asciiTheme="majorBidi" w:eastAsia="Times New Roman" w:hAnsiTheme="majorBidi" w:cstheme="majorBidi"/>
          <w:sz w:val="24"/>
          <w:szCs w:val="24"/>
          <w:lang w:eastAsia="en-GB"/>
        </w:rPr>
        <w:fldChar w:fldCharType="separate"/>
      </w:r>
      <w:r w:rsidRPr="00BA06B6">
        <w:rPr>
          <w:rFonts w:asciiTheme="majorBidi" w:eastAsia="Times New Roman" w:hAnsiTheme="majorBidi" w:cstheme="majorBidi"/>
          <w:sz w:val="24"/>
          <w:szCs w:val="24"/>
          <w:lang w:eastAsia="en-GB"/>
        </w:rPr>
        <w:t xml:space="preserve">(e.g., </w:t>
      </w:r>
      <w:hyperlink w:anchor="_ENREF_9" w:tooltip="Aman, 2013 #285" w:history="1">
        <w:r w:rsidRPr="00BA06B6">
          <w:rPr>
            <w:rFonts w:asciiTheme="majorBidi" w:eastAsia="Times New Roman" w:hAnsiTheme="majorBidi" w:cstheme="majorBidi"/>
            <w:sz w:val="24"/>
            <w:szCs w:val="24"/>
            <w:lang w:eastAsia="en-GB"/>
          </w:rPr>
          <w:t>Aman &amp; Nguyen, 2013</w:t>
        </w:r>
      </w:hyperlink>
      <w:r w:rsidRPr="00BA06B6">
        <w:rPr>
          <w:rFonts w:asciiTheme="majorBidi" w:eastAsia="Times New Roman" w:hAnsiTheme="majorBidi" w:cstheme="majorBidi"/>
          <w:sz w:val="24"/>
          <w:szCs w:val="24"/>
          <w:lang w:eastAsia="en-GB"/>
        </w:rPr>
        <w:t xml:space="preserve">; </w:t>
      </w:r>
      <w:hyperlink w:anchor="_ENREF_14" w:tooltip="Ashbaugh-Skaife, 2006 #295" w:history="1">
        <w:r w:rsidRPr="00BA06B6">
          <w:rPr>
            <w:rFonts w:asciiTheme="majorBidi" w:eastAsia="Times New Roman" w:hAnsiTheme="majorBidi" w:cstheme="majorBidi"/>
            <w:sz w:val="24"/>
            <w:szCs w:val="24"/>
            <w:lang w:eastAsia="en-GB"/>
          </w:rPr>
          <w:t>Ashbaugh-Skaife et al., 2006</w:t>
        </w:r>
      </w:hyperlink>
      <w:r w:rsidRPr="00BA06B6">
        <w:rPr>
          <w:rFonts w:asciiTheme="majorBidi" w:eastAsia="Times New Roman" w:hAnsiTheme="majorBidi" w:cstheme="majorBidi"/>
          <w:sz w:val="24"/>
          <w:szCs w:val="24"/>
          <w:lang w:eastAsia="en-GB"/>
        </w:rPr>
        <w:t xml:space="preserve">; </w:t>
      </w:r>
      <w:hyperlink w:anchor="_ENREF_32" w:tooltip="Bhojraj, 2003 #510" w:history="1">
        <w:r w:rsidRPr="00BA06B6">
          <w:rPr>
            <w:rFonts w:asciiTheme="majorBidi" w:eastAsia="Times New Roman" w:hAnsiTheme="majorBidi" w:cstheme="majorBidi"/>
            <w:sz w:val="24"/>
            <w:szCs w:val="24"/>
            <w:lang w:eastAsia="en-GB"/>
          </w:rPr>
          <w:t>Bhojraj &amp; Sengupta, 2003</w:t>
        </w:r>
      </w:hyperlink>
      <w:r w:rsidRPr="00BA06B6">
        <w:rPr>
          <w:rFonts w:asciiTheme="majorBidi" w:eastAsia="Times New Roman" w:hAnsiTheme="majorBidi" w:cstheme="majorBidi"/>
          <w:sz w:val="24"/>
          <w:szCs w:val="24"/>
          <w:lang w:eastAsia="en-GB"/>
        </w:rPr>
        <w:t xml:space="preserve">; </w:t>
      </w:r>
      <w:hyperlink w:anchor="_ENREF_46" w:tooltip="DeBoskey, 2013 #34" w:history="1">
        <w:r w:rsidRPr="00BA06B6">
          <w:rPr>
            <w:rFonts w:asciiTheme="majorBidi" w:eastAsia="Times New Roman" w:hAnsiTheme="majorBidi" w:cstheme="majorBidi"/>
            <w:sz w:val="24"/>
            <w:szCs w:val="24"/>
            <w:lang w:eastAsia="en-GB"/>
          </w:rPr>
          <w:t>DeBoskey &amp; Gillett, 2013</w:t>
        </w:r>
      </w:hyperlink>
      <w:r w:rsidRPr="00BA06B6">
        <w:rPr>
          <w:rFonts w:asciiTheme="majorBidi" w:eastAsia="Times New Roman" w:hAnsiTheme="majorBidi" w:cstheme="majorBidi"/>
          <w:sz w:val="24"/>
          <w:szCs w:val="24"/>
          <w:lang w:eastAsia="en-GB"/>
        </w:rPr>
        <w:t xml:space="preserve">; </w:t>
      </w:r>
      <w:hyperlink w:anchor="_ENREF_75" w:tooltip="Heflin, 2011 #76" w:history="1">
        <w:r w:rsidRPr="00BA06B6">
          <w:rPr>
            <w:rFonts w:asciiTheme="majorBidi" w:eastAsia="Times New Roman" w:hAnsiTheme="majorBidi" w:cstheme="majorBidi"/>
            <w:sz w:val="24"/>
            <w:szCs w:val="24"/>
            <w:lang w:eastAsia="en-GB"/>
          </w:rPr>
          <w:t>Heflin et al., 2011</w:t>
        </w:r>
      </w:hyperlink>
      <w:r w:rsidRPr="00BA06B6">
        <w:rPr>
          <w:rFonts w:asciiTheme="majorBidi" w:eastAsia="Times New Roman" w:hAnsiTheme="majorBidi" w:cstheme="majorBidi"/>
          <w:sz w:val="24"/>
          <w:szCs w:val="24"/>
          <w:lang w:eastAsia="en-GB"/>
        </w:rPr>
        <w:t xml:space="preserve">; </w:t>
      </w:r>
      <w:hyperlink w:anchor="_ENREF_90" w:tooltip="Kuang, 2013 #551" w:history="1">
        <w:r w:rsidRPr="00BA06B6">
          <w:rPr>
            <w:rFonts w:asciiTheme="majorBidi" w:eastAsia="Times New Roman" w:hAnsiTheme="majorBidi" w:cstheme="majorBidi"/>
            <w:sz w:val="24"/>
            <w:szCs w:val="24"/>
            <w:lang w:eastAsia="en-GB"/>
          </w:rPr>
          <w:t>Kuang &amp; Qin, 2013</w:t>
        </w:r>
      </w:hyperlink>
      <w:r w:rsidRPr="00BA06B6">
        <w:rPr>
          <w:rFonts w:asciiTheme="majorBidi" w:eastAsia="Times New Roman" w:hAnsiTheme="majorBidi" w:cstheme="majorBidi"/>
          <w:sz w:val="24"/>
          <w:szCs w:val="24"/>
          <w:lang w:eastAsia="en-GB"/>
        </w:rPr>
        <w:t xml:space="preserve">; </w:t>
      </w:r>
      <w:hyperlink w:anchor="_ENREF_121" w:tooltip="Sengupta, 1998 #331" w:history="1">
        <w:r w:rsidRPr="00BA06B6">
          <w:rPr>
            <w:rFonts w:asciiTheme="majorBidi" w:eastAsia="Times New Roman" w:hAnsiTheme="majorBidi" w:cstheme="majorBidi"/>
            <w:sz w:val="24"/>
            <w:szCs w:val="24"/>
            <w:lang w:eastAsia="en-GB"/>
          </w:rPr>
          <w:t>Sengupta, 1998</w:t>
        </w:r>
      </w:hyperlink>
      <w:r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fldChar w:fldCharType="end"/>
      </w:r>
      <w:r w:rsidRPr="00BA06B6">
        <w:rPr>
          <w:rFonts w:asciiTheme="majorBidi" w:eastAsia="Times New Roman" w:hAnsiTheme="majorBidi" w:cstheme="majorBidi"/>
          <w:sz w:val="24"/>
          <w:szCs w:val="24"/>
          <w:lang w:eastAsia="en-GB"/>
        </w:rPr>
        <w:t xml:space="preserve">, which suggest that general disclosure has a positive effect on the </w:t>
      </w:r>
      <w:r w:rsidRPr="00BA06B6">
        <w:rPr>
          <w:rFonts w:asciiTheme="majorBidi" w:eastAsia="Times New Roman" w:hAnsiTheme="majorBidi" w:cstheme="majorBidi"/>
          <w:i/>
          <w:iCs/>
          <w:sz w:val="24"/>
          <w:szCs w:val="24"/>
          <w:lang w:eastAsia="en-GB"/>
        </w:rPr>
        <w:t>RATE</w:t>
      </w:r>
      <w:r w:rsidRPr="00BA06B6">
        <w:rPr>
          <w:rFonts w:asciiTheme="majorBidi" w:eastAsia="Times New Roman" w:hAnsiTheme="majorBidi" w:cstheme="majorBidi"/>
          <w:sz w:val="24"/>
          <w:szCs w:val="24"/>
          <w:lang w:eastAsia="en-GB"/>
        </w:rPr>
        <w:t>.</w:t>
      </w:r>
      <w:bookmarkEnd w:id="65"/>
      <w:r w:rsidRPr="00BA06B6">
        <w:rPr>
          <w:rFonts w:asciiTheme="majorBidi" w:eastAsia="Times New Roman" w:hAnsiTheme="majorBidi" w:cstheme="majorBidi"/>
          <w:sz w:val="24"/>
          <w:szCs w:val="24"/>
          <w:lang w:eastAsia="en-GB"/>
        </w:rPr>
        <w:t xml:space="preserve"> </w:t>
      </w:r>
    </w:p>
    <w:p w14:paraId="748BE43B" w14:textId="77777777" w:rsidR="00AA068C" w:rsidRPr="00BA06B6" w:rsidRDefault="00AA068C" w:rsidP="00AA068C">
      <w:pPr>
        <w:spacing w:before="100" w:beforeAutospacing="1" w:after="100" w:afterAutospacing="1" w:line="240" w:lineRule="auto"/>
        <w:ind w:firstLine="425"/>
        <w:jc w:val="center"/>
        <w:rPr>
          <w:rFonts w:asciiTheme="majorBidi" w:eastAsia="Times New Roman" w:hAnsiTheme="majorBidi" w:cstheme="majorBidi"/>
          <w:bCs/>
          <w:sz w:val="24"/>
          <w:szCs w:val="24"/>
          <w:lang w:eastAsia="en-GB"/>
        </w:rPr>
      </w:pPr>
      <w:r w:rsidRPr="00BA06B6">
        <w:rPr>
          <w:rFonts w:asciiTheme="majorBidi" w:eastAsia="Times New Roman" w:hAnsiTheme="majorBidi" w:cstheme="majorBidi"/>
          <w:iCs/>
          <w:sz w:val="24"/>
          <w:szCs w:val="24"/>
          <w:lang w:eastAsia="en-GB"/>
        </w:rPr>
        <w:t xml:space="preserve">Insert </w:t>
      </w:r>
      <w:hyperlink w:anchor="Table7" w:history="1">
        <w:r w:rsidRPr="00BA06B6">
          <w:rPr>
            <w:rFonts w:asciiTheme="majorBidi" w:eastAsia="Times New Roman" w:hAnsiTheme="majorBidi" w:cstheme="majorBidi"/>
            <w:iCs/>
            <w:sz w:val="24"/>
            <w:szCs w:val="24"/>
            <w:lang w:eastAsia="en-GB"/>
          </w:rPr>
          <w:t>Table 7</w:t>
        </w:r>
      </w:hyperlink>
      <w:r w:rsidRPr="00BA06B6">
        <w:rPr>
          <w:rFonts w:asciiTheme="majorBidi" w:eastAsia="Times New Roman" w:hAnsiTheme="majorBidi" w:cstheme="majorBidi"/>
          <w:iCs/>
          <w:sz w:val="24"/>
          <w:szCs w:val="24"/>
          <w:lang w:eastAsia="en-GB"/>
        </w:rPr>
        <w:t xml:space="preserve"> about</w:t>
      </w:r>
      <w:r w:rsidRPr="00BA06B6">
        <w:rPr>
          <w:rFonts w:asciiTheme="majorBidi" w:eastAsia="Times New Roman" w:hAnsiTheme="majorBidi" w:cstheme="majorBidi"/>
          <w:bCs/>
          <w:sz w:val="24"/>
          <w:szCs w:val="24"/>
          <w:lang w:eastAsia="en-GB"/>
        </w:rPr>
        <w:t xml:space="preserve"> here</w:t>
      </w:r>
    </w:p>
    <w:p w14:paraId="35BFACC3" w14:textId="58376FD2" w:rsidR="00AA068C" w:rsidRPr="00BA06B6" w:rsidRDefault="00AA068C" w:rsidP="00251D60">
      <w:pPr>
        <w:spacing w:after="0" w:line="360" w:lineRule="auto"/>
        <w:ind w:firstLine="425"/>
        <w:jc w:val="both"/>
        <w:rPr>
          <w:rFonts w:asciiTheme="majorBidi" w:eastAsia="Times New Roman" w:hAnsiTheme="majorBidi" w:cstheme="majorBidi"/>
          <w:sz w:val="24"/>
          <w:szCs w:val="24"/>
          <w:lang w:eastAsia="en-GB"/>
        </w:rPr>
      </w:pPr>
      <w:bookmarkStart w:id="66" w:name="_Toc454036249"/>
      <w:r w:rsidRPr="00BA06B6">
        <w:rPr>
          <w:rFonts w:asciiTheme="majorBidi" w:eastAsia="Times New Roman" w:hAnsiTheme="majorBidi" w:cstheme="majorBidi"/>
          <w:sz w:val="24"/>
          <w:szCs w:val="24"/>
          <w:lang w:eastAsia="en-GB"/>
        </w:rPr>
        <w:t xml:space="preserve">Secondly, there is evidence that the governance structures have a moderating effect on the relationship between risk disclosure and </w:t>
      </w:r>
      <w:r w:rsidRPr="00BA06B6">
        <w:rPr>
          <w:rFonts w:asciiTheme="majorBidi" w:eastAsia="Times New Roman" w:hAnsiTheme="majorBidi" w:cstheme="majorBidi"/>
          <w:iCs/>
          <w:sz w:val="24"/>
          <w:szCs w:val="24"/>
          <w:lang w:eastAsia="en-GB"/>
        </w:rPr>
        <w:t>BCRs, as shown in Model 3 of Table 7</w:t>
      </w:r>
      <w:r w:rsidRPr="00BA06B6">
        <w:rPr>
          <w:rFonts w:asciiTheme="majorBidi" w:eastAsia="Times New Roman" w:hAnsiTheme="majorBidi" w:cstheme="majorBidi"/>
          <w:i/>
          <w:iCs/>
          <w:sz w:val="24"/>
          <w:szCs w:val="24"/>
          <w:lang w:eastAsia="en-GB"/>
        </w:rPr>
        <w:t xml:space="preserve">. </w:t>
      </w:r>
      <w:r w:rsidRPr="00BA06B6">
        <w:rPr>
          <w:rFonts w:asciiTheme="majorBidi" w:eastAsia="Times New Roman" w:hAnsiTheme="majorBidi" w:cstheme="majorBidi"/>
          <w:sz w:val="24"/>
          <w:szCs w:val="24"/>
          <w:lang w:eastAsia="en-GB"/>
        </w:rPr>
        <w:t xml:space="preserve">Specifically, </w:t>
      </w:r>
      <w:r w:rsidRPr="00BA06B6">
        <w:rPr>
          <w:rFonts w:asciiTheme="majorBidi" w:eastAsia="Times New Roman" w:hAnsiTheme="majorBidi" w:cstheme="majorBidi"/>
          <w:iCs/>
          <w:sz w:val="24"/>
          <w:szCs w:val="24"/>
          <w:lang w:eastAsia="en-GB"/>
        </w:rPr>
        <w:t xml:space="preserve">the results show that the effect of </w:t>
      </w:r>
      <w:r w:rsidRPr="00BA06B6">
        <w:rPr>
          <w:rFonts w:asciiTheme="majorBidi" w:eastAsia="Times New Roman" w:hAnsiTheme="majorBidi" w:cstheme="majorBidi"/>
          <w:i/>
          <w:iCs/>
          <w:sz w:val="24"/>
          <w:szCs w:val="24"/>
          <w:lang w:eastAsia="en-GB"/>
        </w:rPr>
        <w:t>RDI</w:t>
      </w:r>
      <w:r w:rsidRPr="00BA06B6">
        <w:rPr>
          <w:rFonts w:asciiTheme="majorBidi" w:eastAsia="Times New Roman" w:hAnsiTheme="majorBidi" w:cstheme="majorBidi"/>
          <w:sz w:val="24"/>
          <w:szCs w:val="24"/>
          <w:lang w:eastAsia="en-GB"/>
        </w:rPr>
        <w:t xml:space="preserve"> on the </w:t>
      </w:r>
      <w:r w:rsidRPr="00BA06B6">
        <w:rPr>
          <w:rFonts w:asciiTheme="majorBidi" w:eastAsia="Times New Roman" w:hAnsiTheme="majorBidi" w:cstheme="majorBidi"/>
          <w:i/>
          <w:sz w:val="24"/>
          <w:szCs w:val="24"/>
          <w:lang w:eastAsia="en-GB"/>
        </w:rPr>
        <w:t>RATE</w:t>
      </w:r>
      <w:r w:rsidRPr="00BA06B6">
        <w:rPr>
          <w:rFonts w:asciiTheme="majorBidi" w:eastAsia="Times New Roman" w:hAnsiTheme="majorBidi" w:cstheme="majorBidi"/>
          <w:sz w:val="24"/>
          <w:szCs w:val="24"/>
          <w:lang w:eastAsia="en-GB"/>
        </w:rPr>
        <w:t xml:space="preserve"> is moderated by the governance structures as follows. </w:t>
      </w:r>
      <w:bookmarkStart w:id="67" w:name="_Toc454036245"/>
      <w:r w:rsidRPr="00BA06B6">
        <w:rPr>
          <w:rFonts w:asciiTheme="majorBidi" w:eastAsia="Times New Roman" w:hAnsiTheme="majorBidi" w:cstheme="majorBidi"/>
          <w:sz w:val="24"/>
          <w:szCs w:val="24"/>
          <w:lang w:eastAsia="en-GB"/>
        </w:rPr>
        <w:t xml:space="preserve">First, the </w:t>
      </w:r>
      <w:r w:rsidRPr="00BA06B6">
        <w:rPr>
          <w:rFonts w:asciiTheme="majorBidi" w:eastAsia="Times New Roman" w:hAnsiTheme="majorBidi" w:cstheme="majorBidi"/>
          <w:i/>
          <w:iCs/>
          <w:sz w:val="24"/>
          <w:szCs w:val="24"/>
          <w:lang w:eastAsia="en-GB"/>
        </w:rPr>
        <w:t xml:space="preserve">Shariah </w:t>
      </w:r>
      <w:r w:rsidRPr="00BA06B6">
        <w:rPr>
          <w:rFonts w:asciiTheme="majorBidi" w:eastAsia="Times New Roman" w:hAnsiTheme="majorBidi" w:cstheme="majorBidi"/>
          <w:sz w:val="24"/>
          <w:szCs w:val="24"/>
          <w:lang w:eastAsia="en-GB"/>
        </w:rPr>
        <w:t>supervisory board (</w:t>
      </w:r>
      <w:r w:rsidRPr="00BA06B6">
        <w:rPr>
          <w:rFonts w:asciiTheme="majorBidi" w:eastAsia="Times New Roman" w:hAnsiTheme="majorBidi" w:cstheme="majorBidi"/>
          <w:i/>
          <w:iCs/>
          <w:sz w:val="24"/>
          <w:szCs w:val="24"/>
          <w:lang w:eastAsia="en-GB"/>
        </w:rPr>
        <w:t>SSB</w:t>
      </w:r>
      <w:r w:rsidRPr="00BA06B6">
        <w:rPr>
          <w:rFonts w:asciiTheme="majorBidi" w:eastAsia="Times New Roman" w:hAnsiTheme="majorBidi" w:cstheme="majorBidi"/>
          <w:sz w:val="24"/>
          <w:szCs w:val="24"/>
          <w:lang w:eastAsia="en-GB"/>
        </w:rPr>
        <w:t xml:space="preserve">) coefficients are statistically significant at the 99% confidence level for Models 2 and 3. This implies that MENA banks with better </w:t>
      </w:r>
      <w:r w:rsidRPr="00BA06B6">
        <w:rPr>
          <w:rFonts w:asciiTheme="majorBidi" w:eastAsia="Times New Roman" w:hAnsiTheme="majorBidi" w:cstheme="majorBidi"/>
          <w:i/>
          <w:iCs/>
          <w:sz w:val="24"/>
          <w:szCs w:val="24"/>
          <w:lang w:eastAsia="en-GB"/>
        </w:rPr>
        <w:t>SSB</w:t>
      </w:r>
      <w:r w:rsidRPr="00BA06B6">
        <w:rPr>
          <w:rFonts w:asciiTheme="majorBidi" w:eastAsia="Times New Roman" w:hAnsiTheme="majorBidi" w:cstheme="majorBidi"/>
          <w:sz w:val="24"/>
          <w:szCs w:val="24"/>
          <w:lang w:eastAsia="en-GB"/>
        </w:rPr>
        <w:t xml:space="preserve"> are more likely to receive higher </w:t>
      </w:r>
      <w:r w:rsidRPr="00BA06B6">
        <w:rPr>
          <w:rFonts w:asciiTheme="majorBidi" w:eastAsia="Times New Roman" w:hAnsiTheme="majorBidi" w:cstheme="majorBidi"/>
          <w:i/>
          <w:iCs/>
          <w:sz w:val="24"/>
          <w:szCs w:val="24"/>
          <w:lang w:eastAsia="en-GB"/>
        </w:rPr>
        <w:t>RATE</w:t>
      </w:r>
      <w:r w:rsidRPr="00BA06B6">
        <w:rPr>
          <w:rFonts w:asciiTheme="majorBidi" w:eastAsia="Times New Roman" w:hAnsiTheme="majorBidi" w:cstheme="majorBidi"/>
          <w:iCs/>
          <w:sz w:val="24"/>
          <w:szCs w:val="24"/>
          <w:lang w:eastAsia="en-GB"/>
        </w:rPr>
        <w:t>, as shown in Table 7</w:t>
      </w:r>
      <w:r w:rsidRPr="00BA06B6">
        <w:rPr>
          <w:rFonts w:asciiTheme="majorBidi" w:eastAsia="Times New Roman" w:hAnsiTheme="majorBidi" w:cstheme="majorBidi"/>
          <w:sz w:val="24"/>
          <w:szCs w:val="24"/>
          <w:lang w:eastAsia="en-GB"/>
        </w:rPr>
        <w:t xml:space="preserve">. More importantly, </w:t>
      </w:r>
      <w:r w:rsidRPr="00BA06B6">
        <w:rPr>
          <w:rFonts w:asciiTheme="majorBidi" w:eastAsia="Times New Roman" w:hAnsiTheme="majorBidi" w:cstheme="majorBidi"/>
          <w:i/>
          <w:iCs/>
          <w:sz w:val="24"/>
          <w:szCs w:val="24"/>
          <w:lang w:eastAsia="en-GB"/>
        </w:rPr>
        <w:t>RDI</w:t>
      </w:r>
      <w:r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i/>
          <w:iCs/>
          <w:sz w:val="24"/>
          <w:szCs w:val="24"/>
          <w:lang w:eastAsia="en-GB"/>
        </w:rPr>
        <w:t>SSB</w:t>
      </w:r>
      <w:r w:rsidRPr="00BA06B6">
        <w:rPr>
          <w:rFonts w:asciiTheme="majorBidi" w:eastAsia="Times New Roman" w:hAnsiTheme="majorBidi" w:cstheme="majorBidi"/>
          <w:sz w:val="24"/>
          <w:szCs w:val="24"/>
          <w:lang w:eastAsia="en-GB"/>
        </w:rPr>
        <w:t xml:space="preserve"> coefficients are statistically significant in model 3 and implying that </w:t>
      </w:r>
      <w:r w:rsidRPr="00BA06B6">
        <w:rPr>
          <w:rFonts w:asciiTheme="majorBidi" w:eastAsia="Times New Roman" w:hAnsiTheme="majorBidi" w:cstheme="majorBidi"/>
          <w:i/>
          <w:iCs/>
          <w:sz w:val="24"/>
          <w:szCs w:val="24"/>
          <w:lang w:eastAsia="en-GB"/>
        </w:rPr>
        <w:t>H</w:t>
      </w:r>
      <w:r w:rsidRPr="00BA06B6">
        <w:rPr>
          <w:rFonts w:asciiTheme="majorBidi" w:eastAsia="Times New Roman" w:hAnsiTheme="majorBidi" w:cstheme="majorBidi"/>
          <w:i/>
          <w:iCs/>
          <w:sz w:val="24"/>
          <w:szCs w:val="24"/>
          <w:vertAlign w:val="subscript"/>
          <w:lang w:eastAsia="en-GB"/>
        </w:rPr>
        <w:t>2</w:t>
      </w:r>
      <w:r w:rsidRPr="00BA06B6">
        <w:rPr>
          <w:rFonts w:asciiTheme="majorBidi" w:eastAsia="Times New Roman" w:hAnsiTheme="majorBidi" w:cstheme="majorBidi"/>
          <w:i/>
          <w:iCs/>
          <w:sz w:val="24"/>
          <w:szCs w:val="24"/>
          <w:lang w:eastAsia="en-GB"/>
        </w:rPr>
        <w:t xml:space="preserve"> </w:t>
      </w:r>
      <w:r w:rsidRPr="00BA06B6">
        <w:rPr>
          <w:rFonts w:asciiTheme="majorBidi" w:eastAsia="Times New Roman" w:hAnsiTheme="majorBidi" w:cstheme="majorBidi"/>
          <w:sz w:val="24"/>
          <w:szCs w:val="24"/>
          <w:lang w:eastAsia="en-GB"/>
        </w:rPr>
        <w:t xml:space="preserve">is also empirically </w:t>
      </w:r>
      <w:r w:rsidRPr="00BA06B6">
        <w:rPr>
          <w:rFonts w:asciiTheme="majorBidi" w:eastAsia="Times New Roman" w:hAnsiTheme="majorBidi" w:cstheme="majorBidi"/>
          <w:sz w:val="24"/>
          <w:szCs w:val="24"/>
          <w:lang w:eastAsia="en-GB"/>
        </w:rPr>
        <w:lastRenderedPageBreak/>
        <w:t xml:space="preserve">supported. The positive impact of </w:t>
      </w:r>
      <w:r w:rsidRPr="00BA06B6">
        <w:rPr>
          <w:rFonts w:asciiTheme="majorBidi" w:eastAsia="Times New Roman" w:hAnsiTheme="majorBidi" w:cstheme="majorBidi"/>
          <w:i/>
          <w:iCs/>
          <w:sz w:val="24"/>
          <w:szCs w:val="24"/>
          <w:lang w:eastAsia="en-GB"/>
        </w:rPr>
        <w:t>SSB</w:t>
      </w:r>
      <w:r w:rsidRPr="00BA06B6">
        <w:rPr>
          <w:rFonts w:asciiTheme="majorBidi" w:eastAsia="Times New Roman" w:hAnsiTheme="majorBidi" w:cstheme="majorBidi"/>
          <w:sz w:val="24"/>
          <w:szCs w:val="24"/>
          <w:lang w:eastAsia="en-GB"/>
        </w:rPr>
        <w:t xml:space="preserve"> on the </w:t>
      </w:r>
      <w:r w:rsidRPr="00BA06B6">
        <w:rPr>
          <w:rFonts w:asciiTheme="majorBidi" w:eastAsia="Times New Roman" w:hAnsiTheme="majorBidi" w:cstheme="majorBidi"/>
          <w:i/>
          <w:iCs/>
          <w:sz w:val="24"/>
          <w:szCs w:val="24"/>
          <w:lang w:eastAsia="en-GB"/>
        </w:rPr>
        <w:t>RDI</w:t>
      </w:r>
      <w:r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i/>
          <w:iCs/>
          <w:sz w:val="24"/>
          <w:szCs w:val="24"/>
          <w:lang w:eastAsia="en-GB"/>
        </w:rPr>
        <w:t xml:space="preserve">RATE </w:t>
      </w:r>
      <w:r w:rsidRPr="00BA06B6">
        <w:rPr>
          <w:rFonts w:asciiTheme="majorBidi" w:eastAsia="Times New Roman" w:hAnsiTheme="majorBidi" w:cstheme="majorBidi"/>
          <w:sz w:val="24"/>
          <w:szCs w:val="24"/>
          <w:lang w:eastAsia="en-GB"/>
        </w:rPr>
        <w:t xml:space="preserve">nexus is consistent with the predictions of our proposed theoretical framework (i.e., support for </w:t>
      </w:r>
      <w:r w:rsidR="00251D60" w:rsidRPr="00BA06B6">
        <w:rPr>
          <w:rFonts w:asciiTheme="majorBidi" w:eastAsia="Times New Roman" w:hAnsiTheme="majorBidi" w:cstheme="majorBidi"/>
          <w:sz w:val="24"/>
          <w:szCs w:val="24"/>
          <w:lang w:eastAsia="en-GB"/>
        </w:rPr>
        <w:t xml:space="preserve">the </w:t>
      </w:r>
      <w:r w:rsidRPr="00BA06B6">
        <w:rPr>
          <w:rFonts w:asciiTheme="majorBidi" w:eastAsia="Times New Roman" w:hAnsiTheme="majorBidi" w:cstheme="majorBidi"/>
          <w:sz w:val="24"/>
          <w:szCs w:val="24"/>
          <w:lang w:eastAsia="en-GB"/>
        </w:rPr>
        <w:t xml:space="preserve">agency, signalling, legitimacy, and resource dependence theories). That is, the presence of the </w:t>
      </w:r>
      <w:r w:rsidRPr="00BA06B6">
        <w:rPr>
          <w:rFonts w:asciiTheme="majorBidi" w:eastAsia="Times New Roman" w:hAnsiTheme="majorBidi" w:cstheme="majorBidi"/>
          <w:i/>
          <w:iCs/>
          <w:sz w:val="24"/>
          <w:szCs w:val="24"/>
          <w:lang w:eastAsia="en-GB"/>
        </w:rPr>
        <w:t>SSB</w:t>
      </w:r>
      <w:r w:rsidRPr="00BA06B6">
        <w:rPr>
          <w:rFonts w:asciiTheme="majorBidi" w:eastAsia="Times New Roman" w:hAnsiTheme="majorBidi" w:cstheme="majorBidi"/>
          <w:sz w:val="24"/>
          <w:szCs w:val="24"/>
          <w:lang w:eastAsia="en-GB"/>
        </w:rPr>
        <w:t xml:space="preserve"> appears to serve as a signal (signalling theory) for improved managerial monitoring (agency theory), which can facilitate access to critical resources (resource dependence theory) by providing guarantees of compliance with </w:t>
      </w:r>
      <w:r w:rsidRPr="00BA06B6">
        <w:rPr>
          <w:rFonts w:asciiTheme="majorBidi" w:eastAsia="Times New Roman" w:hAnsiTheme="majorBidi" w:cstheme="majorBidi"/>
          <w:i/>
          <w:iCs/>
          <w:sz w:val="24"/>
          <w:szCs w:val="24"/>
          <w:lang w:eastAsia="en-GB"/>
        </w:rPr>
        <w:t xml:space="preserve">Shariah </w:t>
      </w:r>
      <w:r w:rsidRPr="00BA06B6">
        <w:rPr>
          <w:rFonts w:asciiTheme="majorBidi" w:eastAsia="Times New Roman" w:hAnsiTheme="majorBidi" w:cstheme="majorBidi"/>
          <w:sz w:val="24"/>
          <w:szCs w:val="24"/>
          <w:lang w:eastAsia="en-GB"/>
        </w:rPr>
        <w:t>rules and principles. This can legitimise (legitimacy theory) banks’ operations in addition to reducing agency conflicts and information asymmetry (agency theory), and hence, improving risk disclosures and BCRs.</w:t>
      </w:r>
      <w:bookmarkEnd w:id="67"/>
      <w:r w:rsidRPr="00BA06B6">
        <w:rPr>
          <w:rFonts w:asciiTheme="majorBidi" w:eastAsia="Times New Roman" w:hAnsiTheme="majorBidi" w:cstheme="majorBidi"/>
          <w:sz w:val="24"/>
          <w:szCs w:val="24"/>
          <w:lang w:eastAsia="en-GB"/>
        </w:rPr>
        <w:t xml:space="preserve"> </w:t>
      </w:r>
    </w:p>
    <w:p w14:paraId="15537C19" w14:textId="13FE048E" w:rsidR="00AA068C" w:rsidRPr="00BA06B6" w:rsidRDefault="00AA068C" w:rsidP="00251D60">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 xml:space="preserve">Second, the ownership structure results indicate that, in general, ownership structure has a significant moderating impact on the BCRs. For instance, consistent with previous research </w:t>
      </w:r>
      <w:r w:rsidRPr="00BA06B6">
        <w:rPr>
          <w:rFonts w:asciiTheme="majorBidi" w:eastAsia="Times New Roman" w:hAnsiTheme="majorBidi" w:cstheme="majorBidi"/>
          <w:sz w:val="24"/>
          <w:szCs w:val="24"/>
          <w:lang w:eastAsia="en-GB"/>
        </w:rPr>
        <w:fldChar w:fldCharType="begin">
          <w:fldData xml:space="preserve">PEVuZE5vdGU+PENpdGU+PEF1dGhvcj5Hcm92ZTwvQXV0aG9yPjxZZWFyPjIwMTE8L1llYXI+PFJl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</w:fldData>
        </w:fldChar>
      </w:r>
      <w:r w:rsidRPr="00BA06B6">
        <w:rPr>
          <w:rFonts w:asciiTheme="majorBidi" w:eastAsia="Times New Roman" w:hAnsiTheme="majorBidi" w:cstheme="majorBidi"/>
          <w:sz w:val="24"/>
          <w:szCs w:val="24"/>
          <w:lang w:eastAsia="en-GB"/>
        </w:rPr>
        <w:instrText xml:space="preserve"> ADDIN EN.CITE </w:instrText>
      </w:r>
      <w:r w:rsidRPr="00BA06B6">
        <w:rPr>
          <w:rFonts w:asciiTheme="majorBidi" w:eastAsia="Times New Roman" w:hAnsiTheme="majorBidi" w:cstheme="majorBidi"/>
          <w:sz w:val="24"/>
          <w:szCs w:val="24"/>
          <w:lang w:eastAsia="en-GB"/>
        </w:rPr>
        <w:fldChar w:fldCharType="begin">
          <w:fldData xml:space="preserve">PEVuZE5vdGU+PENpdGU+PEF1dGhvcj5Hcm92ZTwvQXV0aG9yPjxZZWFyPjIwMTE8L1llYXI+PFJl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</w:fldData>
        </w:fldChar>
      </w:r>
      <w:r w:rsidRPr="00BA06B6">
        <w:rPr>
          <w:rFonts w:asciiTheme="majorBidi" w:eastAsia="Times New Roman" w:hAnsiTheme="majorBidi" w:cstheme="majorBidi"/>
          <w:sz w:val="24"/>
          <w:szCs w:val="24"/>
          <w:lang w:eastAsia="en-GB"/>
        </w:rPr>
        <w:instrText xml:space="preserve"> ADDIN EN.CITE.DATA </w:instrText>
      </w:r>
      <w:r w:rsidRPr="00BA06B6">
        <w:rPr>
          <w:rFonts w:asciiTheme="majorBidi" w:eastAsia="Times New Roman" w:hAnsiTheme="majorBidi" w:cstheme="majorBidi"/>
          <w:sz w:val="24"/>
          <w:szCs w:val="24"/>
          <w:lang w:eastAsia="en-GB"/>
        </w:rPr>
      </w:r>
      <w:r w:rsidRPr="00BA06B6">
        <w:rPr>
          <w:rFonts w:asciiTheme="majorBidi" w:eastAsia="Times New Roman" w:hAnsiTheme="majorBidi" w:cstheme="majorBidi"/>
          <w:sz w:val="24"/>
          <w:szCs w:val="24"/>
          <w:lang w:eastAsia="en-GB"/>
        </w:rPr>
        <w:fldChar w:fldCharType="end"/>
      </w:r>
      <w:r w:rsidRPr="00BA06B6">
        <w:rPr>
          <w:rFonts w:asciiTheme="majorBidi" w:eastAsia="Times New Roman" w:hAnsiTheme="majorBidi" w:cstheme="majorBidi"/>
          <w:sz w:val="24"/>
          <w:szCs w:val="24"/>
          <w:lang w:eastAsia="en-GB"/>
        </w:rPr>
      </w:r>
      <w:r w:rsidRPr="00BA06B6">
        <w:rPr>
          <w:rFonts w:asciiTheme="majorBidi" w:eastAsia="Times New Roman" w:hAnsiTheme="majorBidi" w:cstheme="majorBidi"/>
          <w:sz w:val="24"/>
          <w:szCs w:val="24"/>
          <w:lang w:eastAsia="en-GB"/>
        </w:rPr>
        <w:fldChar w:fldCharType="separate"/>
      </w:r>
      <w:r w:rsidRPr="00BA06B6">
        <w:rPr>
          <w:rFonts w:asciiTheme="majorBidi" w:eastAsia="Times New Roman" w:hAnsiTheme="majorBidi" w:cstheme="majorBidi"/>
          <w:noProof/>
          <w:sz w:val="24"/>
          <w:szCs w:val="24"/>
          <w:lang w:eastAsia="en-GB"/>
        </w:rPr>
        <w:t>(</w:t>
      </w:r>
      <w:hyperlink w:anchor="_ENREF_47" w:tooltip="Demirgüç-Kunt, 1999 #700" w:history="1">
        <w:r w:rsidRPr="00BA06B6">
          <w:rPr>
            <w:rFonts w:asciiTheme="majorBidi" w:eastAsia="Times New Roman" w:hAnsiTheme="majorBidi" w:cstheme="majorBidi"/>
            <w:noProof/>
            <w:sz w:val="24"/>
            <w:szCs w:val="24"/>
            <w:lang w:eastAsia="en-GB"/>
          </w:rPr>
          <w:t>Demirgüç-Kunt and Huizinga, 1999</w:t>
        </w:r>
      </w:hyperlink>
      <w:r w:rsidRPr="00BA06B6">
        <w:rPr>
          <w:rFonts w:asciiTheme="majorBidi" w:eastAsia="Times New Roman" w:hAnsiTheme="majorBidi" w:cstheme="majorBidi"/>
          <w:noProof/>
          <w:sz w:val="24"/>
          <w:szCs w:val="24"/>
          <w:lang w:eastAsia="en-GB"/>
        </w:rPr>
        <w:t xml:space="preserve">; </w:t>
      </w:r>
      <w:hyperlink w:anchor="_ENREF_69" w:tooltip="Grove, 2011 #544" w:history="1">
        <w:r w:rsidRPr="00BA06B6">
          <w:rPr>
            <w:rFonts w:asciiTheme="majorBidi" w:eastAsia="Times New Roman" w:hAnsiTheme="majorBidi" w:cstheme="majorBidi"/>
            <w:noProof/>
            <w:sz w:val="24"/>
            <w:szCs w:val="24"/>
            <w:lang w:eastAsia="en-GB"/>
          </w:rPr>
          <w:t>Grove et al., 2011</w:t>
        </w:r>
      </w:hyperlink>
      <w:r w:rsidRPr="00BA06B6">
        <w:rPr>
          <w:rFonts w:asciiTheme="majorBidi" w:eastAsia="Times New Roman" w:hAnsiTheme="majorBidi" w:cstheme="majorBidi"/>
          <w:noProof/>
          <w:sz w:val="24"/>
          <w:szCs w:val="24"/>
          <w:lang w:eastAsia="en-GB"/>
        </w:rPr>
        <w:t xml:space="preserve">; </w:t>
      </w:r>
      <w:hyperlink w:anchor="_ENREF_94" w:tooltip="Li, 2014 #681" w:history="1">
        <w:r w:rsidRPr="00BA06B6">
          <w:rPr>
            <w:rFonts w:asciiTheme="majorBidi" w:eastAsia="Times New Roman" w:hAnsiTheme="majorBidi" w:cstheme="majorBidi"/>
            <w:noProof/>
            <w:sz w:val="24"/>
            <w:szCs w:val="24"/>
            <w:lang w:eastAsia="en-GB"/>
          </w:rPr>
          <w:t>Li et al., 2014</w:t>
        </w:r>
      </w:hyperlink>
      <w:r w:rsidRPr="00BA06B6">
        <w:rPr>
          <w:rFonts w:asciiTheme="majorBidi" w:eastAsia="Times New Roman" w:hAnsiTheme="majorBidi" w:cstheme="majorBidi"/>
          <w:noProof/>
          <w:sz w:val="24"/>
          <w:szCs w:val="24"/>
          <w:lang w:eastAsia="en-GB"/>
        </w:rPr>
        <w:t>)</w:t>
      </w:r>
      <w:r w:rsidRPr="00BA06B6">
        <w:rPr>
          <w:rFonts w:asciiTheme="majorBidi" w:eastAsia="Times New Roman" w:hAnsiTheme="majorBidi" w:cstheme="majorBidi"/>
          <w:sz w:val="24"/>
          <w:szCs w:val="24"/>
          <w:lang w:eastAsia="en-GB"/>
        </w:rPr>
        <w:fldChar w:fldCharType="end"/>
      </w:r>
      <w:r w:rsidRPr="00BA06B6">
        <w:rPr>
          <w:rFonts w:asciiTheme="majorBidi" w:eastAsia="Times New Roman" w:hAnsiTheme="majorBidi" w:cstheme="majorBidi"/>
          <w:sz w:val="24"/>
          <w:szCs w:val="24"/>
          <w:lang w:eastAsia="en-GB"/>
        </w:rPr>
        <w:t>,</w:t>
      </w:r>
      <w:hyperlink w:anchor="_ENREF_29" w:tooltip="Beuselinck, 2015 #531" w:history="1"/>
      <w:hyperlink w:anchor="_ENREF_90" w:tooltip="Li, 2014 #681" w:history="1"/>
      <w:hyperlink w:anchor="_ENREF_88" w:tooltip="Lensink, 2008 #701" w:history="1"/>
      <w:r w:rsidRPr="00BA06B6">
        <w:rPr>
          <w:rFonts w:asciiTheme="majorBidi" w:eastAsia="Times New Roman" w:hAnsiTheme="majorBidi" w:cstheme="majorBidi"/>
          <w:sz w:val="24"/>
          <w:szCs w:val="24"/>
          <w:lang w:eastAsia="en-GB"/>
        </w:rPr>
        <w:t xml:space="preserve"> the coefficients of </w:t>
      </w:r>
      <w:r w:rsidRPr="00BA06B6">
        <w:rPr>
          <w:rFonts w:asciiTheme="majorBidi" w:eastAsia="Times New Roman" w:hAnsiTheme="majorBidi" w:cstheme="majorBidi"/>
          <w:i/>
          <w:iCs/>
          <w:sz w:val="24"/>
          <w:szCs w:val="24"/>
          <w:lang w:eastAsia="en-GB"/>
        </w:rPr>
        <w:t>GOWN</w:t>
      </w:r>
      <w:r w:rsidRPr="00BA06B6">
        <w:rPr>
          <w:rFonts w:asciiTheme="majorBidi" w:eastAsia="Times New Roman" w:hAnsiTheme="majorBidi" w:cstheme="majorBidi"/>
          <w:sz w:val="24"/>
          <w:szCs w:val="24"/>
          <w:lang w:eastAsia="en-GB"/>
        </w:rPr>
        <w:t xml:space="preserve"> and </w:t>
      </w:r>
      <w:r w:rsidRPr="00BA06B6">
        <w:rPr>
          <w:rFonts w:asciiTheme="majorBidi" w:eastAsia="Times New Roman" w:hAnsiTheme="majorBidi" w:cstheme="majorBidi"/>
          <w:i/>
          <w:iCs/>
          <w:sz w:val="24"/>
          <w:szCs w:val="24"/>
          <w:lang w:eastAsia="en-GB"/>
        </w:rPr>
        <w:t>RDI</w:t>
      </w:r>
      <w:r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i/>
          <w:iCs/>
          <w:sz w:val="24"/>
          <w:szCs w:val="24"/>
          <w:lang w:eastAsia="en-GB"/>
        </w:rPr>
        <w:t>GOWN</w:t>
      </w:r>
      <w:r w:rsidRPr="00BA06B6">
        <w:rPr>
          <w:rFonts w:asciiTheme="majorBidi" w:eastAsia="Times New Roman" w:hAnsiTheme="majorBidi" w:cstheme="majorBidi"/>
          <w:sz w:val="24"/>
          <w:szCs w:val="24"/>
          <w:lang w:eastAsia="en-GB"/>
        </w:rPr>
        <w:t xml:space="preserve"> in Models 2 and 3 are positive and statistically significant, as shown in Table 7. These findings imply that MENA banks with high </w:t>
      </w:r>
      <w:r w:rsidRPr="00BA06B6">
        <w:rPr>
          <w:rFonts w:asciiTheme="majorBidi" w:eastAsia="Times New Roman" w:hAnsiTheme="majorBidi" w:cstheme="majorBidi"/>
          <w:i/>
          <w:iCs/>
          <w:sz w:val="24"/>
          <w:szCs w:val="24"/>
          <w:lang w:eastAsia="en-GB"/>
        </w:rPr>
        <w:t>GOWN</w:t>
      </w:r>
      <w:r w:rsidRPr="00BA06B6">
        <w:rPr>
          <w:rFonts w:asciiTheme="majorBidi" w:eastAsia="Times New Roman" w:hAnsiTheme="majorBidi" w:cstheme="majorBidi"/>
          <w:sz w:val="24"/>
          <w:szCs w:val="24"/>
          <w:lang w:eastAsia="en-GB"/>
        </w:rPr>
        <w:t xml:space="preserve"> are more likely to receive higher </w:t>
      </w:r>
      <w:r w:rsidRPr="00BA06B6">
        <w:rPr>
          <w:rFonts w:asciiTheme="majorBidi" w:eastAsia="Times New Roman" w:hAnsiTheme="majorBidi" w:cstheme="majorBidi"/>
          <w:i/>
          <w:iCs/>
          <w:sz w:val="24"/>
          <w:szCs w:val="24"/>
          <w:lang w:eastAsia="en-GB"/>
        </w:rPr>
        <w:t>RATE</w:t>
      </w:r>
      <w:r w:rsidRPr="00BA06B6">
        <w:rPr>
          <w:rFonts w:asciiTheme="majorBidi" w:eastAsia="Times New Roman" w:hAnsiTheme="majorBidi" w:cstheme="majorBidi"/>
          <w:sz w:val="24"/>
          <w:szCs w:val="24"/>
          <w:lang w:eastAsia="en-GB"/>
        </w:rPr>
        <w:t xml:space="preserve">. Also, banks with high </w:t>
      </w:r>
      <w:r w:rsidRPr="00BA06B6">
        <w:rPr>
          <w:rFonts w:asciiTheme="majorBidi" w:eastAsia="Times New Roman" w:hAnsiTheme="majorBidi" w:cstheme="majorBidi"/>
          <w:i/>
          <w:iCs/>
          <w:sz w:val="24"/>
          <w:szCs w:val="24"/>
          <w:lang w:eastAsia="en-GB"/>
        </w:rPr>
        <w:t>GOWN</w:t>
      </w:r>
      <w:r w:rsidRPr="00BA06B6">
        <w:rPr>
          <w:rFonts w:asciiTheme="majorBidi" w:eastAsia="Times New Roman" w:hAnsiTheme="majorBidi" w:cstheme="majorBidi"/>
          <w:sz w:val="24"/>
          <w:szCs w:val="24"/>
          <w:lang w:eastAsia="en-GB"/>
        </w:rPr>
        <w:t xml:space="preserve"> are more likely to have informative risk disclosures. Similarly, these results are consistent with the predictions of our proposed theoretical framework (i.e., support for agency, signalling</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and legitimacy, and resource dependence theories). That is, </w:t>
      </w:r>
      <w:r w:rsidRPr="00BA06B6">
        <w:rPr>
          <w:rFonts w:asciiTheme="majorBidi" w:eastAsia="Times New Roman" w:hAnsiTheme="majorBidi" w:cstheme="majorBidi"/>
          <w:i/>
          <w:iCs/>
          <w:sz w:val="24"/>
          <w:szCs w:val="24"/>
          <w:lang w:eastAsia="en-GB"/>
        </w:rPr>
        <w:t>GOWN</w:t>
      </w:r>
      <w:r w:rsidRPr="00BA06B6">
        <w:rPr>
          <w:rFonts w:asciiTheme="majorBidi" w:eastAsia="Times New Roman" w:hAnsiTheme="majorBidi" w:cstheme="majorBidi"/>
          <w:sz w:val="24"/>
          <w:szCs w:val="24"/>
          <w:lang w:eastAsia="en-GB"/>
        </w:rPr>
        <w:t xml:space="preserve"> appears to facilitate access to additional resources by providing guarantees to secure, for example, debt financing, which can enhance BCRs. </w:t>
      </w:r>
      <w:hyperlink w:anchor="Table7" w:history="1">
        <w:r w:rsidRPr="00BA06B6">
          <w:rPr>
            <w:rFonts w:asciiTheme="majorBidi" w:eastAsia="Times New Roman" w:hAnsiTheme="majorBidi" w:cstheme="majorBidi"/>
            <w:sz w:val="24"/>
            <w:szCs w:val="24"/>
            <w:lang w:eastAsia="en-GB"/>
          </w:rPr>
          <w:t>Table 7</w:t>
        </w:r>
      </w:hyperlink>
      <w:r w:rsidRPr="00BA06B6">
        <w:rPr>
          <w:rFonts w:asciiTheme="majorBidi" w:eastAsia="Times New Roman" w:hAnsiTheme="majorBidi" w:cstheme="majorBidi"/>
          <w:sz w:val="24"/>
          <w:szCs w:val="24"/>
          <w:lang w:eastAsia="en-GB"/>
        </w:rPr>
        <w:t xml:space="preserve"> shows that the coefficients of </w:t>
      </w:r>
      <w:r w:rsidRPr="00BA06B6">
        <w:rPr>
          <w:rFonts w:asciiTheme="majorBidi" w:eastAsia="Times New Roman" w:hAnsiTheme="majorBidi" w:cstheme="majorBidi"/>
          <w:i/>
          <w:iCs/>
          <w:sz w:val="24"/>
          <w:szCs w:val="24"/>
          <w:lang w:eastAsia="en-GB"/>
        </w:rPr>
        <w:t>FOWN</w:t>
      </w:r>
      <w:r w:rsidRPr="00BA06B6">
        <w:rPr>
          <w:rFonts w:asciiTheme="majorBidi" w:eastAsia="Times New Roman" w:hAnsiTheme="majorBidi" w:cstheme="majorBidi"/>
          <w:sz w:val="24"/>
          <w:szCs w:val="24"/>
          <w:lang w:eastAsia="en-GB"/>
        </w:rPr>
        <w:t xml:space="preserve"> and </w:t>
      </w:r>
      <w:r w:rsidRPr="00BA06B6">
        <w:rPr>
          <w:rFonts w:asciiTheme="majorBidi" w:eastAsia="Times New Roman" w:hAnsiTheme="majorBidi" w:cstheme="majorBidi"/>
          <w:i/>
          <w:iCs/>
          <w:sz w:val="24"/>
          <w:szCs w:val="24"/>
          <w:lang w:eastAsia="en-GB"/>
        </w:rPr>
        <w:t>RDI</w:t>
      </w:r>
      <w:r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i/>
          <w:iCs/>
          <w:sz w:val="24"/>
          <w:szCs w:val="24"/>
          <w:lang w:eastAsia="en-GB"/>
        </w:rPr>
        <w:t>FOWN</w:t>
      </w:r>
      <w:r w:rsidRPr="00BA06B6">
        <w:rPr>
          <w:rFonts w:asciiTheme="majorBidi" w:eastAsia="Times New Roman" w:hAnsiTheme="majorBidi" w:cstheme="majorBidi"/>
          <w:sz w:val="24"/>
          <w:szCs w:val="24"/>
          <w:lang w:eastAsia="en-GB"/>
        </w:rPr>
        <w:t xml:space="preserve"> are statistically significant and negatively related to the </w:t>
      </w:r>
      <w:r w:rsidRPr="00BA06B6">
        <w:rPr>
          <w:rFonts w:asciiTheme="majorBidi" w:eastAsia="Times New Roman" w:hAnsiTheme="majorBidi" w:cstheme="majorBidi"/>
          <w:i/>
          <w:iCs/>
          <w:sz w:val="24"/>
          <w:szCs w:val="24"/>
          <w:lang w:eastAsia="en-GB"/>
        </w:rPr>
        <w:t>RATE</w:t>
      </w:r>
      <w:r w:rsidRPr="00BA06B6">
        <w:rPr>
          <w:rFonts w:asciiTheme="majorBidi" w:eastAsia="Times New Roman" w:hAnsiTheme="majorBidi" w:cstheme="majorBidi"/>
          <w:sz w:val="24"/>
          <w:szCs w:val="24"/>
          <w:lang w:eastAsia="en-GB"/>
        </w:rPr>
        <w:t xml:space="preserve"> in models 2 and 3. These results are consistent with those of prior studies </w:t>
      </w:r>
      <w:r w:rsidRPr="00BA06B6">
        <w:rPr>
          <w:rFonts w:asciiTheme="majorBidi" w:eastAsia="Times New Roman" w:hAnsiTheme="majorBidi" w:cstheme="majorBidi"/>
          <w:sz w:val="24"/>
          <w:szCs w:val="24"/>
          <w:lang w:eastAsia="en-GB"/>
        </w:rPr>
        <w:fldChar w:fldCharType="begin">
          <w:fldData xml:space="preserve">PEVuZE5vdGU+PENpdGU+PEF1dGhvcj5MaTwvQXV0aG9yPjxZZWFyPjIwMTQ8L1llYXI+PFJlY051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</w:fldData>
        </w:fldChar>
      </w:r>
      <w:r w:rsidRPr="00BA06B6">
        <w:rPr>
          <w:rFonts w:asciiTheme="majorBidi" w:eastAsia="Times New Roman" w:hAnsiTheme="majorBidi" w:cstheme="majorBidi"/>
          <w:sz w:val="24"/>
          <w:szCs w:val="24"/>
          <w:lang w:eastAsia="en-GB"/>
        </w:rPr>
        <w:instrText xml:space="preserve"> ADDIN EN.CITE </w:instrText>
      </w:r>
      <w:r w:rsidRPr="00BA06B6">
        <w:rPr>
          <w:rFonts w:asciiTheme="majorBidi" w:eastAsia="Times New Roman" w:hAnsiTheme="majorBidi" w:cstheme="majorBidi"/>
          <w:sz w:val="24"/>
          <w:szCs w:val="24"/>
          <w:lang w:eastAsia="en-GB"/>
        </w:rPr>
        <w:fldChar w:fldCharType="begin">
          <w:fldData xml:space="preserve">PEVuZE5vdGU+PENpdGU+PEF1dGhvcj5MaTwvQXV0aG9yPjxZZWFyPjIwMTQ8L1llYXI+PFJlY051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</w:fldData>
        </w:fldChar>
      </w:r>
      <w:r w:rsidRPr="00BA06B6">
        <w:rPr>
          <w:rFonts w:asciiTheme="majorBidi" w:eastAsia="Times New Roman" w:hAnsiTheme="majorBidi" w:cstheme="majorBidi"/>
          <w:sz w:val="24"/>
          <w:szCs w:val="24"/>
          <w:lang w:eastAsia="en-GB"/>
        </w:rPr>
        <w:instrText xml:space="preserve"> ADDIN EN.CITE.DATA </w:instrText>
      </w:r>
      <w:r w:rsidRPr="00BA06B6">
        <w:rPr>
          <w:rFonts w:asciiTheme="majorBidi" w:eastAsia="Times New Roman" w:hAnsiTheme="majorBidi" w:cstheme="majorBidi"/>
          <w:sz w:val="24"/>
          <w:szCs w:val="24"/>
          <w:lang w:eastAsia="en-GB"/>
        </w:rPr>
      </w:r>
      <w:r w:rsidRPr="00BA06B6">
        <w:rPr>
          <w:rFonts w:asciiTheme="majorBidi" w:eastAsia="Times New Roman" w:hAnsiTheme="majorBidi" w:cstheme="majorBidi"/>
          <w:sz w:val="24"/>
          <w:szCs w:val="24"/>
          <w:lang w:eastAsia="en-GB"/>
        </w:rPr>
        <w:fldChar w:fldCharType="end"/>
      </w:r>
      <w:r w:rsidRPr="00BA06B6">
        <w:rPr>
          <w:rFonts w:asciiTheme="majorBidi" w:eastAsia="Times New Roman" w:hAnsiTheme="majorBidi" w:cstheme="majorBidi"/>
          <w:sz w:val="24"/>
          <w:szCs w:val="24"/>
          <w:lang w:eastAsia="en-GB"/>
        </w:rPr>
      </w:r>
      <w:r w:rsidRPr="00BA06B6">
        <w:rPr>
          <w:rFonts w:asciiTheme="majorBidi" w:eastAsia="Times New Roman" w:hAnsiTheme="majorBidi" w:cstheme="majorBidi"/>
          <w:sz w:val="24"/>
          <w:szCs w:val="24"/>
          <w:lang w:eastAsia="en-GB"/>
        </w:rPr>
        <w:fldChar w:fldCharType="separate"/>
      </w:r>
      <w:r w:rsidRPr="00BA06B6">
        <w:rPr>
          <w:rFonts w:asciiTheme="majorBidi" w:eastAsia="Times New Roman" w:hAnsiTheme="majorBidi" w:cstheme="majorBidi"/>
          <w:noProof/>
          <w:sz w:val="24"/>
          <w:szCs w:val="24"/>
          <w:lang w:eastAsia="en-GB"/>
        </w:rPr>
        <w:t xml:space="preserve">(e.g., </w:t>
      </w:r>
      <w:hyperlink w:anchor="_ENREF_47" w:tooltip="Demirgüç-Kunt, 1999 #700" w:history="1">
        <w:r w:rsidRPr="00BA06B6">
          <w:rPr>
            <w:rFonts w:asciiTheme="majorBidi" w:eastAsia="Times New Roman" w:hAnsiTheme="majorBidi" w:cstheme="majorBidi"/>
            <w:noProof/>
            <w:sz w:val="24"/>
            <w:szCs w:val="24"/>
            <w:lang w:eastAsia="en-GB"/>
          </w:rPr>
          <w:t xml:space="preserve">Demirgüç-Kunt </w:t>
        </w:r>
        <w:r w:rsidRPr="00BA06B6">
          <w:rPr>
            <w:rFonts w:asciiTheme="majorBidi" w:eastAsia="Times New Roman" w:hAnsiTheme="majorBidi" w:cstheme="majorBidi"/>
            <w:sz w:val="24"/>
            <w:szCs w:val="24"/>
            <w:lang w:eastAsia="en-GB"/>
          </w:rPr>
          <w:t xml:space="preserve">&amp; </w:t>
        </w:r>
        <w:r w:rsidRPr="00BA06B6">
          <w:rPr>
            <w:rFonts w:asciiTheme="majorBidi" w:eastAsia="Times New Roman" w:hAnsiTheme="majorBidi" w:cstheme="majorBidi"/>
            <w:noProof/>
            <w:sz w:val="24"/>
            <w:szCs w:val="24"/>
            <w:lang w:eastAsia="en-GB"/>
          </w:rPr>
          <w:t>Huizinga, 1999</w:t>
        </w:r>
      </w:hyperlink>
      <w:r w:rsidRPr="00BA06B6">
        <w:rPr>
          <w:rFonts w:asciiTheme="majorBidi" w:eastAsia="Times New Roman" w:hAnsiTheme="majorBidi" w:cstheme="majorBidi"/>
          <w:noProof/>
          <w:sz w:val="24"/>
          <w:szCs w:val="24"/>
          <w:lang w:eastAsia="en-GB"/>
        </w:rPr>
        <w:t xml:space="preserve">; </w:t>
      </w:r>
      <w:hyperlink w:anchor="_ENREF_94" w:tooltip="Li, 2014 #681" w:history="1">
        <w:r w:rsidRPr="00BA06B6">
          <w:rPr>
            <w:rFonts w:asciiTheme="majorBidi" w:eastAsia="Times New Roman" w:hAnsiTheme="majorBidi" w:cstheme="majorBidi"/>
            <w:noProof/>
            <w:sz w:val="24"/>
            <w:szCs w:val="24"/>
            <w:lang w:eastAsia="en-GB"/>
          </w:rPr>
          <w:t>Li et al., 2014</w:t>
        </w:r>
      </w:hyperlink>
      <w:r w:rsidRPr="00BA06B6">
        <w:rPr>
          <w:rFonts w:asciiTheme="majorBidi" w:eastAsia="Times New Roman" w:hAnsiTheme="majorBidi" w:cstheme="majorBidi"/>
          <w:noProof/>
          <w:sz w:val="24"/>
          <w:szCs w:val="24"/>
          <w:lang w:eastAsia="en-GB"/>
        </w:rPr>
        <w:t>)</w:t>
      </w:r>
      <w:r w:rsidRPr="00BA06B6">
        <w:rPr>
          <w:rFonts w:asciiTheme="majorBidi" w:eastAsia="Times New Roman" w:hAnsiTheme="majorBidi" w:cstheme="majorBidi"/>
          <w:sz w:val="24"/>
          <w:szCs w:val="24"/>
          <w:lang w:eastAsia="en-GB"/>
        </w:rPr>
        <w:fldChar w:fldCharType="end"/>
      </w:r>
      <w:r w:rsidRPr="00BA06B6">
        <w:rPr>
          <w:rFonts w:asciiTheme="majorBidi" w:eastAsia="Times New Roman" w:hAnsiTheme="majorBidi" w:cstheme="majorBidi"/>
          <w:sz w:val="24"/>
          <w:szCs w:val="24"/>
          <w:lang w:eastAsia="en-GB"/>
        </w:rPr>
        <w:t xml:space="preserve">, but inconsistent with other studies, such as </w:t>
      </w:r>
      <w:hyperlink w:anchor="_ENREF_41" w:tooltip="Choi, 2005 #702" w:history="1">
        <w:r w:rsidRPr="00BA06B6">
          <w:rPr>
            <w:rFonts w:asciiTheme="majorBidi" w:eastAsia="Times New Roman" w:hAnsiTheme="majorBidi" w:cstheme="majorBidi"/>
            <w:sz w:val="24"/>
            <w:szCs w:val="24"/>
            <w:lang w:eastAsia="en-GB"/>
          </w:rPr>
          <w:fldChar w:fldCharType="begin"/>
        </w:r>
        <w:r w:rsidRPr="00BA06B6">
          <w:rPr>
            <w:rFonts w:asciiTheme="majorBidi" w:eastAsia="Times New Roman" w:hAnsiTheme="majorBidi" w:cstheme="majorBidi"/>
            <w:sz w:val="24"/>
            <w:szCs w:val="24"/>
            <w:lang w:eastAsia="en-GB"/>
          </w:rPr>
          <w:instrText xml:space="preserve"> ADDIN EN.CITE &lt;EndNote&gt;&lt;Cite AuthorYear="1"&gt;&lt;Author&gt;Choi&lt;/Author&gt;&lt;Year&gt;2005&lt;/Year&gt;&lt;RecNum&gt;702&lt;/RecNum&gt;&lt;DisplayText&gt;Choi and Hasan (2005)&lt;/DisplayText&gt;&lt;record&gt;&lt;rec-number&gt;702&lt;/rec-number&gt;&lt;foreign-keys&gt;&lt;key app="EN" db-id="2dxffaaevppfp1e50wgpfxs8pwda290z0az0" timestamp="1441803119"&gt;702&lt;/key&gt;&lt;/foreign-keys&gt;&lt;ref-type name="Journal Article"&gt;17&lt;/ref-type&gt;&lt;contributors&gt;&lt;authors&gt;&lt;author&gt;Choi, Sungho&lt;/author&gt;&lt;author&gt;Hasan, Iftekhar&lt;/author&gt;&lt;/authors&gt;&lt;/contributors&gt;&lt;titles&gt;&lt;title&gt;Ownership, Governance, and Bank Performance: Korean Experience&lt;/title&gt;&lt;secondary-title&gt;Financial Markets, Institutions &amp;amp; Instruments&lt;/secondary-title&gt;&lt;/titles&gt;&lt;periodical&gt;&lt;full-title&gt;Financial Markets, Institutions &amp;amp; Instruments&lt;/full-title&gt;&lt;/periodical&gt;&lt;pages&gt;215-242&lt;/pages&gt;&lt;volume&gt;14&lt;/volume&gt;&lt;number&gt;4&lt;/number&gt;&lt;keywords&gt;&lt;keyword&gt;Bank performance&lt;/keyword&gt;&lt;keyword&gt;Governance&lt;/keyword&gt;&lt;keyword&gt;Foreign Ownership&lt;/keyword&gt;&lt;keyword&gt;Foreign Director&lt;/keyword&gt;&lt;keyword&gt;G21&lt;/keyword&gt;&lt;keyword&gt;G32&lt;/keyword&gt;&lt;keyword&gt;G34&lt;/keyword&gt;&lt;/keywords&gt;&lt;dates&gt;&lt;year&gt;2005&lt;/year&gt;&lt;/dates&gt;&lt;publisher&gt;Blackwell Publishing Ltd/Inc.&lt;/publisher&gt;&lt;isbn&gt;1468-0416&lt;/isbn&gt;&lt;urls&gt;&lt;related-urls&gt;&lt;url&gt;http://dx.doi.org/10.1111/j.0963-8008.2005.00104.x&lt;/url&gt;&lt;/related-urls&gt;&lt;/urls&gt;&lt;electronic-resource-num&gt;10.1111/j.0963-8008.2005.00104.x&lt;/electronic-resource-num&gt;&lt;/record&gt;&lt;/Cite&gt;&lt;/EndNote&gt;</w:instrText>
        </w:r>
        <w:r w:rsidRPr="00BA06B6">
          <w:rPr>
            <w:rFonts w:asciiTheme="majorBidi" w:eastAsia="Times New Roman" w:hAnsiTheme="majorBidi" w:cstheme="majorBidi"/>
            <w:sz w:val="24"/>
            <w:szCs w:val="24"/>
            <w:lang w:eastAsia="en-GB"/>
          </w:rPr>
          <w:fldChar w:fldCharType="separate"/>
        </w:r>
        <w:r w:rsidRPr="00BA06B6">
          <w:rPr>
            <w:rFonts w:asciiTheme="majorBidi" w:eastAsia="Times New Roman" w:hAnsiTheme="majorBidi" w:cstheme="majorBidi"/>
            <w:noProof/>
            <w:sz w:val="24"/>
            <w:szCs w:val="24"/>
            <w:lang w:eastAsia="en-GB"/>
          </w:rPr>
          <w:t>Choi and Hasan (2005)</w:t>
        </w:r>
        <w:r w:rsidRPr="00BA06B6">
          <w:rPr>
            <w:rFonts w:asciiTheme="majorBidi" w:eastAsia="Times New Roman" w:hAnsiTheme="majorBidi" w:cstheme="majorBidi"/>
            <w:sz w:val="24"/>
            <w:szCs w:val="24"/>
            <w:lang w:eastAsia="en-GB"/>
          </w:rPr>
          <w:fldChar w:fldCharType="end"/>
        </w:r>
      </w:hyperlink>
      <w:r w:rsidRPr="00BA06B6">
        <w:rPr>
          <w:rFonts w:asciiTheme="majorBidi" w:eastAsia="Times New Roman" w:hAnsiTheme="majorBidi" w:cstheme="majorBidi"/>
          <w:sz w:val="24"/>
          <w:szCs w:val="24"/>
          <w:lang w:eastAsia="en-GB"/>
        </w:rPr>
        <w:t xml:space="preserve">, and </w:t>
      </w:r>
      <w:hyperlink w:anchor="_ENREF_96" w:tooltip="Lin, 2009 #698" w:history="1">
        <w:r w:rsidRPr="00BA06B6">
          <w:rPr>
            <w:rFonts w:asciiTheme="majorBidi" w:eastAsia="Times New Roman" w:hAnsiTheme="majorBidi" w:cstheme="majorBidi"/>
            <w:sz w:val="24"/>
            <w:szCs w:val="24"/>
            <w:lang w:eastAsia="en-GB"/>
          </w:rPr>
          <w:fldChar w:fldCharType="begin"/>
        </w:r>
        <w:r w:rsidRPr="00BA06B6">
          <w:rPr>
            <w:rFonts w:asciiTheme="majorBidi" w:eastAsia="Times New Roman" w:hAnsiTheme="majorBidi" w:cstheme="majorBidi"/>
            <w:sz w:val="24"/>
            <w:szCs w:val="24"/>
            <w:lang w:eastAsia="en-GB"/>
          </w:rPr>
          <w:instrText xml:space="preserve"> ADDIN EN.CITE &lt;EndNote&gt;&lt;Cite AuthorYear="1"&gt;&lt;Author&gt;Lin&lt;/Author&gt;&lt;Year&gt;2009&lt;/Year&gt;&lt;RecNum&gt;698&lt;/RecNum&gt;&lt;DisplayText&gt;Lin and Zhang (2009)&lt;/DisplayText&gt;&lt;record&gt;&lt;rec-number&gt;698&lt;/rec-number&gt;&lt;foreign-keys&gt;&lt;key app="EN" db-id="2dxffaaevppfp1e50wgpfxs8pwda290z0az0" timestamp="1441802468"&gt;698&lt;/key&gt;&lt;/foreign-keys&gt;&lt;ref-type name="Journal Article"&gt;17&lt;/ref-type&gt;&lt;contributors&gt;&lt;authors&gt;&lt;author&gt;Lin, Xiaochi&lt;/author&gt;&lt;author&gt;Zhang, Yi&lt;/author&gt;&lt;/authors&gt;&lt;/contributors&gt;&lt;titles&gt;&lt;title&gt;Bank ownership reform and bank performance in China&lt;/title&gt;&lt;secondary-title&gt;Journal of Banking &amp;amp; Finance&lt;/secondary-title&gt;&lt;/titles&gt;&lt;periodical&gt;&lt;full-title&gt;Journal of Banking &amp;amp; Finance&lt;/full-title&gt;&lt;/periodical&gt;&lt;pages&gt;20-29&lt;/pages&gt;&lt;volume&gt;33&lt;/volume&gt;&lt;number&gt;1&lt;/number&gt;&lt;keywords&gt;&lt;keyword&gt;State ownership&lt;/keyword&gt;&lt;keyword&gt;Private&lt;/keyword&gt;&lt;keyword&gt;Foreign&lt;/keyword&gt;&lt;keyword&gt;Bank performance&lt;/keyword&gt;&lt;keyword&gt;China&lt;/keyword&gt;&lt;/keywords&gt;&lt;dates&gt;&lt;year&gt;2009&lt;/year&gt;&lt;pub-dates&gt;&lt;date&gt;1//&lt;/date&gt;&lt;/pub-dates&gt;&lt;/dates&gt;&lt;isbn&gt;0378-4266&lt;/isbn&gt;&lt;urls&gt;&lt;related-urls&gt;&lt;url&gt;http://www.sciencedirect.com/science/article/pii/S0378426607003731&lt;/url&gt;&lt;/related-urls&gt;&lt;/urls&gt;&lt;electronic-resource-num&gt;http://dx.doi.org/10.1016/j.jbankfin.2006.11.022&lt;/electronic-resource-num&gt;&lt;/record&gt;&lt;/Cite&gt;&lt;/EndNote&gt;</w:instrText>
        </w:r>
        <w:r w:rsidRPr="00BA06B6">
          <w:rPr>
            <w:rFonts w:asciiTheme="majorBidi" w:eastAsia="Times New Roman" w:hAnsiTheme="majorBidi" w:cstheme="majorBidi"/>
            <w:sz w:val="24"/>
            <w:szCs w:val="24"/>
            <w:lang w:eastAsia="en-GB"/>
          </w:rPr>
          <w:fldChar w:fldCharType="separate"/>
        </w:r>
        <w:r w:rsidRPr="00BA06B6">
          <w:rPr>
            <w:rFonts w:asciiTheme="majorBidi" w:eastAsia="Times New Roman" w:hAnsiTheme="majorBidi" w:cstheme="majorBidi"/>
            <w:noProof/>
            <w:sz w:val="24"/>
            <w:szCs w:val="24"/>
            <w:lang w:eastAsia="en-GB"/>
          </w:rPr>
          <w:t>Lin and Zhang (2009)</w:t>
        </w:r>
        <w:r w:rsidRPr="00BA06B6">
          <w:rPr>
            <w:rFonts w:asciiTheme="majorBidi" w:eastAsia="Times New Roman" w:hAnsiTheme="majorBidi" w:cstheme="majorBidi"/>
            <w:sz w:val="24"/>
            <w:szCs w:val="24"/>
            <w:lang w:eastAsia="en-GB"/>
          </w:rPr>
          <w:fldChar w:fldCharType="end"/>
        </w:r>
      </w:hyperlink>
      <w:hyperlink w:anchor="_ENREF_88" w:tooltip="Lensink, 2008 #701" w:history="1"/>
      <w:r w:rsidRPr="00BA06B6">
        <w:rPr>
          <w:rFonts w:asciiTheme="majorBidi" w:eastAsia="Times New Roman" w:hAnsiTheme="majorBidi" w:cstheme="majorBidi"/>
          <w:sz w:val="24"/>
          <w:szCs w:val="24"/>
          <w:lang w:eastAsia="en-GB"/>
        </w:rPr>
        <w:t xml:space="preserve">. Finally, the coefficients of </w:t>
      </w:r>
      <w:r w:rsidRPr="00BA06B6">
        <w:rPr>
          <w:rFonts w:asciiTheme="majorBidi" w:eastAsia="Times New Roman" w:hAnsiTheme="majorBidi" w:cstheme="majorBidi"/>
          <w:i/>
          <w:iCs/>
          <w:sz w:val="24"/>
          <w:szCs w:val="24"/>
          <w:lang w:eastAsia="en-GB"/>
        </w:rPr>
        <w:t>BOWN</w:t>
      </w:r>
      <w:r w:rsidRPr="00BA06B6">
        <w:rPr>
          <w:rFonts w:asciiTheme="majorBidi" w:eastAsia="Times New Roman" w:hAnsiTheme="majorBidi" w:cstheme="majorBidi"/>
          <w:sz w:val="24"/>
          <w:szCs w:val="24"/>
          <w:lang w:eastAsia="en-GB"/>
        </w:rPr>
        <w:t xml:space="preserve"> in Models 2 and 3 are statistically insignificant, which indicates that there is an insignificant relation between block ownership and BCRs in MENA banks. More importantly, Model 3 of Table 7 shows that the influence of risk disclosures on BCRs turns negative with the introduction of the </w:t>
      </w:r>
      <w:r w:rsidRPr="00BA06B6">
        <w:rPr>
          <w:rFonts w:asciiTheme="majorBidi" w:eastAsia="Times New Roman" w:hAnsiTheme="majorBidi" w:cstheme="majorBidi"/>
          <w:i/>
          <w:iCs/>
          <w:sz w:val="24"/>
          <w:szCs w:val="24"/>
          <w:lang w:eastAsia="en-GB"/>
        </w:rPr>
        <w:t>RDI*BOWN</w:t>
      </w:r>
      <w:r w:rsidRPr="00BA06B6">
        <w:rPr>
          <w:rFonts w:asciiTheme="majorBidi" w:eastAsia="Times New Roman" w:hAnsiTheme="majorBidi" w:cstheme="majorBidi"/>
          <w:sz w:val="24"/>
          <w:szCs w:val="24"/>
          <w:lang w:eastAsia="en-GB"/>
        </w:rPr>
        <w:t xml:space="preserve"> and </w:t>
      </w:r>
      <w:r w:rsidRPr="00BA06B6">
        <w:rPr>
          <w:rFonts w:asciiTheme="majorBidi" w:eastAsia="Times New Roman" w:hAnsiTheme="majorBidi" w:cstheme="majorBidi"/>
          <w:i/>
          <w:iCs/>
          <w:sz w:val="24"/>
          <w:szCs w:val="24"/>
          <w:lang w:eastAsia="en-GB"/>
        </w:rPr>
        <w:t>RDI*FOWN</w:t>
      </w:r>
      <w:r w:rsidRPr="00BA06B6">
        <w:rPr>
          <w:rFonts w:asciiTheme="majorBidi" w:eastAsia="Times New Roman" w:hAnsiTheme="majorBidi" w:cstheme="majorBidi"/>
          <w:sz w:val="24"/>
          <w:szCs w:val="24"/>
          <w:lang w:eastAsia="en-GB"/>
        </w:rPr>
        <w:t xml:space="preserve"> variables, which suggests that this influence is captured through these moderating effects. These results offer further empirical support for </w:t>
      </w:r>
      <w:r w:rsidRPr="00BA06B6">
        <w:rPr>
          <w:rFonts w:asciiTheme="majorBidi" w:eastAsia="Times New Roman" w:hAnsiTheme="majorBidi" w:cstheme="majorBidi"/>
          <w:i/>
          <w:sz w:val="24"/>
          <w:szCs w:val="24"/>
          <w:lang w:eastAsia="en-GB"/>
        </w:rPr>
        <w:t>H</w:t>
      </w:r>
      <w:r w:rsidRPr="00BA06B6">
        <w:rPr>
          <w:rFonts w:asciiTheme="majorBidi" w:eastAsia="Times New Roman" w:hAnsiTheme="majorBidi" w:cstheme="majorBidi"/>
          <w:i/>
          <w:sz w:val="24"/>
          <w:szCs w:val="24"/>
          <w:vertAlign w:val="subscript"/>
          <w:lang w:eastAsia="en-GB"/>
        </w:rPr>
        <w:t>2</w:t>
      </w:r>
      <w:r w:rsidRPr="00BA06B6">
        <w:rPr>
          <w:rFonts w:asciiTheme="majorBidi" w:eastAsia="Times New Roman" w:hAnsiTheme="majorBidi" w:cstheme="majorBidi"/>
          <w:sz w:val="24"/>
          <w:szCs w:val="24"/>
          <w:lang w:eastAsia="en-GB"/>
        </w:rPr>
        <w:t xml:space="preserve"> that governance structures have a moderating effect on the risk disclosure–BCRs nexus.</w:t>
      </w:r>
    </w:p>
    <w:p w14:paraId="3ECC9AF5" w14:textId="1301701D" w:rsidR="00AA068C" w:rsidRPr="00BA06B6" w:rsidRDefault="00AA068C" w:rsidP="00251D60">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 xml:space="preserve">Finally, the findings regarding board structures indicate that there is a significant direct and indirect impact on BCRs. For example, the coefficient of </w:t>
      </w:r>
      <w:r w:rsidRPr="00BA06B6">
        <w:rPr>
          <w:rFonts w:asciiTheme="majorBidi" w:eastAsia="Times New Roman" w:hAnsiTheme="majorBidi" w:cstheme="majorBidi"/>
          <w:bCs/>
          <w:i/>
          <w:iCs/>
          <w:sz w:val="24"/>
          <w:szCs w:val="24"/>
          <w:lang w:eastAsia="en-GB"/>
        </w:rPr>
        <w:t xml:space="preserve">BS </w:t>
      </w:r>
      <w:r w:rsidRPr="00BA06B6">
        <w:rPr>
          <w:rFonts w:asciiTheme="majorBidi" w:eastAsia="Times New Roman" w:hAnsiTheme="majorBidi" w:cstheme="majorBidi"/>
          <w:bCs/>
          <w:sz w:val="24"/>
          <w:szCs w:val="24"/>
          <w:lang w:eastAsia="en-GB"/>
        </w:rPr>
        <w:t>and</w:t>
      </w:r>
      <w:r w:rsidRPr="00BA06B6">
        <w:rPr>
          <w:rFonts w:asciiTheme="majorBidi" w:eastAsia="Times New Roman" w:hAnsiTheme="majorBidi" w:cstheme="majorBidi"/>
          <w:bCs/>
          <w:i/>
          <w:iCs/>
          <w:sz w:val="24"/>
          <w:szCs w:val="24"/>
          <w:lang w:eastAsia="en-GB"/>
        </w:rPr>
        <w:t xml:space="preserve"> RDI*BS</w:t>
      </w:r>
      <w:r w:rsidRPr="00BA06B6">
        <w:rPr>
          <w:rFonts w:asciiTheme="majorBidi" w:eastAsia="Times New Roman" w:hAnsiTheme="majorBidi" w:cstheme="majorBidi"/>
          <w:i/>
          <w:iCs/>
          <w:sz w:val="24"/>
          <w:szCs w:val="24"/>
          <w:lang w:eastAsia="en-GB"/>
        </w:rPr>
        <w:t xml:space="preserve"> </w:t>
      </w:r>
      <w:r w:rsidRPr="00BA06B6">
        <w:rPr>
          <w:rFonts w:asciiTheme="majorBidi" w:eastAsia="Times New Roman" w:hAnsiTheme="majorBidi" w:cstheme="majorBidi"/>
          <w:sz w:val="24"/>
          <w:szCs w:val="24"/>
          <w:lang w:eastAsia="en-GB"/>
        </w:rPr>
        <w:t>in Model 3 is positive and statistically significant</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as shown in Table 7 (the coefficient in Model 2 is statistically insignificant, but still positive). This implies that MENA banks with large </w:t>
      </w:r>
      <w:r w:rsidRPr="00BA06B6">
        <w:rPr>
          <w:rFonts w:asciiTheme="majorBidi" w:eastAsia="Times New Roman" w:hAnsiTheme="majorBidi" w:cstheme="majorBidi"/>
          <w:bCs/>
          <w:i/>
          <w:iCs/>
          <w:sz w:val="24"/>
          <w:szCs w:val="24"/>
          <w:lang w:eastAsia="en-GB"/>
        </w:rPr>
        <w:t>BS</w:t>
      </w:r>
      <w:r w:rsidRPr="00BA06B6">
        <w:rPr>
          <w:rFonts w:asciiTheme="majorBidi" w:eastAsia="Times New Roman" w:hAnsiTheme="majorBidi" w:cstheme="majorBidi"/>
          <w:i/>
          <w:iCs/>
          <w:sz w:val="24"/>
          <w:szCs w:val="24"/>
          <w:lang w:eastAsia="en-GB"/>
        </w:rPr>
        <w:t xml:space="preserve"> </w:t>
      </w:r>
      <w:r w:rsidRPr="00BA06B6">
        <w:rPr>
          <w:rFonts w:asciiTheme="majorBidi" w:eastAsia="Times New Roman" w:hAnsiTheme="majorBidi" w:cstheme="majorBidi"/>
          <w:sz w:val="24"/>
          <w:szCs w:val="24"/>
          <w:lang w:eastAsia="en-GB"/>
        </w:rPr>
        <w:t xml:space="preserve">are more likely to receive higher </w:t>
      </w:r>
      <w:r w:rsidRPr="00BA06B6">
        <w:rPr>
          <w:rFonts w:asciiTheme="majorBidi" w:eastAsia="Times New Roman" w:hAnsiTheme="majorBidi" w:cstheme="majorBidi"/>
          <w:i/>
          <w:iCs/>
          <w:sz w:val="24"/>
          <w:szCs w:val="24"/>
          <w:lang w:eastAsia="en-GB"/>
        </w:rPr>
        <w:t>RATE</w:t>
      </w:r>
      <w:r w:rsidRPr="00BA06B6">
        <w:rPr>
          <w:rFonts w:asciiTheme="majorBidi" w:eastAsia="Times New Roman" w:hAnsiTheme="majorBidi" w:cstheme="majorBidi"/>
          <w:sz w:val="24"/>
          <w:szCs w:val="24"/>
          <w:lang w:eastAsia="en-GB"/>
        </w:rPr>
        <w:t xml:space="preserve">. More notably, Model 3 of Table 7 shows that the influence </w:t>
      </w:r>
      <w:r w:rsidRPr="00BA06B6">
        <w:rPr>
          <w:rFonts w:asciiTheme="majorBidi" w:eastAsia="Times New Roman" w:hAnsiTheme="majorBidi" w:cstheme="majorBidi"/>
          <w:sz w:val="24"/>
          <w:szCs w:val="24"/>
          <w:lang w:eastAsia="en-GB"/>
        </w:rPr>
        <w:lastRenderedPageBreak/>
        <w:t xml:space="preserve">of risk disclosures on BCRs turns negative with the introduction of the </w:t>
      </w:r>
      <w:r w:rsidRPr="00BA06B6">
        <w:rPr>
          <w:rFonts w:asciiTheme="majorBidi" w:eastAsia="Times New Roman" w:hAnsiTheme="majorBidi" w:cstheme="majorBidi"/>
          <w:i/>
          <w:iCs/>
          <w:sz w:val="24"/>
          <w:szCs w:val="24"/>
          <w:lang w:eastAsia="en-GB"/>
        </w:rPr>
        <w:t xml:space="preserve">RDI*DUAL </w:t>
      </w:r>
      <w:r w:rsidRPr="00BA06B6">
        <w:rPr>
          <w:rFonts w:asciiTheme="majorBidi" w:eastAsia="Times New Roman" w:hAnsiTheme="majorBidi" w:cstheme="majorBidi"/>
          <w:sz w:val="24"/>
          <w:szCs w:val="24"/>
          <w:lang w:eastAsia="en-GB"/>
        </w:rPr>
        <w:t xml:space="preserve">variable, which suggests that this influence is captured through these moderating effects, and thereby providing additional empirical support for </w:t>
      </w:r>
      <w:r w:rsidRPr="00BA06B6">
        <w:rPr>
          <w:rFonts w:asciiTheme="majorBidi" w:eastAsia="Times New Roman" w:hAnsiTheme="majorBidi" w:cstheme="majorBidi"/>
          <w:i/>
          <w:sz w:val="24"/>
          <w:szCs w:val="24"/>
          <w:lang w:eastAsia="en-GB"/>
        </w:rPr>
        <w:t>H</w:t>
      </w:r>
      <w:r w:rsidRPr="00BA06B6">
        <w:rPr>
          <w:rFonts w:asciiTheme="majorBidi" w:eastAsia="Times New Roman" w:hAnsiTheme="majorBidi" w:cstheme="majorBidi"/>
          <w:i/>
          <w:sz w:val="24"/>
          <w:szCs w:val="24"/>
          <w:vertAlign w:val="subscript"/>
          <w:lang w:eastAsia="en-GB"/>
        </w:rPr>
        <w:t>2</w:t>
      </w:r>
      <w:r w:rsidRPr="00BA06B6">
        <w:rPr>
          <w:rFonts w:asciiTheme="majorBidi" w:eastAsia="Times New Roman" w:hAnsiTheme="majorBidi" w:cstheme="majorBidi"/>
          <w:sz w:val="24"/>
          <w:szCs w:val="24"/>
          <w:lang w:eastAsia="en-GB"/>
        </w:rPr>
        <w:t>.</w:t>
      </w:r>
    </w:p>
    <w:p w14:paraId="4A61749B" w14:textId="77777777" w:rsidR="00AA068C" w:rsidRPr="00BA06B6" w:rsidRDefault="00AA068C" w:rsidP="00AA068C">
      <w:pPr>
        <w:spacing w:after="0" w:line="240" w:lineRule="auto"/>
        <w:ind w:firstLine="425"/>
        <w:jc w:val="both"/>
        <w:rPr>
          <w:rFonts w:asciiTheme="majorBidi" w:eastAsia="Times New Roman" w:hAnsiTheme="majorBidi" w:cstheme="majorBidi"/>
          <w:sz w:val="24"/>
          <w:szCs w:val="24"/>
          <w:lang w:eastAsia="en-GB"/>
        </w:rPr>
      </w:pPr>
    </w:p>
    <w:p w14:paraId="17C342B7" w14:textId="77777777" w:rsidR="00AA068C" w:rsidRPr="00BA06B6" w:rsidRDefault="00236344" w:rsidP="00AA068C">
      <w:pPr>
        <w:keepNext/>
        <w:keepLines/>
        <w:numPr>
          <w:ilvl w:val="0"/>
          <w:numId w:val="4"/>
        </w:numPr>
        <w:tabs>
          <w:tab w:val="left" w:pos="993"/>
        </w:tabs>
        <w:spacing w:after="0" w:line="360" w:lineRule="auto"/>
        <w:ind w:left="426"/>
        <w:outlineLvl w:val="1"/>
        <w:rPr>
          <w:rFonts w:asciiTheme="majorBidi" w:eastAsia="Calibri" w:hAnsiTheme="majorBidi" w:cstheme="majorBidi"/>
          <w:b/>
          <w:bCs/>
          <w:sz w:val="24"/>
          <w:szCs w:val="24"/>
        </w:rPr>
      </w:pPr>
      <w:bookmarkStart w:id="68" w:name="_Toc453539611"/>
      <w:bookmarkStart w:id="69" w:name="_Toc453539727"/>
      <w:bookmarkStart w:id="70" w:name="_Toc457534131"/>
      <w:bookmarkEnd w:id="66"/>
      <w:r w:rsidRPr="00BA06B6">
        <w:rPr>
          <w:rFonts w:asciiTheme="majorBidi" w:eastAsia="Calibri" w:hAnsiTheme="majorBidi" w:cstheme="majorBidi"/>
          <w:b/>
          <w:bCs/>
          <w:sz w:val="24"/>
          <w:szCs w:val="24"/>
        </w:rPr>
        <w:t xml:space="preserve"> </w:t>
      </w:r>
      <w:r w:rsidR="00AA068C" w:rsidRPr="00BA06B6">
        <w:rPr>
          <w:rFonts w:asciiTheme="majorBidi" w:eastAsia="Calibri" w:hAnsiTheme="majorBidi" w:cstheme="majorBidi"/>
          <w:b/>
          <w:bCs/>
          <w:sz w:val="24"/>
          <w:szCs w:val="24"/>
        </w:rPr>
        <w:t>|   Additional analyses</w:t>
      </w:r>
      <w:bookmarkEnd w:id="68"/>
      <w:bookmarkEnd w:id="69"/>
      <w:bookmarkEnd w:id="70"/>
    </w:p>
    <w:p w14:paraId="38E3293E" w14:textId="05BD5AE9" w:rsidR="00AA068C" w:rsidRPr="00BA06B6" w:rsidRDefault="00AA068C" w:rsidP="00A1373D">
      <w:pPr>
        <w:spacing w:after="0" w:line="360" w:lineRule="auto"/>
        <w:jc w:val="both"/>
        <w:rPr>
          <w:rFonts w:asciiTheme="majorBidi" w:eastAsia="Times New Roman" w:hAnsiTheme="majorBidi" w:cstheme="majorBidi"/>
          <w:sz w:val="24"/>
          <w:szCs w:val="24"/>
          <w:lang w:eastAsia="en-GB"/>
        </w:rPr>
      </w:pPr>
      <w:bookmarkStart w:id="71" w:name="_Toc454036250"/>
      <w:r w:rsidRPr="00BA06B6">
        <w:rPr>
          <w:rFonts w:asciiTheme="majorBidi" w:eastAsia="Times New Roman" w:hAnsiTheme="majorBidi" w:cstheme="majorBidi"/>
          <w:sz w:val="24"/>
          <w:szCs w:val="24"/>
          <w:lang w:eastAsia="en-GB"/>
        </w:rPr>
        <w:t xml:space="preserve">In this section, we conduct a number of additional analyses to gauge the robustness of our results to alternative measures or sub-sample estimations. </w:t>
      </w:r>
      <w:r w:rsidRPr="00BA06B6">
        <w:rPr>
          <w:rFonts w:asciiTheme="majorBidi" w:eastAsia="Times New Roman" w:hAnsiTheme="majorBidi" w:cstheme="majorBidi"/>
          <w:iCs/>
          <w:sz w:val="24"/>
          <w:szCs w:val="24"/>
          <w:lang w:eastAsia="en-GB"/>
        </w:rPr>
        <w:t>Firstly</w:t>
      </w:r>
      <w:r w:rsidRPr="00BA06B6">
        <w:rPr>
          <w:rFonts w:asciiTheme="majorBidi" w:eastAsia="Times New Roman" w:hAnsiTheme="majorBidi" w:cstheme="majorBidi"/>
          <w:sz w:val="24"/>
          <w:szCs w:val="24"/>
          <w:lang w:eastAsia="en-GB"/>
        </w:rPr>
        <w:t xml:space="preserve"> and to determine whether the </w:t>
      </w:r>
      <w:r w:rsidRPr="00BA06B6">
        <w:rPr>
          <w:rFonts w:asciiTheme="majorBidi" w:eastAsia="Times New Roman" w:hAnsiTheme="majorBidi" w:cstheme="majorBidi"/>
          <w:i/>
          <w:iCs/>
          <w:sz w:val="24"/>
          <w:szCs w:val="24"/>
          <w:lang w:eastAsia="en-GB"/>
        </w:rPr>
        <w:t>RATE</w:t>
      </w:r>
      <w:r w:rsidRPr="00BA06B6">
        <w:rPr>
          <w:rFonts w:asciiTheme="majorBidi" w:eastAsia="Times New Roman" w:hAnsiTheme="majorBidi" w:cstheme="majorBidi"/>
          <w:sz w:val="24"/>
          <w:szCs w:val="24"/>
          <w:lang w:eastAsia="en-GB"/>
        </w:rPr>
        <w:t xml:space="preserve"> </w:t>
      </w:r>
      <w:proofErr w:type="spellStart"/>
      <w:r w:rsidRPr="00BA06B6">
        <w:rPr>
          <w:rFonts w:asciiTheme="majorBidi" w:eastAsia="Times New Roman" w:hAnsiTheme="majorBidi" w:cstheme="majorBidi"/>
          <w:sz w:val="24"/>
          <w:szCs w:val="24"/>
          <w:lang w:eastAsia="en-GB"/>
        </w:rPr>
        <w:t>behavior</w:t>
      </w:r>
      <w:proofErr w:type="spellEnd"/>
      <w:r w:rsidRPr="00BA06B6">
        <w:rPr>
          <w:rFonts w:asciiTheme="majorBidi" w:eastAsia="Times New Roman" w:hAnsiTheme="majorBidi" w:cstheme="majorBidi"/>
          <w:sz w:val="24"/>
          <w:szCs w:val="24"/>
          <w:lang w:eastAsia="en-GB"/>
        </w:rPr>
        <w:t xml:space="preserve"> differs over the pre- and post-2007/2008 GFC periods, we further explored the effect of risk disclosures and governance structures on BCRs by separating the sample into pre-crisis period (2006), during crisis (2007–8) and post-financial crisis period (2009–13) and re-run equation (5). The results of these additional analyses are reported in Models 7, 8 and 9, respectively, of </w:t>
      </w:r>
      <w:hyperlink w:anchor="Table7" w:history="1">
        <w:r w:rsidRPr="00BA06B6">
          <w:rPr>
            <w:rFonts w:asciiTheme="majorBidi" w:eastAsia="Times New Roman" w:hAnsiTheme="majorBidi" w:cstheme="majorBidi"/>
            <w:sz w:val="24"/>
            <w:szCs w:val="24"/>
            <w:lang w:eastAsia="en-GB"/>
          </w:rPr>
          <w:t>Table 7</w:t>
        </w:r>
      </w:hyperlink>
      <w:r w:rsidRPr="00BA06B6">
        <w:rPr>
          <w:rFonts w:asciiTheme="majorBidi" w:eastAsia="Times New Roman" w:hAnsiTheme="majorBidi" w:cstheme="majorBidi"/>
          <w:sz w:val="24"/>
          <w:szCs w:val="24"/>
          <w:lang w:eastAsia="en-GB"/>
        </w:rPr>
        <w:t xml:space="preserve">. The results are generally similar to those reported in Model 3 of Table 7. Model 8 of Table 7 shows that during the financial crisis period, board size and SSB have a positive effect on the BCRs. Remarkably and unlike other models, the results indicate that risk disclosures do not have an impact on BCRs during the financial crisis period. </w:t>
      </w:r>
      <w:bookmarkStart w:id="72" w:name="_Toc454036251"/>
      <w:bookmarkEnd w:id="71"/>
      <w:r w:rsidRPr="00BA06B6">
        <w:rPr>
          <w:rFonts w:asciiTheme="majorBidi" w:eastAsia="Times New Roman" w:hAnsiTheme="majorBidi" w:cstheme="majorBidi"/>
          <w:sz w:val="24"/>
          <w:szCs w:val="24"/>
          <w:lang w:eastAsia="en-GB"/>
        </w:rPr>
        <w:t>Secondly</w:t>
      </w:r>
      <w:r w:rsidRPr="00BA06B6">
        <w:rPr>
          <w:rFonts w:asciiTheme="majorBidi" w:eastAsia="Times New Roman" w:hAnsiTheme="majorBidi" w:cstheme="majorBidi"/>
          <w:i/>
          <w:sz w:val="24"/>
          <w:szCs w:val="24"/>
          <w:lang w:eastAsia="en-GB"/>
        </w:rPr>
        <w:t>,</w:t>
      </w:r>
      <w:r w:rsidRPr="00BA06B6">
        <w:rPr>
          <w:rFonts w:asciiTheme="majorBidi" w:eastAsia="Times New Roman" w:hAnsiTheme="majorBidi" w:cstheme="majorBidi"/>
          <w:sz w:val="24"/>
          <w:szCs w:val="24"/>
          <w:lang w:eastAsia="en-GB"/>
        </w:rPr>
        <w:t xml:space="preserve"> to examine the impact of the type of bank on the findings, we replicate our results reported in Models 1, 2 and 3 of Table 7 after splitting our sample into three types of banks, namely (i) Islamic banks (IBs), (ii) conventional banks (CBs), and (iii) dual banks (DBs) in which the results are shown in Models 4, 5 and 6 of Table 7, respectively.</w:t>
      </w:r>
      <w:bookmarkEnd w:id="72"/>
      <w:r w:rsidRPr="00BA06B6">
        <w:rPr>
          <w:rFonts w:asciiTheme="majorBidi" w:eastAsia="Times New Roman" w:hAnsiTheme="majorBidi" w:cstheme="majorBidi"/>
          <w:sz w:val="24"/>
          <w:szCs w:val="24"/>
          <w:lang w:eastAsia="en-GB"/>
        </w:rPr>
        <w:t xml:space="preserve"> </w:t>
      </w:r>
    </w:p>
    <w:p w14:paraId="7DB2034A" w14:textId="77777777" w:rsidR="00AA068C" w:rsidRPr="00BA06B6" w:rsidRDefault="00AA068C" w:rsidP="00AA068C">
      <w:pPr>
        <w:tabs>
          <w:tab w:val="left" w:pos="851"/>
          <w:tab w:val="center" w:pos="5346"/>
          <w:tab w:val="left" w:pos="7080"/>
        </w:tabs>
        <w:spacing w:before="240" w:line="360" w:lineRule="auto"/>
        <w:ind w:firstLine="720"/>
        <w:jc w:val="center"/>
        <w:rPr>
          <w:rFonts w:asciiTheme="majorBidi" w:eastAsia="Calibri" w:hAnsiTheme="majorBidi" w:cstheme="majorBidi"/>
          <w:bCs/>
          <w:sz w:val="24"/>
          <w:szCs w:val="24"/>
        </w:rPr>
      </w:pPr>
      <w:r w:rsidRPr="00BA06B6">
        <w:rPr>
          <w:rFonts w:asciiTheme="majorBidi" w:eastAsia="Times New Roman" w:hAnsiTheme="majorBidi" w:cstheme="majorBidi"/>
          <w:iCs/>
          <w:sz w:val="24"/>
          <w:szCs w:val="24"/>
          <w:lang w:eastAsia="en-GB"/>
        </w:rPr>
        <w:t xml:space="preserve">Insert </w:t>
      </w:r>
      <w:hyperlink w:anchor="Table7" w:history="1">
        <w:r w:rsidRPr="00BA06B6">
          <w:rPr>
            <w:rFonts w:asciiTheme="majorBidi" w:eastAsia="Times New Roman" w:hAnsiTheme="majorBidi" w:cstheme="majorBidi"/>
            <w:iCs/>
            <w:sz w:val="24"/>
            <w:szCs w:val="24"/>
            <w:lang w:eastAsia="en-GB"/>
          </w:rPr>
          <w:t>Table 8</w:t>
        </w:r>
      </w:hyperlink>
      <w:r w:rsidRPr="00BA06B6">
        <w:rPr>
          <w:rFonts w:asciiTheme="majorBidi" w:eastAsia="Times New Roman" w:hAnsiTheme="majorBidi" w:cstheme="majorBidi"/>
          <w:iCs/>
          <w:sz w:val="24"/>
          <w:szCs w:val="24"/>
          <w:lang w:eastAsia="en-GB"/>
        </w:rPr>
        <w:t xml:space="preserve"> about</w:t>
      </w:r>
      <w:r w:rsidRPr="00BA06B6">
        <w:rPr>
          <w:rFonts w:asciiTheme="majorBidi" w:eastAsia="Calibri" w:hAnsiTheme="majorBidi" w:cstheme="majorBidi"/>
          <w:bCs/>
          <w:sz w:val="24"/>
          <w:szCs w:val="24"/>
        </w:rPr>
        <w:t xml:space="preserve"> here</w:t>
      </w:r>
      <w:bookmarkStart w:id="73" w:name="_Toc454036887"/>
      <w:bookmarkStart w:id="74" w:name="_Toc454036890"/>
      <w:bookmarkEnd w:id="73"/>
    </w:p>
    <w:p w14:paraId="313530EF" w14:textId="54B5B721" w:rsidR="00AA068C" w:rsidRPr="00BA06B6" w:rsidRDefault="00AA068C" w:rsidP="00A1373D">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 xml:space="preserve">The results remain qualitatively the same as those reported previously in Model 3 of Table 7. However, there is a positive relation between </w:t>
      </w:r>
      <w:r w:rsidRPr="00BA06B6">
        <w:rPr>
          <w:rFonts w:asciiTheme="majorBidi" w:eastAsia="Times New Roman" w:hAnsiTheme="majorBidi" w:cstheme="majorBidi"/>
          <w:i/>
          <w:iCs/>
          <w:sz w:val="24"/>
          <w:szCs w:val="24"/>
          <w:lang w:eastAsia="en-GB"/>
        </w:rPr>
        <w:t>BOWN</w:t>
      </w:r>
      <w:r w:rsidRPr="00BA06B6">
        <w:rPr>
          <w:rFonts w:asciiTheme="majorBidi" w:eastAsia="Times New Roman" w:hAnsiTheme="majorBidi" w:cstheme="majorBidi"/>
          <w:sz w:val="24"/>
          <w:szCs w:val="24"/>
          <w:lang w:eastAsia="en-GB"/>
        </w:rPr>
        <w:t xml:space="preserve">, </w:t>
      </w:r>
      <w:r w:rsidRPr="00BA06B6">
        <w:rPr>
          <w:rFonts w:asciiTheme="majorBidi" w:eastAsia="Times New Roman" w:hAnsiTheme="majorBidi" w:cstheme="majorBidi"/>
          <w:i/>
          <w:iCs/>
          <w:sz w:val="24"/>
          <w:szCs w:val="24"/>
          <w:lang w:eastAsia="en-GB"/>
        </w:rPr>
        <w:t>DUAL,</w:t>
      </w:r>
      <w:r w:rsidRPr="00BA06B6">
        <w:rPr>
          <w:rFonts w:asciiTheme="majorBidi" w:eastAsia="Times New Roman" w:hAnsiTheme="majorBidi" w:cstheme="majorBidi"/>
          <w:sz w:val="24"/>
          <w:szCs w:val="24"/>
          <w:lang w:eastAsia="en-GB"/>
        </w:rPr>
        <w:t xml:space="preserve"> and </w:t>
      </w:r>
      <w:r w:rsidRPr="00BA06B6">
        <w:rPr>
          <w:rFonts w:asciiTheme="majorBidi" w:eastAsia="Times New Roman" w:hAnsiTheme="majorBidi" w:cstheme="majorBidi"/>
          <w:i/>
          <w:iCs/>
          <w:sz w:val="24"/>
          <w:szCs w:val="24"/>
          <w:lang w:eastAsia="en-GB"/>
        </w:rPr>
        <w:t>RATE</w:t>
      </w:r>
      <w:r w:rsidRPr="00BA06B6">
        <w:rPr>
          <w:rFonts w:asciiTheme="majorBidi" w:eastAsia="Times New Roman" w:hAnsiTheme="majorBidi" w:cstheme="majorBidi"/>
          <w:sz w:val="24"/>
          <w:szCs w:val="24"/>
          <w:lang w:eastAsia="en-GB"/>
        </w:rPr>
        <w:t xml:space="preserve"> in IBs, unlike </w:t>
      </w:r>
      <w:proofErr w:type="spellStart"/>
      <w:r w:rsidRPr="00BA06B6">
        <w:rPr>
          <w:rFonts w:asciiTheme="majorBidi" w:eastAsia="Times New Roman" w:hAnsiTheme="majorBidi" w:cstheme="majorBidi"/>
          <w:sz w:val="24"/>
          <w:szCs w:val="24"/>
          <w:lang w:eastAsia="en-GB"/>
        </w:rPr>
        <w:t>DBs.</w:t>
      </w:r>
      <w:proofErr w:type="spellEnd"/>
      <w:r w:rsidRPr="00BA06B6">
        <w:rPr>
          <w:rFonts w:asciiTheme="majorBidi" w:eastAsia="Times New Roman" w:hAnsiTheme="majorBidi" w:cstheme="majorBidi"/>
          <w:sz w:val="24"/>
          <w:szCs w:val="24"/>
          <w:lang w:eastAsia="en-GB"/>
        </w:rPr>
        <w:t xml:space="preserve"> This suggests that there is</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to some extent</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similarities among Islamic, conventional, and dual banks, with the results</w:t>
      </w:r>
      <w:r w:rsidRPr="00BA06B6">
        <w:rPr>
          <w:rFonts w:ascii="Times New Roman" w:eastAsia="Times New Roman" w:hAnsi="Times New Roman" w:cs="Times New Roman"/>
          <w:sz w:val="24"/>
          <w:szCs w:val="24"/>
          <w:lang w:eastAsia="en-GB"/>
        </w:rPr>
        <w:t xml:space="preserve"> being generally robust to sub-sample estimations.</w:t>
      </w:r>
      <w:bookmarkEnd w:id="74"/>
      <w:r w:rsidRPr="00BA06B6">
        <w:rPr>
          <w:rFonts w:ascii="Times New Roman" w:eastAsia="Times New Roman" w:hAnsi="Times New Roman" w:cs="Times New Roman"/>
          <w:sz w:val="24"/>
          <w:szCs w:val="24"/>
          <w:lang w:eastAsia="en-GB"/>
        </w:rPr>
        <w:t xml:space="preserve"> </w:t>
      </w:r>
      <w:bookmarkStart w:id="75" w:name="_Toc454036891"/>
      <w:r w:rsidRPr="00BA06B6">
        <w:rPr>
          <w:rFonts w:ascii="Times New Roman" w:eastAsia="Times New Roman" w:hAnsi="Times New Roman" w:cs="Times New Roman"/>
          <w:noProof/>
          <w:sz w:val="24"/>
          <w:szCs w:val="24"/>
          <w:lang w:eastAsia="en-GB"/>
        </w:rPr>
        <w:t>Thirdly</w:t>
      </w:r>
      <w:r w:rsidRPr="00BA06B6">
        <w:rPr>
          <w:rFonts w:ascii="Times New Roman" w:eastAsia="Times New Roman" w:hAnsi="Times New Roman" w:cs="Times New Roman"/>
          <w:sz w:val="24"/>
          <w:szCs w:val="24"/>
          <w:lang w:eastAsia="en-GB"/>
        </w:rPr>
        <w:t xml:space="preserve">, in addition to using </w:t>
      </w:r>
      <w:r w:rsidR="00251D60" w:rsidRPr="00BA06B6">
        <w:rPr>
          <w:rFonts w:ascii="Times New Roman" w:eastAsia="Times New Roman" w:hAnsi="Times New Roman" w:cs="Times New Roman"/>
          <w:sz w:val="24"/>
          <w:szCs w:val="24"/>
          <w:lang w:eastAsia="en-GB"/>
        </w:rPr>
        <w:t xml:space="preserve">an </w:t>
      </w:r>
      <w:r w:rsidRPr="00BA06B6">
        <w:rPr>
          <w:rFonts w:ascii="Times New Roman" w:eastAsia="Times New Roman" w:hAnsi="Times New Roman" w:cs="Times New Roman"/>
          <w:sz w:val="24"/>
          <w:szCs w:val="24"/>
          <w:lang w:eastAsia="en-GB"/>
        </w:rPr>
        <w:t xml:space="preserve">un-weighted </w:t>
      </w:r>
      <w:r w:rsidRPr="00BA06B6">
        <w:rPr>
          <w:rFonts w:ascii="Times New Roman" w:eastAsia="Times New Roman" w:hAnsi="Times New Roman" w:cs="Times New Roman"/>
          <w:i/>
          <w:iCs/>
          <w:sz w:val="24"/>
          <w:szCs w:val="24"/>
          <w:lang w:eastAsia="en-GB"/>
        </w:rPr>
        <w:t>RDI</w:t>
      </w:r>
      <w:r w:rsidRPr="00BA06B6">
        <w:rPr>
          <w:rFonts w:ascii="Times New Roman" w:eastAsia="Times New Roman" w:hAnsi="Times New Roman" w:cs="Times New Roman"/>
          <w:sz w:val="24"/>
          <w:szCs w:val="24"/>
          <w:lang w:eastAsia="en-GB"/>
        </w:rPr>
        <w:t xml:space="preserve"> measure, this study also uses weighted </w:t>
      </w:r>
      <w:r w:rsidRPr="00BA06B6">
        <w:rPr>
          <w:rFonts w:ascii="Times New Roman" w:eastAsia="Times New Roman" w:hAnsi="Times New Roman" w:cs="Times New Roman"/>
          <w:i/>
          <w:iCs/>
          <w:sz w:val="24"/>
          <w:szCs w:val="24"/>
          <w:lang w:eastAsia="en-GB"/>
        </w:rPr>
        <w:t>RDI</w:t>
      </w:r>
      <w:r w:rsidRPr="00BA06B6">
        <w:rPr>
          <w:rFonts w:ascii="Times New Roman" w:eastAsia="Times New Roman" w:hAnsi="Times New Roman" w:cs="Times New Roman"/>
          <w:sz w:val="24"/>
          <w:szCs w:val="24"/>
          <w:lang w:eastAsia="en-GB"/>
        </w:rPr>
        <w:t xml:space="preserve"> measure to examine whether the findings are sensitive to using a weighted or an un-weighted </w:t>
      </w:r>
      <w:r w:rsidRPr="00BA06B6">
        <w:rPr>
          <w:rFonts w:ascii="Times New Roman" w:eastAsia="Times New Roman" w:hAnsi="Times New Roman" w:cs="Times New Roman"/>
          <w:i/>
          <w:iCs/>
          <w:sz w:val="24"/>
          <w:szCs w:val="24"/>
          <w:lang w:eastAsia="en-GB"/>
        </w:rPr>
        <w:t>RDI</w:t>
      </w:r>
      <w:r w:rsidRPr="00BA06B6">
        <w:rPr>
          <w:rFonts w:ascii="Times New Roman" w:eastAsia="Times New Roman" w:hAnsi="Times New Roman" w:cs="Times New Roman"/>
          <w:sz w:val="24"/>
          <w:szCs w:val="24"/>
          <w:lang w:eastAsia="en-GB"/>
        </w:rPr>
        <w:t xml:space="preserve"> proxy. We do this by replicating the analyses based on using the weighted </w:t>
      </w:r>
      <w:r w:rsidRPr="00BA06B6">
        <w:rPr>
          <w:rFonts w:ascii="Times New Roman" w:eastAsia="Times New Roman" w:hAnsi="Times New Roman" w:cs="Times New Roman"/>
          <w:i/>
          <w:iCs/>
          <w:sz w:val="24"/>
          <w:szCs w:val="24"/>
          <w:lang w:eastAsia="en-GB"/>
        </w:rPr>
        <w:t>RDI</w:t>
      </w:r>
      <w:r w:rsidRPr="00BA06B6">
        <w:rPr>
          <w:rFonts w:ascii="Times New Roman" w:eastAsia="Times New Roman" w:hAnsi="Times New Roman" w:cs="Times New Roman"/>
          <w:sz w:val="24"/>
          <w:szCs w:val="24"/>
          <w:lang w:eastAsia="en-GB"/>
        </w:rPr>
        <w:t xml:space="preserve"> alternative measure. The results for the various models relying on the weighted </w:t>
      </w:r>
      <w:r w:rsidRPr="00BA06B6">
        <w:rPr>
          <w:rFonts w:ascii="Times New Roman" w:eastAsia="Times New Roman" w:hAnsi="Times New Roman" w:cs="Times New Roman"/>
          <w:i/>
          <w:sz w:val="24"/>
          <w:szCs w:val="24"/>
          <w:lang w:eastAsia="en-GB"/>
        </w:rPr>
        <w:t>RDI</w:t>
      </w:r>
      <w:r w:rsidRPr="00BA06B6">
        <w:rPr>
          <w:rFonts w:ascii="Times New Roman" w:hAnsi="Times New Roman" w:cs="Times New Roman"/>
        </w:rPr>
        <w:t xml:space="preserve"> alternative</w:t>
      </w:r>
      <w:r w:rsidRPr="00BA06B6">
        <w:rPr>
          <w:rFonts w:ascii="Times New Roman" w:eastAsia="Times New Roman" w:hAnsi="Times New Roman" w:cs="Times New Roman"/>
          <w:sz w:val="24"/>
          <w:szCs w:val="24"/>
          <w:lang w:eastAsia="en-GB"/>
        </w:rPr>
        <w:t xml:space="preserve"> are </w:t>
      </w:r>
      <w:r w:rsidRPr="00BA06B6">
        <w:rPr>
          <w:rFonts w:asciiTheme="majorBidi" w:eastAsia="Times New Roman" w:hAnsiTheme="majorBidi" w:cstheme="majorBidi"/>
          <w:sz w:val="24"/>
          <w:szCs w:val="24"/>
          <w:lang w:eastAsia="en-GB"/>
        </w:rPr>
        <w:t xml:space="preserve">reported in Table 8. In general, the results suggest that risk disclosures and the moderation models are all statistically significant in explaining differences in </w:t>
      </w:r>
      <w:r w:rsidRPr="00BA06B6">
        <w:rPr>
          <w:rFonts w:asciiTheme="majorBidi" w:eastAsia="Times New Roman" w:hAnsiTheme="majorBidi" w:cstheme="majorBidi"/>
          <w:i/>
          <w:iCs/>
          <w:sz w:val="24"/>
          <w:szCs w:val="24"/>
          <w:lang w:eastAsia="en-GB"/>
        </w:rPr>
        <w:t>RATE</w:t>
      </w:r>
      <w:r w:rsidRPr="00BA06B6">
        <w:rPr>
          <w:rFonts w:asciiTheme="majorBidi" w:eastAsia="Times New Roman" w:hAnsiTheme="majorBidi" w:cstheme="majorBidi"/>
          <w:iCs/>
          <w:sz w:val="24"/>
          <w:szCs w:val="24"/>
          <w:lang w:eastAsia="en-GB"/>
        </w:rPr>
        <w:t xml:space="preserve">, and to a great extent are similar to those </w:t>
      </w:r>
      <w:r w:rsidRPr="00BA06B6">
        <w:rPr>
          <w:rFonts w:asciiTheme="majorBidi" w:eastAsia="Times New Roman" w:hAnsiTheme="majorBidi" w:cstheme="majorBidi"/>
          <w:sz w:val="24"/>
          <w:szCs w:val="24"/>
          <w:lang w:eastAsia="en-GB"/>
        </w:rPr>
        <w:t xml:space="preserve">reported previously in Table 7 for the un-weighted </w:t>
      </w:r>
      <w:r w:rsidRPr="00BA06B6">
        <w:rPr>
          <w:rFonts w:asciiTheme="majorBidi" w:eastAsia="Times New Roman" w:hAnsiTheme="majorBidi" w:cstheme="majorBidi"/>
          <w:i/>
          <w:sz w:val="24"/>
          <w:szCs w:val="24"/>
          <w:lang w:eastAsia="en-GB"/>
        </w:rPr>
        <w:t xml:space="preserve">RDI </w:t>
      </w:r>
      <w:r w:rsidRPr="00BA06B6">
        <w:rPr>
          <w:rFonts w:asciiTheme="majorBidi" w:eastAsia="Times New Roman" w:hAnsiTheme="majorBidi" w:cstheme="majorBidi"/>
          <w:sz w:val="24"/>
          <w:szCs w:val="24"/>
          <w:lang w:eastAsia="en-GB"/>
        </w:rPr>
        <w:t>measure.</w:t>
      </w:r>
      <w:bookmarkEnd w:id="75"/>
      <w:r w:rsidRPr="00BA06B6">
        <w:rPr>
          <w:rFonts w:asciiTheme="majorBidi" w:eastAsia="Times New Roman" w:hAnsiTheme="majorBidi" w:cstheme="majorBidi"/>
          <w:sz w:val="24"/>
          <w:szCs w:val="24"/>
          <w:lang w:eastAsia="en-GB"/>
        </w:rPr>
        <w:t xml:space="preserve">  </w:t>
      </w:r>
    </w:p>
    <w:p w14:paraId="60A30ED3" w14:textId="77777777" w:rsidR="00AA068C" w:rsidRPr="00BA06B6" w:rsidRDefault="00AA068C" w:rsidP="00AA068C">
      <w:pPr>
        <w:spacing w:after="0" w:line="360" w:lineRule="auto"/>
        <w:ind w:firstLine="425"/>
        <w:jc w:val="both"/>
        <w:rPr>
          <w:rFonts w:asciiTheme="majorBidi" w:eastAsia="Times New Roman" w:hAnsiTheme="majorBidi" w:cstheme="majorBidi"/>
          <w:sz w:val="24"/>
          <w:szCs w:val="24"/>
          <w:lang w:eastAsia="en-GB"/>
        </w:rPr>
      </w:pPr>
      <w:bookmarkStart w:id="76" w:name="_Toc454036892"/>
      <w:r w:rsidRPr="00BA06B6">
        <w:rPr>
          <w:rFonts w:asciiTheme="majorBidi" w:eastAsia="Times New Roman" w:hAnsiTheme="majorBidi" w:cstheme="majorBidi"/>
          <w:sz w:val="24"/>
          <w:szCs w:val="24"/>
          <w:lang w:eastAsia="en-GB"/>
        </w:rPr>
        <w:t xml:space="preserve">Fourthly, this study further examines the effect of possible </w:t>
      </w:r>
      <w:hyperlink r:id="rId15" w:history="1">
        <w:r w:rsidRPr="00BA06B6">
          <w:rPr>
            <w:rFonts w:asciiTheme="majorBidi" w:eastAsia="Times New Roman" w:hAnsiTheme="majorBidi" w:cstheme="majorBidi"/>
            <w:sz w:val="24"/>
            <w:szCs w:val="24"/>
            <w:lang w:eastAsia="en-GB"/>
          </w:rPr>
          <w:t>endogeneity</w:t>
        </w:r>
      </w:hyperlink>
      <w:r w:rsidRPr="00BA06B6">
        <w:rPr>
          <w:rFonts w:asciiTheme="majorBidi" w:eastAsia="Times New Roman" w:hAnsiTheme="majorBidi" w:cstheme="majorBidi"/>
          <w:sz w:val="24"/>
          <w:szCs w:val="24"/>
          <w:lang w:eastAsia="en-GB"/>
        </w:rPr>
        <w:t xml:space="preserve"> problems that may be affected by the presence of unobserved heterogeneities and omitted variables bias problems. </w:t>
      </w:r>
      <w:r w:rsidRPr="00BA06B6">
        <w:rPr>
          <w:rFonts w:asciiTheme="majorBidi" w:eastAsia="Times New Roman" w:hAnsiTheme="majorBidi" w:cstheme="majorBidi"/>
          <w:sz w:val="24"/>
          <w:szCs w:val="24"/>
          <w:lang w:eastAsia="en-GB"/>
        </w:rPr>
        <w:lastRenderedPageBreak/>
        <w:t>To this end, two-stage least squares (</w:t>
      </w:r>
      <w:r w:rsidRPr="00BA06B6">
        <w:rPr>
          <w:rFonts w:asciiTheme="majorBidi" w:eastAsia="Times New Roman" w:hAnsiTheme="majorBidi" w:cstheme="majorBidi"/>
          <w:i/>
          <w:sz w:val="24"/>
          <w:szCs w:val="24"/>
          <w:lang w:eastAsia="en-GB"/>
        </w:rPr>
        <w:t>2SLS</w:t>
      </w:r>
      <w:r w:rsidRPr="00BA06B6">
        <w:rPr>
          <w:rFonts w:asciiTheme="majorBidi" w:eastAsia="Times New Roman" w:hAnsiTheme="majorBidi" w:cstheme="majorBidi"/>
          <w:sz w:val="24"/>
          <w:szCs w:val="24"/>
          <w:lang w:eastAsia="en-GB"/>
        </w:rPr>
        <w:t xml:space="preserve">) statistical technique is used </w:t>
      </w:r>
      <w:r w:rsidRPr="00BA06B6">
        <w:rPr>
          <w:rFonts w:asciiTheme="majorBidi" w:eastAsia="Times New Roman" w:hAnsiTheme="majorBidi" w:cstheme="majorBidi"/>
          <w:sz w:val="24"/>
          <w:szCs w:val="24"/>
          <w:lang w:eastAsia="en-GB"/>
        </w:rPr>
        <w:fldChar w:fldCharType="begin">
          <w:fldData xml:space="preserve">PEVuZE5vdGU+PENpdGU+PEF1dGhvcj5IZW5yeTwvQXV0aG9yPjxZZWFyPjIwMDg8L1llYXI+PFJl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</w:fldData>
        </w:fldChar>
      </w:r>
      <w:r w:rsidRPr="00BA06B6">
        <w:rPr>
          <w:rFonts w:asciiTheme="majorBidi" w:eastAsia="Times New Roman" w:hAnsiTheme="majorBidi" w:cstheme="majorBidi"/>
          <w:sz w:val="24"/>
          <w:szCs w:val="24"/>
          <w:lang w:eastAsia="en-GB"/>
        </w:rPr>
        <w:instrText xml:space="preserve"> ADDIN EN.CITE </w:instrText>
      </w:r>
      <w:r w:rsidRPr="00BA06B6">
        <w:rPr>
          <w:rFonts w:asciiTheme="majorBidi" w:eastAsia="Times New Roman" w:hAnsiTheme="majorBidi" w:cstheme="majorBidi"/>
          <w:sz w:val="24"/>
          <w:szCs w:val="24"/>
          <w:lang w:eastAsia="en-GB"/>
        </w:rPr>
        <w:fldChar w:fldCharType="begin">
          <w:fldData xml:space="preserve">PEVuZE5vdGU+PENpdGU+PEF1dGhvcj5IZW5yeTwvQXV0aG9yPjxZZWFyPjIwMDg8L1llYXI+PFJl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</w:fldData>
        </w:fldChar>
      </w:r>
      <w:r w:rsidRPr="00BA06B6">
        <w:rPr>
          <w:rFonts w:asciiTheme="majorBidi" w:eastAsia="Times New Roman" w:hAnsiTheme="majorBidi" w:cstheme="majorBidi"/>
          <w:sz w:val="24"/>
          <w:szCs w:val="24"/>
          <w:lang w:eastAsia="en-GB"/>
        </w:rPr>
        <w:instrText xml:space="preserve"> ADDIN EN.CITE.DATA </w:instrText>
      </w:r>
      <w:r w:rsidRPr="00BA06B6">
        <w:rPr>
          <w:rFonts w:asciiTheme="majorBidi" w:eastAsia="Times New Roman" w:hAnsiTheme="majorBidi" w:cstheme="majorBidi"/>
          <w:sz w:val="24"/>
          <w:szCs w:val="24"/>
          <w:lang w:eastAsia="en-GB"/>
        </w:rPr>
      </w:r>
      <w:r w:rsidRPr="00BA06B6">
        <w:rPr>
          <w:rFonts w:asciiTheme="majorBidi" w:eastAsia="Times New Roman" w:hAnsiTheme="majorBidi" w:cstheme="majorBidi"/>
          <w:sz w:val="24"/>
          <w:szCs w:val="24"/>
          <w:lang w:eastAsia="en-GB"/>
        </w:rPr>
        <w:fldChar w:fldCharType="end"/>
      </w:r>
      <w:r w:rsidRPr="00BA06B6">
        <w:rPr>
          <w:rFonts w:asciiTheme="majorBidi" w:eastAsia="Times New Roman" w:hAnsiTheme="majorBidi" w:cstheme="majorBidi"/>
          <w:sz w:val="24"/>
          <w:szCs w:val="24"/>
          <w:lang w:eastAsia="en-GB"/>
        </w:rPr>
      </w:r>
      <w:r w:rsidRPr="00BA06B6">
        <w:rPr>
          <w:rFonts w:asciiTheme="majorBidi" w:eastAsia="Times New Roman" w:hAnsiTheme="majorBidi" w:cstheme="majorBidi"/>
          <w:sz w:val="24"/>
          <w:szCs w:val="24"/>
          <w:lang w:eastAsia="en-GB"/>
        </w:rPr>
        <w:fldChar w:fldCharType="separate"/>
      </w:r>
      <w:r w:rsidRPr="00BA06B6">
        <w:rPr>
          <w:rFonts w:asciiTheme="majorBidi" w:eastAsia="Times New Roman" w:hAnsiTheme="majorBidi" w:cstheme="majorBidi"/>
          <w:noProof/>
          <w:sz w:val="24"/>
          <w:szCs w:val="24"/>
          <w:lang w:eastAsia="en-GB"/>
        </w:rPr>
        <w:t xml:space="preserve">(e.g., </w:t>
      </w:r>
      <w:hyperlink w:anchor="_ENREF_14" w:tooltip="Ashbaugh-Skaife, 2006 #295" w:history="1">
        <w:r w:rsidRPr="00BA06B6">
          <w:rPr>
            <w:rFonts w:asciiTheme="majorBidi" w:eastAsia="Times New Roman" w:hAnsiTheme="majorBidi" w:cstheme="majorBidi"/>
            <w:noProof/>
            <w:sz w:val="24"/>
            <w:szCs w:val="24"/>
            <w:lang w:eastAsia="en-GB"/>
          </w:rPr>
          <w:t>Ashbaugh-Skaife et al., 2006</w:t>
        </w:r>
      </w:hyperlink>
      <w:r w:rsidRPr="00BA06B6">
        <w:rPr>
          <w:rFonts w:asciiTheme="majorBidi" w:eastAsia="Times New Roman" w:hAnsiTheme="majorBidi" w:cstheme="majorBidi"/>
          <w:noProof/>
          <w:sz w:val="24"/>
          <w:szCs w:val="24"/>
          <w:lang w:eastAsia="en-GB"/>
        </w:rPr>
        <w:t xml:space="preserve">; </w:t>
      </w:r>
      <w:hyperlink w:anchor="_ENREF_24" w:tooltip="Beiner, 2006 #711" w:history="1">
        <w:r w:rsidRPr="00BA06B6">
          <w:rPr>
            <w:rFonts w:asciiTheme="majorBidi" w:eastAsia="Times New Roman" w:hAnsiTheme="majorBidi" w:cstheme="majorBidi"/>
            <w:noProof/>
            <w:sz w:val="24"/>
            <w:szCs w:val="24"/>
            <w:lang w:eastAsia="en-GB"/>
          </w:rPr>
          <w:t>Beiner</w:t>
        </w:r>
        <w:r w:rsidRPr="00BA06B6">
          <w:rPr>
            <w:rFonts w:asciiTheme="majorBidi" w:eastAsia="Calibri" w:hAnsiTheme="majorBidi" w:cstheme="majorBidi"/>
            <w:sz w:val="24"/>
            <w:szCs w:val="24"/>
          </w:rPr>
          <w:t xml:space="preserve"> </w:t>
        </w:r>
        <w:r w:rsidRPr="00BA06B6">
          <w:rPr>
            <w:rFonts w:asciiTheme="majorBidi" w:eastAsia="Times New Roman" w:hAnsiTheme="majorBidi" w:cstheme="majorBidi"/>
            <w:noProof/>
            <w:sz w:val="24"/>
            <w:szCs w:val="24"/>
            <w:lang w:eastAsia="en-GB"/>
          </w:rPr>
          <w:t>et al., 2006</w:t>
        </w:r>
      </w:hyperlink>
      <w:r w:rsidRPr="00BA06B6">
        <w:rPr>
          <w:rFonts w:asciiTheme="majorBidi" w:eastAsia="Times New Roman" w:hAnsiTheme="majorBidi" w:cstheme="majorBidi"/>
          <w:noProof/>
          <w:sz w:val="24"/>
          <w:szCs w:val="24"/>
          <w:lang w:eastAsia="en-GB"/>
        </w:rPr>
        <w:t xml:space="preserve">; </w:t>
      </w:r>
      <w:hyperlink w:anchor="_ENREF_104" w:tooltip="Ntim, 2013 #288" w:history="1">
        <w:r w:rsidRPr="00BA06B6">
          <w:rPr>
            <w:rFonts w:asciiTheme="majorBidi" w:eastAsia="Times New Roman" w:hAnsiTheme="majorBidi" w:cstheme="majorBidi"/>
            <w:noProof/>
            <w:sz w:val="24"/>
            <w:szCs w:val="24"/>
            <w:lang w:eastAsia="en-GB"/>
          </w:rPr>
          <w:t>Ntim et al., 2013</w:t>
        </w:r>
      </w:hyperlink>
      <w:r w:rsidRPr="00BA06B6">
        <w:rPr>
          <w:rFonts w:asciiTheme="majorBidi" w:eastAsia="Times New Roman" w:hAnsiTheme="majorBidi" w:cstheme="majorBidi"/>
          <w:noProof/>
          <w:sz w:val="24"/>
          <w:szCs w:val="24"/>
          <w:lang w:eastAsia="en-GB"/>
        </w:rPr>
        <w:t>)</w:t>
      </w:r>
      <w:r w:rsidRPr="00BA06B6">
        <w:rPr>
          <w:rFonts w:asciiTheme="majorBidi" w:eastAsia="Times New Roman" w:hAnsiTheme="majorBidi" w:cstheme="majorBidi"/>
          <w:sz w:val="24"/>
          <w:szCs w:val="24"/>
          <w:lang w:eastAsia="en-GB"/>
        </w:rPr>
        <w:fldChar w:fldCharType="end"/>
      </w:r>
      <w:r w:rsidRPr="00BA06B6">
        <w:rPr>
          <w:rFonts w:asciiTheme="majorBidi" w:eastAsia="Times New Roman" w:hAnsiTheme="majorBidi" w:cstheme="majorBidi"/>
          <w:sz w:val="24"/>
          <w:szCs w:val="24"/>
          <w:lang w:eastAsia="en-GB"/>
        </w:rPr>
        <w:t xml:space="preserve">. In the first stage and based on our review of extensive prior studies </w:t>
      </w:r>
      <w:r w:rsidRPr="00BA06B6">
        <w:rPr>
          <w:rFonts w:asciiTheme="majorBidi" w:eastAsia="Times New Roman" w:hAnsiTheme="majorBidi" w:cstheme="majorBidi"/>
          <w:sz w:val="24"/>
          <w:szCs w:val="24"/>
          <w:lang w:eastAsia="en-GB"/>
        </w:rPr>
        <w:fldChar w:fldCharType="begin">
          <w:fldData xml:space="preserve">PEVuZE5vdGU+PENpdGU+PEF1dGhvcj5KZW5zZW48L0F1dGhvcj48WWVhcj4xOTc2PC9ZZWFyPjxS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</w:fldData>
        </w:fldChar>
      </w:r>
      <w:r w:rsidRPr="00BA06B6">
        <w:rPr>
          <w:rFonts w:asciiTheme="majorBidi" w:eastAsia="Times New Roman" w:hAnsiTheme="majorBidi" w:cstheme="majorBidi"/>
          <w:sz w:val="24"/>
          <w:szCs w:val="24"/>
          <w:lang w:eastAsia="en-GB"/>
        </w:rPr>
        <w:instrText xml:space="preserve"> ADDIN EN.CITE </w:instrText>
      </w:r>
      <w:r w:rsidRPr="00BA06B6">
        <w:rPr>
          <w:rFonts w:asciiTheme="majorBidi" w:eastAsia="Times New Roman" w:hAnsiTheme="majorBidi" w:cstheme="majorBidi"/>
          <w:sz w:val="24"/>
          <w:szCs w:val="24"/>
          <w:lang w:eastAsia="en-GB"/>
        </w:rPr>
        <w:fldChar w:fldCharType="begin">
          <w:fldData xml:space="preserve">PEVuZE5vdGU+PENpdGU+PEF1dGhvcj5KZW5zZW48L0F1dGhvcj48WWVhcj4xOTc2PC9ZZWFyPjxS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</w:fldData>
        </w:fldChar>
      </w:r>
      <w:r w:rsidRPr="00BA06B6">
        <w:rPr>
          <w:rFonts w:asciiTheme="majorBidi" w:eastAsia="Times New Roman" w:hAnsiTheme="majorBidi" w:cstheme="majorBidi"/>
          <w:sz w:val="24"/>
          <w:szCs w:val="24"/>
          <w:lang w:eastAsia="en-GB"/>
        </w:rPr>
        <w:instrText xml:space="preserve"> ADDIN EN.CITE.DATA </w:instrText>
      </w:r>
      <w:r w:rsidRPr="00BA06B6">
        <w:rPr>
          <w:rFonts w:asciiTheme="majorBidi" w:eastAsia="Times New Roman" w:hAnsiTheme="majorBidi" w:cstheme="majorBidi"/>
          <w:sz w:val="24"/>
          <w:szCs w:val="24"/>
          <w:lang w:eastAsia="en-GB"/>
        </w:rPr>
      </w:r>
      <w:r w:rsidRPr="00BA06B6">
        <w:rPr>
          <w:rFonts w:asciiTheme="majorBidi" w:eastAsia="Times New Roman" w:hAnsiTheme="majorBidi" w:cstheme="majorBidi"/>
          <w:sz w:val="24"/>
          <w:szCs w:val="24"/>
          <w:lang w:eastAsia="en-GB"/>
        </w:rPr>
        <w:fldChar w:fldCharType="end"/>
      </w:r>
      <w:r w:rsidRPr="00BA06B6">
        <w:rPr>
          <w:rFonts w:asciiTheme="majorBidi" w:eastAsia="Times New Roman" w:hAnsiTheme="majorBidi" w:cstheme="majorBidi"/>
          <w:sz w:val="24"/>
          <w:szCs w:val="24"/>
          <w:lang w:eastAsia="en-GB"/>
        </w:rPr>
      </w:r>
      <w:r w:rsidRPr="00BA06B6">
        <w:rPr>
          <w:rFonts w:asciiTheme="majorBidi" w:eastAsia="Times New Roman" w:hAnsiTheme="majorBidi" w:cstheme="majorBidi"/>
          <w:sz w:val="24"/>
          <w:szCs w:val="24"/>
          <w:lang w:eastAsia="en-GB"/>
        </w:rPr>
        <w:fldChar w:fldCharType="separate"/>
      </w:r>
      <w:r w:rsidRPr="00BA06B6">
        <w:rPr>
          <w:rFonts w:asciiTheme="majorBidi" w:eastAsia="Times New Roman" w:hAnsiTheme="majorBidi" w:cstheme="majorBidi"/>
          <w:noProof/>
          <w:sz w:val="24"/>
          <w:szCs w:val="24"/>
          <w:lang w:eastAsia="en-GB"/>
        </w:rPr>
        <w:t xml:space="preserve">(e.g., </w:t>
      </w:r>
      <w:hyperlink w:anchor="_ENREF_9" w:tooltip="Aman, 2013 #285" w:history="1">
        <w:r w:rsidRPr="00BA06B6">
          <w:rPr>
            <w:rFonts w:asciiTheme="majorBidi" w:eastAsia="Times New Roman" w:hAnsiTheme="majorBidi" w:cstheme="majorBidi"/>
            <w:noProof/>
            <w:sz w:val="24"/>
            <w:szCs w:val="24"/>
            <w:lang w:eastAsia="en-GB"/>
          </w:rPr>
          <w:t xml:space="preserve">Aman </w:t>
        </w:r>
        <w:r w:rsidRPr="00BA06B6">
          <w:rPr>
            <w:rFonts w:asciiTheme="majorBidi" w:eastAsia="Times New Roman" w:hAnsiTheme="majorBidi" w:cstheme="majorBidi"/>
            <w:sz w:val="24"/>
            <w:szCs w:val="24"/>
            <w:lang w:eastAsia="en-GB"/>
          </w:rPr>
          <w:t xml:space="preserve">&amp; </w:t>
        </w:r>
        <w:r w:rsidRPr="00BA06B6">
          <w:rPr>
            <w:rFonts w:asciiTheme="majorBidi" w:eastAsia="Times New Roman" w:hAnsiTheme="majorBidi" w:cstheme="majorBidi"/>
            <w:noProof/>
            <w:sz w:val="24"/>
            <w:szCs w:val="24"/>
            <w:lang w:eastAsia="en-GB"/>
          </w:rPr>
          <w:t>Nguyen, 2013</w:t>
        </w:r>
      </w:hyperlink>
      <w:r w:rsidRPr="00BA06B6">
        <w:rPr>
          <w:rFonts w:asciiTheme="majorBidi" w:eastAsia="Times New Roman" w:hAnsiTheme="majorBidi" w:cstheme="majorBidi"/>
          <w:noProof/>
          <w:sz w:val="24"/>
          <w:szCs w:val="24"/>
          <w:lang w:eastAsia="en-GB"/>
        </w:rPr>
        <w:t xml:space="preserve">; </w:t>
      </w:r>
      <w:hyperlink w:anchor="_ENREF_67" w:tooltip="Grassa, 2015 #120" w:history="1">
        <w:r w:rsidRPr="00BA06B6">
          <w:rPr>
            <w:rFonts w:asciiTheme="majorBidi" w:eastAsia="Times New Roman" w:hAnsiTheme="majorBidi" w:cstheme="majorBidi"/>
            <w:noProof/>
            <w:sz w:val="24"/>
            <w:szCs w:val="24"/>
            <w:lang w:eastAsia="en-GB"/>
          </w:rPr>
          <w:t>Grassa, 2015</w:t>
        </w:r>
      </w:hyperlink>
      <w:r w:rsidRPr="00BA06B6">
        <w:rPr>
          <w:rFonts w:asciiTheme="majorBidi" w:eastAsia="Times New Roman" w:hAnsiTheme="majorBidi" w:cstheme="majorBidi"/>
          <w:noProof/>
          <w:sz w:val="24"/>
          <w:szCs w:val="24"/>
          <w:lang w:eastAsia="en-GB"/>
        </w:rPr>
        <w:t xml:space="preserve">; </w:t>
      </w:r>
      <w:hyperlink w:anchor="_ENREF_83" w:tooltip="Jensen, 1976 #163" w:history="1">
        <w:r w:rsidRPr="00BA06B6">
          <w:rPr>
            <w:rFonts w:asciiTheme="majorBidi" w:eastAsia="Times New Roman" w:hAnsiTheme="majorBidi" w:cstheme="majorBidi"/>
            <w:noProof/>
            <w:sz w:val="24"/>
            <w:szCs w:val="24"/>
            <w:lang w:eastAsia="en-GB"/>
          </w:rPr>
          <w:t xml:space="preserve">Jensen </w:t>
        </w:r>
        <w:r w:rsidRPr="00BA06B6">
          <w:rPr>
            <w:rFonts w:asciiTheme="majorBidi" w:eastAsia="Times New Roman" w:hAnsiTheme="majorBidi" w:cstheme="majorBidi"/>
            <w:sz w:val="24"/>
            <w:szCs w:val="24"/>
            <w:lang w:eastAsia="en-GB"/>
          </w:rPr>
          <w:t xml:space="preserve">&amp; </w:t>
        </w:r>
        <w:r w:rsidRPr="00BA06B6">
          <w:rPr>
            <w:rFonts w:asciiTheme="majorBidi" w:eastAsia="Times New Roman" w:hAnsiTheme="majorBidi" w:cstheme="majorBidi"/>
            <w:noProof/>
            <w:sz w:val="24"/>
            <w:szCs w:val="24"/>
            <w:lang w:eastAsia="en-GB"/>
          </w:rPr>
          <w:t>Meckling, 1976</w:t>
        </w:r>
      </w:hyperlink>
      <w:r w:rsidRPr="00BA06B6">
        <w:rPr>
          <w:rFonts w:asciiTheme="majorBidi" w:eastAsia="Times New Roman" w:hAnsiTheme="majorBidi" w:cstheme="majorBidi"/>
          <w:noProof/>
          <w:sz w:val="24"/>
          <w:szCs w:val="24"/>
          <w:lang w:eastAsia="en-GB"/>
        </w:rPr>
        <w:t xml:space="preserve">; </w:t>
      </w:r>
      <w:hyperlink w:anchor="_ENREF_104" w:tooltip="Ntim, 2013 #288" w:history="1">
        <w:r w:rsidRPr="00BA06B6">
          <w:rPr>
            <w:rFonts w:asciiTheme="majorBidi" w:eastAsia="Times New Roman" w:hAnsiTheme="majorBidi" w:cstheme="majorBidi"/>
            <w:noProof/>
            <w:sz w:val="24"/>
            <w:szCs w:val="24"/>
            <w:lang w:eastAsia="en-GB"/>
          </w:rPr>
          <w:t>Ntim et al., 2013</w:t>
        </w:r>
      </w:hyperlink>
      <w:r w:rsidRPr="00BA06B6">
        <w:rPr>
          <w:rFonts w:asciiTheme="majorBidi" w:eastAsia="Times New Roman" w:hAnsiTheme="majorBidi" w:cstheme="majorBidi"/>
          <w:noProof/>
          <w:sz w:val="24"/>
          <w:szCs w:val="24"/>
          <w:lang w:eastAsia="en-GB"/>
        </w:rPr>
        <w:t xml:space="preserve">; </w:t>
      </w:r>
      <w:hyperlink w:anchor="_ENREF_105" w:tooltip="Ntim, 2015 #345" w:history="1">
        <w:r w:rsidRPr="00BA06B6">
          <w:rPr>
            <w:rFonts w:asciiTheme="majorBidi" w:eastAsia="Times New Roman" w:hAnsiTheme="majorBidi" w:cstheme="majorBidi"/>
            <w:noProof/>
            <w:sz w:val="24"/>
            <w:szCs w:val="24"/>
            <w:lang w:eastAsia="en-GB"/>
          </w:rPr>
          <w:t>Ntim</w:t>
        </w:r>
        <w:r w:rsidRPr="00BA06B6">
          <w:rPr>
            <w:rFonts w:asciiTheme="majorBidi" w:eastAsia="Calibri" w:hAnsiTheme="majorBidi" w:cstheme="majorBidi"/>
            <w:sz w:val="24"/>
            <w:szCs w:val="24"/>
          </w:rPr>
          <w:t xml:space="preserve"> </w:t>
        </w:r>
        <w:r w:rsidRPr="00BA06B6">
          <w:rPr>
            <w:rFonts w:asciiTheme="majorBidi" w:eastAsia="Times New Roman" w:hAnsiTheme="majorBidi" w:cstheme="majorBidi"/>
            <w:noProof/>
            <w:sz w:val="24"/>
            <w:szCs w:val="24"/>
            <w:lang w:eastAsia="en-GB"/>
          </w:rPr>
          <w:t>et al., 2015</w:t>
        </w:r>
      </w:hyperlink>
      <w:r w:rsidRPr="00BA06B6">
        <w:rPr>
          <w:rFonts w:asciiTheme="majorBidi" w:eastAsia="Times New Roman" w:hAnsiTheme="majorBidi" w:cstheme="majorBidi"/>
          <w:noProof/>
          <w:sz w:val="24"/>
          <w:szCs w:val="24"/>
          <w:lang w:eastAsia="en-GB"/>
        </w:rPr>
        <w:t xml:space="preserve">a, 2015b; </w:t>
      </w:r>
      <w:hyperlink w:anchor="_ENREF_106" w:tooltip="Ntim, 2013 #397" w:history="1">
        <w:r w:rsidRPr="00BA06B6">
          <w:rPr>
            <w:rFonts w:asciiTheme="majorBidi" w:eastAsia="Times New Roman" w:hAnsiTheme="majorBidi" w:cstheme="majorBidi"/>
            <w:noProof/>
            <w:sz w:val="24"/>
            <w:szCs w:val="24"/>
            <w:lang w:eastAsia="en-GB"/>
          </w:rPr>
          <w:t xml:space="preserve">Ntim </w:t>
        </w:r>
        <w:r w:rsidRPr="00BA06B6">
          <w:rPr>
            <w:rFonts w:asciiTheme="majorBidi" w:eastAsia="Times New Roman" w:hAnsiTheme="majorBidi" w:cstheme="majorBidi"/>
            <w:sz w:val="24"/>
            <w:szCs w:val="24"/>
            <w:lang w:eastAsia="en-GB"/>
          </w:rPr>
          <w:t xml:space="preserve">&amp; </w:t>
        </w:r>
        <w:r w:rsidRPr="00BA06B6">
          <w:rPr>
            <w:rFonts w:asciiTheme="majorBidi" w:eastAsia="Times New Roman" w:hAnsiTheme="majorBidi" w:cstheme="majorBidi"/>
            <w:noProof/>
            <w:sz w:val="24"/>
            <w:szCs w:val="24"/>
            <w:lang w:eastAsia="en-GB"/>
          </w:rPr>
          <w:t>Soobaroyen, 2013</w:t>
        </w:r>
      </w:hyperlink>
      <w:r w:rsidRPr="00BA06B6">
        <w:rPr>
          <w:rFonts w:asciiTheme="majorBidi" w:eastAsia="Times New Roman" w:hAnsiTheme="majorBidi" w:cstheme="majorBidi"/>
          <w:noProof/>
          <w:sz w:val="24"/>
          <w:szCs w:val="24"/>
          <w:lang w:eastAsia="en-GB"/>
        </w:rPr>
        <w:t xml:space="preserve">b; </w:t>
      </w:r>
      <w:hyperlink w:anchor="_ENREF_108" w:tooltip="O’Sullivan, 2015 #242" w:history="1">
        <w:r w:rsidRPr="00BA06B6">
          <w:rPr>
            <w:rFonts w:asciiTheme="majorBidi" w:eastAsia="Times New Roman" w:hAnsiTheme="majorBidi" w:cstheme="majorBidi"/>
            <w:noProof/>
            <w:sz w:val="24"/>
            <w:szCs w:val="24"/>
            <w:lang w:eastAsia="en-GB"/>
          </w:rPr>
          <w:t>O’Sullivan et al., 2015</w:t>
        </w:r>
      </w:hyperlink>
      <w:r w:rsidRPr="00BA06B6">
        <w:rPr>
          <w:rFonts w:asciiTheme="majorBidi" w:eastAsia="Times New Roman" w:hAnsiTheme="majorBidi" w:cstheme="majorBidi"/>
          <w:noProof/>
          <w:sz w:val="24"/>
          <w:szCs w:val="24"/>
          <w:lang w:eastAsia="en-GB"/>
        </w:rPr>
        <w:t>)</w:t>
      </w:r>
      <w:r w:rsidRPr="00BA06B6">
        <w:rPr>
          <w:rFonts w:asciiTheme="majorBidi" w:eastAsia="Times New Roman" w:hAnsiTheme="majorBidi" w:cstheme="majorBidi"/>
          <w:sz w:val="24"/>
          <w:szCs w:val="24"/>
          <w:lang w:eastAsia="en-GB"/>
        </w:rPr>
        <w:fldChar w:fldCharType="end"/>
      </w:r>
      <w:r w:rsidRPr="00BA06B6">
        <w:rPr>
          <w:rFonts w:asciiTheme="majorBidi" w:eastAsia="Times New Roman" w:hAnsiTheme="majorBidi" w:cstheme="majorBidi"/>
          <w:sz w:val="24"/>
          <w:szCs w:val="24"/>
          <w:lang w:eastAsia="en-GB"/>
        </w:rPr>
        <w:t xml:space="preserve">, we conjecture that the eight governance variables, including the </w:t>
      </w:r>
      <w:r w:rsidRPr="00BA06B6">
        <w:rPr>
          <w:rFonts w:asciiTheme="majorBidi" w:eastAsia="Times New Roman" w:hAnsiTheme="majorBidi" w:cstheme="majorBidi"/>
          <w:i/>
          <w:iCs/>
          <w:sz w:val="24"/>
          <w:szCs w:val="24"/>
          <w:lang w:eastAsia="en-GB"/>
        </w:rPr>
        <w:t>SSB</w:t>
      </w:r>
      <w:r w:rsidRPr="00BA06B6">
        <w:rPr>
          <w:rFonts w:asciiTheme="majorBidi" w:eastAsia="Times New Roman" w:hAnsiTheme="majorBidi" w:cstheme="majorBidi"/>
          <w:sz w:val="24"/>
          <w:szCs w:val="24"/>
          <w:lang w:eastAsia="en-GB"/>
        </w:rPr>
        <w:t xml:space="preserve"> are determined by all the twelve control variables. We then employed their predicted values in the second stage as instruments and re-estimate equation (4) as follows:</w:t>
      </w:r>
      <w:bookmarkEnd w:id="76"/>
    </w:p>
    <w:bookmarkStart w:id="77" w:name="_Toc454036893"/>
    <w:p w14:paraId="6A7C91DC" w14:textId="77777777" w:rsidR="00AA068C" w:rsidRPr="00BA06B6" w:rsidRDefault="00AA068C" w:rsidP="007A4DB3">
      <w:pPr>
        <w:tabs>
          <w:tab w:val="left" w:pos="851"/>
        </w:tabs>
        <w:spacing w:after="0" w:line="360" w:lineRule="auto"/>
        <w:rPr>
          <w:rFonts w:asciiTheme="majorBidi" w:eastAsia="Calibri" w:hAnsiTheme="majorBidi" w:cstheme="majorBidi"/>
          <w:sz w:val="24"/>
          <w:szCs w:val="24"/>
        </w:rPr>
      </w:pPr>
      <w:r w:rsidRPr="00BA06B6">
        <w:rPr>
          <w:rFonts w:asciiTheme="majorBidi" w:eastAsia="Calibri" w:hAnsiTheme="majorBidi" w:cstheme="majorBidi"/>
          <w:position w:val="-28"/>
          <w:sz w:val="24"/>
          <w:szCs w:val="24"/>
        </w:rPr>
        <w:object w:dxaOrig="8480" w:dyaOrig="680" w14:anchorId="3E3E60EB">
          <v:shape id="_x0000_i1026" type="#_x0000_t75" style="width:398.25pt;height:29.25pt" o:ole="">
            <v:imagedata r:id="rId16" o:title=""/>
          </v:shape>
          <o:OLEObject Type="Embed" ProgID="Equation.3" ShapeID="_x0000_i1026" DrawAspect="Content" ObjectID="_1654109774" r:id="rId17"/>
        </w:object>
      </w:r>
      <w:r w:rsidRPr="00BA06B6">
        <w:rPr>
          <w:rFonts w:asciiTheme="majorBidi" w:eastAsia="Times New Roman" w:hAnsiTheme="majorBidi" w:cstheme="majorBidi"/>
          <w:sz w:val="24"/>
          <w:szCs w:val="24"/>
          <w:lang w:eastAsia="en-GB"/>
        </w:rPr>
        <w:t xml:space="preserve">        </w:t>
      </w:r>
      <w:r w:rsidRPr="00BA06B6">
        <w:rPr>
          <w:rFonts w:asciiTheme="majorBidi" w:eastAsia="Calibri" w:hAnsiTheme="majorBidi" w:cstheme="majorBidi"/>
          <w:sz w:val="24"/>
          <w:szCs w:val="24"/>
        </w:rPr>
        <w:t>(2)</w:t>
      </w:r>
      <w:bookmarkEnd w:id="77"/>
    </w:p>
    <w:p w14:paraId="47F4A3A0" w14:textId="4C5549C0" w:rsidR="00AA068C" w:rsidRPr="00BA06B6" w:rsidRDefault="00AA068C" w:rsidP="00251D60">
      <w:pPr>
        <w:spacing w:after="0" w:line="360" w:lineRule="auto"/>
        <w:ind w:firstLine="425"/>
        <w:jc w:val="both"/>
        <w:rPr>
          <w:rFonts w:asciiTheme="majorBidi" w:eastAsia="Times New Roman" w:hAnsiTheme="majorBidi" w:cstheme="majorBidi"/>
          <w:sz w:val="24"/>
          <w:szCs w:val="24"/>
          <w:lang w:eastAsia="en-GB"/>
        </w:rPr>
      </w:pPr>
      <w:bookmarkStart w:id="78" w:name="_Toc454036894"/>
      <w:r w:rsidRPr="00BA06B6">
        <w:rPr>
          <w:rFonts w:asciiTheme="majorBidi" w:eastAsia="Times New Roman" w:hAnsiTheme="majorBidi" w:cstheme="majorBidi"/>
          <w:sz w:val="24"/>
          <w:szCs w:val="24"/>
          <w:lang w:eastAsia="en-GB"/>
        </w:rPr>
        <w:t xml:space="preserve">Equation (2) is re-estimated </w:t>
      </w:r>
      <w:r w:rsidR="00251D60" w:rsidRPr="00BA06B6">
        <w:rPr>
          <w:rFonts w:asciiTheme="majorBidi" w:eastAsia="Times New Roman" w:hAnsiTheme="majorBidi" w:cstheme="majorBidi"/>
          <w:sz w:val="24"/>
          <w:szCs w:val="24"/>
          <w:lang w:eastAsia="en-GB"/>
        </w:rPr>
        <w:t>similarly</w:t>
      </w:r>
      <w:r w:rsidRPr="00BA06B6">
        <w:rPr>
          <w:rFonts w:asciiTheme="majorBidi" w:eastAsia="Times New Roman" w:hAnsiTheme="majorBidi" w:cstheme="majorBidi"/>
          <w:sz w:val="24"/>
          <w:szCs w:val="24"/>
          <w:lang w:eastAsia="en-GB"/>
        </w:rPr>
        <w:t xml:space="preserve"> as equation (1) by using the predicted values from </w:t>
      </w:r>
      <w:r w:rsidRPr="00BA06B6">
        <w:rPr>
          <w:rFonts w:asciiTheme="majorBidi" w:eastAsia="Times New Roman" w:hAnsiTheme="majorBidi" w:cstheme="majorBidi"/>
          <w:bCs/>
          <w:sz w:val="24"/>
          <w:szCs w:val="24"/>
          <w:lang w:eastAsia="en-GB"/>
        </w:rPr>
        <w:t>the</w:t>
      </w:r>
      <w:r w:rsidRPr="00BA06B6">
        <w:rPr>
          <w:rFonts w:asciiTheme="majorBidi" w:eastAsia="Times New Roman" w:hAnsiTheme="majorBidi" w:cstheme="majorBidi"/>
          <w:sz w:val="24"/>
          <w:szCs w:val="24"/>
          <w:lang w:eastAsia="en-GB"/>
        </w:rPr>
        <w:t xml:space="preserve"> first stage estimation as instruments for the eight governance variables, including the </w:t>
      </w:r>
      <w:r w:rsidRPr="00BA06B6">
        <w:rPr>
          <w:rFonts w:asciiTheme="majorBidi" w:eastAsia="Times New Roman" w:hAnsiTheme="majorBidi" w:cstheme="majorBidi"/>
          <w:i/>
          <w:iCs/>
          <w:sz w:val="24"/>
          <w:szCs w:val="24"/>
          <w:lang w:eastAsia="en-GB"/>
        </w:rPr>
        <w:t>SSB</w:t>
      </w:r>
      <w:r w:rsidRPr="00BA06B6">
        <w:rPr>
          <w:rFonts w:asciiTheme="majorBidi" w:eastAsia="Times New Roman" w:hAnsiTheme="majorBidi" w:cstheme="majorBidi"/>
          <w:sz w:val="24"/>
          <w:szCs w:val="24"/>
          <w:lang w:eastAsia="en-GB"/>
        </w:rPr>
        <w:t xml:space="preserve">. The results of the </w:t>
      </w:r>
      <w:r w:rsidRPr="00BA06B6">
        <w:rPr>
          <w:rFonts w:asciiTheme="majorBidi" w:eastAsia="Times New Roman" w:hAnsiTheme="majorBidi" w:cstheme="majorBidi"/>
          <w:i/>
          <w:sz w:val="24"/>
          <w:szCs w:val="24"/>
          <w:lang w:eastAsia="en-GB"/>
        </w:rPr>
        <w:t>2SLS</w:t>
      </w:r>
      <w:r w:rsidRPr="00BA06B6">
        <w:rPr>
          <w:rFonts w:asciiTheme="majorBidi" w:eastAsia="Times New Roman" w:hAnsiTheme="majorBidi" w:cstheme="majorBidi"/>
          <w:sz w:val="24"/>
          <w:szCs w:val="24"/>
          <w:lang w:eastAsia="en-GB"/>
        </w:rPr>
        <w:t xml:space="preserve"> (Model 10), which are reported in Tables 7 and 8 after controlling for unobserved heterogeneity, are fundamentally similar to those reported in Model 3 of both Tables 7 and 8. Overall, the results reported for Model 10 in Table 7 imply that the evidence is fairly robust to possible endogeneity problems that may arise from omitted variables. The slight increase in the magnitude of the coefficients of the governance indicators in Model 10 of Table 7 compared with those in Model 3 of </w:t>
      </w:r>
      <w:hyperlink w:anchor="Table7" w:history="1">
        <w:r w:rsidRPr="00BA06B6">
          <w:rPr>
            <w:rFonts w:asciiTheme="majorBidi" w:eastAsia="Times New Roman" w:hAnsiTheme="majorBidi" w:cstheme="majorBidi"/>
            <w:sz w:val="24"/>
            <w:szCs w:val="24"/>
            <w:lang w:eastAsia="en-GB"/>
          </w:rPr>
          <w:t>Tables 7</w:t>
        </w:r>
      </w:hyperlink>
      <w:r w:rsidRPr="00BA06B6">
        <w:rPr>
          <w:rFonts w:asciiTheme="majorBidi" w:eastAsia="Times New Roman" w:hAnsiTheme="majorBidi" w:cstheme="majorBidi"/>
          <w:sz w:val="24"/>
          <w:szCs w:val="24"/>
          <w:lang w:eastAsia="en-GB"/>
        </w:rPr>
        <w:t xml:space="preserve"> are generally in line with the findings of prior studies that instrumented parts of governance and risk disclosure variables tend to predict more strongly than their un-instrumented</w:t>
      </w:r>
      <w:r w:rsidRPr="00BA06B6">
        <w:rPr>
          <w:rFonts w:asciiTheme="majorBidi" w:eastAsia="Times New Roman" w:hAnsiTheme="majorBidi" w:cstheme="majorBidi"/>
          <w:i/>
          <w:iCs/>
          <w:sz w:val="24"/>
          <w:szCs w:val="24"/>
          <w:lang w:eastAsia="en-GB"/>
        </w:rPr>
        <w:t xml:space="preserve"> </w:t>
      </w:r>
      <w:r w:rsidRPr="00BA06B6">
        <w:rPr>
          <w:rFonts w:asciiTheme="majorBidi" w:eastAsia="Times New Roman" w:hAnsiTheme="majorBidi" w:cstheme="majorBidi"/>
          <w:sz w:val="24"/>
          <w:szCs w:val="24"/>
          <w:lang w:eastAsia="en-GB"/>
        </w:rPr>
        <w:t xml:space="preserve">parts </w:t>
      </w:r>
      <w:r w:rsidRPr="00BA06B6">
        <w:rPr>
          <w:rFonts w:asciiTheme="majorBidi" w:eastAsia="Times New Roman" w:hAnsiTheme="majorBidi" w:cstheme="majorBidi"/>
          <w:sz w:val="24"/>
          <w:szCs w:val="24"/>
          <w:lang w:eastAsia="en-GB"/>
        </w:rPr>
        <w:fldChar w:fldCharType="begin"/>
      </w:r>
      <w:r w:rsidRPr="00BA06B6">
        <w:rPr>
          <w:rFonts w:asciiTheme="majorBidi" w:eastAsia="Times New Roman" w:hAnsiTheme="majorBidi" w:cstheme="majorBidi"/>
          <w:sz w:val="24"/>
          <w:szCs w:val="24"/>
          <w:lang w:eastAsia="en-GB"/>
        </w:rPr>
        <w:instrText xml:space="preserve"> ADDIN EN.CITE &lt;EndNote&gt;&lt;Cite&gt;&lt;Author&gt;Ntim&lt;/Author&gt;&lt;Year&gt;2013&lt;/Year&gt;&lt;RecNum&gt;288&lt;/RecNum&gt;&lt;DisplayText&gt;(Beiner et al., 2006; Ntim et al., 2013)&lt;/DisplayText&gt;&lt;record&gt;&lt;rec-number&gt;288&lt;/rec-number&gt;&lt;foreign-keys&gt;&lt;key app="EN" db-id="2dxffaaevppfp1e50wgpfxs8pwda290z0az0" timestamp="1441186031"&gt;288&lt;/key&gt;&lt;/foreign-keys&gt;&lt;ref-type name="Journal Article"&gt;17&lt;/ref-type&gt;&lt;contributors&gt;&lt;authors&gt;&lt;author&gt;Ntim, Collins G&lt;/author&gt;&lt;author&gt;Lindop, Sarah&lt;/author&gt;&lt;author&gt;Thomas, Dennis A&lt;/author&gt;&lt;/authors&gt;&lt;/contributors&gt;&lt;titles&gt;&lt;title&gt;Corporate governance and risk reporting in South Africa: A study of corporate risk disclosures in the pre-and post-2007/2008 global financial crisis periods&lt;/title&gt;&lt;secondary-title&gt;International Review of Financial Analysis&lt;/secondary-title&gt;&lt;/titles&gt;&lt;periodical&gt;&lt;full-title&gt;International Review of Financial Analysis&lt;/full-title&gt;&lt;/periodical&gt;&lt;pages&gt;363-383&lt;/pages&gt;&lt;volume&gt;30&lt;/volume&gt;&lt;dates&gt;&lt;year&gt;2013&lt;/year&gt;&lt;/dates&gt;&lt;isbn&gt;1057-5219&lt;/isbn&gt;&lt;urls&gt;&lt;/urls&gt;&lt;/record&gt;&lt;/Cite&gt;&lt;Cite&gt;&lt;Author&gt;Beiner&lt;/Author&gt;&lt;Year&gt;2006&lt;/Year&gt;&lt;RecNum&gt;711&lt;/RecNum&gt;&lt;record&gt;&lt;rec-number&gt;711&lt;/rec-number&gt;&lt;foreign-keys&gt;&lt;key app="EN" db-id="2dxffaaevppfp1e50wgpfxs8pwda290z0az0" timestamp="1442237093"&gt;711&lt;/key&gt;&lt;/foreign-keys&gt;&lt;ref-type name="Journal Article"&gt;17&lt;/ref-type&gt;&lt;contributors&gt;&lt;authors&gt;&lt;author&gt;Beiner, Stefan&lt;/author&gt;&lt;author&gt;Drobetz, Wolfgang&lt;/author&gt;&lt;author&gt;Schmid, Markus M&lt;/author&gt;&lt;author&gt;Zimmermann, Heinz&lt;/author&gt;&lt;/authors&gt;&lt;/contributors&gt;&lt;titles&gt;&lt;title&gt;An integrated framework of corporate governance and firm valuation&lt;/title&gt;&lt;secondary-title&gt;European Financial Management&lt;/secondary-title&gt;&lt;/titles&gt;&lt;periodical&gt;&lt;full-title&gt;European Financial Management&lt;/full-title&gt;&lt;/periodical&gt;&lt;pages&gt;249-283&lt;/pages&gt;&lt;volume&gt;12&lt;/volume&gt;&lt;number&gt;2&lt;/number&gt;&lt;dates&gt;&lt;year&gt;2006&lt;/year&gt;&lt;/dates&gt;&lt;isbn&gt;1468-036X&lt;/isbn&gt;&lt;urls&gt;&lt;/urls&gt;&lt;/record&gt;&lt;/Cite&gt;&lt;/EndNote&gt;</w:instrText>
      </w:r>
      <w:r w:rsidRPr="00BA06B6">
        <w:rPr>
          <w:rFonts w:asciiTheme="majorBidi" w:eastAsia="Times New Roman" w:hAnsiTheme="majorBidi" w:cstheme="majorBidi"/>
          <w:sz w:val="24"/>
          <w:szCs w:val="24"/>
          <w:lang w:eastAsia="en-GB"/>
        </w:rPr>
        <w:fldChar w:fldCharType="separate"/>
      </w:r>
      <w:r w:rsidRPr="00BA06B6">
        <w:rPr>
          <w:rFonts w:asciiTheme="majorBidi" w:eastAsia="Times New Roman" w:hAnsiTheme="majorBidi" w:cstheme="majorBidi"/>
          <w:noProof/>
          <w:sz w:val="24"/>
          <w:szCs w:val="24"/>
          <w:lang w:eastAsia="en-GB"/>
        </w:rPr>
        <w:t xml:space="preserve">(e.g., </w:t>
      </w:r>
      <w:hyperlink w:anchor="_ENREF_24" w:tooltip="Beiner, 2006 #711" w:history="1">
        <w:r w:rsidRPr="00BA06B6">
          <w:rPr>
            <w:rFonts w:asciiTheme="majorBidi" w:eastAsia="Times New Roman" w:hAnsiTheme="majorBidi" w:cstheme="majorBidi"/>
            <w:noProof/>
            <w:sz w:val="24"/>
            <w:szCs w:val="24"/>
            <w:lang w:eastAsia="en-GB"/>
          </w:rPr>
          <w:t>Beiner et al., 2006</w:t>
        </w:r>
      </w:hyperlink>
      <w:r w:rsidRPr="00BA06B6">
        <w:rPr>
          <w:rFonts w:asciiTheme="majorBidi" w:eastAsia="Times New Roman" w:hAnsiTheme="majorBidi" w:cstheme="majorBidi"/>
          <w:noProof/>
          <w:sz w:val="24"/>
          <w:szCs w:val="24"/>
          <w:lang w:eastAsia="en-GB"/>
        </w:rPr>
        <w:t xml:space="preserve">; </w:t>
      </w:r>
      <w:hyperlink w:anchor="_ENREF_104" w:tooltip="Ntim, 2013 #288" w:history="1">
        <w:r w:rsidRPr="00BA06B6">
          <w:rPr>
            <w:rFonts w:asciiTheme="majorBidi" w:eastAsia="Times New Roman" w:hAnsiTheme="majorBidi" w:cstheme="majorBidi"/>
            <w:noProof/>
            <w:sz w:val="24"/>
            <w:szCs w:val="24"/>
            <w:lang w:eastAsia="en-GB"/>
          </w:rPr>
          <w:t>Ntim et al., 2013</w:t>
        </w:r>
      </w:hyperlink>
      <w:r w:rsidRPr="00BA06B6">
        <w:rPr>
          <w:rFonts w:asciiTheme="majorBidi" w:eastAsia="Times New Roman" w:hAnsiTheme="majorBidi" w:cstheme="majorBidi"/>
          <w:noProof/>
          <w:sz w:val="24"/>
          <w:szCs w:val="24"/>
          <w:lang w:eastAsia="en-GB"/>
        </w:rPr>
        <w:t>)</w:t>
      </w:r>
      <w:r w:rsidRPr="00BA06B6">
        <w:rPr>
          <w:rFonts w:asciiTheme="majorBidi" w:eastAsia="Times New Roman" w:hAnsiTheme="majorBidi" w:cstheme="majorBidi"/>
          <w:sz w:val="24"/>
          <w:szCs w:val="24"/>
          <w:lang w:eastAsia="en-GB"/>
        </w:rPr>
        <w:fldChar w:fldCharType="end"/>
      </w:r>
      <w:r w:rsidRPr="00BA06B6">
        <w:rPr>
          <w:rFonts w:asciiTheme="majorBidi" w:eastAsia="Times New Roman" w:hAnsiTheme="majorBidi" w:cstheme="majorBidi"/>
          <w:sz w:val="24"/>
          <w:szCs w:val="24"/>
          <w:lang w:eastAsia="en-GB"/>
        </w:rPr>
        <w:t>.</w:t>
      </w:r>
      <w:bookmarkEnd w:id="78"/>
    </w:p>
    <w:p w14:paraId="0F3610E3" w14:textId="05B72F83" w:rsidR="00AA068C" w:rsidRPr="00BA06B6" w:rsidRDefault="00AA068C" w:rsidP="00251D60">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 xml:space="preserve">Finally, an alternative way of addressing </w:t>
      </w:r>
      <w:r w:rsidR="00251D60" w:rsidRPr="00BA06B6">
        <w:rPr>
          <w:rFonts w:asciiTheme="majorBidi" w:eastAsia="Times New Roman" w:hAnsiTheme="majorBidi" w:cstheme="majorBidi"/>
          <w:sz w:val="24"/>
          <w:szCs w:val="24"/>
          <w:lang w:eastAsia="en-GB"/>
        </w:rPr>
        <w:t xml:space="preserve">the </w:t>
      </w:r>
      <w:r w:rsidRPr="00BA06B6">
        <w:rPr>
          <w:rFonts w:asciiTheme="majorBidi" w:eastAsia="Times New Roman" w:hAnsiTheme="majorBidi" w:cstheme="majorBidi"/>
          <w:sz w:val="24"/>
          <w:szCs w:val="24"/>
          <w:lang w:eastAsia="en-GB"/>
        </w:rPr>
        <w:t>potential endogenous association</w:t>
      </w:r>
      <w:r w:rsidR="00251D60" w:rsidRPr="00BA06B6">
        <w:rPr>
          <w:rFonts w:asciiTheme="majorBidi" w:eastAsia="Times New Roman" w:hAnsiTheme="majorBidi" w:cstheme="majorBidi"/>
          <w:sz w:val="24"/>
          <w:szCs w:val="24"/>
          <w:lang w:eastAsia="en-GB"/>
        </w:rPr>
        <w:t>s</w:t>
      </w:r>
      <w:r w:rsidRPr="00BA06B6">
        <w:rPr>
          <w:rFonts w:asciiTheme="majorBidi" w:eastAsia="Times New Roman" w:hAnsiTheme="majorBidi" w:cstheme="majorBidi"/>
          <w:sz w:val="24"/>
          <w:szCs w:val="24"/>
          <w:lang w:eastAsia="en-GB"/>
        </w:rPr>
        <w:t xml:space="preserve"> between </w:t>
      </w:r>
      <w:r w:rsidRPr="00BA06B6">
        <w:rPr>
          <w:rFonts w:asciiTheme="majorBidi" w:eastAsia="Times New Roman" w:hAnsiTheme="majorBidi" w:cstheme="majorBidi"/>
          <w:i/>
          <w:iCs/>
          <w:sz w:val="24"/>
          <w:szCs w:val="24"/>
          <w:lang w:eastAsia="en-GB"/>
        </w:rPr>
        <w:t xml:space="preserve">RATE </w:t>
      </w:r>
      <w:r w:rsidRPr="00BA06B6">
        <w:rPr>
          <w:rFonts w:asciiTheme="majorBidi" w:eastAsia="Times New Roman" w:hAnsiTheme="majorBidi" w:cstheme="majorBidi"/>
          <w:sz w:val="24"/>
          <w:szCs w:val="24"/>
          <w:lang w:eastAsia="en-GB"/>
        </w:rPr>
        <w:t xml:space="preserve">and </w:t>
      </w:r>
      <w:r w:rsidRPr="00BA06B6">
        <w:rPr>
          <w:rFonts w:asciiTheme="majorBidi" w:eastAsia="Times New Roman" w:hAnsiTheme="majorBidi" w:cstheme="majorBidi"/>
          <w:i/>
          <w:iCs/>
          <w:sz w:val="24"/>
          <w:szCs w:val="24"/>
          <w:lang w:eastAsia="en-GB"/>
        </w:rPr>
        <w:t xml:space="preserve">RDI </w:t>
      </w:r>
      <w:r w:rsidRPr="00BA06B6">
        <w:rPr>
          <w:rFonts w:asciiTheme="majorBidi" w:eastAsia="Times New Roman" w:hAnsiTheme="majorBidi" w:cstheme="majorBidi"/>
          <w:sz w:val="24"/>
          <w:szCs w:val="24"/>
          <w:lang w:eastAsia="en-GB"/>
        </w:rPr>
        <w:t xml:space="preserve">is to estimate the relationship by using changes in </w:t>
      </w:r>
      <w:r w:rsidRPr="00BA06B6">
        <w:rPr>
          <w:rFonts w:asciiTheme="majorBidi" w:eastAsia="Times New Roman" w:hAnsiTheme="majorBidi" w:cstheme="majorBidi"/>
          <w:i/>
          <w:iCs/>
          <w:sz w:val="24"/>
          <w:szCs w:val="24"/>
          <w:lang w:eastAsia="en-GB"/>
        </w:rPr>
        <w:t xml:space="preserve">RATE </w:t>
      </w:r>
      <w:r w:rsidRPr="00BA06B6">
        <w:rPr>
          <w:rFonts w:asciiTheme="majorBidi" w:eastAsia="Times New Roman" w:hAnsiTheme="majorBidi" w:cstheme="majorBidi"/>
          <w:sz w:val="24"/>
          <w:szCs w:val="24"/>
          <w:lang w:eastAsia="en-GB"/>
        </w:rPr>
        <w:t xml:space="preserve">and </w:t>
      </w:r>
      <w:r w:rsidRPr="00BA06B6">
        <w:rPr>
          <w:rFonts w:asciiTheme="majorBidi" w:eastAsia="Times New Roman" w:hAnsiTheme="majorBidi" w:cstheme="majorBidi"/>
          <w:i/>
          <w:iCs/>
          <w:sz w:val="24"/>
          <w:szCs w:val="24"/>
          <w:lang w:eastAsia="en-GB"/>
        </w:rPr>
        <w:t>RDI</w:t>
      </w:r>
      <w:r w:rsidRPr="00BA06B6">
        <w:rPr>
          <w:rFonts w:asciiTheme="majorBidi" w:eastAsia="Times New Roman" w:hAnsiTheme="majorBidi" w:cstheme="majorBidi"/>
          <w:sz w:val="24"/>
          <w:szCs w:val="24"/>
          <w:lang w:eastAsia="en-GB"/>
        </w:rPr>
        <w:t xml:space="preserve"> (Δ</w:t>
      </w:r>
      <w:r w:rsidRPr="00BA06B6">
        <w:rPr>
          <w:rFonts w:asciiTheme="majorBidi" w:eastAsia="Times New Roman" w:hAnsiTheme="majorBidi" w:cstheme="majorBidi"/>
          <w:i/>
          <w:iCs/>
          <w:sz w:val="24"/>
          <w:szCs w:val="24"/>
          <w:lang w:eastAsia="en-GB"/>
        </w:rPr>
        <w:t>RATE</w:t>
      </w:r>
      <w:r w:rsidRPr="00BA06B6">
        <w:rPr>
          <w:rFonts w:asciiTheme="majorBidi" w:eastAsia="Times New Roman" w:hAnsiTheme="majorBidi" w:cstheme="majorBidi"/>
          <w:sz w:val="24"/>
          <w:szCs w:val="24"/>
          <w:lang w:eastAsia="en-GB"/>
        </w:rPr>
        <w:t xml:space="preserve"> and Δ</w:t>
      </w:r>
      <w:r w:rsidRPr="00BA06B6">
        <w:rPr>
          <w:rFonts w:asciiTheme="majorBidi" w:eastAsia="Times New Roman" w:hAnsiTheme="majorBidi" w:cstheme="majorBidi"/>
          <w:i/>
          <w:iCs/>
          <w:sz w:val="24"/>
          <w:szCs w:val="24"/>
          <w:lang w:eastAsia="en-GB"/>
        </w:rPr>
        <w:t>RDI</w:t>
      </w:r>
      <w:r w:rsidRPr="00BA06B6">
        <w:rPr>
          <w:rFonts w:asciiTheme="majorBidi" w:eastAsia="Times New Roman" w:hAnsiTheme="majorBidi" w:cstheme="majorBidi"/>
          <w:sz w:val="24"/>
          <w:szCs w:val="24"/>
          <w:lang w:eastAsia="en-GB"/>
        </w:rPr>
        <w:t xml:space="preserve">) instead </w:t>
      </w:r>
      <w:r w:rsidR="00251D60" w:rsidRPr="00BA06B6">
        <w:rPr>
          <w:rFonts w:asciiTheme="majorBidi" w:eastAsia="Times New Roman" w:hAnsiTheme="majorBidi" w:cstheme="majorBidi"/>
          <w:sz w:val="24"/>
          <w:szCs w:val="24"/>
          <w:lang w:eastAsia="en-GB"/>
        </w:rPr>
        <w:t xml:space="preserve">of </w:t>
      </w:r>
      <w:r w:rsidRPr="00BA06B6">
        <w:rPr>
          <w:rFonts w:asciiTheme="majorBidi" w:eastAsia="Times New Roman" w:hAnsiTheme="majorBidi" w:cstheme="majorBidi"/>
          <w:sz w:val="24"/>
          <w:szCs w:val="24"/>
          <w:lang w:eastAsia="en-GB"/>
        </w:rPr>
        <w:t xml:space="preserve">using their levels as employed so far. The rationale is that if bank risk disclosures are really informative, then, direct changes (increases or decreases) in the </w:t>
      </w:r>
      <w:r w:rsidRPr="00BA06B6">
        <w:rPr>
          <w:rFonts w:asciiTheme="majorBidi" w:eastAsia="Times New Roman" w:hAnsiTheme="majorBidi" w:cstheme="majorBidi"/>
          <w:i/>
          <w:iCs/>
          <w:sz w:val="24"/>
          <w:szCs w:val="24"/>
          <w:lang w:eastAsia="en-GB"/>
        </w:rPr>
        <w:t xml:space="preserve">RDI </w:t>
      </w:r>
      <w:r w:rsidRPr="00BA06B6">
        <w:rPr>
          <w:rFonts w:asciiTheme="majorBidi" w:eastAsia="Times New Roman" w:hAnsiTheme="majorBidi" w:cstheme="majorBidi"/>
          <w:sz w:val="24"/>
          <w:szCs w:val="24"/>
          <w:lang w:eastAsia="en-GB"/>
        </w:rPr>
        <w:t xml:space="preserve">will lead to similar direct changes in the </w:t>
      </w:r>
      <w:r w:rsidRPr="00BA06B6">
        <w:rPr>
          <w:rFonts w:asciiTheme="majorBidi" w:eastAsia="Times New Roman" w:hAnsiTheme="majorBidi" w:cstheme="majorBidi"/>
          <w:i/>
          <w:iCs/>
          <w:sz w:val="24"/>
          <w:szCs w:val="24"/>
          <w:lang w:eastAsia="en-GB"/>
        </w:rPr>
        <w:t xml:space="preserve">RATE </w:t>
      </w:r>
      <w:r w:rsidRPr="00BA06B6">
        <w:rPr>
          <w:rFonts w:asciiTheme="majorBidi" w:eastAsia="Times New Roman" w:hAnsiTheme="majorBidi" w:cstheme="majorBidi"/>
          <w:sz w:val="24"/>
          <w:szCs w:val="24"/>
          <w:lang w:eastAsia="en-GB"/>
        </w:rPr>
        <w:t xml:space="preserve">(upgrades or downgrades). The advantage of this approach is that it has the ability to eliminate any spurious correlations between </w:t>
      </w:r>
      <w:r w:rsidRPr="00BA06B6">
        <w:rPr>
          <w:rFonts w:asciiTheme="majorBidi" w:eastAsia="Times New Roman" w:hAnsiTheme="majorBidi" w:cstheme="majorBidi"/>
          <w:i/>
          <w:iCs/>
          <w:sz w:val="24"/>
          <w:szCs w:val="24"/>
          <w:lang w:eastAsia="en-GB"/>
        </w:rPr>
        <w:t xml:space="preserve">RATE </w:t>
      </w:r>
      <w:r w:rsidRPr="00BA06B6">
        <w:rPr>
          <w:rFonts w:asciiTheme="majorBidi" w:eastAsia="Times New Roman" w:hAnsiTheme="majorBidi" w:cstheme="majorBidi"/>
          <w:sz w:val="24"/>
          <w:szCs w:val="24"/>
          <w:lang w:eastAsia="en-GB"/>
        </w:rPr>
        <w:t xml:space="preserve">and </w:t>
      </w:r>
      <w:r w:rsidRPr="00BA06B6">
        <w:rPr>
          <w:rFonts w:asciiTheme="majorBidi" w:eastAsia="Times New Roman" w:hAnsiTheme="majorBidi" w:cstheme="majorBidi"/>
          <w:i/>
          <w:iCs/>
          <w:sz w:val="24"/>
          <w:szCs w:val="24"/>
          <w:lang w:eastAsia="en-GB"/>
        </w:rPr>
        <w:t>RDI</w:t>
      </w:r>
      <w:r w:rsidRPr="00BA06B6">
        <w:rPr>
          <w:rFonts w:asciiTheme="majorBidi" w:eastAsia="Times New Roman" w:hAnsiTheme="majorBidi" w:cstheme="majorBidi"/>
          <w:sz w:val="24"/>
          <w:szCs w:val="24"/>
          <w:lang w:eastAsia="en-GB"/>
        </w:rPr>
        <w:t>. Consequently, we estimate a changes regression by employing the following model:</w:t>
      </w:r>
    </w:p>
    <w:p w14:paraId="28328D30" w14:textId="77777777" w:rsidR="00AA068C" w:rsidRPr="00BA06B6" w:rsidRDefault="00AA068C" w:rsidP="007A4DB3">
      <w:pPr>
        <w:tabs>
          <w:tab w:val="left" w:pos="851"/>
        </w:tabs>
        <w:spacing w:after="0" w:line="360" w:lineRule="auto"/>
        <w:rPr>
          <w:rFonts w:asciiTheme="majorBidi" w:eastAsia="Calibri" w:hAnsiTheme="majorBidi" w:cstheme="majorBidi"/>
          <w:sz w:val="24"/>
          <w:szCs w:val="24"/>
        </w:rPr>
      </w:pPr>
      <w:r w:rsidRPr="00BA06B6">
        <w:rPr>
          <w:rFonts w:asciiTheme="majorBidi" w:eastAsia="Calibri" w:hAnsiTheme="majorBidi" w:cstheme="majorBidi"/>
          <w:position w:val="-28"/>
          <w:sz w:val="24"/>
          <w:szCs w:val="24"/>
        </w:rPr>
        <w:object w:dxaOrig="8620" w:dyaOrig="680" w14:anchorId="7A18E48B">
          <v:shape id="_x0000_i1027" type="#_x0000_t75" style="width:405pt;height:29.25pt" o:ole="">
            <v:imagedata r:id="rId18" o:title=""/>
          </v:shape>
          <o:OLEObject Type="Embed" ProgID="Equation.3" ShapeID="_x0000_i1027" DrawAspect="Content" ObjectID="_1654109775" r:id="rId19"/>
        </w:object>
      </w:r>
      <w:r w:rsidRPr="00BA06B6">
        <w:rPr>
          <w:rFonts w:asciiTheme="majorBidi" w:eastAsia="Times New Roman" w:hAnsiTheme="majorBidi" w:cstheme="majorBidi"/>
          <w:sz w:val="24"/>
          <w:szCs w:val="24"/>
          <w:lang w:eastAsia="en-GB"/>
        </w:rPr>
        <w:t xml:space="preserve">        </w:t>
      </w:r>
      <w:r w:rsidRPr="00BA06B6">
        <w:rPr>
          <w:rFonts w:asciiTheme="majorBidi" w:eastAsia="Calibri" w:hAnsiTheme="majorBidi" w:cstheme="majorBidi"/>
          <w:sz w:val="24"/>
          <w:szCs w:val="24"/>
        </w:rPr>
        <w:t>(3)</w:t>
      </w:r>
    </w:p>
    <w:p w14:paraId="365F312C" w14:textId="086A2385" w:rsidR="00AA068C" w:rsidRPr="00BA06B6" w:rsidRDefault="00AA068C" w:rsidP="00AA068C">
      <w:pPr>
        <w:spacing w:after="0" w:line="360" w:lineRule="auto"/>
        <w:ind w:firstLine="425"/>
        <w:jc w:val="both"/>
        <w:rPr>
          <w:rFonts w:ascii="Times New Roman" w:eastAsia="Times New Roman" w:hAnsi="Times New Roman" w:cs="Times New Roman"/>
          <w:sz w:val="24"/>
          <w:szCs w:val="24"/>
          <w:lang w:eastAsia="en-GB"/>
        </w:rPr>
      </w:pPr>
      <w:r w:rsidRPr="00BA06B6">
        <w:rPr>
          <w:rFonts w:asciiTheme="majorBidi" w:eastAsia="Times New Roman" w:hAnsiTheme="majorBidi" w:cstheme="majorBidi"/>
          <w:sz w:val="24"/>
          <w:szCs w:val="24"/>
          <w:lang w:eastAsia="en-GB"/>
        </w:rPr>
        <w:t>The results of the changes regression estimate</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as shown in Model 11 of Tables 7 and 8 are fundamentally similar to those reported in Model 3 of both Tables 7 and 8. The results of Model 11 are consistent with our previous evidence of a positive </w:t>
      </w:r>
      <w:r w:rsidRPr="00BA06B6">
        <w:rPr>
          <w:rFonts w:asciiTheme="majorBidi" w:eastAsia="Times New Roman" w:hAnsiTheme="majorBidi" w:cstheme="majorBidi"/>
          <w:i/>
          <w:iCs/>
          <w:sz w:val="24"/>
          <w:szCs w:val="24"/>
          <w:lang w:eastAsia="en-GB"/>
        </w:rPr>
        <w:t>RDI</w:t>
      </w:r>
      <w:r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i/>
          <w:iCs/>
          <w:sz w:val="24"/>
          <w:szCs w:val="24"/>
          <w:lang w:eastAsia="en-GB"/>
        </w:rPr>
        <w:t>RATE</w:t>
      </w:r>
      <w:r w:rsidRPr="00BA06B6">
        <w:rPr>
          <w:rFonts w:asciiTheme="majorBidi" w:eastAsia="Times New Roman" w:hAnsiTheme="majorBidi" w:cstheme="majorBidi"/>
          <w:sz w:val="24"/>
          <w:szCs w:val="24"/>
          <w:lang w:eastAsia="en-GB"/>
        </w:rPr>
        <w:t xml:space="preserve"> relationship, implying further that our findings are robust to any potential endogeneities that may arise from spurious correlations. Moreover, the coefficient on Δ</w:t>
      </w:r>
      <w:r w:rsidRPr="00BA06B6">
        <w:rPr>
          <w:rFonts w:asciiTheme="majorBidi" w:eastAsia="Times New Roman" w:hAnsiTheme="majorBidi" w:cstheme="majorBidi"/>
          <w:i/>
          <w:iCs/>
          <w:sz w:val="24"/>
          <w:szCs w:val="24"/>
          <w:lang w:eastAsia="en-GB"/>
        </w:rPr>
        <w:t>RDI</w:t>
      </w:r>
      <w:r w:rsidRPr="00BA06B6">
        <w:rPr>
          <w:rFonts w:asciiTheme="majorBidi" w:eastAsia="Times New Roman" w:hAnsiTheme="majorBidi" w:cstheme="majorBidi"/>
          <w:sz w:val="24"/>
          <w:szCs w:val="24"/>
          <w:lang w:eastAsia="en-GB"/>
        </w:rPr>
        <w:t xml:space="preserve">) in Model 11 of Tables 7 and 8 is larger than that of the main Model. Overall, </w:t>
      </w:r>
      <w:r w:rsidRPr="00BA06B6">
        <w:rPr>
          <w:rFonts w:ascii="Times New Roman" w:eastAsia="Times New Roman" w:hAnsi="Times New Roman" w:cs="Times New Roman"/>
          <w:sz w:val="24"/>
          <w:szCs w:val="24"/>
          <w:lang w:eastAsia="en-GB"/>
        </w:rPr>
        <w:t xml:space="preserve">this result demonstrates that </w:t>
      </w:r>
      <w:r w:rsidRPr="00BA06B6">
        <w:rPr>
          <w:rFonts w:asciiTheme="majorBidi" w:eastAsia="Times New Roman" w:hAnsiTheme="majorBidi" w:cstheme="majorBidi"/>
          <w:sz w:val="24"/>
          <w:szCs w:val="24"/>
          <w:lang w:eastAsia="en-GB"/>
        </w:rPr>
        <w:t>Δ</w:t>
      </w:r>
      <w:r w:rsidRPr="00BA06B6">
        <w:rPr>
          <w:rFonts w:asciiTheme="majorBidi" w:eastAsia="Times New Roman" w:hAnsiTheme="majorBidi" w:cstheme="majorBidi"/>
          <w:i/>
          <w:iCs/>
          <w:sz w:val="24"/>
          <w:szCs w:val="24"/>
          <w:lang w:eastAsia="en-GB"/>
        </w:rPr>
        <w:t>RDI</w:t>
      </w:r>
      <w:r w:rsidRPr="00BA06B6">
        <w:rPr>
          <w:rFonts w:ascii="Times New Roman" w:eastAsia="Times New Roman" w:hAnsi="Times New Roman" w:cs="Times New Roman"/>
          <w:sz w:val="24"/>
          <w:szCs w:val="24"/>
          <w:lang w:eastAsia="en-GB"/>
        </w:rPr>
        <w:t xml:space="preserve"> plays an </w:t>
      </w:r>
      <w:r w:rsidRPr="00BA06B6">
        <w:rPr>
          <w:rFonts w:ascii="Times New Roman" w:eastAsia="Times New Roman" w:hAnsi="Times New Roman" w:cs="Times New Roman"/>
          <w:sz w:val="24"/>
          <w:szCs w:val="24"/>
          <w:lang w:eastAsia="en-GB"/>
        </w:rPr>
        <w:lastRenderedPageBreak/>
        <w:t>important role in determining debt market valuation, for which the findings of our additional analyses make us fairly confident that our conclusions are not driven by any spurious or endogenous correlations.</w:t>
      </w:r>
    </w:p>
    <w:p w14:paraId="7CEE2A71" w14:textId="77777777" w:rsidR="00AA068C" w:rsidRPr="00BA06B6" w:rsidRDefault="00AA068C" w:rsidP="00AA068C">
      <w:pPr>
        <w:spacing w:after="0" w:line="240" w:lineRule="auto"/>
        <w:ind w:firstLine="425"/>
        <w:jc w:val="both"/>
        <w:rPr>
          <w:rFonts w:asciiTheme="majorBidi" w:eastAsia="Times New Roman" w:hAnsiTheme="majorBidi" w:cstheme="majorBidi"/>
          <w:sz w:val="24"/>
          <w:szCs w:val="24"/>
          <w:lang w:eastAsia="en-GB"/>
        </w:rPr>
      </w:pPr>
    </w:p>
    <w:p w14:paraId="57DF1980" w14:textId="77777777" w:rsidR="00AA068C" w:rsidRPr="00BA06B6" w:rsidRDefault="00136CA0" w:rsidP="00136CA0">
      <w:pPr>
        <w:keepNext/>
        <w:keepLines/>
        <w:tabs>
          <w:tab w:val="left" w:pos="0"/>
        </w:tabs>
        <w:spacing w:after="0" w:line="360" w:lineRule="auto"/>
        <w:contextualSpacing/>
        <w:jc w:val="both"/>
        <w:outlineLvl w:val="0"/>
        <w:rPr>
          <w:rFonts w:asciiTheme="majorBidi" w:eastAsia="Times New Roman" w:hAnsiTheme="majorBidi" w:cstheme="majorBidi"/>
          <w:b/>
          <w:bCs/>
          <w:sz w:val="24"/>
          <w:szCs w:val="24"/>
        </w:rPr>
      </w:pPr>
      <w:bookmarkStart w:id="79" w:name="_Toc454037965"/>
      <w:bookmarkStart w:id="80" w:name="_Toc454038348"/>
      <w:bookmarkStart w:id="81" w:name="_Toc453539613"/>
      <w:bookmarkStart w:id="82" w:name="_Toc453539729"/>
      <w:bookmarkStart w:id="83" w:name="_Toc457534133"/>
      <w:bookmarkEnd w:id="79"/>
      <w:bookmarkEnd w:id="80"/>
      <w:proofErr w:type="gramStart"/>
      <w:r w:rsidRPr="00BA06B6">
        <w:rPr>
          <w:rFonts w:asciiTheme="majorBidi" w:eastAsia="Times New Roman" w:hAnsiTheme="majorBidi" w:cstheme="majorBidi"/>
          <w:b/>
          <w:bCs/>
          <w:sz w:val="24"/>
          <w:szCs w:val="24"/>
        </w:rPr>
        <w:t xml:space="preserve">6 </w:t>
      </w:r>
      <w:r w:rsidR="00236344" w:rsidRPr="00BA06B6">
        <w:rPr>
          <w:rFonts w:asciiTheme="majorBidi" w:eastAsia="Times New Roman" w:hAnsiTheme="majorBidi" w:cstheme="majorBidi"/>
          <w:b/>
          <w:bCs/>
          <w:sz w:val="24"/>
          <w:szCs w:val="24"/>
        </w:rPr>
        <w:t xml:space="preserve"> </w:t>
      </w:r>
      <w:r w:rsidR="00AA068C" w:rsidRPr="00BA06B6">
        <w:rPr>
          <w:rFonts w:asciiTheme="majorBidi" w:eastAsia="Times New Roman" w:hAnsiTheme="majorBidi" w:cstheme="majorBidi"/>
          <w:b/>
          <w:bCs/>
          <w:sz w:val="24"/>
          <w:szCs w:val="24"/>
        </w:rPr>
        <w:t>|</w:t>
      </w:r>
      <w:proofErr w:type="gramEnd"/>
      <w:r w:rsidR="00AA068C" w:rsidRPr="00BA06B6">
        <w:rPr>
          <w:rFonts w:asciiTheme="majorBidi" w:eastAsia="Times New Roman" w:hAnsiTheme="majorBidi" w:cstheme="majorBidi"/>
          <w:b/>
          <w:bCs/>
          <w:sz w:val="24"/>
          <w:szCs w:val="24"/>
        </w:rPr>
        <w:t xml:space="preserve">    CONCLUSION</w:t>
      </w:r>
      <w:bookmarkEnd w:id="81"/>
      <w:bookmarkEnd w:id="82"/>
      <w:bookmarkEnd w:id="83"/>
      <w:r w:rsidR="00AA068C" w:rsidRPr="00BA06B6">
        <w:rPr>
          <w:rFonts w:asciiTheme="majorBidi" w:eastAsia="Times New Roman" w:hAnsiTheme="majorBidi" w:cstheme="majorBidi"/>
          <w:b/>
          <w:bCs/>
          <w:sz w:val="24"/>
          <w:szCs w:val="24"/>
        </w:rPr>
        <w:t xml:space="preserve"> </w:t>
      </w:r>
    </w:p>
    <w:p w14:paraId="24E2256F" w14:textId="6AE150EC" w:rsidR="00AA068C" w:rsidRPr="00BA06B6" w:rsidRDefault="00AA068C" w:rsidP="00A1373D">
      <w:pPr>
        <w:spacing w:after="0" w:line="360" w:lineRule="auto"/>
        <w:jc w:val="both"/>
        <w:rPr>
          <w:rFonts w:asciiTheme="majorBidi" w:eastAsia="Times New Roman" w:hAnsiTheme="majorBidi" w:cstheme="majorBidi"/>
          <w:sz w:val="24"/>
          <w:szCs w:val="24"/>
          <w:lang w:eastAsia="en-GB"/>
        </w:rPr>
      </w:pPr>
      <w:bookmarkStart w:id="84" w:name="_Toc454038352"/>
      <w:r w:rsidRPr="00BA06B6">
        <w:rPr>
          <w:rFonts w:asciiTheme="majorBidi" w:eastAsia="Times New Roman" w:hAnsiTheme="majorBidi" w:cstheme="majorBidi"/>
          <w:sz w:val="24"/>
          <w:szCs w:val="24"/>
          <w:lang w:eastAsia="en-GB"/>
        </w:rPr>
        <w:t>Unlike current studies on the impact of risk disclosures, which tend to focus largely on equity markets often in a single financial market, this study examines the predictive effect (informativeness) of risk disclosures on bank credit ratings (BCRs) within MENA debt markets. In addition, it also seeks to ascertain whether governance structures have a moderating effect on the risk</w:t>
      </w:r>
      <w:r w:rsidR="00251D60" w:rsidRPr="00BA06B6">
        <w:rPr>
          <w:rFonts w:asciiTheme="majorBidi" w:eastAsia="Times New Roman" w:hAnsiTheme="majorBidi" w:cstheme="majorBidi"/>
          <w:sz w:val="24"/>
          <w:szCs w:val="24"/>
          <w:lang w:eastAsia="en-GB"/>
        </w:rPr>
        <w:t xml:space="preserve"> of</w:t>
      </w:r>
      <w:r w:rsidRPr="00BA06B6">
        <w:rPr>
          <w:rFonts w:asciiTheme="majorBidi" w:eastAsia="Times New Roman" w:hAnsiTheme="majorBidi" w:cstheme="majorBidi"/>
          <w:sz w:val="24"/>
          <w:szCs w:val="24"/>
          <w:lang w:eastAsia="en-GB"/>
        </w:rPr>
        <w:t xml:space="preserve"> disclosure-BCRs nexus. Using 95 banks from 12 MENA countries over the 2006-2013 period and informed by insights drawn from agency, legitimacy, resource dependence and signalling theories, our findings are as follows. </w:t>
      </w:r>
    </w:p>
    <w:p w14:paraId="12C2D650" w14:textId="60EA62FF" w:rsidR="00AA068C" w:rsidRPr="00BA06B6" w:rsidRDefault="00AA068C" w:rsidP="00A1373D">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First, our findings suggest that risk disclosures are informative in that there is a positive association between risk disclosure and BCRs. Second</w:t>
      </w:r>
      <w:r w:rsidRPr="00BA06B6">
        <w:rPr>
          <w:rFonts w:asciiTheme="majorBidi" w:eastAsia="Times New Roman" w:hAnsiTheme="majorBidi" w:cstheme="majorBidi"/>
          <w:noProof/>
          <w:sz w:val="24"/>
          <w:szCs w:val="24"/>
          <w:lang w:eastAsia="en-GB"/>
        </w:rPr>
        <w:t>, we find that the relationship between risk disclosures and BCRs is contingent on the quality of governance. More specifically, we find that the informativeness of risk disclosures on BCRs is higher in banks with larger board size, greater independence, higher government ownership</w:t>
      </w:r>
      <w:r w:rsidR="00251D60" w:rsidRPr="00BA06B6">
        <w:rPr>
          <w:rFonts w:asciiTheme="majorBidi" w:eastAsia="Times New Roman" w:hAnsiTheme="majorBidi" w:cstheme="majorBidi"/>
          <w:noProof/>
          <w:sz w:val="24"/>
          <w:szCs w:val="24"/>
          <w:lang w:eastAsia="en-GB"/>
        </w:rPr>
        <w:t>,</w:t>
      </w:r>
      <w:r w:rsidRPr="00BA06B6">
        <w:rPr>
          <w:rFonts w:asciiTheme="majorBidi" w:eastAsia="Times New Roman" w:hAnsiTheme="majorBidi" w:cstheme="majorBidi"/>
          <w:noProof/>
          <w:sz w:val="24"/>
          <w:szCs w:val="24"/>
          <w:lang w:eastAsia="en-GB"/>
        </w:rPr>
        <w:t xml:space="preserve"> and better </w:t>
      </w:r>
      <w:r w:rsidRPr="00BA06B6">
        <w:rPr>
          <w:rFonts w:asciiTheme="majorBidi" w:eastAsia="Times New Roman" w:hAnsiTheme="majorBidi" w:cstheme="majorBidi"/>
          <w:i/>
          <w:iCs/>
          <w:noProof/>
          <w:sz w:val="24"/>
          <w:szCs w:val="24"/>
          <w:lang w:eastAsia="en-GB"/>
        </w:rPr>
        <w:t>Shariah</w:t>
      </w:r>
      <w:r w:rsidRPr="00BA06B6">
        <w:rPr>
          <w:rFonts w:asciiTheme="majorBidi" w:eastAsia="Times New Roman" w:hAnsiTheme="majorBidi" w:cstheme="majorBidi"/>
          <w:noProof/>
          <w:sz w:val="24"/>
          <w:szCs w:val="24"/>
          <w:lang w:eastAsia="en-GB"/>
        </w:rPr>
        <w:t xml:space="preserve"> supervisory board, but lower in banks with greater block ownership, higher foreign ownership and the presence of CEO duality. </w:t>
      </w:r>
      <w:r w:rsidRPr="00BA06B6">
        <w:rPr>
          <w:rFonts w:asciiTheme="majorBidi" w:eastAsia="Times New Roman" w:hAnsiTheme="majorBidi" w:cstheme="majorBidi"/>
          <w:sz w:val="24"/>
          <w:szCs w:val="24"/>
          <w:lang w:eastAsia="en-GB"/>
        </w:rPr>
        <w:t>The results are robust to controlling for a wide range of bank- and country-level variables, alternative risk disclosure measures and estimation techniques, bank- and country-level governance variables, and different types of endogeneities. The interpretations and implications of our results are largely consistent with the expectations of our multi-theoretical framework that incorporates insights from agency, signal, legitimacy, and resource dependence theories.</w:t>
      </w:r>
      <w:bookmarkEnd w:id="84"/>
      <w:r w:rsidRPr="00BA06B6">
        <w:rPr>
          <w:rFonts w:asciiTheme="majorBidi" w:eastAsia="Times New Roman" w:hAnsiTheme="majorBidi" w:cstheme="majorBidi"/>
          <w:sz w:val="24"/>
          <w:szCs w:val="24"/>
          <w:lang w:eastAsia="en-GB"/>
        </w:rPr>
        <w:t xml:space="preserve"> </w:t>
      </w:r>
    </w:p>
    <w:p w14:paraId="57A47D5F" w14:textId="22F2F768" w:rsidR="00AA068C" w:rsidRPr="00BA06B6" w:rsidRDefault="00AA068C" w:rsidP="00251D60">
      <w:pPr>
        <w:spacing w:after="0" w:line="360" w:lineRule="auto"/>
        <w:ind w:firstLine="425"/>
        <w:jc w:val="both"/>
        <w:rPr>
          <w:rFonts w:asciiTheme="majorBidi" w:eastAsia="Times New Roman" w:hAnsiTheme="majorBidi" w:cstheme="majorBidi"/>
          <w:sz w:val="24"/>
          <w:szCs w:val="24"/>
          <w:lang w:eastAsia="en-GB"/>
        </w:rPr>
      </w:pPr>
      <w:bookmarkStart w:id="85" w:name="_Toc454038353"/>
      <w:r w:rsidRPr="00BA06B6">
        <w:rPr>
          <w:rFonts w:asciiTheme="majorBidi" w:eastAsia="Times New Roman" w:hAnsiTheme="majorBidi" w:cstheme="majorBidi"/>
          <w:sz w:val="24"/>
          <w:szCs w:val="24"/>
          <w:lang w:eastAsia="en-GB"/>
        </w:rPr>
        <w:t>In the process, we make a number of new contributions to the existing literature. Firstly, the study contributes to the literature by providing first-time evidence on the link between risk disclosures and banks’ credit ratings. Specifically, this study adds to the current debate on BCRs quality by offering evidence that suggests that rating agencies appear to indeed incorporate information contained in corporate risk disclosures into their risk assessments. Recently, the International Accounting Standards Board (IASB) issued IFRS 9 to complement the previous IFRS 7, and IAS 32 and 39 along with the Basel Accords (I, II</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and III) as a way of improving the extent to which risk is managed, measured and disclosed. Our evidence offers new empirical support for such policy, practice and regulatory reforms. Secondly, the study contributes to the literature by providing first-time evidence on the moderating effect of </w:t>
      </w:r>
      <w:r w:rsidRPr="00BA06B6">
        <w:rPr>
          <w:rFonts w:asciiTheme="majorBidi" w:eastAsia="Times New Roman" w:hAnsiTheme="majorBidi" w:cstheme="majorBidi"/>
          <w:sz w:val="24"/>
          <w:szCs w:val="24"/>
          <w:lang w:eastAsia="en-GB"/>
        </w:rPr>
        <w:lastRenderedPageBreak/>
        <w:t xml:space="preserve">governance structures (board and ownership structures) on the risk disclosure-credit rating nexus. Prior research suggests that firms with higher governance quality are more likely to </w:t>
      </w:r>
      <w:r w:rsidR="00251D60" w:rsidRPr="00BA06B6">
        <w:rPr>
          <w:rFonts w:asciiTheme="majorBidi" w:eastAsia="Times New Roman" w:hAnsiTheme="majorBidi" w:cstheme="majorBidi"/>
          <w:sz w:val="24"/>
          <w:szCs w:val="24"/>
          <w:lang w:eastAsia="en-GB"/>
        </w:rPr>
        <w:t xml:space="preserve">make </w:t>
      </w:r>
      <w:r w:rsidRPr="00BA06B6">
        <w:rPr>
          <w:rFonts w:asciiTheme="majorBidi" w:eastAsia="Times New Roman" w:hAnsiTheme="majorBidi" w:cstheme="majorBidi"/>
          <w:sz w:val="24"/>
          <w:szCs w:val="24"/>
          <w:lang w:eastAsia="en-GB"/>
        </w:rPr>
        <w:t>decisions that maximise shareholders wealth, including committing to increased risk disclosures that can enhance credit ratings and thereby reduce the cost of capital (e.g., Ashbaugh-</w:t>
      </w:r>
      <w:proofErr w:type="spellStart"/>
      <w:r w:rsidRPr="00BA06B6">
        <w:rPr>
          <w:rFonts w:asciiTheme="majorBidi" w:eastAsia="Times New Roman" w:hAnsiTheme="majorBidi" w:cstheme="majorBidi"/>
          <w:sz w:val="24"/>
          <w:szCs w:val="24"/>
          <w:lang w:eastAsia="en-GB"/>
        </w:rPr>
        <w:t>Skaife</w:t>
      </w:r>
      <w:proofErr w:type="spellEnd"/>
      <w:r w:rsidRPr="00BA06B6">
        <w:rPr>
          <w:rFonts w:asciiTheme="majorBidi" w:eastAsia="Times New Roman" w:hAnsiTheme="majorBidi" w:cstheme="majorBidi"/>
          <w:sz w:val="24"/>
          <w:szCs w:val="24"/>
          <w:lang w:eastAsia="en-GB"/>
        </w:rPr>
        <w:t xml:space="preserve"> et al. 2006, </w:t>
      </w:r>
      <w:proofErr w:type="spellStart"/>
      <w:r w:rsidRPr="00BA06B6">
        <w:rPr>
          <w:rFonts w:asciiTheme="majorBidi" w:eastAsia="Times New Roman" w:hAnsiTheme="majorBidi" w:cstheme="majorBidi"/>
          <w:sz w:val="24"/>
          <w:szCs w:val="24"/>
          <w:lang w:eastAsia="en-GB"/>
        </w:rPr>
        <w:t>Kuang</w:t>
      </w:r>
      <w:proofErr w:type="spellEnd"/>
      <w:r w:rsidRPr="00BA06B6">
        <w:rPr>
          <w:rFonts w:asciiTheme="majorBidi" w:eastAsia="Times New Roman" w:hAnsiTheme="majorBidi" w:cstheme="majorBidi"/>
          <w:sz w:val="24"/>
          <w:szCs w:val="24"/>
          <w:lang w:eastAsia="en-GB"/>
        </w:rPr>
        <w:t xml:space="preserve"> and Qin 2013). This study extends this research by examining and providing evidence on the extent to which governance structures can moderate the risk disclosure–BCRs nexus. Thirdly, this study extends current understanding of the influence of risk disclosures in developing countries with specific focus on MENA countries by demonstrating why and how governance practices drive a number of bank-level outcomes, especially risk disclosure and BCRs</w:t>
      </w:r>
      <w:r w:rsidRPr="00BA06B6">
        <w:t>.</w:t>
      </w:r>
      <w:r w:rsidRPr="00BA06B6">
        <w:rPr>
          <w:rFonts w:asciiTheme="majorBidi" w:eastAsia="Times New Roman" w:hAnsiTheme="majorBidi" w:cstheme="majorBidi"/>
          <w:sz w:val="24"/>
          <w:szCs w:val="24"/>
          <w:lang w:eastAsia="en-GB"/>
        </w:rPr>
        <w:t xml:space="preserve"> </w:t>
      </w:r>
    </w:p>
    <w:p w14:paraId="5C6A9C32" w14:textId="5E0A071A" w:rsidR="00AA068C" w:rsidRPr="00BA06B6" w:rsidRDefault="00AA068C" w:rsidP="00251D60">
      <w:pPr>
        <w:spacing w:after="0" w:line="360" w:lineRule="auto"/>
        <w:ind w:firstLine="425"/>
        <w:jc w:val="both"/>
        <w:rPr>
          <w:rFonts w:asciiTheme="majorBidi" w:eastAsia="Times New Roman" w:hAnsiTheme="majorBidi" w:cstheme="majorBidi"/>
          <w:sz w:val="24"/>
          <w:szCs w:val="24"/>
          <w:lang w:eastAsia="en-GB"/>
        </w:rPr>
      </w:pPr>
      <w:r w:rsidRPr="00BA06B6">
        <w:rPr>
          <w:rFonts w:asciiTheme="majorBidi" w:eastAsia="Times New Roman" w:hAnsiTheme="majorBidi" w:cstheme="majorBidi"/>
          <w:sz w:val="24"/>
          <w:szCs w:val="24"/>
          <w:lang w:eastAsia="en-GB"/>
        </w:rPr>
        <w:t>Observably, the current study has an important policy, practitioner, standards-setting</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and regulatory implications in emerging markets, especially for banks, as well as countries in other emerging markets that are expecting or currently pursuing accounting, governance</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and risk disclosure reforms. Evidence of increasing informativeness of risk disclosures suggests that efforts by banks, regulatory bodies, standard-setters and </w:t>
      </w:r>
      <w:r w:rsidRPr="00BA06B6">
        <w:rPr>
          <w:rFonts w:asciiTheme="majorBidi" w:eastAsia="Times New Roman" w:hAnsiTheme="majorBidi" w:cstheme="majorBidi"/>
          <w:bCs/>
          <w:sz w:val="24"/>
          <w:szCs w:val="24"/>
          <w:lang w:eastAsia="en-GB"/>
        </w:rPr>
        <w:t>regulators to improve risk disclosure have had some positive impact on BCRs</w:t>
      </w:r>
      <w:r w:rsidRPr="00BA06B6">
        <w:rPr>
          <w:rFonts w:asciiTheme="majorBidi" w:eastAsia="Times New Roman" w:hAnsiTheme="majorBidi" w:cstheme="majorBidi"/>
          <w:sz w:val="24"/>
          <w:szCs w:val="24"/>
          <w:lang w:eastAsia="en-GB"/>
        </w:rPr>
        <w:t xml:space="preserve">. </w:t>
      </w:r>
      <w:bookmarkStart w:id="86" w:name="_Toc454038354"/>
      <w:bookmarkEnd w:id="85"/>
      <w:r w:rsidRPr="00BA06B6">
        <w:rPr>
          <w:rFonts w:asciiTheme="majorBidi" w:eastAsia="Times New Roman" w:hAnsiTheme="majorBidi" w:cstheme="majorBidi"/>
          <w:sz w:val="24"/>
          <w:szCs w:val="24"/>
          <w:lang w:eastAsia="en-GB"/>
        </w:rPr>
        <w:t>However, given the wide variations in the levels of transparency regarding bank risk exposures that have been observed, greater monitoring and enforcement from central bankers, standard-setters, bondholders, regulatory authorities and central governments will be required to improve risk disclosure practices further.</w:t>
      </w:r>
    </w:p>
    <w:p w14:paraId="00F71F95" w14:textId="14144546" w:rsidR="00AA068C" w:rsidRPr="00BA06B6" w:rsidRDefault="00AA068C" w:rsidP="00AA068C">
      <w:pPr>
        <w:spacing w:after="0" w:line="360" w:lineRule="auto"/>
        <w:ind w:firstLine="425"/>
        <w:jc w:val="both"/>
        <w:rPr>
          <w:rFonts w:asciiTheme="majorBidi" w:eastAsia="Times New Roman" w:hAnsiTheme="majorBidi" w:cstheme="majorBidi"/>
          <w:lang w:eastAsia="en-GB"/>
        </w:rPr>
      </w:pPr>
      <w:r w:rsidRPr="00BA06B6">
        <w:rPr>
          <w:rFonts w:asciiTheme="majorBidi" w:eastAsia="Times New Roman" w:hAnsiTheme="majorBidi" w:cstheme="majorBidi"/>
          <w:sz w:val="24"/>
          <w:szCs w:val="24"/>
          <w:lang w:eastAsia="en-GB"/>
        </w:rPr>
        <w:t>Finally</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and although our evidence is robust, its limitations need to be explicitly acknowledged. First like all archival studies, the risk disclosure, credit rating</w:t>
      </w:r>
      <w:r w:rsidR="00251D60" w:rsidRPr="00BA06B6">
        <w:rPr>
          <w:rFonts w:asciiTheme="majorBidi" w:eastAsia="Times New Roman" w:hAnsiTheme="majorBidi" w:cstheme="majorBidi"/>
          <w:sz w:val="24"/>
          <w:szCs w:val="24"/>
          <w:lang w:eastAsia="en-GB"/>
        </w:rPr>
        <w:t>,</w:t>
      </w:r>
      <w:r w:rsidRPr="00BA06B6">
        <w:rPr>
          <w:rFonts w:asciiTheme="majorBidi" w:eastAsia="Times New Roman" w:hAnsiTheme="majorBidi" w:cstheme="majorBidi"/>
          <w:sz w:val="24"/>
          <w:szCs w:val="24"/>
          <w:lang w:eastAsia="en-GB"/>
        </w:rPr>
        <w:t xml:space="preserve"> and governance variables and measures employed may or may not reflect actual practice. Future studies may be able to offer new insights by conducting interviews and using in-depth case studies. Second, the governance variables used could be expanded to include others, such as board meetings and institutional shareholders. Third, future studies may be able to improve on our findings by employing alternative BCRs provided by other rating agencies, such as Moody’s and S&amp;P.</w:t>
      </w:r>
      <w:bookmarkEnd w:id="86"/>
      <w:r w:rsidRPr="00BA06B6">
        <w:rPr>
          <w:rFonts w:asciiTheme="majorBidi" w:eastAsia="Times New Roman" w:hAnsiTheme="majorBidi" w:cstheme="majorBidi"/>
          <w:lang w:eastAsia="en-GB"/>
        </w:rPr>
        <w:br w:type="page"/>
      </w:r>
    </w:p>
    <w:p w14:paraId="23833C72" w14:textId="77777777" w:rsidR="00AA068C" w:rsidRPr="00BA06B6" w:rsidRDefault="00AA068C" w:rsidP="00AA068C">
      <w:pPr>
        <w:keepNext/>
        <w:keepLines/>
        <w:tabs>
          <w:tab w:val="left" w:pos="0"/>
        </w:tabs>
        <w:spacing w:after="0" w:line="360" w:lineRule="auto"/>
        <w:contextualSpacing/>
        <w:jc w:val="both"/>
        <w:outlineLvl w:val="0"/>
        <w:rPr>
          <w:rFonts w:ascii="Times New Roman" w:eastAsia="Calibri" w:hAnsi="Times New Roman" w:cs="Times New Roman"/>
          <w:b/>
          <w:sz w:val="24"/>
          <w:szCs w:val="24"/>
        </w:rPr>
      </w:pPr>
      <w:r w:rsidRPr="00BA06B6">
        <w:rPr>
          <w:rFonts w:ascii="Times New Roman" w:eastAsia="Calibri" w:hAnsi="Times New Roman" w:cs="Times New Roman"/>
          <w:b/>
          <w:sz w:val="24"/>
          <w:szCs w:val="24"/>
        </w:rPr>
        <w:lastRenderedPageBreak/>
        <w:t xml:space="preserve">APPENDIX </w:t>
      </w:r>
    </w:p>
    <w:tbl>
      <w:tblPr>
        <w:tblStyle w:val="TableGrid1"/>
        <w:tblW w:w="0" w:type="auto"/>
        <w:jc w:val="center"/>
        <w:tblLook w:val="01E0" w:firstRow="1" w:lastRow="1" w:firstColumn="1" w:lastColumn="1" w:noHBand="0" w:noVBand="0"/>
      </w:tblPr>
      <w:tblGrid>
        <w:gridCol w:w="1401"/>
        <w:gridCol w:w="7615"/>
      </w:tblGrid>
      <w:tr w:rsidR="00BA06B6" w:rsidRPr="00BA06B6" w14:paraId="6E29CE7D" w14:textId="77777777" w:rsidTr="00BC341D">
        <w:trPr>
          <w:trHeight w:val="405"/>
          <w:tblHeader/>
          <w:jc w:val="center"/>
        </w:trPr>
        <w:tc>
          <w:tcPr>
            <w:tcW w:w="1412" w:type="dxa"/>
            <w:vAlign w:val="center"/>
          </w:tcPr>
          <w:p w14:paraId="7CB2A66C" w14:textId="77777777" w:rsidR="00AA068C" w:rsidRPr="00BA06B6" w:rsidRDefault="00AA068C" w:rsidP="00AA068C">
            <w:pPr>
              <w:jc w:val="both"/>
              <w:rPr>
                <w:rFonts w:ascii="Times New Roman" w:eastAsia="Calibri" w:hAnsi="Times New Roman" w:cs="Times New Roman"/>
                <w:b/>
                <w:sz w:val="18"/>
                <w:szCs w:val="18"/>
              </w:rPr>
            </w:pPr>
            <w:r w:rsidRPr="00BA06B6">
              <w:rPr>
                <w:rFonts w:ascii="Times New Roman" w:eastAsia="Calibri" w:hAnsi="Times New Roman" w:cs="Times New Roman"/>
                <w:b/>
                <w:sz w:val="18"/>
                <w:szCs w:val="18"/>
              </w:rPr>
              <w:t>Risk type</w:t>
            </w:r>
          </w:p>
        </w:tc>
        <w:tc>
          <w:tcPr>
            <w:tcW w:w="7830" w:type="dxa"/>
            <w:vAlign w:val="center"/>
          </w:tcPr>
          <w:p w14:paraId="6CA76DBD" w14:textId="77777777" w:rsidR="00AA068C" w:rsidRPr="00BA06B6" w:rsidRDefault="00AA068C" w:rsidP="00AA068C">
            <w:pPr>
              <w:jc w:val="both"/>
              <w:rPr>
                <w:rFonts w:ascii="Times New Roman" w:eastAsia="Calibri" w:hAnsi="Times New Roman" w:cs="Times New Roman"/>
                <w:b/>
                <w:sz w:val="18"/>
                <w:szCs w:val="18"/>
              </w:rPr>
            </w:pPr>
            <w:r w:rsidRPr="00BA06B6">
              <w:rPr>
                <w:rFonts w:ascii="Times New Roman" w:eastAsia="Calibri" w:hAnsi="Times New Roman" w:cs="Times New Roman"/>
                <w:b/>
                <w:sz w:val="18"/>
                <w:szCs w:val="18"/>
              </w:rPr>
              <w:t>Risk disclosure index (RDI)</w:t>
            </w:r>
          </w:p>
        </w:tc>
      </w:tr>
      <w:tr w:rsidR="00BA06B6" w:rsidRPr="00BA06B6" w14:paraId="61D8F931" w14:textId="77777777" w:rsidTr="00BC341D">
        <w:trPr>
          <w:trHeight w:val="144"/>
          <w:jc w:val="center"/>
        </w:trPr>
        <w:tc>
          <w:tcPr>
            <w:tcW w:w="1412" w:type="dxa"/>
          </w:tcPr>
          <w:p w14:paraId="54E381BA" w14:textId="77777777" w:rsidR="00AA068C" w:rsidRPr="00BA06B6" w:rsidRDefault="00AA068C" w:rsidP="00AA068C">
            <w:pPr>
              <w:jc w:val="both"/>
              <w:rPr>
                <w:rFonts w:ascii="Times New Roman" w:eastAsia="Calibri" w:hAnsi="Times New Roman" w:cs="Times New Roman"/>
                <w:b/>
                <w:sz w:val="18"/>
                <w:szCs w:val="18"/>
              </w:rPr>
            </w:pPr>
          </w:p>
        </w:tc>
        <w:tc>
          <w:tcPr>
            <w:tcW w:w="7830" w:type="dxa"/>
          </w:tcPr>
          <w:p w14:paraId="36F4A133" w14:textId="77777777" w:rsidR="00AA068C" w:rsidRPr="00BA06B6" w:rsidRDefault="00AA068C" w:rsidP="00AA068C">
            <w:pPr>
              <w:jc w:val="both"/>
              <w:rPr>
                <w:rFonts w:ascii="Times New Roman" w:eastAsia="Calibri" w:hAnsi="Times New Roman" w:cs="Times New Roman"/>
                <w:b/>
                <w:sz w:val="18"/>
                <w:szCs w:val="18"/>
              </w:rPr>
            </w:pPr>
            <w:r w:rsidRPr="00BA06B6">
              <w:rPr>
                <w:rFonts w:ascii="Times New Roman" w:eastAsia="Calibri" w:hAnsi="Times New Roman" w:cs="Times New Roman"/>
                <w:b/>
                <w:sz w:val="18"/>
                <w:szCs w:val="18"/>
              </w:rPr>
              <w:t>Financial risk disclosure</w:t>
            </w:r>
          </w:p>
        </w:tc>
      </w:tr>
      <w:tr w:rsidR="00BA06B6" w:rsidRPr="00BA06B6" w14:paraId="1349A039" w14:textId="77777777" w:rsidTr="00BC341D">
        <w:trPr>
          <w:trHeight w:val="144"/>
          <w:jc w:val="center"/>
        </w:trPr>
        <w:tc>
          <w:tcPr>
            <w:tcW w:w="1412" w:type="dxa"/>
          </w:tcPr>
          <w:p w14:paraId="5BDCBA92" w14:textId="77777777" w:rsidR="00AA068C" w:rsidRPr="00BA06B6" w:rsidRDefault="00AA068C" w:rsidP="00AA068C">
            <w:pPr>
              <w:jc w:val="both"/>
              <w:rPr>
                <w:rFonts w:ascii="Times New Roman" w:eastAsia="Calibri" w:hAnsi="Times New Roman" w:cs="Times New Roman"/>
                <w:b/>
                <w:sz w:val="18"/>
                <w:szCs w:val="18"/>
              </w:rPr>
            </w:pPr>
            <w:r w:rsidRPr="00BA06B6">
              <w:rPr>
                <w:rFonts w:ascii="Times New Roman" w:eastAsia="Calibri" w:hAnsi="Times New Roman" w:cs="Times New Roman"/>
                <w:b/>
                <w:sz w:val="18"/>
                <w:szCs w:val="18"/>
              </w:rPr>
              <w:t xml:space="preserve">(i) Credit </w:t>
            </w:r>
          </w:p>
        </w:tc>
        <w:tc>
          <w:tcPr>
            <w:tcW w:w="7830" w:type="dxa"/>
          </w:tcPr>
          <w:p w14:paraId="3DEE50DA" w14:textId="77777777"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Exposure to credit risk and how they arise.</w:t>
            </w:r>
          </w:p>
          <w:p w14:paraId="7AA07E8D" w14:textId="77777777"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Objectives, policies and processes for managing the credit risk.</w:t>
            </w:r>
          </w:p>
          <w:p w14:paraId="7A23F2BC" w14:textId="77777777"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Method of measuring credit risk exposure.</w:t>
            </w:r>
          </w:p>
          <w:p w14:paraId="50241EE4" w14:textId="77777777"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Adequately describes how credit risk management occurs including providing a clear linkage between the quantitative data and qualitative description.</w:t>
            </w:r>
          </w:p>
          <w:p w14:paraId="14C1EFC4" w14:textId="77777777"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Changes in exposure to credit risk, measurement of risk, and objectives, policies and processes to manage the credit risk from the previous period.</w:t>
            </w:r>
          </w:p>
          <w:p w14:paraId="6F17EAFF" w14:textId="77777777"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Amount of regulatory capital for credit risk. </w:t>
            </w:r>
          </w:p>
          <w:p w14:paraId="039F2CB4" w14:textId="77777777"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Information about credit quality of financial assets that are not past due or impaired.</w:t>
            </w:r>
          </w:p>
          <w:p w14:paraId="0C82B6CE" w14:textId="77777777"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Renegotiated financial assets.</w:t>
            </w:r>
          </w:p>
          <w:p w14:paraId="0DABC645" w14:textId="77777777"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Aging schedule for past due amounts.</w:t>
            </w:r>
          </w:p>
          <w:p w14:paraId="11E1F8D8" w14:textId="77777777"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Impairment methods and inputs disclosed.</w:t>
            </w:r>
          </w:p>
          <w:p w14:paraId="25143DA7" w14:textId="77777777"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Summary quantitative data about exposure to credit risk at the reporting date.</w:t>
            </w:r>
          </w:p>
          <w:p w14:paraId="148DF894" w14:textId="77777777"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Maximum credit exposure by currency.</w:t>
            </w:r>
          </w:p>
          <w:p w14:paraId="2585EF21" w14:textId="77777777"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Maximum credit exposure by geography.</w:t>
            </w:r>
          </w:p>
          <w:p w14:paraId="1E3382A8" w14:textId="77777777"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Maximum credit exposure by economic activity.</w:t>
            </w:r>
          </w:p>
          <w:p w14:paraId="39282D51" w14:textId="77777777"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Disaggregated maximum credit risk exposure including derivatives and off-balance sheet items.</w:t>
            </w:r>
          </w:p>
          <w:p w14:paraId="555F3E70" w14:textId="77777777"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Renegotiated loans for troubled borrowers.</w:t>
            </w:r>
          </w:p>
          <w:p w14:paraId="41EB2980" w14:textId="68B23FE1"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Risk of </w:t>
            </w:r>
            <w:r w:rsidR="00251D60" w:rsidRPr="00BA06B6">
              <w:rPr>
                <w:rFonts w:ascii="Times New Roman" w:eastAsia="Calibri" w:hAnsi="Times New Roman" w:cs="Times New Roman"/>
                <w:sz w:val="18"/>
                <w:szCs w:val="18"/>
              </w:rPr>
              <w:t xml:space="preserve">a </w:t>
            </w:r>
            <w:r w:rsidRPr="00BA06B6">
              <w:rPr>
                <w:rFonts w:ascii="Times New Roman" w:eastAsia="Calibri" w:hAnsi="Times New Roman" w:cs="Times New Roman"/>
                <w:sz w:val="18"/>
                <w:szCs w:val="18"/>
              </w:rPr>
              <w:t>counterparty.</w:t>
            </w:r>
          </w:p>
          <w:p w14:paraId="75A3F308" w14:textId="77777777"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Credit risk concentrations.</w:t>
            </w:r>
          </w:p>
          <w:p w14:paraId="2DAF6A73" w14:textId="77777777"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Derivatives.</w:t>
            </w:r>
          </w:p>
          <w:p w14:paraId="3D939106" w14:textId="77777777"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Off-balance sheet and joint venture structures.</w:t>
            </w:r>
          </w:p>
          <w:p w14:paraId="612F6573" w14:textId="77777777"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Credit risk transfer/mitigation/hedging techniques.  </w:t>
            </w:r>
          </w:p>
          <w:p w14:paraId="7253D78C" w14:textId="77777777"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Collateral.</w:t>
            </w:r>
          </w:p>
          <w:p w14:paraId="15810FD8" w14:textId="77777777" w:rsidR="00AA068C" w:rsidRPr="00BA06B6" w:rsidRDefault="00AA068C" w:rsidP="00AA068C">
            <w:pPr>
              <w:numPr>
                <w:ilvl w:val="0"/>
                <w:numId w:val="1"/>
              </w:numPr>
              <w:tabs>
                <w:tab w:val="center" w:pos="2358"/>
              </w:tabs>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Disclosures to help users understand credit risk.</w:t>
            </w:r>
          </w:p>
        </w:tc>
      </w:tr>
      <w:tr w:rsidR="00BA06B6" w:rsidRPr="00BA06B6" w14:paraId="5BCAC1AF" w14:textId="77777777" w:rsidTr="00BC341D">
        <w:trPr>
          <w:trHeight w:val="144"/>
          <w:jc w:val="center"/>
        </w:trPr>
        <w:tc>
          <w:tcPr>
            <w:tcW w:w="1412" w:type="dxa"/>
          </w:tcPr>
          <w:p w14:paraId="0A945A84" w14:textId="77777777" w:rsidR="00AA068C" w:rsidRPr="00BA06B6" w:rsidRDefault="00AA068C" w:rsidP="00AA068C">
            <w:pPr>
              <w:jc w:val="both"/>
              <w:rPr>
                <w:rFonts w:ascii="Times New Roman" w:eastAsia="Calibri" w:hAnsi="Times New Roman" w:cs="Times New Roman"/>
                <w:bCs/>
                <w:sz w:val="18"/>
                <w:szCs w:val="18"/>
              </w:rPr>
            </w:pPr>
            <w:r w:rsidRPr="00BA06B6">
              <w:rPr>
                <w:rFonts w:ascii="Times New Roman" w:eastAsia="Calibri" w:hAnsi="Times New Roman" w:cs="Times New Roman"/>
                <w:b/>
                <w:sz w:val="18"/>
                <w:szCs w:val="18"/>
              </w:rPr>
              <w:t>(ii) Liquidity</w:t>
            </w:r>
          </w:p>
        </w:tc>
        <w:tc>
          <w:tcPr>
            <w:tcW w:w="7830" w:type="dxa"/>
          </w:tcPr>
          <w:p w14:paraId="78612914"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Exposure to liquidity risk and how they arise.</w:t>
            </w:r>
          </w:p>
          <w:p w14:paraId="4271EE22"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Objectives, policies and processes for managing the liquidity risk.</w:t>
            </w:r>
          </w:p>
          <w:p w14:paraId="27C97096" w14:textId="41BF64BC" w:rsidR="00AA068C" w:rsidRPr="00BA06B6" w:rsidRDefault="00AA068C" w:rsidP="00251D60">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Methods used to measure liquidity risk.</w:t>
            </w:r>
          </w:p>
          <w:p w14:paraId="75F0E2FC"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Changes in exposure to liquidity risk, measurement of risk, and objectives, policies and processes to manage the liquidity risk from the previous period.</w:t>
            </w:r>
          </w:p>
          <w:p w14:paraId="3540DC1A"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Contractual undiscounted cash flows.</w:t>
            </w:r>
          </w:p>
          <w:p w14:paraId="1448A358"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Maturity analysis of non-derivative liabilities.</w:t>
            </w:r>
          </w:p>
          <w:p w14:paraId="41AF2EE6"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Maturity analysis of derivative liabilities.</w:t>
            </w:r>
          </w:p>
          <w:p w14:paraId="78A715C7"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Maturity analysis of off-balance sheet commitments and other financial instruments without contractually stipulated maturity.</w:t>
            </w:r>
          </w:p>
          <w:p w14:paraId="3CFB6689" w14:textId="371D68FC"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Maturity analysis of </w:t>
            </w:r>
            <w:r w:rsidR="00251D60" w:rsidRPr="00BA06B6">
              <w:rPr>
                <w:rFonts w:ascii="Times New Roman" w:eastAsia="Calibri" w:hAnsi="Times New Roman" w:cs="Times New Roman"/>
                <w:sz w:val="18"/>
                <w:szCs w:val="18"/>
              </w:rPr>
              <w:t xml:space="preserve">the </w:t>
            </w:r>
            <w:r w:rsidRPr="00BA06B6">
              <w:rPr>
                <w:rFonts w:ascii="Times New Roman" w:eastAsia="Calibri" w:hAnsi="Times New Roman" w:cs="Times New Roman"/>
                <w:sz w:val="18"/>
                <w:szCs w:val="18"/>
              </w:rPr>
              <w:t>financial asset</w:t>
            </w:r>
            <w:r w:rsidR="00251D60" w:rsidRPr="00BA06B6">
              <w:rPr>
                <w:rFonts w:ascii="Times New Roman" w:eastAsia="Calibri" w:hAnsi="Times New Roman" w:cs="Times New Roman"/>
                <w:sz w:val="18"/>
                <w:szCs w:val="18"/>
              </w:rPr>
              <w:t>s</w:t>
            </w:r>
            <w:r w:rsidRPr="00BA06B6">
              <w:rPr>
                <w:rFonts w:ascii="Times New Roman" w:eastAsia="Calibri" w:hAnsi="Times New Roman" w:cs="Times New Roman"/>
                <w:sz w:val="18"/>
                <w:szCs w:val="18"/>
              </w:rPr>
              <w:t>.</w:t>
            </w:r>
          </w:p>
          <w:p w14:paraId="13995756"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Expected maturity analysis.</w:t>
            </w:r>
          </w:p>
          <w:p w14:paraId="7CB82F3E"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Derivative and trading liabilities Treatment. </w:t>
            </w:r>
          </w:p>
          <w:p w14:paraId="40F955C9"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Liquidity risk transfer/mitigation/hedging techniques. </w:t>
            </w:r>
          </w:p>
          <w:p w14:paraId="385CC807"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Liquidity buffers sources and volume.</w:t>
            </w:r>
          </w:p>
          <w:p w14:paraId="5A727D5F"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Sensitivity analysis.</w:t>
            </w:r>
          </w:p>
          <w:p w14:paraId="754094A1"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Financing facilities.</w:t>
            </w:r>
          </w:p>
          <w:p w14:paraId="4992CCA3"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Counterparty concentration profile.</w:t>
            </w:r>
          </w:p>
          <w:p w14:paraId="1FC175A3"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Disclosures to help users understand liquidity risk.</w:t>
            </w:r>
          </w:p>
        </w:tc>
      </w:tr>
      <w:tr w:rsidR="00BA06B6" w:rsidRPr="00BA06B6" w14:paraId="7EC2B36E" w14:textId="77777777" w:rsidTr="00BC341D">
        <w:trPr>
          <w:trHeight w:val="144"/>
          <w:jc w:val="center"/>
        </w:trPr>
        <w:tc>
          <w:tcPr>
            <w:tcW w:w="1412" w:type="dxa"/>
          </w:tcPr>
          <w:p w14:paraId="0C753DC1" w14:textId="77777777" w:rsidR="00AA068C" w:rsidRPr="00BA06B6" w:rsidRDefault="00AA068C" w:rsidP="00AA068C">
            <w:pPr>
              <w:jc w:val="both"/>
              <w:rPr>
                <w:rFonts w:ascii="Times New Roman" w:eastAsia="Calibri" w:hAnsi="Times New Roman" w:cs="Times New Roman"/>
                <w:bCs/>
                <w:sz w:val="18"/>
                <w:szCs w:val="18"/>
              </w:rPr>
            </w:pPr>
            <w:r w:rsidRPr="00BA06B6">
              <w:rPr>
                <w:rFonts w:ascii="Times New Roman" w:eastAsia="Calibri" w:hAnsi="Times New Roman" w:cs="Times New Roman"/>
                <w:b/>
                <w:bCs/>
                <w:sz w:val="18"/>
                <w:szCs w:val="18"/>
              </w:rPr>
              <w:t>(iii</w:t>
            </w:r>
            <w:r w:rsidRPr="00BA06B6">
              <w:rPr>
                <w:rFonts w:ascii="Times New Roman" w:eastAsia="Calibri" w:hAnsi="Times New Roman" w:cs="Times New Roman"/>
                <w:b/>
                <w:sz w:val="18"/>
                <w:szCs w:val="18"/>
              </w:rPr>
              <w:t>) Market</w:t>
            </w:r>
          </w:p>
        </w:tc>
        <w:tc>
          <w:tcPr>
            <w:tcW w:w="7830" w:type="dxa"/>
          </w:tcPr>
          <w:p w14:paraId="08CECD2A"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Objectives, policies, processes, and Strategies of market risk management. </w:t>
            </w:r>
          </w:p>
          <w:p w14:paraId="00A172A5"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Structure and organization of the market risk management function.</w:t>
            </w:r>
          </w:p>
          <w:p w14:paraId="4CB7C1C3"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Instruments traded types.</w:t>
            </w:r>
          </w:p>
          <w:p w14:paraId="40913AEB"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Interest rate risk.</w:t>
            </w:r>
          </w:p>
          <w:p w14:paraId="1E8E2FF3"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Equity risk.</w:t>
            </w:r>
          </w:p>
          <w:p w14:paraId="4FD24A4E"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Currency risk.</w:t>
            </w:r>
          </w:p>
          <w:p w14:paraId="517961AF"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Commodities risk</w:t>
            </w:r>
          </w:p>
          <w:p w14:paraId="38A55E20"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Market risk transfer/mitigation/hedging techniques.  </w:t>
            </w:r>
          </w:p>
          <w:p w14:paraId="3B18CC83"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Linkage with credit risk.</w:t>
            </w:r>
          </w:p>
          <w:p w14:paraId="416AA418"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Amount of regulatory capital for market risk. </w:t>
            </w:r>
          </w:p>
          <w:p w14:paraId="3325F2C7"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VAR (value-at-risk).</w:t>
            </w:r>
          </w:p>
          <w:p w14:paraId="51DF8FC3"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VAR limitations.</w:t>
            </w:r>
          </w:p>
          <w:p w14:paraId="089B1305"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Stress testing.</w:t>
            </w:r>
          </w:p>
          <w:p w14:paraId="40355EDD"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Stress VAR.</w:t>
            </w:r>
          </w:p>
          <w:p w14:paraId="5A851907"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Back-testing.</w:t>
            </w:r>
          </w:p>
          <w:p w14:paraId="3F1E0C17"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Disclosures to help users understand market risk.</w:t>
            </w:r>
          </w:p>
        </w:tc>
      </w:tr>
      <w:tr w:rsidR="00BA06B6" w:rsidRPr="00BA06B6" w14:paraId="67FEB9F9" w14:textId="77777777" w:rsidTr="00BC341D">
        <w:trPr>
          <w:trHeight w:val="984"/>
          <w:jc w:val="center"/>
        </w:trPr>
        <w:tc>
          <w:tcPr>
            <w:tcW w:w="1412" w:type="dxa"/>
          </w:tcPr>
          <w:p w14:paraId="0E6A8471" w14:textId="77777777" w:rsidR="00AA068C" w:rsidRPr="00BA06B6" w:rsidRDefault="00AA068C" w:rsidP="00AA068C">
            <w:pPr>
              <w:jc w:val="both"/>
              <w:rPr>
                <w:rFonts w:ascii="Times New Roman" w:eastAsia="Calibri" w:hAnsi="Times New Roman" w:cs="Times New Roman"/>
                <w:bCs/>
                <w:sz w:val="18"/>
                <w:szCs w:val="18"/>
              </w:rPr>
            </w:pPr>
            <w:r w:rsidRPr="00BA06B6">
              <w:rPr>
                <w:rFonts w:ascii="Times New Roman" w:eastAsia="Calibri" w:hAnsi="Times New Roman" w:cs="Times New Roman"/>
                <w:b/>
                <w:sz w:val="18"/>
                <w:szCs w:val="18"/>
              </w:rPr>
              <w:lastRenderedPageBreak/>
              <w:t>(iv) capital</w:t>
            </w:r>
          </w:p>
        </w:tc>
        <w:tc>
          <w:tcPr>
            <w:tcW w:w="7830" w:type="dxa"/>
          </w:tcPr>
          <w:p w14:paraId="276791BC"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Capital management.</w:t>
            </w:r>
          </w:p>
          <w:p w14:paraId="4B4E92FE"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Capital measurement.</w:t>
            </w:r>
          </w:p>
          <w:p w14:paraId="2069EEDF" w14:textId="6688568A" w:rsidR="00AA068C" w:rsidRPr="00BA06B6" w:rsidRDefault="00AA068C" w:rsidP="00251D60">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r w:rsidR="00251D60" w:rsidRPr="00BA06B6">
              <w:rPr>
                <w:rFonts w:ascii="Times New Roman" w:eastAsia="Calibri" w:hAnsi="Times New Roman" w:cs="Times New Roman"/>
                <w:sz w:val="18"/>
                <w:szCs w:val="18"/>
              </w:rPr>
              <w:t>Risk-</w:t>
            </w:r>
            <w:r w:rsidRPr="00BA06B6">
              <w:rPr>
                <w:rFonts w:ascii="Times New Roman" w:eastAsia="Calibri" w:hAnsi="Times New Roman" w:cs="Times New Roman"/>
                <w:sz w:val="18"/>
                <w:szCs w:val="18"/>
              </w:rPr>
              <w:t>weighted assets.</w:t>
            </w:r>
          </w:p>
          <w:p w14:paraId="1AFD9743"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Tier 1.</w:t>
            </w:r>
          </w:p>
          <w:p w14:paraId="0DA0AC4D"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Tier 2.</w:t>
            </w:r>
          </w:p>
        </w:tc>
      </w:tr>
      <w:tr w:rsidR="00BA06B6" w:rsidRPr="00BA06B6" w14:paraId="33E7E444" w14:textId="77777777" w:rsidTr="00BC341D">
        <w:trPr>
          <w:trHeight w:val="196"/>
          <w:jc w:val="center"/>
        </w:trPr>
        <w:tc>
          <w:tcPr>
            <w:tcW w:w="1412" w:type="dxa"/>
          </w:tcPr>
          <w:p w14:paraId="3231618C" w14:textId="77777777" w:rsidR="00AA068C" w:rsidRPr="00BA06B6" w:rsidRDefault="00AA068C" w:rsidP="00AA068C">
            <w:pPr>
              <w:jc w:val="both"/>
              <w:rPr>
                <w:rFonts w:ascii="Times New Roman" w:eastAsia="Calibri" w:hAnsi="Times New Roman" w:cs="Times New Roman"/>
                <w:b/>
                <w:bCs/>
                <w:sz w:val="18"/>
                <w:szCs w:val="18"/>
              </w:rPr>
            </w:pPr>
          </w:p>
        </w:tc>
        <w:tc>
          <w:tcPr>
            <w:tcW w:w="7830" w:type="dxa"/>
          </w:tcPr>
          <w:p w14:paraId="2B77F467" w14:textId="77777777" w:rsidR="00AA068C" w:rsidRPr="00BA06B6" w:rsidRDefault="00AA068C" w:rsidP="00AA068C">
            <w:pPr>
              <w:jc w:val="both"/>
              <w:rPr>
                <w:rFonts w:ascii="Times New Roman" w:eastAsia="Calibri" w:hAnsi="Times New Roman" w:cs="Times New Roman"/>
                <w:b/>
                <w:sz w:val="18"/>
                <w:szCs w:val="18"/>
              </w:rPr>
            </w:pPr>
            <w:r w:rsidRPr="00BA06B6">
              <w:rPr>
                <w:rFonts w:ascii="Times New Roman" w:eastAsia="Calibri" w:hAnsi="Times New Roman" w:cs="Times New Roman"/>
                <w:b/>
                <w:sz w:val="18"/>
                <w:szCs w:val="18"/>
              </w:rPr>
              <w:t>Non-financial risk disclosure</w:t>
            </w:r>
          </w:p>
        </w:tc>
      </w:tr>
      <w:tr w:rsidR="00BA06B6" w:rsidRPr="00BA06B6" w14:paraId="7FB195BE" w14:textId="77777777" w:rsidTr="00BC341D">
        <w:trPr>
          <w:trHeight w:val="4324"/>
          <w:jc w:val="center"/>
        </w:trPr>
        <w:tc>
          <w:tcPr>
            <w:tcW w:w="1412" w:type="dxa"/>
          </w:tcPr>
          <w:p w14:paraId="622CDE2A" w14:textId="77777777" w:rsidR="00AA068C" w:rsidRPr="00BA06B6" w:rsidRDefault="00AA068C" w:rsidP="00AA068C">
            <w:pPr>
              <w:jc w:val="both"/>
              <w:rPr>
                <w:rFonts w:ascii="Times New Roman" w:eastAsia="Calibri" w:hAnsi="Times New Roman" w:cs="Times New Roman"/>
                <w:b/>
                <w:bCs/>
                <w:sz w:val="18"/>
                <w:szCs w:val="18"/>
              </w:rPr>
            </w:pPr>
            <w:r w:rsidRPr="00BA06B6">
              <w:rPr>
                <w:rFonts w:ascii="Times New Roman" w:eastAsia="Calibri" w:hAnsi="Times New Roman" w:cs="Times New Roman"/>
                <w:b/>
                <w:sz w:val="18"/>
                <w:szCs w:val="18"/>
              </w:rPr>
              <w:t>(v) Operational</w:t>
            </w:r>
          </w:p>
        </w:tc>
        <w:tc>
          <w:tcPr>
            <w:tcW w:w="7830" w:type="dxa"/>
          </w:tcPr>
          <w:p w14:paraId="6E53ECD0"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Amount of regulatory capital for operational risk. </w:t>
            </w:r>
          </w:p>
          <w:p w14:paraId="24B0D58F"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Regulatory capital for operational risk Measurement approach. </w:t>
            </w:r>
          </w:p>
          <w:p w14:paraId="2EFD9B4D"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Operational risk management Strategies and processes.</w:t>
            </w:r>
          </w:p>
          <w:p w14:paraId="523BB655"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The operational risk management function structure and organisation.</w:t>
            </w:r>
          </w:p>
          <w:p w14:paraId="57CEC128"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Scope and nature of the operational risk reporting system</w:t>
            </w:r>
          </w:p>
          <w:p w14:paraId="31D4F30C"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Operational risk transfer/mitigation/hedging techniques. </w:t>
            </w:r>
          </w:p>
          <w:p w14:paraId="517CF331"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Operational value-at-risk.</w:t>
            </w:r>
          </w:p>
          <w:p w14:paraId="418A84DA"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Internal audit function/internal control system.</w:t>
            </w:r>
          </w:p>
          <w:p w14:paraId="7A17882B"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Key risk indicators/early warning systems.</w:t>
            </w:r>
          </w:p>
          <w:p w14:paraId="73CFC5D1"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Self-assessment techniques.</w:t>
            </w:r>
          </w:p>
          <w:p w14:paraId="04E4C7DC"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Stress tests/ Scorecard models/scenario analyses.</w:t>
            </w:r>
          </w:p>
          <w:p w14:paraId="57D3E9CF"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Operational risk event databases. </w:t>
            </w:r>
          </w:p>
          <w:p w14:paraId="77BD8E73"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Legal risks. </w:t>
            </w:r>
          </w:p>
          <w:p w14:paraId="3E0ED354"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Additional information on risk exposure and management. </w:t>
            </w:r>
          </w:p>
          <w:p w14:paraId="59CE199A"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Technology/information technology.</w:t>
            </w:r>
          </w:p>
          <w:p w14:paraId="52B90BDA"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Compliance.</w:t>
            </w:r>
          </w:p>
          <w:p w14:paraId="20087B0C"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Marketing/customer satisfaction/boycott.</w:t>
            </w:r>
          </w:p>
          <w:p w14:paraId="00652E77"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Competition/proprietary/copyright.</w:t>
            </w:r>
          </w:p>
          <w:p w14:paraId="44B43A10"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Personnel.</w:t>
            </w:r>
          </w:p>
          <w:p w14:paraId="51243F72"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Integrity/management and employee fraud. </w:t>
            </w:r>
          </w:p>
          <w:p w14:paraId="76A2D326"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Business ethics/corruption. </w:t>
            </w:r>
          </w:p>
          <w:p w14:paraId="5F8B57BB"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Disclosures to help users understand operational risk.</w:t>
            </w:r>
          </w:p>
        </w:tc>
      </w:tr>
      <w:tr w:rsidR="00BA06B6" w:rsidRPr="00BA06B6" w14:paraId="5B06DD66" w14:textId="77777777" w:rsidTr="00BC341D">
        <w:trPr>
          <w:trHeight w:val="2401"/>
          <w:jc w:val="center"/>
        </w:trPr>
        <w:tc>
          <w:tcPr>
            <w:tcW w:w="1412" w:type="dxa"/>
          </w:tcPr>
          <w:p w14:paraId="5ACAA10B" w14:textId="77777777" w:rsidR="00AA068C" w:rsidRPr="00BA06B6" w:rsidRDefault="00AA068C" w:rsidP="00AA068C">
            <w:pPr>
              <w:jc w:val="both"/>
              <w:rPr>
                <w:rFonts w:ascii="Times New Roman" w:eastAsia="Calibri" w:hAnsi="Times New Roman" w:cs="Times New Roman"/>
                <w:bCs/>
                <w:sz w:val="18"/>
                <w:szCs w:val="18"/>
              </w:rPr>
            </w:pPr>
            <w:r w:rsidRPr="00BA06B6">
              <w:rPr>
                <w:rFonts w:ascii="Times New Roman" w:eastAsia="Calibri" w:hAnsi="Times New Roman" w:cs="Times New Roman"/>
                <w:b/>
                <w:sz w:val="18"/>
                <w:szCs w:val="18"/>
              </w:rPr>
              <w:t>(vi) Strategic</w:t>
            </w:r>
          </w:p>
        </w:tc>
        <w:tc>
          <w:tcPr>
            <w:tcW w:w="7830" w:type="dxa"/>
          </w:tcPr>
          <w:p w14:paraId="2A910920"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Sovereign/politics.</w:t>
            </w:r>
          </w:p>
          <w:p w14:paraId="1917DA35"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Performance measurement.</w:t>
            </w:r>
          </w:p>
          <w:p w14:paraId="431AE4F7"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Regulation.</w:t>
            </w:r>
          </w:p>
          <w:p w14:paraId="79CEBD08"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Taxation.</w:t>
            </w:r>
          </w:p>
          <w:p w14:paraId="0B36CBED"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Macroeconomic trends.</w:t>
            </w:r>
          </w:p>
          <w:p w14:paraId="503A0BDA"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Natural disasters/terrorism.</w:t>
            </w:r>
          </w:p>
          <w:p w14:paraId="5DE59258"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GDP growth/market demand/aggregate demand.</w:t>
            </w:r>
          </w:p>
          <w:p w14:paraId="4B2C263D"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Intellectual property rights.</w:t>
            </w:r>
          </w:p>
          <w:p w14:paraId="77C3DE0E"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New alliances, joint ventures and acquisitions.</w:t>
            </w:r>
          </w:p>
          <w:p w14:paraId="302AAE81"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Management of growth.</w:t>
            </w:r>
          </w:p>
          <w:p w14:paraId="70756899"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Reputation/goodwill/image/brand name. </w:t>
            </w:r>
          </w:p>
          <w:p w14:paraId="633A9856"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Strategy.</w:t>
            </w:r>
          </w:p>
          <w:p w14:paraId="59F304AA" w14:textId="77777777" w:rsidR="00AA068C" w:rsidRPr="00BA06B6" w:rsidRDefault="00AA068C" w:rsidP="00AA068C">
            <w:pPr>
              <w:numPr>
                <w:ilvl w:val="0"/>
                <w:numId w:val="1"/>
              </w:numPr>
              <w:contextualSpacing/>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Disclosures to help users understand strategic risk.</w:t>
            </w:r>
          </w:p>
        </w:tc>
      </w:tr>
      <w:tr w:rsidR="00BA06B6" w:rsidRPr="00BA06B6" w14:paraId="5818D498" w14:textId="77777777" w:rsidTr="00BC341D">
        <w:trPr>
          <w:trHeight w:val="196"/>
          <w:jc w:val="center"/>
        </w:trPr>
        <w:tc>
          <w:tcPr>
            <w:tcW w:w="1412" w:type="dxa"/>
          </w:tcPr>
          <w:p w14:paraId="3168849F" w14:textId="77777777" w:rsidR="00AA068C" w:rsidRPr="00BA06B6" w:rsidRDefault="00AA068C" w:rsidP="00AA068C">
            <w:pPr>
              <w:jc w:val="both"/>
              <w:rPr>
                <w:rFonts w:ascii="Times New Roman" w:eastAsia="Calibri" w:hAnsi="Times New Roman" w:cs="Times New Roman"/>
                <w:b/>
                <w:sz w:val="18"/>
                <w:szCs w:val="18"/>
              </w:rPr>
            </w:pPr>
            <w:r w:rsidRPr="00BA06B6">
              <w:rPr>
                <w:rFonts w:ascii="Times New Roman" w:eastAsia="Calibri" w:hAnsi="Times New Roman" w:cs="Times New Roman"/>
                <w:b/>
                <w:sz w:val="18"/>
                <w:szCs w:val="18"/>
              </w:rPr>
              <w:t xml:space="preserve">Total </w:t>
            </w:r>
          </w:p>
        </w:tc>
        <w:tc>
          <w:tcPr>
            <w:tcW w:w="7830" w:type="dxa"/>
          </w:tcPr>
          <w:p w14:paraId="11B49730" w14:textId="77777777" w:rsidR="00AA068C" w:rsidRPr="00BA06B6" w:rsidRDefault="00AA068C" w:rsidP="00AA068C">
            <w:pPr>
              <w:jc w:val="both"/>
              <w:rPr>
                <w:rFonts w:ascii="Times New Roman" w:eastAsia="Calibri" w:hAnsi="Times New Roman" w:cs="Times New Roman"/>
                <w:b/>
                <w:sz w:val="18"/>
                <w:szCs w:val="18"/>
              </w:rPr>
            </w:pPr>
            <w:r w:rsidRPr="00BA06B6">
              <w:rPr>
                <w:rFonts w:ascii="Times New Roman" w:eastAsia="Calibri" w:hAnsi="Times New Roman" w:cs="Times New Roman"/>
                <w:b/>
                <w:sz w:val="18"/>
                <w:szCs w:val="18"/>
              </w:rPr>
              <w:t>96 Risk disclosure items</w:t>
            </w:r>
          </w:p>
        </w:tc>
      </w:tr>
      <w:tr w:rsidR="00BA06B6" w:rsidRPr="00BA06B6" w14:paraId="6C73276C" w14:textId="77777777" w:rsidTr="00BC341D">
        <w:trPr>
          <w:trHeight w:val="196"/>
          <w:jc w:val="center"/>
        </w:trPr>
        <w:tc>
          <w:tcPr>
            <w:tcW w:w="9242" w:type="dxa"/>
            <w:gridSpan w:val="2"/>
          </w:tcPr>
          <w:p w14:paraId="4BA0A1FC" w14:textId="77777777" w:rsidR="00AA068C" w:rsidRPr="00BA06B6" w:rsidRDefault="00AA068C" w:rsidP="00AA068C">
            <w:pPr>
              <w:jc w:val="both"/>
              <w:rPr>
                <w:rFonts w:ascii="Times New Roman" w:eastAsia="Calibri" w:hAnsi="Times New Roman" w:cs="Times New Roman"/>
                <w:i/>
                <w:sz w:val="18"/>
                <w:szCs w:val="18"/>
              </w:rPr>
            </w:pPr>
            <w:r w:rsidRPr="00BA06B6">
              <w:rPr>
                <w:rFonts w:ascii="Times New Roman" w:eastAsia="Calibri" w:hAnsi="Times New Roman" w:cs="Times New Roman"/>
                <w:i/>
                <w:sz w:val="18"/>
                <w:szCs w:val="18"/>
              </w:rPr>
              <w:t>Procedure of scoring for un-weighted index</w:t>
            </w:r>
          </w:p>
        </w:tc>
      </w:tr>
      <w:tr w:rsidR="00BA06B6" w:rsidRPr="00BA06B6" w14:paraId="09685495" w14:textId="77777777" w:rsidTr="00BC341D">
        <w:trPr>
          <w:trHeight w:val="196"/>
          <w:jc w:val="center"/>
        </w:trPr>
        <w:tc>
          <w:tcPr>
            <w:tcW w:w="9242" w:type="dxa"/>
            <w:gridSpan w:val="2"/>
          </w:tcPr>
          <w:p w14:paraId="18BC4323" w14:textId="77777777" w:rsidR="00AA068C" w:rsidRPr="00BA06B6" w:rsidRDefault="00AA068C" w:rsidP="00AA068C">
            <w:pPr>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0:        Risk item not disclosed by bank.</w:t>
            </w:r>
          </w:p>
        </w:tc>
      </w:tr>
      <w:tr w:rsidR="00BA06B6" w:rsidRPr="00BA06B6" w14:paraId="411D10BA" w14:textId="77777777" w:rsidTr="00BC341D">
        <w:trPr>
          <w:trHeight w:val="196"/>
          <w:jc w:val="center"/>
        </w:trPr>
        <w:tc>
          <w:tcPr>
            <w:tcW w:w="9242" w:type="dxa"/>
            <w:gridSpan w:val="2"/>
          </w:tcPr>
          <w:p w14:paraId="02819AD2" w14:textId="77777777" w:rsidR="00AA068C" w:rsidRPr="00BA06B6" w:rsidRDefault="00AA068C" w:rsidP="00AA068C">
            <w:pPr>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1:        Risk item disclosed by bank.</w:t>
            </w:r>
          </w:p>
        </w:tc>
      </w:tr>
      <w:tr w:rsidR="00BA06B6" w:rsidRPr="00BA06B6" w14:paraId="0A0ABDCC" w14:textId="77777777" w:rsidTr="00BC341D">
        <w:trPr>
          <w:trHeight w:val="196"/>
          <w:jc w:val="center"/>
        </w:trPr>
        <w:tc>
          <w:tcPr>
            <w:tcW w:w="9242" w:type="dxa"/>
            <w:gridSpan w:val="2"/>
          </w:tcPr>
          <w:p w14:paraId="13179062" w14:textId="77777777" w:rsidR="00AA068C" w:rsidRPr="00BA06B6" w:rsidRDefault="00AA068C" w:rsidP="00AA068C">
            <w:pPr>
              <w:jc w:val="both"/>
              <w:rPr>
                <w:rFonts w:ascii="Times New Roman" w:eastAsia="Calibri" w:hAnsi="Times New Roman" w:cs="Times New Roman"/>
                <w:i/>
                <w:sz w:val="18"/>
                <w:szCs w:val="18"/>
              </w:rPr>
            </w:pPr>
            <w:r w:rsidRPr="00BA06B6">
              <w:rPr>
                <w:rFonts w:ascii="Times New Roman" w:eastAsia="Calibri" w:hAnsi="Times New Roman" w:cs="Times New Roman"/>
                <w:i/>
                <w:sz w:val="18"/>
                <w:szCs w:val="18"/>
              </w:rPr>
              <w:t>Procedure of scoring for weighted index</w:t>
            </w:r>
          </w:p>
        </w:tc>
      </w:tr>
      <w:tr w:rsidR="00BA06B6" w:rsidRPr="00BA06B6" w14:paraId="37B211F1" w14:textId="77777777" w:rsidTr="00BC341D">
        <w:trPr>
          <w:trHeight w:val="196"/>
          <w:jc w:val="center"/>
        </w:trPr>
        <w:tc>
          <w:tcPr>
            <w:tcW w:w="9242" w:type="dxa"/>
            <w:gridSpan w:val="2"/>
          </w:tcPr>
          <w:p w14:paraId="591FE571" w14:textId="77777777" w:rsidR="00AA068C" w:rsidRPr="00BA06B6" w:rsidRDefault="00AA068C" w:rsidP="00AA068C">
            <w:pPr>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0:        Risk item not disclosed by bank.</w:t>
            </w:r>
          </w:p>
        </w:tc>
      </w:tr>
      <w:tr w:rsidR="00BA06B6" w:rsidRPr="00BA06B6" w14:paraId="2175DBCB" w14:textId="77777777" w:rsidTr="00BC341D">
        <w:trPr>
          <w:trHeight w:val="196"/>
          <w:jc w:val="center"/>
        </w:trPr>
        <w:tc>
          <w:tcPr>
            <w:tcW w:w="9242" w:type="dxa"/>
            <w:gridSpan w:val="2"/>
          </w:tcPr>
          <w:p w14:paraId="456727FD" w14:textId="77777777" w:rsidR="00AA068C" w:rsidRPr="00BA06B6" w:rsidRDefault="00AA068C" w:rsidP="00AA068C">
            <w:pPr>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1:        Risk item disclosed by bank contains past, future, good, bad and/or qualitative information.</w:t>
            </w:r>
          </w:p>
        </w:tc>
      </w:tr>
      <w:tr w:rsidR="00AA068C" w:rsidRPr="00BA06B6" w14:paraId="125A1B4A" w14:textId="77777777" w:rsidTr="00BC341D">
        <w:trPr>
          <w:trHeight w:val="196"/>
          <w:jc w:val="center"/>
        </w:trPr>
        <w:tc>
          <w:tcPr>
            <w:tcW w:w="9242" w:type="dxa"/>
            <w:gridSpan w:val="2"/>
          </w:tcPr>
          <w:p w14:paraId="417DCE24" w14:textId="77777777" w:rsidR="00AA068C" w:rsidRPr="00BA06B6" w:rsidRDefault="00AA068C" w:rsidP="00AA068C">
            <w:pPr>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2:        Risk item disclosed by bank contains past, future, good, bad, qualitative and/or quantitative information.</w:t>
            </w:r>
          </w:p>
        </w:tc>
      </w:tr>
    </w:tbl>
    <w:p w14:paraId="25D5A20D" w14:textId="77777777" w:rsidR="00AA068C" w:rsidRPr="00BA06B6" w:rsidRDefault="00AA068C" w:rsidP="00AA068C">
      <w:pPr>
        <w:rPr>
          <w:rFonts w:ascii="Calibri" w:eastAsia="Calibri" w:hAnsi="Calibri" w:cs="Arial"/>
        </w:rPr>
      </w:pPr>
    </w:p>
    <w:p w14:paraId="0FB6A118" w14:textId="77777777" w:rsidR="00AA068C" w:rsidRPr="00BA06B6" w:rsidRDefault="00AA068C" w:rsidP="00AA068C">
      <w:pPr>
        <w:rPr>
          <w:rFonts w:asciiTheme="majorBidi" w:eastAsia="Times New Roman" w:hAnsiTheme="majorBidi" w:cstheme="majorBidi"/>
          <w:lang w:eastAsia="en-GB"/>
        </w:rPr>
      </w:pPr>
      <w:r w:rsidRPr="00BA06B6">
        <w:rPr>
          <w:rFonts w:asciiTheme="majorBidi" w:eastAsia="Times New Roman" w:hAnsiTheme="majorBidi" w:cstheme="majorBidi"/>
          <w:lang w:eastAsia="en-GB"/>
        </w:rPr>
        <w:br w:type="page"/>
      </w:r>
    </w:p>
    <w:p w14:paraId="6C4EDD6C" w14:textId="77777777" w:rsidR="00AA068C" w:rsidRPr="00BA06B6" w:rsidRDefault="00AA068C" w:rsidP="00AA068C">
      <w:pPr>
        <w:keepNext/>
        <w:keepLines/>
        <w:tabs>
          <w:tab w:val="left" w:pos="851"/>
        </w:tabs>
        <w:spacing w:after="0" w:line="360" w:lineRule="auto"/>
        <w:jc w:val="both"/>
        <w:outlineLvl w:val="0"/>
        <w:rPr>
          <w:rFonts w:ascii="Times New Roman" w:eastAsia="Calibri" w:hAnsi="Times New Roman" w:cs="Times New Roman"/>
          <w:b/>
          <w:sz w:val="24"/>
          <w:szCs w:val="24"/>
        </w:rPr>
      </w:pPr>
      <w:r w:rsidRPr="00BA06B6">
        <w:rPr>
          <w:rFonts w:ascii="Times New Roman" w:eastAsia="Calibri" w:hAnsi="Times New Roman" w:cs="Times New Roman"/>
          <w:b/>
          <w:sz w:val="24"/>
          <w:szCs w:val="24"/>
        </w:rPr>
        <w:lastRenderedPageBreak/>
        <w:t>REFERENCES</w:t>
      </w:r>
    </w:p>
    <w:p w14:paraId="7CE058AC" w14:textId="5117DA4F" w:rsidR="002F2319" w:rsidRPr="00BA06B6" w:rsidRDefault="002F2319" w:rsidP="002F2319">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 xml:space="preserve">Abdallah, A. A. N., Hassan, M. K.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McClelland, P. L. (2015). Islamic Financial Institutions, Corporate Governance, and Corporate Risk Disclosure in Gulf Cooperation Council Countries, </w:t>
      </w:r>
      <w:r w:rsidRPr="00BA06B6">
        <w:rPr>
          <w:rFonts w:asciiTheme="majorBidi" w:eastAsia="Calibri" w:hAnsiTheme="majorBidi" w:cstheme="majorBidi"/>
          <w:i/>
          <w:iCs/>
          <w:noProof/>
          <w:sz w:val="20"/>
          <w:szCs w:val="20"/>
          <w:lang w:val="en-US"/>
        </w:rPr>
        <w:t>Journal of Multinational Financial Management, 31</w:t>
      </w:r>
      <w:r w:rsidRPr="00BA06B6">
        <w:rPr>
          <w:rFonts w:asciiTheme="majorBidi" w:eastAsia="Calibri" w:hAnsiTheme="majorBidi" w:cstheme="majorBidi"/>
          <w:noProof/>
          <w:sz w:val="20"/>
          <w:szCs w:val="20"/>
          <w:lang w:val="en-US"/>
        </w:rPr>
        <w:t>, 63–82.</w:t>
      </w:r>
    </w:p>
    <w:p w14:paraId="289171EB" w14:textId="3E296459"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 xml:space="preserve">Abedifar, P., Giudici, P., &amp; Hashem, S. Q. (2017). Heterogeneous market structure and systemic risk: Evidence from dual banking systems. </w:t>
      </w:r>
      <w:r w:rsidRPr="00BA06B6">
        <w:rPr>
          <w:rFonts w:asciiTheme="majorBidi" w:eastAsia="Calibri" w:hAnsiTheme="majorBidi" w:cstheme="majorBidi"/>
          <w:i/>
          <w:noProof/>
          <w:sz w:val="20"/>
          <w:szCs w:val="20"/>
          <w:lang w:val="en-US"/>
        </w:rPr>
        <w:t>Journal of Financial Stability, 33</w:t>
      </w:r>
      <w:r w:rsidRPr="00BA06B6">
        <w:rPr>
          <w:rFonts w:asciiTheme="majorBidi" w:eastAsia="Calibri" w:hAnsiTheme="majorBidi" w:cstheme="majorBidi"/>
          <w:noProof/>
          <w:sz w:val="20"/>
          <w:szCs w:val="20"/>
          <w:lang w:val="en-US"/>
        </w:rPr>
        <w:t xml:space="preserve">, 96-119. </w:t>
      </w:r>
    </w:p>
    <w:p w14:paraId="6619BD32" w14:textId="77777777" w:rsidR="002F2319" w:rsidRPr="00BA06B6" w:rsidRDefault="002F2319" w:rsidP="002F2319">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Al‐Hadi, A., Hasan, M. M., &amp; Habib, A. (2016a). Risk committee, firm life cycle, and market risk disclosures. </w:t>
      </w:r>
      <w:r w:rsidRPr="00BA06B6">
        <w:rPr>
          <w:rFonts w:asciiTheme="majorBidi" w:eastAsia="Calibri" w:hAnsiTheme="majorBidi" w:cstheme="majorBidi"/>
          <w:i/>
          <w:iCs/>
          <w:noProof/>
          <w:sz w:val="20"/>
          <w:szCs w:val="20"/>
        </w:rPr>
        <w:t>Corporate Governance: An International Review</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24</w:t>
      </w:r>
      <w:r w:rsidRPr="00BA06B6">
        <w:rPr>
          <w:rFonts w:asciiTheme="majorBidi" w:eastAsia="Calibri" w:hAnsiTheme="majorBidi" w:cstheme="majorBidi"/>
          <w:noProof/>
          <w:sz w:val="20"/>
          <w:szCs w:val="20"/>
        </w:rPr>
        <w:t>(2), 145-170.</w:t>
      </w:r>
    </w:p>
    <w:p w14:paraId="047C1038" w14:textId="77777777" w:rsidR="002F2319" w:rsidRPr="00BA06B6" w:rsidRDefault="002F2319" w:rsidP="002F2319">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Al‐Hadi, A., Hasan, M. M., Taylor, G., Hossain, M., &amp; Richardson, G. (2017). Market risk disclosures and investment efficiency: International evidence from the Gulf Cooperation Council financial firms. </w:t>
      </w:r>
      <w:r w:rsidRPr="00BA06B6">
        <w:rPr>
          <w:rFonts w:asciiTheme="majorBidi" w:eastAsia="Calibri" w:hAnsiTheme="majorBidi" w:cstheme="majorBidi"/>
          <w:i/>
          <w:iCs/>
          <w:noProof/>
          <w:sz w:val="20"/>
          <w:szCs w:val="20"/>
        </w:rPr>
        <w:t>Journal of International Financial Management &amp; Accounting</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28</w:t>
      </w:r>
      <w:r w:rsidRPr="00BA06B6">
        <w:rPr>
          <w:rFonts w:asciiTheme="majorBidi" w:eastAsia="Calibri" w:hAnsiTheme="majorBidi" w:cstheme="majorBidi"/>
          <w:noProof/>
          <w:sz w:val="20"/>
          <w:szCs w:val="20"/>
        </w:rPr>
        <w:t>(3), 349-393.</w:t>
      </w:r>
    </w:p>
    <w:p w14:paraId="2686DAC9" w14:textId="77777777" w:rsidR="002F2319" w:rsidRPr="00BA06B6" w:rsidRDefault="002F2319" w:rsidP="002F2319">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Al-Hadi, A., Taylor, G., &amp; Al-Yahyaee, K. H. (2016b). Ruling family political connections and risk reporting: evidence from the GCC. </w:t>
      </w:r>
      <w:r w:rsidRPr="00BA06B6">
        <w:rPr>
          <w:rFonts w:asciiTheme="majorBidi" w:eastAsia="Calibri" w:hAnsiTheme="majorBidi" w:cstheme="majorBidi"/>
          <w:i/>
          <w:iCs/>
          <w:noProof/>
          <w:sz w:val="20"/>
          <w:szCs w:val="20"/>
        </w:rPr>
        <w:t>The International Journal of Accounting</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51</w:t>
      </w:r>
      <w:r w:rsidRPr="00BA06B6">
        <w:rPr>
          <w:rFonts w:asciiTheme="majorBidi" w:eastAsia="Calibri" w:hAnsiTheme="majorBidi" w:cstheme="majorBidi"/>
          <w:noProof/>
          <w:sz w:val="20"/>
          <w:szCs w:val="20"/>
        </w:rPr>
        <w:t>(4), 504-524.</w:t>
      </w:r>
    </w:p>
    <w:p w14:paraId="1E840B77" w14:textId="77777777" w:rsidR="002F2319" w:rsidRPr="00BA06B6" w:rsidRDefault="002F2319" w:rsidP="002F2319">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Al-Maghzom, A., Hussainey, K., &amp; Aly, D. (2016). The level of risk disclosure in listed banks: Evidence from Saudi Arabia. Corporate Ownership and Control, 14(1), 175-194.</w:t>
      </w:r>
    </w:p>
    <w:p w14:paraId="4AB8A1C8" w14:textId="77777777" w:rsidR="002F2319" w:rsidRPr="00BA06B6" w:rsidRDefault="002F2319" w:rsidP="002F2319">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Al-Maghzom, A., Hussainey, K., &amp; Aly, D. A. (2016). Value relevance of voluntary risk disclosure levels: Evidence from Saudi banks. Accounting &amp; Taxation, 8(1), 1-25.</w:t>
      </w:r>
    </w:p>
    <w:p w14:paraId="28234F6C" w14:textId="77777777" w:rsidR="002F2319" w:rsidRPr="00BA06B6" w:rsidRDefault="002F2319" w:rsidP="002F2319">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Alnabsha, A., Abdou, H. A., Ntim, C. G., &amp; Elamer, A. A. (2018). Corporate boards, ownership structures and corporate disclosures: Evidence from a developing country. </w:t>
      </w:r>
      <w:r w:rsidRPr="00BA06B6">
        <w:rPr>
          <w:rFonts w:asciiTheme="majorBidi" w:eastAsia="Calibri" w:hAnsiTheme="majorBidi" w:cstheme="majorBidi"/>
          <w:i/>
          <w:iCs/>
          <w:noProof/>
          <w:sz w:val="20"/>
          <w:szCs w:val="20"/>
        </w:rPr>
        <w:t>Journal of Applied Accounting Research</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19</w:t>
      </w:r>
      <w:r w:rsidRPr="00BA06B6">
        <w:rPr>
          <w:rFonts w:asciiTheme="majorBidi" w:eastAsia="Calibri" w:hAnsiTheme="majorBidi" w:cstheme="majorBidi"/>
          <w:noProof/>
          <w:sz w:val="20"/>
          <w:szCs w:val="20"/>
        </w:rPr>
        <w:t>(1), 20-41.</w:t>
      </w:r>
    </w:p>
    <w:p w14:paraId="22B3C859" w14:textId="6B68C136" w:rsidR="002F2319" w:rsidRPr="00BA06B6" w:rsidRDefault="002F2319" w:rsidP="002F2319">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 xml:space="preserve">Alshbili, I., Elamer, A. A., &amp; Beddewela, E. (2018). Ownership types, corporate governance and corporate social responsibility disclosures: Empirical evidence from a developing country. </w:t>
      </w:r>
      <w:r w:rsidRPr="00BA06B6">
        <w:rPr>
          <w:rFonts w:asciiTheme="majorBidi" w:eastAsia="Calibri" w:hAnsiTheme="majorBidi" w:cstheme="majorBidi"/>
          <w:i/>
          <w:iCs/>
          <w:noProof/>
          <w:sz w:val="20"/>
          <w:szCs w:val="20"/>
        </w:rPr>
        <w:t>Accounting Research Journal</w:t>
      </w:r>
      <w:r w:rsidRPr="00BA06B6">
        <w:rPr>
          <w:rFonts w:asciiTheme="majorBidi" w:eastAsia="Calibri" w:hAnsiTheme="majorBidi" w:cstheme="majorBidi"/>
          <w:noProof/>
          <w:sz w:val="20"/>
          <w:szCs w:val="20"/>
        </w:rPr>
        <w:t>, Forthcoming.</w:t>
      </w:r>
    </w:p>
    <w:p w14:paraId="6ECC1D9C" w14:textId="09F144CD"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fldChar w:fldCharType="begin"/>
      </w:r>
      <w:r w:rsidRPr="00BA06B6">
        <w:rPr>
          <w:rFonts w:asciiTheme="majorBidi" w:eastAsia="Calibri" w:hAnsiTheme="majorBidi" w:cstheme="majorBidi"/>
          <w:noProof/>
          <w:sz w:val="20"/>
          <w:szCs w:val="20"/>
          <w:lang w:val="en-US"/>
        </w:rPr>
        <w:instrText xml:space="preserve"> ADDIN EN.REFLIST </w:instrText>
      </w:r>
      <w:r w:rsidRPr="00BA06B6">
        <w:rPr>
          <w:rFonts w:asciiTheme="majorBidi" w:eastAsia="Calibri" w:hAnsiTheme="majorBidi" w:cstheme="majorBidi"/>
          <w:noProof/>
          <w:sz w:val="20"/>
          <w:szCs w:val="20"/>
          <w:lang w:val="en-US"/>
        </w:rPr>
        <w:fldChar w:fldCharType="separate"/>
      </w:r>
      <w:bookmarkStart w:id="87" w:name="_ENREF_9"/>
      <w:r w:rsidRPr="00BA06B6">
        <w:rPr>
          <w:rFonts w:asciiTheme="majorBidi" w:eastAsia="Calibri" w:hAnsiTheme="majorBidi" w:cstheme="majorBidi"/>
          <w:noProof/>
          <w:sz w:val="20"/>
          <w:szCs w:val="20"/>
          <w:lang w:val="en-US"/>
        </w:rPr>
        <w:t xml:space="preserve">Aman, H.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Nguyen, P. (2013). Does good governance matter to debtholders? Evidence from the credit ratings of Japanese firms. </w:t>
      </w:r>
      <w:r w:rsidRPr="00BA06B6">
        <w:rPr>
          <w:rFonts w:asciiTheme="majorBidi" w:eastAsia="Calibri" w:hAnsiTheme="majorBidi" w:cstheme="majorBidi"/>
          <w:i/>
          <w:iCs/>
          <w:noProof/>
          <w:sz w:val="20"/>
          <w:szCs w:val="20"/>
          <w:lang w:val="en-US"/>
        </w:rPr>
        <w:t>Research in International Business and Finance</w:t>
      </w:r>
      <w:r w:rsidRPr="00BA06B6">
        <w:rPr>
          <w:rFonts w:asciiTheme="majorBidi" w:eastAsia="Calibri" w:hAnsiTheme="majorBidi" w:cstheme="majorBidi"/>
          <w:noProof/>
          <w:sz w:val="20"/>
          <w:szCs w:val="20"/>
          <w:lang w:val="en-US"/>
        </w:rPr>
        <w:t xml:space="preserve">, 29, 14-34. </w:t>
      </w:r>
      <w:bookmarkEnd w:id="87"/>
    </w:p>
    <w:p w14:paraId="2798D053" w14:textId="7777777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88" w:name="_ENREF_10"/>
      <w:r w:rsidRPr="00BA06B6">
        <w:rPr>
          <w:rFonts w:asciiTheme="majorBidi" w:eastAsia="Calibri" w:hAnsiTheme="majorBidi" w:cstheme="majorBidi"/>
          <w:noProof/>
          <w:sz w:val="20"/>
          <w:szCs w:val="20"/>
          <w:lang w:val="en-US"/>
        </w:rPr>
        <w:t xml:space="preserve">Amico, A. (2014). Corporate governance enforcement in the Middle East and North Africa: Evidence and priorities. </w:t>
      </w:r>
      <w:bookmarkStart w:id="89" w:name="_ENREF_11"/>
      <w:bookmarkEnd w:id="88"/>
      <w:r w:rsidRPr="00BA06B6">
        <w:rPr>
          <w:rFonts w:asciiTheme="majorBidi" w:eastAsia="Calibri" w:hAnsiTheme="majorBidi" w:cstheme="majorBidi"/>
          <w:noProof/>
          <w:sz w:val="20"/>
          <w:szCs w:val="20"/>
          <w:lang w:val="en-US"/>
        </w:rPr>
        <w:t>OECD Corporate Governance Working Papers, No. 15, OECD Publishing. http://dx.doi.org/10.1787/5jxws6 scxg7c-en</w:t>
      </w:r>
    </w:p>
    <w:p w14:paraId="2C7CD44C" w14:textId="162AD710"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90" w:name="_ENREF_14"/>
      <w:bookmarkEnd w:id="89"/>
      <w:r w:rsidRPr="00BA06B6">
        <w:rPr>
          <w:rFonts w:asciiTheme="majorBidi" w:eastAsia="Calibri" w:hAnsiTheme="majorBidi" w:cstheme="majorBidi"/>
          <w:noProof/>
          <w:sz w:val="20"/>
          <w:szCs w:val="20"/>
          <w:lang w:val="en-US"/>
        </w:rPr>
        <w:t xml:space="preserve">Ashbaugh-Skaife, H. Collins, D.W.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LaFond, R. (2006). The effects of corporate governance on firms’ credit ratings.</w:t>
      </w:r>
      <w:r w:rsidRPr="00BA06B6">
        <w:rPr>
          <w:rFonts w:asciiTheme="majorBidi" w:eastAsia="Calibri" w:hAnsiTheme="majorBidi" w:cstheme="majorBidi"/>
          <w:i/>
          <w:iCs/>
          <w:noProof/>
          <w:sz w:val="20"/>
          <w:szCs w:val="20"/>
          <w:lang w:val="en-US"/>
        </w:rPr>
        <w:t xml:space="preserve"> Journal of Accounting and Economics</w:t>
      </w:r>
      <w:r w:rsidRPr="00BA06B6">
        <w:rPr>
          <w:rFonts w:asciiTheme="majorBidi" w:eastAsia="Calibri" w:hAnsiTheme="majorBidi" w:cstheme="majorBidi"/>
          <w:noProof/>
          <w:sz w:val="20"/>
          <w:szCs w:val="20"/>
          <w:lang w:val="en-US"/>
        </w:rPr>
        <w:t xml:space="preserve">, 42(1), 203-243. </w:t>
      </w:r>
      <w:bookmarkEnd w:id="90"/>
    </w:p>
    <w:p w14:paraId="4BE940C6" w14:textId="54FB8884"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 xml:space="preserve">Ashraf, D., Rizwan, M. S., &amp; L’Huillier, B. (2016). A net stable funding ratio for Islamic banks and its impact on financial stability: An international investigation. </w:t>
      </w:r>
      <w:r w:rsidRPr="00BA06B6">
        <w:rPr>
          <w:rFonts w:asciiTheme="majorBidi" w:eastAsia="Calibri" w:hAnsiTheme="majorBidi" w:cstheme="majorBidi"/>
          <w:i/>
          <w:noProof/>
          <w:sz w:val="20"/>
          <w:szCs w:val="20"/>
          <w:lang w:val="en-US"/>
        </w:rPr>
        <w:t>Journal of Financial Stability, 25</w:t>
      </w:r>
      <w:r w:rsidRPr="00BA06B6">
        <w:rPr>
          <w:rFonts w:asciiTheme="majorBidi" w:eastAsia="Calibri" w:hAnsiTheme="majorBidi" w:cstheme="majorBidi"/>
          <w:noProof/>
          <w:sz w:val="20"/>
          <w:szCs w:val="20"/>
          <w:lang w:val="en-US"/>
        </w:rPr>
        <w:t xml:space="preserve">, 47-57. </w:t>
      </w:r>
    </w:p>
    <w:p w14:paraId="69BD9102" w14:textId="0C8AE6AD" w:rsidR="002F2319" w:rsidRPr="00BA06B6" w:rsidRDefault="002F2319" w:rsidP="002F2319">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Armstrong, C. S., Guay, W. R., &amp; Weber, J. P. (2010). The role of information and financial reporting in corporate governance and debt contracting. </w:t>
      </w:r>
      <w:r w:rsidRPr="00BA06B6">
        <w:rPr>
          <w:rFonts w:asciiTheme="majorBidi" w:eastAsia="Calibri" w:hAnsiTheme="majorBidi" w:cstheme="majorBidi"/>
          <w:i/>
          <w:iCs/>
          <w:noProof/>
          <w:sz w:val="20"/>
          <w:szCs w:val="20"/>
        </w:rPr>
        <w:t>Journal of Accounting and Economics</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50</w:t>
      </w:r>
      <w:r w:rsidRPr="00BA06B6">
        <w:rPr>
          <w:rFonts w:asciiTheme="majorBidi" w:eastAsia="Calibri" w:hAnsiTheme="majorBidi" w:cstheme="majorBidi"/>
          <w:noProof/>
          <w:sz w:val="20"/>
          <w:szCs w:val="20"/>
        </w:rPr>
        <w:t>(2-3), 179-234.</w:t>
      </w:r>
    </w:p>
    <w:p w14:paraId="4E66CB9D" w14:textId="50B11628"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 xml:space="preserve">Aysan, A. F., &amp; Ozturk, H. (2018). Does Islamic banking offer a natural hedge for business cycles? Evidence from a dual banking system. </w:t>
      </w:r>
      <w:r w:rsidRPr="00BA06B6">
        <w:rPr>
          <w:rFonts w:asciiTheme="majorBidi" w:eastAsia="Calibri" w:hAnsiTheme="majorBidi" w:cstheme="majorBidi"/>
          <w:i/>
          <w:noProof/>
          <w:sz w:val="20"/>
          <w:szCs w:val="20"/>
          <w:lang w:val="en-US"/>
        </w:rPr>
        <w:t>Journal of Financial Stability, 36</w:t>
      </w:r>
      <w:r w:rsidRPr="00BA06B6">
        <w:rPr>
          <w:rFonts w:asciiTheme="majorBidi" w:eastAsia="Calibri" w:hAnsiTheme="majorBidi" w:cstheme="majorBidi"/>
          <w:noProof/>
          <w:sz w:val="20"/>
          <w:szCs w:val="20"/>
          <w:lang w:val="en-US"/>
        </w:rPr>
        <w:t xml:space="preserve">, 22-38. </w:t>
      </w:r>
    </w:p>
    <w:p w14:paraId="57CE20F0" w14:textId="2128CFB8" w:rsidR="002F2319" w:rsidRPr="00BA06B6" w:rsidRDefault="002F2319" w:rsidP="002F2319">
      <w:pPr>
        <w:spacing w:after="0" w:line="240" w:lineRule="auto"/>
        <w:ind w:left="851" w:hanging="851"/>
        <w:jc w:val="both"/>
        <w:rPr>
          <w:rFonts w:asciiTheme="majorBidi" w:eastAsia="Calibri" w:hAnsiTheme="majorBidi" w:cstheme="majorBidi"/>
          <w:noProof/>
          <w:sz w:val="20"/>
          <w:szCs w:val="20"/>
          <w:lang w:val="en-US"/>
        </w:rPr>
      </w:pPr>
      <w:bookmarkStart w:id="91" w:name="_ENREF_16"/>
      <w:r w:rsidRPr="00BA06B6">
        <w:rPr>
          <w:rFonts w:asciiTheme="majorBidi" w:eastAsia="Calibri" w:hAnsiTheme="majorBidi" w:cstheme="majorBidi"/>
          <w:noProof/>
          <w:sz w:val="20"/>
          <w:szCs w:val="20"/>
          <w:lang w:val="en-US"/>
        </w:rPr>
        <w:t xml:space="preserve">Barakat, A.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Hussainey, K. (2013). Bank governance, regulation, supervision, and risk reporting: Evidence from operational risk disclosures in European banks. </w:t>
      </w:r>
      <w:r w:rsidRPr="00BA06B6">
        <w:rPr>
          <w:rFonts w:asciiTheme="majorBidi" w:eastAsia="Calibri" w:hAnsiTheme="majorBidi" w:cstheme="majorBidi"/>
          <w:i/>
          <w:iCs/>
          <w:noProof/>
          <w:sz w:val="20"/>
          <w:szCs w:val="20"/>
          <w:lang w:val="en-US"/>
        </w:rPr>
        <w:t>International Review of Financial Analysis</w:t>
      </w:r>
      <w:r w:rsidRPr="00BA06B6">
        <w:rPr>
          <w:rFonts w:asciiTheme="majorBidi" w:eastAsia="Calibri" w:hAnsiTheme="majorBidi" w:cstheme="majorBidi"/>
          <w:noProof/>
          <w:sz w:val="20"/>
          <w:szCs w:val="20"/>
          <w:lang w:val="en-US"/>
        </w:rPr>
        <w:t xml:space="preserve">, 30, 254-273. </w:t>
      </w:r>
      <w:bookmarkEnd w:id="91"/>
    </w:p>
    <w:p w14:paraId="09A2CFE6" w14:textId="2E266281" w:rsidR="003B5A80" w:rsidRPr="00BA06B6" w:rsidRDefault="003B5A80" w:rsidP="003B5A80">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rPr>
        <w:t xml:space="preserve">Beattie, V., McInnes, B., &amp; Fearnley, S. (2004). A methodology for analysing and evaluating narratives in annual reports: a comprehensive descriptive profile and metrics for disclosure quality attributes. </w:t>
      </w:r>
      <w:r w:rsidRPr="00BA06B6">
        <w:rPr>
          <w:rFonts w:asciiTheme="majorBidi" w:eastAsia="Calibri" w:hAnsiTheme="majorBidi" w:cstheme="majorBidi"/>
          <w:i/>
          <w:iCs/>
          <w:noProof/>
          <w:sz w:val="20"/>
          <w:szCs w:val="20"/>
        </w:rPr>
        <w:t>Accounting Forum</w:t>
      </w:r>
      <w:r w:rsidRPr="00BA06B6">
        <w:rPr>
          <w:rFonts w:asciiTheme="majorBidi" w:eastAsia="Calibri" w:hAnsiTheme="majorBidi" w:cstheme="majorBidi"/>
          <w:noProof/>
          <w:sz w:val="20"/>
          <w:szCs w:val="20"/>
        </w:rPr>
        <w:t>, 28(3), 205-236.</w:t>
      </w:r>
    </w:p>
    <w:p w14:paraId="44F78905" w14:textId="7777777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92" w:name="_ENREF_18"/>
      <w:r w:rsidRPr="00BA06B6">
        <w:rPr>
          <w:rFonts w:asciiTheme="majorBidi" w:eastAsia="Calibri" w:hAnsiTheme="majorBidi" w:cstheme="majorBidi"/>
          <w:noProof/>
          <w:sz w:val="20"/>
          <w:szCs w:val="20"/>
          <w:lang w:val="en-US"/>
        </w:rPr>
        <w:t>BCBS. (2006). International convergence of capital measurement and capital standards. Basel Committee on Banking Supervision</w:t>
      </w:r>
      <w:bookmarkEnd w:id="92"/>
      <w:r w:rsidRPr="00BA06B6">
        <w:rPr>
          <w:rFonts w:asciiTheme="majorBidi" w:eastAsia="Calibri" w:hAnsiTheme="majorBidi" w:cstheme="majorBidi"/>
          <w:noProof/>
          <w:sz w:val="20"/>
          <w:szCs w:val="20"/>
          <w:lang w:val="en-US"/>
        </w:rPr>
        <w:t>, BIS, Basel, Switzerland. </w:t>
      </w:r>
    </w:p>
    <w:p w14:paraId="67507043" w14:textId="7777777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93" w:name="_ENREF_19"/>
      <w:r w:rsidRPr="00BA06B6">
        <w:rPr>
          <w:rFonts w:asciiTheme="majorBidi" w:eastAsia="Calibri" w:hAnsiTheme="majorBidi" w:cstheme="majorBidi"/>
          <w:noProof/>
          <w:sz w:val="20"/>
          <w:szCs w:val="20"/>
          <w:lang w:val="en-US"/>
        </w:rPr>
        <w:t>BCBS. (2011). Basel III: A global regulatory framework for more resilient banks and banking systems. Basel Committee on Banking Supervision</w:t>
      </w:r>
      <w:bookmarkEnd w:id="93"/>
      <w:r w:rsidRPr="00BA06B6">
        <w:rPr>
          <w:rFonts w:asciiTheme="majorBidi" w:eastAsia="Calibri" w:hAnsiTheme="majorBidi" w:cstheme="majorBidi"/>
          <w:noProof/>
          <w:sz w:val="20"/>
          <w:szCs w:val="20"/>
          <w:lang w:val="en-US"/>
        </w:rPr>
        <w:t>, BIS, Basel, Switzerland.</w:t>
      </w:r>
    </w:p>
    <w:p w14:paraId="13EFA651" w14:textId="7777777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BCBS. (2015a). Corporate governance principles for banks. Basel Committee on Banking Supervision, BIS, Basel, Switzerland.</w:t>
      </w:r>
    </w:p>
    <w:p w14:paraId="6BCC1B15" w14:textId="7777777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BCBS. (2015b). Revised Pillar 3 disclosure requirements. Basel Committee on Banking Supervision, BIS, Basel, Switzerland   </w:t>
      </w:r>
    </w:p>
    <w:p w14:paraId="1037F489" w14:textId="0E2CEE44"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94" w:name="_ENREF_22"/>
      <w:r w:rsidRPr="00BA06B6">
        <w:rPr>
          <w:rFonts w:asciiTheme="majorBidi" w:eastAsia="Calibri" w:hAnsiTheme="majorBidi" w:cstheme="majorBidi"/>
          <w:noProof/>
          <w:sz w:val="20"/>
          <w:szCs w:val="20"/>
          <w:lang w:val="en-US"/>
        </w:rPr>
        <w:t xml:space="preserve">Beck, T. Demirgüç-Kunt, A.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Merrouche, O. (2013). Islamic vs. conventional banking: Business model, efficiency and stability. </w:t>
      </w:r>
      <w:r w:rsidRPr="00BA06B6">
        <w:rPr>
          <w:rFonts w:asciiTheme="majorBidi" w:eastAsia="Calibri" w:hAnsiTheme="majorBidi" w:cstheme="majorBidi"/>
          <w:i/>
          <w:iCs/>
          <w:noProof/>
          <w:sz w:val="20"/>
          <w:szCs w:val="20"/>
          <w:lang w:val="en-US"/>
        </w:rPr>
        <w:t>Journal of Banking &amp; Finance</w:t>
      </w:r>
      <w:r w:rsidRPr="00BA06B6">
        <w:rPr>
          <w:rFonts w:asciiTheme="majorBidi" w:eastAsia="Calibri" w:hAnsiTheme="majorBidi" w:cstheme="majorBidi"/>
          <w:noProof/>
          <w:sz w:val="20"/>
          <w:szCs w:val="20"/>
          <w:lang w:val="en-US"/>
        </w:rPr>
        <w:t xml:space="preserve">, 37(2), 433-447. </w:t>
      </w:r>
      <w:bookmarkEnd w:id="94"/>
    </w:p>
    <w:p w14:paraId="4DACE1A4" w14:textId="3827FDA6"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95" w:name="_ENREF_24"/>
      <w:r w:rsidRPr="00BA06B6">
        <w:rPr>
          <w:rFonts w:asciiTheme="majorBidi" w:eastAsia="Calibri" w:hAnsiTheme="majorBidi" w:cstheme="majorBidi"/>
          <w:noProof/>
          <w:sz w:val="20"/>
          <w:szCs w:val="20"/>
          <w:lang w:val="en-US"/>
        </w:rPr>
        <w:t xml:space="preserve">Beiner, S. Drobetz, W. Schmid, M.M.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Zimmermann, H. (2006). An integrated framework of corporate governance and firm valuation. </w:t>
      </w:r>
      <w:r w:rsidRPr="00BA06B6">
        <w:rPr>
          <w:rFonts w:asciiTheme="majorBidi" w:eastAsia="Calibri" w:hAnsiTheme="majorBidi" w:cstheme="majorBidi"/>
          <w:i/>
          <w:iCs/>
          <w:noProof/>
          <w:sz w:val="20"/>
          <w:szCs w:val="20"/>
          <w:lang w:val="en-US"/>
        </w:rPr>
        <w:t>European Financial Management</w:t>
      </w:r>
      <w:r w:rsidRPr="00BA06B6">
        <w:rPr>
          <w:rFonts w:asciiTheme="majorBidi" w:eastAsia="Calibri" w:hAnsiTheme="majorBidi" w:cstheme="majorBidi"/>
          <w:noProof/>
          <w:sz w:val="20"/>
          <w:szCs w:val="20"/>
          <w:lang w:val="en-US"/>
        </w:rPr>
        <w:t xml:space="preserve">, 12(2), 249-283. </w:t>
      </w:r>
      <w:bookmarkEnd w:id="95"/>
    </w:p>
    <w:p w14:paraId="7C59416B" w14:textId="71FECF32"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96" w:name="_ENREF_26"/>
      <w:r w:rsidRPr="00BA06B6">
        <w:rPr>
          <w:rFonts w:asciiTheme="majorBidi" w:eastAsia="Calibri" w:hAnsiTheme="majorBidi" w:cstheme="majorBidi"/>
          <w:noProof/>
          <w:sz w:val="20"/>
          <w:szCs w:val="20"/>
          <w:lang w:val="en-US"/>
        </w:rPr>
        <w:t xml:space="preserve">Beisland, L.A. Mersland, R.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Randøy, T. (2014). The Association between microfinance rating scores and corporate governance: a global survey. </w:t>
      </w:r>
      <w:r w:rsidRPr="00BA06B6">
        <w:rPr>
          <w:rFonts w:asciiTheme="majorBidi" w:eastAsia="Calibri" w:hAnsiTheme="majorBidi" w:cstheme="majorBidi"/>
          <w:i/>
          <w:iCs/>
          <w:noProof/>
          <w:sz w:val="20"/>
          <w:szCs w:val="20"/>
          <w:lang w:val="en-US"/>
        </w:rPr>
        <w:t>International Review of Financial Analysis</w:t>
      </w:r>
      <w:r w:rsidRPr="00BA06B6">
        <w:rPr>
          <w:rFonts w:asciiTheme="majorBidi" w:eastAsia="Calibri" w:hAnsiTheme="majorBidi" w:cstheme="majorBidi"/>
          <w:noProof/>
          <w:sz w:val="20"/>
          <w:szCs w:val="20"/>
          <w:lang w:val="en-US"/>
        </w:rPr>
        <w:t xml:space="preserve">, 35, 268-280. </w:t>
      </w:r>
      <w:bookmarkEnd w:id="96"/>
    </w:p>
    <w:p w14:paraId="072F94D8" w14:textId="0C9A3B1B"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97" w:name="_ENREF_28"/>
      <w:r w:rsidRPr="00BA06B6">
        <w:rPr>
          <w:rFonts w:asciiTheme="majorBidi" w:eastAsia="Calibri" w:hAnsiTheme="majorBidi" w:cstheme="majorBidi"/>
          <w:noProof/>
          <w:sz w:val="20"/>
          <w:szCs w:val="20"/>
          <w:lang w:val="en-US"/>
        </w:rPr>
        <w:t xml:space="preserve">Beltratti, A.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Stulz, R.M. (2012). The credit crisis around the globe: why did some banks perform better? </w:t>
      </w:r>
      <w:r w:rsidRPr="00BA06B6">
        <w:rPr>
          <w:rFonts w:asciiTheme="majorBidi" w:eastAsia="Calibri" w:hAnsiTheme="majorBidi" w:cstheme="majorBidi"/>
          <w:i/>
          <w:iCs/>
          <w:noProof/>
          <w:sz w:val="20"/>
          <w:szCs w:val="20"/>
          <w:lang w:val="en-US"/>
        </w:rPr>
        <w:t>Journal of Financial Economics</w:t>
      </w:r>
      <w:r w:rsidRPr="00BA06B6">
        <w:rPr>
          <w:rFonts w:asciiTheme="majorBidi" w:eastAsia="Calibri" w:hAnsiTheme="majorBidi" w:cstheme="majorBidi"/>
          <w:noProof/>
          <w:sz w:val="20"/>
          <w:szCs w:val="20"/>
          <w:lang w:val="en-US"/>
        </w:rPr>
        <w:t>, 105(1), 1-17.</w:t>
      </w:r>
      <w:bookmarkEnd w:id="97"/>
    </w:p>
    <w:p w14:paraId="476DD665" w14:textId="360E8298"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98" w:name="_ENREF_32"/>
      <w:r w:rsidRPr="00BA06B6">
        <w:rPr>
          <w:rFonts w:asciiTheme="majorBidi" w:eastAsia="Calibri" w:hAnsiTheme="majorBidi" w:cstheme="majorBidi"/>
          <w:noProof/>
          <w:sz w:val="20"/>
          <w:szCs w:val="20"/>
          <w:lang w:val="en-US"/>
        </w:rPr>
        <w:lastRenderedPageBreak/>
        <w:t xml:space="preserve">Bhojraj, S.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Sengupta, P. (2003). Effect of corporate governance on bond ratings and yields: The role of institutional investors and outside directors. </w:t>
      </w:r>
      <w:r w:rsidRPr="00BA06B6">
        <w:rPr>
          <w:rFonts w:asciiTheme="majorBidi" w:eastAsia="Calibri" w:hAnsiTheme="majorBidi" w:cstheme="majorBidi"/>
          <w:i/>
          <w:iCs/>
          <w:noProof/>
          <w:sz w:val="20"/>
          <w:szCs w:val="20"/>
          <w:lang w:val="en-US"/>
        </w:rPr>
        <w:t>Journal of Business</w:t>
      </w:r>
      <w:r w:rsidRPr="00BA06B6">
        <w:rPr>
          <w:rFonts w:asciiTheme="majorBidi" w:eastAsia="Calibri" w:hAnsiTheme="majorBidi" w:cstheme="majorBidi"/>
          <w:noProof/>
          <w:sz w:val="20"/>
          <w:szCs w:val="20"/>
          <w:lang w:val="en-US"/>
        </w:rPr>
        <w:t xml:space="preserve">, 76(3), 455-475. </w:t>
      </w:r>
      <w:bookmarkEnd w:id="98"/>
    </w:p>
    <w:p w14:paraId="5BC6B5CF" w14:textId="3DE75C38"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rPr>
        <w:t>Bikker, J. A., &amp; Vervliet, T. M. (2018). Bank profitability and risk‐taking under low interest rates. </w:t>
      </w:r>
      <w:r w:rsidRPr="00BA06B6">
        <w:rPr>
          <w:rFonts w:asciiTheme="majorBidi" w:eastAsia="Calibri" w:hAnsiTheme="majorBidi" w:cstheme="majorBidi"/>
          <w:i/>
          <w:iCs/>
          <w:noProof/>
          <w:sz w:val="20"/>
          <w:szCs w:val="20"/>
        </w:rPr>
        <w:t>International Journal of Finance &amp; Economics</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23</w:t>
      </w:r>
      <w:r w:rsidRPr="00BA06B6">
        <w:rPr>
          <w:rFonts w:asciiTheme="majorBidi" w:eastAsia="Calibri" w:hAnsiTheme="majorBidi" w:cstheme="majorBidi"/>
          <w:noProof/>
          <w:sz w:val="20"/>
          <w:szCs w:val="20"/>
        </w:rPr>
        <w:t>(1), 3-18.</w:t>
      </w:r>
    </w:p>
    <w:p w14:paraId="7139AD39" w14:textId="6FC9B605"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 xml:space="preserve">Bitar, M., Hassan, M. K., &amp; Walker, T. (2017). Political systems and the financial soundness of Islamic banks. </w:t>
      </w:r>
      <w:r w:rsidRPr="00BA06B6">
        <w:rPr>
          <w:rFonts w:asciiTheme="majorBidi" w:eastAsia="Calibri" w:hAnsiTheme="majorBidi" w:cstheme="majorBidi"/>
          <w:i/>
          <w:noProof/>
          <w:sz w:val="20"/>
          <w:szCs w:val="20"/>
          <w:lang w:val="en-US"/>
        </w:rPr>
        <w:t>Journal of Financial Stability, 31</w:t>
      </w:r>
      <w:r w:rsidRPr="00BA06B6">
        <w:rPr>
          <w:rFonts w:asciiTheme="majorBidi" w:eastAsia="Calibri" w:hAnsiTheme="majorBidi" w:cstheme="majorBidi"/>
          <w:noProof/>
          <w:sz w:val="20"/>
          <w:szCs w:val="20"/>
          <w:lang w:val="en-US"/>
        </w:rPr>
        <w:t xml:space="preserve">, 18-44. </w:t>
      </w:r>
    </w:p>
    <w:p w14:paraId="4CB75A8B" w14:textId="668C7CE3"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99" w:name="_ENREF_35"/>
      <w:r w:rsidRPr="00BA06B6">
        <w:rPr>
          <w:rFonts w:asciiTheme="majorBidi" w:eastAsia="Calibri" w:hAnsiTheme="majorBidi" w:cstheme="majorBidi"/>
          <w:noProof/>
          <w:sz w:val="20"/>
          <w:szCs w:val="20"/>
          <w:lang w:val="en-US"/>
        </w:rPr>
        <w:t xml:space="preserve">Borisova, G. Fotak, V. Holland, K.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Megginson, W.L. (2015). Government ownership and the cost of debt: Evidence from government investments in publicly traded firms. </w:t>
      </w:r>
      <w:r w:rsidRPr="00BA06B6">
        <w:rPr>
          <w:rFonts w:asciiTheme="majorBidi" w:eastAsia="Calibri" w:hAnsiTheme="majorBidi" w:cstheme="majorBidi"/>
          <w:i/>
          <w:iCs/>
          <w:noProof/>
          <w:sz w:val="20"/>
          <w:szCs w:val="20"/>
          <w:lang w:val="en-US"/>
        </w:rPr>
        <w:t>Journal of Financial Economics</w:t>
      </w:r>
      <w:bookmarkEnd w:id="99"/>
      <w:r w:rsidRPr="00BA06B6">
        <w:rPr>
          <w:rFonts w:asciiTheme="majorBidi" w:eastAsia="Calibri" w:hAnsiTheme="majorBidi" w:cstheme="majorBidi"/>
          <w:noProof/>
          <w:sz w:val="20"/>
          <w:szCs w:val="20"/>
          <w:lang w:val="en-US"/>
        </w:rPr>
        <w:t>,118(1), 168-191.</w:t>
      </w:r>
    </w:p>
    <w:p w14:paraId="311963A2" w14:textId="31AA0FF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00" w:name="_ENREF_37"/>
      <w:r w:rsidRPr="00BA06B6">
        <w:rPr>
          <w:rFonts w:asciiTheme="majorBidi" w:eastAsia="Calibri" w:hAnsiTheme="majorBidi" w:cstheme="majorBidi"/>
          <w:noProof/>
          <w:sz w:val="20"/>
          <w:szCs w:val="20"/>
          <w:lang w:val="en-US"/>
        </w:rPr>
        <w:t xml:space="preserve">Bradley, M.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Chen, D. (2011). Corporate governance and the cost of debt: Evidence from director limited liability and indemnification provisions. </w:t>
      </w:r>
      <w:r w:rsidRPr="00BA06B6">
        <w:rPr>
          <w:rFonts w:asciiTheme="majorBidi" w:eastAsia="Calibri" w:hAnsiTheme="majorBidi" w:cstheme="majorBidi"/>
          <w:i/>
          <w:iCs/>
          <w:noProof/>
          <w:sz w:val="20"/>
          <w:szCs w:val="20"/>
          <w:lang w:val="en-US"/>
        </w:rPr>
        <w:t>Journal of Corporate Finance</w:t>
      </w:r>
      <w:r w:rsidRPr="00BA06B6">
        <w:rPr>
          <w:rFonts w:asciiTheme="majorBidi" w:eastAsia="Calibri" w:hAnsiTheme="majorBidi" w:cstheme="majorBidi"/>
          <w:noProof/>
          <w:sz w:val="20"/>
          <w:szCs w:val="20"/>
          <w:lang w:val="en-US"/>
        </w:rPr>
        <w:t>, 17(1), 83-107.</w:t>
      </w:r>
      <w:bookmarkEnd w:id="100"/>
    </w:p>
    <w:p w14:paraId="30A93757" w14:textId="77777777" w:rsidR="003B5A80" w:rsidRPr="00BA06B6" w:rsidRDefault="003B5A80" w:rsidP="003B5A80">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Bushman, R. M., Piotroski, J. D., &amp; Smith, A. J. (2004). What determines corporate transparency?. </w:t>
      </w:r>
      <w:r w:rsidRPr="00BA06B6">
        <w:rPr>
          <w:rFonts w:asciiTheme="majorBidi" w:eastAsia="Calibri" w:hAnsiTheme="majorBidi" w:cstheme="majorBidi"/>
          <w:i/>
          <w:iCs/>
          <w:noProof/>
          <w:sz w:val="20"/>
          <w:szCs w:val="20"/>
        </w:rPr>
        <w:t>Journal of accounting research</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42</w:t>
      </w:r>
      <w:r w:rsidRPr="00BA06B6">
        <w:rPr>
          <w:rFonts w:asciiTheme="majorBidi" w:eastAsia="Calibri" w:hAnsiTheme="majorBidi" w:cstheme="majorBidi"/>
          <w:noProof/>
          <w:sz w:val="20"/>
          <w:szCs w:val="20"/>
        </w:rPr>
        <w:t>(2), 207-252.</w:t>
      </w:r>
    </w:p>
    <w:p w14:paraId="654088DE" w14:textId="7383F18E" w:rsidR="003B5A80" w:rsidRPr="00BA06B6" w:rsidRDefault="003B5A80" w:rsidP="003B5A80">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rPr>
        <w:t>Campbell, J. L., Chen, H., Dhaliwal, D. S., Lu, H. M., &amp; Steele, L. B. (2014). The information content of mandatory risk factor disclosures in corporate filings. </w:t>
      </w:r>
      <w:r w:rsidRPr="00BA06B6">
        <w:rPr>
          <w:rFonts w:asciiTheme="majorBidi" w:eastAsia="Calibri" w:hAnsiTheme="majorBidi" w:cstheme="majorBidi"/>
          <w:i/>
          <w:iCs/>
          <w:noProof/>
          <w:sz w:val="20"/>
          <w:szCs w:val="20"/>
        </w:rPr>
        <w:t>Review of Accounting Studies</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19</w:t>
      </w:r>
      <w:r w:rsidRPr="00BA06B6">
        <w:rPr>
          <w:rFonts w:asciiTheme="majorBidi" w:eastAsia="Calibri" w:hAnsiTheme="majorBidi" w:cstheme="majorBidi"/>
          <w:noProof/>
          <w:sz w:val="20"/>
          <w:szCs w:val="20"/>
        </w:rPr>
        <w:t>(1), 396-455.</w:t>
      </w:r>
    </w:p>
    <w:p w14:paraId="36100F3A" w14:textId="2858CA50"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rPr>
        <w:t>Cavallo, E., Powell, A., &amp; Rigobon, R. (2013). Do credit rating agencies add value? Evidence from the sovereign rating business. </w:t>
      </w:r>
      <w:r w:rsidRPr="00BA06B6">
        <w:rPr>
          <w:rFonts w:asciiTheme="majorBidi" w:eastAsia="Calibri" w:hAnsiTheme="majorBidi" w:cstheme="majorBidi"/>
          <w:i/>
          <w:iCs/>
          <w:noProof/>
          <w:sz w:val="20"/>
          <w:szCs w:val="20"/>
        </w:rPr>
        <w:t>International Journal of Finance &amp; Economics</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18</w:t>
      </w:r>
      <w:r w:rsidRPr="00BA06B6">
        <w:rPr>
          <w:rFonts w:asciiTheme="majorBidi" w:eastAsia="Calibri" w:hAnsiTheme="majorBidi" w:cstheme="majorBidi"/>
          <w:noProof/>
          <w:sz w:val="20"/>
          <w:szCs w:val="20"/>
        </w:rPr>
        <w:t>(3), 240-265.</w:t>
      </w:r>
    </w:p>
    <w:p w14:paraId="2124E197" w14:textId="1BD84E8E"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 xml:space="preserve">Chan, A. L.-C. Hsu, A. W.-h.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Lee, E. (2013). Does mandatory IFRS adoption affect the credit ratings of foreign firms cross-listed in the US? </w:t>
      </w:r>
      <w:r w:rsidRPr="00BA06B6">
        <w:rPr>
          <w:rFonts w:asciiTheme="majorBidi" w:eastAsia="Calibri" w:hAnsiTheme="majorBidi" w:cstheme="majorBidi"/>
          <w:i/>
          <w:iCs/>
          <w:noProof/>
          <w:sz w:val="20"/>
          <w:szCs w:val="20"/>
          <w:lang w:val="en-US"/>
        </w:rPr>
        <w:t>Accounting Horizons</w:t>
      </w:r>
      <w:r w:rsidRPr="00BA06B6">
        <w:rPr>
          <w:rFonts w:asciiTheme="majorBidi" w:eastAsia="Calibri" w:hAnsiTheme="majorBidi" w:cstheme="majorBidi"/>
          <w:noProof/>
          <w:sz w:val="20"/>
          <w:szCs w:val="20"/>
          <w:lang w:val="en-US"/>
        </w:rPr>
        <w:t>, 27(3), 491-510.</w:t>
      </w:r>
    </w:p>
    <w:p w14:paraId="00B1C5C5" w14:textId="4AB270E2" w:rsidR="003B5A80" w:rsidRPr="00BA06B6" w:rsidRDefault="003B5A80" w:rsidP="003B5A80">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rPr>
        <w:t>Coles, J. L., Daniel, N. D., &amp; Naveen, L. (2008). Boards: Does one size fit all?. </w:t>
      </w:r>
      <w:r w:rsidRPr="00BA06B6">
        <w:rPr>
          <w:rFonts w:asciiTheme="majorBidi" w:eastAsia="Calibri" w:hAnsiTheme="majorBidi" w:cstheme="majorBidi"/>
          <w:i/>
          <w:iCs/>
          <w:noProof/>
          <w:sz w:val="20"/>
          <w:szCs w:val="20"/>
        </w:rPr>
        <w:t>Journal of Financial Economics</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87</w:t>
      </w:r>
      <w:r w:rsidRPr="00BA06B6">
        <w:rPr>
          <w:rFonts w:asciiTheme="majorBidi" w:eastAsia="Calibri" w:hAnsiTheme="majorBidi" w:cstheme="majorBidi"/>
          <w:noProof/>
          <w:sz w:val="20"/>
          <w:szCs w:val="20"/>
        </w:rPr>
        <w:t>(2), 329-356.</w:t>
      </w:r>
    </w:p>
    <w:p w14:paraId="7EAE52F7" w14:textId="02D45A31" w:rsidR="003B5A80" w:rsidRPr="00BA06B6" w:rsidRDefault="003B5A80" w:rsidP="003B5A80">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Conyon, M. J., &amp; Peck, S. I. (1998). Board size and corporate performance: evidence from European countries. </w:t>
      </w:r>
      <w:r w:rsidRPr="00BA06B6">
        <w:rPr>
          <w:rFonts w:asciiTheme="majorBidi" w:eastAsia="Calibri" w:hAnsiTheme="majorBidi" w:cstheme="majorBidi"/>
          <w:i/>
          <w:iCs/>
          <w:noProof/>
          <w:sz w:val="20"/>
          <w:szCs w:val="20"/>
        </w:rPr>
        <w:t>The European Journal of Finance</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4</w:t>
      </w:r>
      <w:r w:rsidRPr="00BA06B6">
        <w:rPr>
          <w:rFonts w:asciiTheme="majorBidi" w:eastAsia="Calibri" w:hAnsiTheme="majorBidi" w:cstheme="majorBidi"/>
          <w:noProof/>
          <w:sz w:val="20"/>
          <w:szCs w:val="20"/>
        </w:rPr>
        <w:t>(3), 291-304.</w:t>
      </w:r>
    </w:p>
    <w:p w14:paraId="1EEF1634" w14:textId="4467A9B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01" w:name="_ENREF_39"/>
      <w:r w:rsidRPr="00BA06B6">
        <w:rPr>
          <w:rFonts w:asciiTheme="majorBidi" w:eastAsia="Calibri" w:hAnsiTheme="majorBidi" w:cstheme="majorBidi"/>
          <w:noProof/>
          <w:sz w:val="20"/>
          <w:szCs w:val="20"/>
          <w:lang w:val="en-US"/>
        </w:rPr>
        <w:t xml:space="preserve">Chapra, M.U.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Ahmed, H. (2002). Corporate governance in Islamic financial institutions. </w:t>
      </w:r>
      <w:bookmarkEnd w:id="101"/>
      <w:r w:rsidRPr="00BA06B6">
        <w:rPr>
          <w:rFonts w:asciiTheme="majorBidi" w:eastAsia="Calibri" w:hAnsiTheme="majorBidi" w:cstheme="majorBidi"/>
          <w:noProof/>
          <w:sz w:val="20"/>
          <w:szCs w:val="20"/>
          <w:lang w:val="en-US"/>
        </w:rPr>
        <w:t>Islamic Development Bank, Islamic Research and Training Institute, Periodical Document No. 6.</w:t>
      </w:r>
    </w:p>
    <w:p w14:paraId="55339325" w14:textId="7777777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02" w:name="_ENREF_40"/>
      <w:r w:rsidRPr="00BA06B6">
        <w:rPr>
          <w:rFonts w:asciiTheme="majorBidi" w:eastAsia="Calibri" w:hAnsiTheme="majorBidi" w:cstheme="majorBidi"/>
          <w:noProof/>
          <w:sz w:val="20"/>
          <w:szCs w:val="20"/>
          <w:lang w:val="en-US"/>
        </w:rPr>
        <w:t xml:space="preserve">Chen, Y.-S. (2012). Classifying credit ratings for Asian banks using integrating feature selection and the CPDA-based rough sets approach. </w:t>
      </w:r>
      <w:r w:rsidRPr="00BA06B6">
        <w:rPr>
          <w:rFonts w:asciiTheme="majorBidi" w:eastAsia="Calibri" w:hAnsiTheme="majorBidi" w:cstheme="majorBidi"/>
          <w:i/>
          <w:iCs/>
          <w:noProof/>
          <w:sz w:val="20"/>
          <w:szCs w:val="20"/>
          <w:lang w:val="en-US"/>
        </w:rPr>
        <w:t>Knowledge-Based Systems</w:t>
      </w:r>
      <w:r w:rsidRPr="00BA06B6">
        <w:rPr>
          <w:rFonts w:asciiTheme="majorBidi" w:eastAsia="Calibri" w:hAnsiTheme="majorBidi" w:cstheme="majorBidi"/>
          <w:noProof/>
          <w:sz w:val="20"/>
          <w:szCs w:val="20"/>
          <w:lang w:val="en-US"/>
        </w:rPr>
        <w:t xml:space="preserve">, 26, 259-270. </w:t>
      </w:r>
      <w:bookmarkEnd w:id="102"/>
    </w:p>
    <w:p w14:paraId="36A0CC82" w14:textId="45DA2AE3"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 xml:space="preserve">Cheng, M.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Subramanyam, K. (2008). Analyst following and credit ratings. </w:t>
      </w:r>
      <w:r w:rsidRPr="00BA06B6">
        <w:rPr>
          <w:rFonts w:asciiTheme="majorBidi" w:eastAsia="Calibri" w:hAnsiTheme="majorBidi" w:cstheme="majorBidi"/>
          <w:i/>
          <w:iCs/>
          <w:noProof/>
          <w:sz w:val="20"/>
          <w:szCs w:val="20"/>
          <w:lang w:val="en-US"/>
        </w:rPr>
        <w:t>Contemporary Accounting Research</w:t>
      </w:r>
      <w:r w:rsidRPr="00BA06B6">
        <w:rPr>
          <w:rFonts w:asciiTheme="majorBidi" w:eastAsia="Calibri" w:hAnsiTheme="majorBidi" w:cstheme="majorBidi"/>
          <w:noProof/>
          <w:sz w:val="20"/>
          <w:szCs w:val="20"/>
          <w:lang w:val="en-US"/>
        </w:rPr>
        <w:t>, 25(4), 1007-1044.</w:t>
      </w:r>
    </w:p>
    <w:p w14:paraId="51D25770" w14:textId="2D40DA74"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03" w:name="_ENREF_41"/>
      <w:r w:rsidRPr="00BA06B6">
        <w:rPr>
          <w:rFonts w:asciiTheme="majorBidi" w:eastAsia="Calibri" w:hAnsiTheme="majorBidi" w:cstheme="majorBidi"/>
          <w:noProof/>
          <w:sz w:val="20"/>
          <w:szCs w:val="20"/>
          <w:lang w:val="en-US"/>
        </w:rPr>
        <w:t xml:space="preserve">Choi, S.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Hasan, I. (2005). Ownership, governance, and bank performance: Korean experience. </w:t>
      </w:r>
      <w:r w:rsidRPr="00BA06B6">
        <w:rPr>
          <w:rFonts w:asciiTheme="majorBidi" w:eastAsia="Calibri" w:hAnsiTheme="majorBidi" w:cstheme="majorBidi"/>
          <w:i/>
          <w:iCs/>
          <w:noProof/>
          <w:sz w:val="20"/>
          <w:szCs w:val="20"/>
          <w:lang w:val="en-US"/>
        </w:rPr>
        <w:t>Financial Markets, Institutions &amp; Instruments</w:t>
      </w:r>
      <w:r w:rsidRPr="00BA06B6">
        <w:rPr>
          <w:rFonts w:asciiTheme="majorBidi" w:eastAsia="Calibri" w:hAnsiTheme="majorBidi" w:cstheme="majorBidi"/>
          <w:noProof/>
          <w:sz w:val="20"/>
          <w:szCs w:val="20"/>
          <w:lang w:val="en-US"/>
        </w:rPr>
        <w:t xml:space="preserve">, 14(4), 215-242. </w:t>
      </w:r>
      <w:bookmarkEnd w:id="103"/>
    </w:p>
    <w:p w14:paraId="0D715715" w14:textId="7CB996CC"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04" w:name="_ENREF_46"/>
      <w:r w:rsidRPr="00BA06B6">
        <w:rPr>
          <w:rFonts w:asciiTheme="majorBidi" w:eastAsia="Calibri" w:hAnsiTheme="majorBidi" w:cstheme="majorBidi"/>
          <w:noProof/>
          <w:sz w:val="20"/>
          <w:szCs w:val="20"/>
          <w:lang w:val="en-US"/>
        </w:rPr>
        <w:t xml:space="preserve">DeBoskey, D. G.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Gillett, P. R. (2013). The impact of multi-dimensional corporate transparency on us firms’ credit ratings and cost of capital. </w:t>
      </w:r>
      <w:r w:rsidRPr="00BA06B6">
        <w:rPr>
          <w:rFonts w:asciiTheme="majorBidi" w:eastAsia="Calibri" w:hAnsiTheme="majorBidi" w:cstheme="majorBidi"/>
          <w:i/>
          <w:iCs/>
          <w:noProof/>
          <w:sz w:val="20"/>
          <w:szCs w:val="20"/>
          <w:lang w:val="en-US"/>
        </w:rPr>
        <w:t>Review of Quantitative Finance and Accounting</w:t>
      </w:r>
      <w:r w:rsidRPr="00BA06B6">
        <w:rPr>
          <w:rFonts w:asciiTheme="majorBidi" w:eastAsia="Calibri" w:hAnsiTheme="majorBidi" w:cstheme="majorBidi"/>
          <w:noProof/>
          <w:sz w:val="20"/>
          <w:szCs w:val="20"/>
          <w:lang w:val="en-US"/>
        </w:rPr>
        <w:t xml:space="preserve">, 40(1), 101-134. </w:t>
      </w:r>
      <w:bookmarkEnd w:id="104"/>
    </w:p>
    <w:p w14:paraId="5026699D" w14:textId="4CF3C00C"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05" w:name="_ENREF_47"/>
      <w:r w:rsidRPr="00BA06B6">
        <w:rPr>
          <w:rFonts w:asciiTheme="majorBidi" w:eastAsia="Calibri" w:hAnsiTheme="majorBidi" w:cstheme="majorBidi"/>
          <w:noProof/>
          <w:sz w:val="20"/>
          <w:szCs w:val="20"/>
          <w:lang w:val="en-US"/>
        </w:rPr>
        <w:t xml:space="preserve">Demirgüç-Kunt, A.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Huizinga, H. (1999). Determinants of commercial bank interest margins and profitability: some international evidence. </w:t>
      </w:r>
      <w:r w:rsidRPr="00BA06B6">
        <w:rPr>
          <w:rFonts w:asciiTheme="majorBidi" w:eastAsia="Calibri" w:hAnsiTheme="majorBidi" w:cstheme="majorBidi"/>
          <w:i/>
          <w:iCs/>
          <w:noProof/>
          <w:sz w:val="20"/>
          <w:szCs w:val="20"/>
          <w:lang w:val="en-US"/>
        </w:rPr>
        <w:t>World Bank Economic Review</w:t>
      </w:r>
      <w:r w:rsidRPr="00BA06B6">
        <w:rPr>
          <w:rFonts w:asciiTheme="majorBidi" w:eastAsia="Calibri" w:hAnsiTheme="majorBidi" w:cstheme="majorBidi"/>
          <w:noProof/>
          <w:sz w:val="20"/>
          <w:szCs w:val="20"/>
          <w:lang w:val="en-US"/>
        </w:rPr>
        <w:t xml:space="preserve">, 13(2), 379-408. </w:t>
      </w:r>
      <w:bookmarkEnd w:id="105"/>
    </w:p>
    <w:p w14:paraId="0927A411" w14:textId="063CFCD0" w:rsidR="003B5A80" w:rsidRPr="00BA06B6" w:rsidRDefault="003B5A80" w:rsidP="003B5A80">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Dhaliwal, D. S., Li, O. Z., Tsang, A., &amp; Yang, Y. G. (2011). Voluntary nonfinancial disclosure and the cost of equity capital: The initiation of corporate social responsibility reporting. </w:t>
      </w:r>
      <w:r w:rsidRPr="00BA06B6">
        <w:rPr>
          <w:rFonts w:asciiTheme="majorBidi" w:eastAsia="Calibri" w:hAnsiTheme="majorBidi" w:cstheme="majorBidi"/>
          <w:i/>
          <w:iCs/>
          <w:noProof/>
          <w:sz w:val="20"/>
          <w:szCs w:val="20"/>
        </w:rPr>
        <w:t>The Accounting Review</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86</w:t>
      </w:r>
      <w:r w:rsidRPr="00BA06B6">
        <w:rPr>
          <w:rFonts w:asciiTheme="majorBidi" w:eastAsia="Calibri" w:hAnsiTheme="majorBidi" w:cstheme="majorBidi"/>
          <w:noProof/>
          <w:sz w:val="20"/>
          <w:szCs w:val="20"/>
        </w:rPr>
        <w:t>(1), 59-100.</w:t>
      </w:r>
    </w:p>
    <w:p w14:paraId="6CAE9395" w14:textId="3E03EEFD"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06" w:name="_ENREF_49"/>
      <w:r w:rsidRPr="00BA06B6">
        <w:rPr>
          <w:rFonts w:asciiTheme="majorBidi" w:eastAsia="Calibri" w:hAnsiTheme="majorBidi" w:cstheme="majorBidi"/>
          <w:noProof/>
          <w:sz w:val="20"/>
          <w:szCs w:val="20"/>
          <w:lang w:val="en-US"/>
        </w:rPr>
        <w:t xml:space="preserve">Duff, A.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Einig, S. (2009). Credit ratings quality: The perceptions of market participants and other interested parties. </w:t>
      </w:r>
      <w:r w:rsidRPr="00BA06B6">
        <w:rPr>
          <w:rFonts w:asciiTheme="majorBidi" w:eastAsia="Calibri" w:hAnsiTheme="majorBidi" w:cstheme="majorBidi"/>
          <w:i/>
          <w:iCs/>
          <w:noProof/>
          <w:sz w:val="20"/>
          <w:szCs w:val="20"/>
          <w:lang w:val="en-US"/>
        </w:rPr>
        <w:t>British Accounting Review</w:t>
      </w:r>
      <w:r w:rsidRPr="00BA06B6">
        <w:rPr>
          <w:rFonts w:asciiTheme="majorBidi" w:eastAsia="Calibri" w:hAnsiTheme="majorBidi" w:cstheme="majorBidi"/>
          <w:noProof/>
          <w:sz w:val="20"/>
          <w:szCs w:val="20"/>
          <w:lang w:val="en-US"/>
        </w:rPr>
        <w:t xml:space="preserve">, 41(3), 141-153. </w:t>
      </w:r>
      <w:bookmarkEnd w:id="106"/>
    </w:p>
    <w:p w14:paraId="5C954D1A" w14:textId="77777777" w:rsidR="003B5A80" w:rsidRPr="00BA06B6" w:rsidRDefault="003B5A80" w:rsidP="003B5A80">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Elamer, A. A., AlHares, A., Ntim, C. G., &amp; Benyazid, I. (2018). The corporate governance–risk-taking nexus: evidence from insurance companies. </w:t>
      </w:r>
      <w:r w:rsidRPr="00BA06B6">
        <w:rPr>
          <w:rFonts w:asciiTheme="majorBidi" w:eastAsia="Calibri" w:hAnsiTheme="majorBidi" w:cstheme="majorBidi"/>
          <w:i/>
          <w:iCs/>
          <w:noProof/>
          <w:sz w:val="20"/>
          <w:szCs w:val="20"/>
        </w:rPr>
        <w:t>International Journal of Ethics and Systems</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34</w:t>
      </w:r>
      <w:r w:rsidRPr="00BA06B6">
        <w:rPr>
          <w:rFonts w:asciiTheme="majorBidi" w:eastAsia="Calibri" w:hAnsiTheme="majorBidi" w:cstheme="majorBidi"/>
          <w:noProof/>
          <w:sz w:val="20"/>
          <w:szCs w:val="20"/>
        </w:rPr>
        <w:t>(4), 493-509.</w:t>
      </w:r>
    </w:p>
    <w:p w14:paraId="66BBCEC3" w14:textId="77777777" w:rsidR="003B5A80" w:rsidRPr="00BA06B6" w:rsidRDefault="003B5A80" w:rsidP="003B5A80">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Elamer, A. A., Ntim, C. G., &amp; Abdou, H. A. (2017). Islamic governance, national governance, and bank risk management and disclosure in MENA countries. </w:t>
      </w:r>
      <w:r w:rsidRPr="00BA06B6">
        <w:rPr>
          <w:rFonts w:asciiTheme="majorBidi" w:eastAsia="Calibri" w:hAnsiTheme="majorBidi" w:cstheme="majorBidi"/>
          <w:i/>
          <w:iCs/>
          <w:noProof/>
          <w:sz w:val="20"/>
          <w:szCs w:val="20"/>
        </w:rPr>
        <w:t>Business &amp; Society</w:t>
      </w:r>
      <w:r w:rsidRPr="00BA06B6">
        <w:rPr>
          <w:rFonts w:asciiTheme="majorBidi" w:eastAsia="Calibri" w:hAnsiTheme="majorBidi" w:cstheme="majorBidi"/>
          <w:noProof/>
          <w:sz w:val="20"/>
          <w:szCs w:val="20"/>
        </w:rPr>
        <w:t>, Forthcoming.</w:t>
      </w:r>
    </w:p>
    <w:p w14:paraId="4DF7F365" w14:textId="77777777" w:rsidR="003B5A80" w:rsidRPr="00BA06B6" w:rsidRDefault="003B5A80" w:rsidP="003B5A80">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Elamer, A. A., Ntim, C. G., Abdou, H. A., &amp; Pyke, C. (2019). Sharia supervisory boards, governance structures and operational risk disclosures: Evidence from Islamic banks in MENA countries. </w:t>
      </w:r>
      <w:r w:rsidRPr="00BA06B6">
        <w:rPr>
          <w:rFonts w:asciiTheme="majorBidi" w:eastAsia="Calibri" w:hAnsiTheme="majorBidi" w:cstheme="majorBidi"/>
          <w:i/>
          <w:iCs/>
          <w:noProof/>
          <w:sz w:val="20"/>
          <w:szCs w:val="20"/>
        </w:rPr>
        <w:t>Global Finance Journal</w:t>
      </w:r>
      <w:r w:rsidRPr="00BA06B6">
        <w:rPr>
          <w:rFonts w:asciiTheme="majorBidi" w:eastAsia="Calibri" w:hAnsiTheme="majorBidi" w:cstheme="majorBidi"/>
          <w:noProof/>
          <w:sz w:val="20"/>
          <w:szCs w:val="20"/>
        </w:rPr>
        <w:t>, Forthcoming.</w:t>
      </w:r>
    </w:p>
    <w:p w14:paraId="3C413A64" w14:textId="77777777" w:rsidR="003B5A80" w:rsidRPr="00BA06B6" w:rsidRDefault="003B5A80" w:rsidP="003B5A80">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 xml:space="preserve">Elamer, A. A., Ntim, C. G., Abdou, H. A., Zalata, A. M., &amp; Elmagrhi, M. (2019). The impact of multi-layer governance on bank risk disclosure in emerging markets: the case of Middle East and North Africa. </w:t>
      </w:r>
      <w:r w:rsidRPr="00BA06B6">
        <w:rPr>
          <w:rFonts w:asciiTheme="majorBidi" w:eastAsia="Calibri" w:hAnsiTheme="majorBidi" w:cstheme="majorBidi"/>
          <w:i/>
          <w:iCs/>
          <w:noProof/>
          <w:sz w:val="20"/>
          <w:szCs w:val="20"/>
        </w:rPr>
        <w:t>Accounting Forum,</w:t>
      </w:r>
      <w:r w:rsidRPr="00BA06B6">
        <w:rPr>
          <w:rFonts w:asciiTheme="majorBidi" w:eastAsia="Calibri" w:hAnsiTheme="majorBidi" w:cstheme="majorBidi"/>
          <w:noProof/>
          <w:sz w:val="20"/>
          <w:szCs w:val="20"/>
        </w:rPr>
        <w:t> 43 (2), 246-281.</w:t>
      </w:r>
    </w:p>
    <w:p w14:paraId="2D69D9DB" w14:textId="77777777" w:rsidR="003B5A80" w:rsidRPr="00BA06B6" w:rsidRDefault="003B5A80" w:rsidP="003B5A80">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rPr>
        <w:t>Elbannan, M. A., &amp; Elbannan, M. A. (2015). Economic consequences of bank disclosure in the financial statements before and during the financial crisis: Evidence from Egypt. </w:t>
      </w:r>
      <w:r w:rsidRPr="00BA06B6">
        <w:rPr>
          <w:rFonts w:asciiTheme="majorBidi" w:eastAsia="Calibri" w:hAnsiTheme="majorBidi" w:cstheme="majorBidi"/>
          <w:i/>
          <w:iCs/>
          <w:noProof/>
          <w:sz w:val="20"/>
          <w:szCs w:val="20"/>
        </w:rPr>
        <w:t>Journal of Accounting, Auditing &amp; Finance</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30</w:t>
      </w:r>
      <w:r w:rsidRPr="00BA06B6">
        <w:rPr>
          <w:rFonts w:asciiTheme="majorBidi" w:eastAsia="Calibri" w:hAnsiTheme="majorBidi" w:cstheme="majorBidi"/>
          <w:noProof/>
          <w:sz w:val="20"/>
          <w:szCs w:val="20"/>
        </w:rPr>
        <w:t>(2), 181-217.</w:t>
      </w:r>
    </w:p>
    <w:p w14:paraId="524E714E" w14:textId="602185B6" w:rsidR="003B5A80" w:rsidRPr="00BA06B6" w:rsidRDefault="003B5A80" w:rsidP="003B5A80">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rPr>
        <w:t>Elghuweel, M. I., Ntim, C. G., Opong, K. K., &amp; Avison, L. (2017). Corporate governance, Islamic governance and earnings management in Oman: A new empirical insights from a behavioural theoretical framework. </w:t>
      </w:r>
      <w:r w:rsidRPr="00BA06B6">
        <w:rPr>
          <w:rFonts w:asciiTheme="majorBidi" w:eastAsia="Calibri" w:hAnsiTheme="majorBidi" w:cstheme="majorBidi"/>
          <w:i/>
          <w:iCs/>
          <w:noProof/>
          <w:sz w:val="20"/>
          <w:szCs w:val="20"/>
        </w:rPr>
        <w:t>Journal of Accounting in Emerging Economies</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7</w:t>
      </w:r>
      <w:r w:rsidRPr="00BA06B6">
        <w:rPr>
          <w:rFonts w:asciiTheme="majorBidi" w:eastAsia="Calibri" w:hAnsiTheme="majorBidi" w:cstheme="majorBidi"/>
          <w:noProof/>
          <w:sz w:val="20"/>
          <w:szCs w:val="20"/>
        </w:rPr>
        <w:t>(2), 190-224.</w:t>
      </w:r>
    </w:p>
    <w:p w14:paraId="0060BC62" w14:textId="71563980"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 xml:space="preserve">Elshandidy, T., Fraser, I., &amp; Hussainey, K. (2014). What drives mandatory and voluntary risk reporting variations across Germany, UK and US? </w:t>
      </w:r>
      <w:r w:rsidRPr="00BA06B6">
        <w:rPr>
          <w:rFonts w:asciiTheme="majorBidi" w:eastAsia="Calibri" w:hAnsiTheme="majorBidi" w:cstheme="majorBidi"/>
          <w:i/>
          <w:noProof/>
          <w:sz w:val="20"/>
          <w:szCs w:val="20"/>
          <w:lang w:val="en-US"/>
        </w:rPr>
        <w:t>The British Accounting Review</w:t>
      </w:r>
      <w:r w:rsidRPr="00BA06B6">
        <w:rPr>
          <w:rFonts w:asciiTheme="majorBidi" w:eastAsia="Calibri" w:hAnsiTheme="majorBidi" w:cstheme="majorBidi"/>
          <w:noProof/>
          <w:sz w:val="20"/>
          <w:szCs w:val="20"/>
          <w:lang w:val="en-US"/>
        </w:rPr>
        <w:t xml:space="preserve">, </w:t>
      </w:r>
      <w:r w:rsidRPr="00BA06B6">
        <w:rPr>
          <w:rFonts w:asciiTheme="majorBidi" w:eastAsia="Calibri" w:hAnsiTheme="majorBidi" w:cstheme="majorBidi"/>
          <w:i/>
          <w:iCs/>
          <w:noProof/>
          <w:sz w:val="20"/>
          <w:szCs w:val="20"/>
          <w:lang w:val="en-US"/>
        </w:rPr>
        <w:t>47</w:t>
      </w:r>
      <w:r w:rsidRPr="00BA06B6">
        <w:rPr>
          <w:rFonts w:asciiTheme="majorBidi" w:eastAsia="Calibri" w:hAnsiTheme="majorBidi" w:cstheme="majorBidi"/>
          <w:noProof/>
          <w:sz w:val="20"/>
          <w:szCs w:val="20"/>
          <w:lang w:val="en-US"/>
        </w:rPr>
        <w:t>(4), 376-394</w:t>
      </w:r>
    </w:p>
    <w:p w14:paraId="1A27BBD1" w14:textId="317A73DA"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lastRenderedPageBreak/>
        <w:t xml:space="preserve">Elshandidy, T.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Neri, L. (2015). Corporate governance, risk disclosure practices, and market liquidity: Comparative evidence from the UK and Italy. </w:t>
      </w:r>
      <w:r w:rsidRPr="00BA06B6">
        <w:rPr>
          <w:rFonts w:asciiTheme="majorBidi" w:eastAsia="Calibri" w:hAnsiTheme="majorBidi" w:cstheme="majorBidi"/>
          <w:i/>
          <w:iCs/>
          <w:noProof/>
          <w:sz w:val="20"/>
          <w:szCs w:val="20"/>
          <w:lang w:val="en-US"/>
        </w:rPr>
        <w:t>Corporate Governance: An International Review</w:t>
      </w:r>
      <w:r w:rsidRPr="00BA06B6">
        <w:rPr>
          <w:rFonts w:asciiTheme="majorBidi" w:eastAsia="Calibri" w:hAnsiTheme="majorBidi" w:cstheme="majorBidi"/>
          <w:noProof/>
          <w:sz w:val="20"/>
          <w:szCs w:val="20"/>
          <w:lang w:val="en-US"/>
        </w:rPr>
        <w:t>, 23(4), 331-356.</w:t>
      </w:r>
    </w:p>
    <w:p w14:paraId="4F5D9C7A" w14:textId="77777777" w:rsidR="003B5A80" w:rsidRPr="00BA06B6" w:rsidRDefault="003B5A80" w:rsidP="003B5A80">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rPr>
        <w:t>Elshandidy, T., &amp; Shrives, P. J. (2016). Environmental incentives for and usefulness of textual risk reporting: Evidence from Germany. </w:t>
      </w:r>
      <w:r w:rsidRPr="00BA06B6">
        <w:rPr>
          <w:rFonts w:asciiTheme="majorBidi" w:eastAsia="Calibri" w:hAnsiTheme="majorBidi" w:cstheme="majorBidi"/>
          <w:i/>
          <w:iCs/>
          <w:noProof/>
          <w:sz w:val="20"/>
          <w:szCs w:val="20"/>
        </w:rPr>
        <w:t>The International Journal of Accounting</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51</w:t>
      </w:r>
      <w:r w:rsidRPr="00BA06B6">
        <w:rPr>
          <w:rFonts w:asciiTheme="majorBidi" w:eastAsia="Calibri" w:hAnsiTheme="majorBidi" w:cstheme="majorBidi"/>
          <w:noProof/>
          <w:sz w:val="20"/>
          <w:szCs w:val="20"/>
        </w:rPr>
        <w:t>(4), 464-486.</w:t>
      </w:r>
    </w:p>
    <w:p w14:paraId="5548DB59" w14:textId="77777777" w:rsidR="003B5A80" w:rsidRPr="00BA06B6" w:rsidRDefault="003B5A80" w:rsidP="003B5A80">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rPr>
        <w:t>Elshandidy, T., Shrives, P. J., Bamber, M., &amp; Abraham, S. (2018). Risk reporting: A review of the literature and implications for future research. </w:t>
      </w:r>
      <w:r w:rsidRPr="00BA06B6">
        <w:rPr>
          <w:rFonts w:asciiTheme="majorBidi" w:eastAsia="Calibri" w:hAnsiTheme="majorBidi" w:cstheme="majorBidi"/>
          <w:i/>
          <w:iCs/>
          <w:noProof/>
          <w:sz w:val="20"/>
          <w:szCs w:val="20"/>
        </w:rPr>
        <w:t>Journal of Accounting Literature</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40</w:t>
      </w:r>
      <w:r w:rsidRPr="00BA06B6">
        <w:rPr>
          <w:rFonts w:asciiTheme="majorBidi" w:eastAsia="Calibri" w:hAnsiTheme="majorBidi" w:cstheme="majorBidi"/>
          <w:noProof/>
          <w:sz w:val="20"/>
          <w:szCs w:val="20"/>
        </w:rPr>
        <w:t>, 54-82.</w:t>
      </w:r>
    </w:p>
    <w:p w14:paraId="5945370C" w14:textId="7A327CD2" w:rsidR="003B5A80" w:rsidRPr="00BA06B6" w:rsidRDefault="003B5A80" w:rsidP="003B5A80">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Elzahar, H., &amp; Hussainey, K. (2012). Determinants of narrative risk disclosures in UK interim reports. </w:t>
      </w:r>
      <w:r w:rsidRPr="00BA06B6">
        <w:rPr>
          <w:rFonts w:asciiTheme="majorBidi" w:eastAsia="Calibri" w:hAnsiTheme="majorBidi" w:cstheme="majorBidi"/>
          <w:i/>
          <w:iCs/>
          <w:noProof/>
          <w:sz w:val="20"/>
          <w:szCs w:val="20"/>
        </w:rPr>
        <w:t>The Journal of Risk Finance</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13</w:t>
      </w:r>
      <w:r w:rsidRPr="00BA06B6">
        <w:rPr>
          <w:rFonts w:asciiTheme="majorBidi" w:eastAsia="Calibri" w:hAnsiTheme="majorBidi" w:cstheme="majorBidi"/>
          <w:noProof/>
          <w:sz w:val="20"/>
          <w:szCs w:val="20"/>
        </w:rPr>
        <w:t>(2), 133-147.</w:t>
      </w:r>
    </w:p>
    <w:p w14:paraId="015D0DF5" w14:textId="46F3E2E0"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07" w:name="_ENREF_58"/>
      <w:r w:rsidRPr="00BA06B6">
        <w:rPr>
          <w:rFonts w:asciiTheme="majorBidi" w:eastAsia="Calibri" w:hAnsiTheme="majorBidi" w:cstheme="majorBidi"/>
          <w:noProof/>
          <w:sz w:val="20"/>
          <w:szCs w:val="20"/>
          <w:lang w:val="en-US"/>
        </w:rPr>
        <w:t xml:space="preserve">Ernst,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Young. (2012). Growing beyond: DNA of successful transformation. Ernst and Young. </w:t>
      </w:r>
      <w:bookmarkEnd w:id="107"/>
    </w:p>
    <w:p w14:paraId="69ED275B" w14:textId="414413FB"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08" w:name="_ENREF_60"/>
      <w:r w:rsidRPr="00BA06B6">
        <w:rPr>
          <w:rFonts w:asciiTheme="majorBidi" w:eastAsia="Calibri" w:hAnsiTheme="majorBidi" w:cstheme="majorBidi"/>
          <w:noProof/>
          <w:sz w:val="20"/>
          <w:szCs w:val="20"/>
          <w:lang w:val="en-US"/>
        </w:rPr>
        <w:t xml:space="preserve">Fama, E.F.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Jensen, M.C. (1983). Separation of ownership and control. </w:t>
      </w:r>
      <w:r w:rsidRPr="00BA06B6">
        <w:rPr>
          <w:rFonts w:asciiTheme="majorBidi" w:eastAsia="Calibri" w:hAnsiTheme="majorBidi" w:cstheme="majorBidi"/>
          <w:i/>
          <w:iCs/>
          <w:noProof/>
          <w:sz w:val="20"/>
          <w:szCs w:val="20"/>
          <w:lang w:val="en-US"/>
        </w:rPr>
        <w:t>Journal of law and economics</w:t>
      </w:r>
      <w:r w:rsidRPr="00BA06B6">
        <w:rPr>
          <w:rFonts w:asciiTheme="majorBidi" w:eastAsia="Calibri" w:hAnsiTheme="majorBidi" w:cstheme="majorBidi"/>
          <w:noProof/>
          <w:sz w:val="20"/>
          <w:szCs w:val="20"/>
          <w:lang w:val="en-US"/>
        </w:rPr>
        <w:t xml:space="preserve">,26(2), 301-325. </w:t>
      </w:r>
      <w:bookmarkEnd w:id="108"/>
    </w:p>
    <w:p w14:paraId="1854EC93" w14:textId="5653C1BC" w:rsidR="003B5A80" w:rsidRPr="00BA06B6" w:rsidRDefault="003B5A80" w:rsidP="003B5A80">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Filzen, J. J. (2015). The information content of risk factor disclosures in quarterly reports. </w:t>
      </w:r>
      <w:r w:rsidRPr="00BA06B6">
        <w:rPr>
          <w:rFonts w:asciiTheme="majorBidi" w:eastAsia="Calibri" w:hAnsiTheme="majorBidi" w:cstheme="majorBidi"/>
          <w:i/>
          <w:iCs/>
          <w:noProof/>
          <w:sz w:val="20"/>
          <w:szCs w:val="20"/>
        </w:rPr>
        <w:t>Accounting Horizons</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29</w:t>
      </w:r>
      <w:r w:rsidRPr="00BA06B6">
        <w:rPr>
          <w:rFonts w:asciiTheme="majorBidi" w:eastAsia="Calibri" w:hAnsiTheme="majorBidi" w:cstheme="majorBidi"/>
          <w:noProof/>
          <w:sz w:val="20"/>
          <w:szCs w:val="20"/>
        </w:rPr>
        <w:t>(4), 887-916.</w:t>
      </w:r>
    </w:p>
    <w:p w14:paraId="4A0BB8AA" w14:textId="7777777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09" w:name="_ENREF_63"/>
      <w:r w:rsidRPr="00BA06B6">
        <w:rPr>
          <w:rFonts w:asciiTheme="majorBidi" w:eastAsia="Calibri" w:hAnsiTheme="majorBidi" w:cstheme="majorBidi"/>
          <w:noProof/>
          <w:sz w:val="20"/>
          <w:szCs w:val="20"/>
          <w:lang w:val="en-US"/>
        </w:rPr>
        <w:t>Fitch Ratings. (2004). Credit policy special report, evaluating corporate governance: the bondholders’ perspective. New York.</w:t>
      </w:r>
      <w:bookmarkEnd w:id="109"/>
      <w:r w:rsidRPr="00BA06B6">
        <w:rPr>
          <w:rFonts w:asciiTheme="majorBidi" w:eastAsia="Calibri" w:hAnsiTheme="majorBidi" w:cstheme="majorBidi"/>
          <w:noProof/>
          <w:sz w:val="20"/>
          <w:szCs w:val="20"/>
          <w:lang w:val="en-US"/>
        </w:rPr>
        <w:t xml:space="preserve"> http://www.unece.org/fileadmin/DAM/ie/wp8/documents/corpgov/olson_corpgov.pdf</w:t>
      </w:r>
    </w:p>
    <w:p w14:paraId="3EB82AC6" w14:textId="7777777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10" w:name="_ENREF_64"/>
      <w:r w:rsidRPr="00BA06B6">
        <w:rPr>
          <w:rFonts w:asciiTheme="majorBidi" w:eastAsia="Calibri" w:hAnsiTheme="majorBidi" w:cstheme="majorBidi"/>
          <w:noProof/>
          <w:sz w:val="20"/>
          <w:szCs w:val="20"/>
          <w:lang w:val="en-US"/>
        </w:rPr>
        <w:t xml:space="preserve">Fitch Ratings. (2015). International issuer and credit rating scales. New York. </w:t>
      </w:r>
      <w:bookmarkEnd w:id="110"/>
      <w:r w:rsidRPr="00BA06B6">
        <w:rPr>
          <w:rFonts w:asciiTheme="majorBidi" w:eastAsia="Calibri" w:hAnsiTheme="majorBidi" w:cstheme="majorBidi"/>
          <w:noProof/>
          <w:sz w:val="20"/>
          <w:szCs w:val="20"/>
          <w:lang w:val="en-US"/>
        </w:rPr>
        <w:t>https://www.fitchratings.com/site/ fitch -home/definitions/internationalratings</w:t>
      </w:r>
    </w:p>
    <w:p w14:paraId="3A4DBFAD" w14:textId="7777777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11" w:name="_ENREF_67"/>
      <w:r w:rsidRPr="00BA06B6">
        <w:rPr>
          <w:rFonts w:asciiTheme="majorBidi" w:eastAsia="Calibri" w:hAnsiTheme="majorBidi" w:cstheme="majorBidi"/>
          <w:noProof/>
          <w:sz w:val="20"/>
          <w:szCs w:val="20"/>
          <w:lang w:val="en-US"/>
        </w:rPr>
        <w:t xml:space="preserve">Grassa, R. (2015). Corporate governance and credit rating in Islamic banks: Does </w:t>
      </w:r>
      <w:r w:rsidRPr="00BA06B6">
        <w:rPr>
          <w:rFonts w:asciiTheme="majorBidi" w:eastAsia="Calibri" w:hAnsiTheme="majorBidi" w:cstheme="majorBidi"/>
          <w:i/>
          <w:iCs/>
          <w:noProof/>
          <w:sz w:val="20"/>
          <w:szCs w:val="20"/>
          <w:lang w:val="en-US"/>
        </w:rPr>
        <w:t xml:space="preserve">Shariah </w:t>
      </w:r>
      <w:r w:rsidRPr="00BA06B6">
        <w:rPr>
          <w:rFonts w:asciiTheme="majorBidi" w:eastAsia="Calibri" w:hAnsiTheme="majorBidi" w:cstheme="majorBidi"/>
          <w:noProof/>
          <w:sz w:val="20"/>
          <w:szCs w:val="20"/>
          <w:lang w:val="en-US"/>
        </w:rPr>
        <w:t xml:space="preserve">h governance matters? </w:t>
      </w:r>
      <w:r w:rsidRPr="00BA06B6">
        <w:rPr>
          <w:rFonts w:asciiTheme="majorBidi" w:eastAsia="Calibri" w:hAnsiTheme="majorBidi" w:cstheme="majorBidi"/>
          <w:i/>
          <w:iCs/>
          <w:noProof/>
          <w:sz w:val="20"/>
          <w:szCs w:val="20"/>
          <w:lang w:val="en-US"/>
        </w:rPr>
        <w:t>Journal of Management &amp; Governance</w:t>
      </w:r>
      <w:r w:rsidRPr="00BA06B6">
        <w:rPr>
          <w:rFonts w:asciiTheme="majorBidi" w:eastAsia="Calibri" w:hAnsiTheme="majorBidi" w:cstheme="majorBidi"/>
          <w:noProof/>
          <w:sz w:val="20"/>
          <w:szCs w:val="20"/>
          <w:lang w:val="en-US"/>
        </w:rPr>
        <w:t xml:space="preserve">, 1-32. </w:t>
      </w:r>
      <w:bookmarkEnd w:id="111"/>
    </w:p>
    <w:p w14:paraId="53BF3034" w14:textId="7777777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12" w:name="_ENREF_68"/>
      <w:r w:rsidRPr="00BA06B6">
        <w:rPr>
          <w:rFonts w:asciiTheme="majorBidi" w:eastAsia="Calibri" w:hAnsiTheme="majorBidi" w:cstheme="majorBidi"/>
          <w:noProof/>
          <w:sz w:val="20"/>
          <w:szCs w:val="20"/>
          <w:lang w:val="en-US"/>
        </w:rPr>
        <w:t xml:space="preserve">Greco, G. (2012). The management's reaction to new mandatory risk disclosure: A longitudinal study on Italian listed companies. </w:t>
      </w:r>
      <w:r w:rsidRPr="00BA06B6">
        <w:rPr>
          <w:rFonts w:asciiTheme="majorBidi" w:eastAsia="Calibri" w:hAnsiTheme="majorBidi" w:cstheme="majorBidi"/>
          <w:i/>
          <w:iCs/>
          <w:noProof/>
          <w:sz w:val="20"/>
          <w:szCs w:val="20"/>
          <w:lang w:val="en-US"/>
        </w:rPr>
        <w:t>Corporate Communications: An International Journal</w:t>
      </w:r>
      <w:r w:rsidRPr="00BA06B6">
        <w:rPr>
          <w:rFonts w:asciiTheme="majorBidi" w:eastAsia="Calibri" w:hAnsiTheme="majorBidi" w:cstheme="majorBidi"/>
          <w:noProof/>
          <w:sz w:val="20"/>
          <w:szCs w:val="20"/>
          <w:lang w:val="en-US"/>
        </w:rPr>
        <w:t xml:space="preserve">, 17(2), 113-137. </w:t>
      </w:r>
      <w:bookmarkEnd w:id="112"/>
    </w:p>
    <w:p w14:paraId="68A92B5B" w14:textId="246D818C"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13" w:name="_ENREF_71"/>
      <w:r w:rsidRPr="00BA06B6">
        <w:rPr>
          <w:rFonts w:asciiTheme="majorBidi" w:eastAsia="Calibri" w:hAnsiTheme="majorBidi" w:cstheme="majorBidi"/>
          <w:noProof/>
          <w:sz w:val="20"/>
          <w:szCs w:val="20"/>
          <w:lang w:val="en-US"/>
        </w:rPr>
        <w:t xml:space="preserve">Hasan, I. Kobeissi, N.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Song, L. (2014). Corporate governance, investor protection, and firm performance in MENA countries. </w:t>
      </w:r>
      <w:r w:rsidRPr="00BA06B6">
        <w:rPr>
          <w:rFonts w:asciiTheme="majorBidi" w:eastAsia="Calibri" w:hAnsiTheme="majorBidi" w:cstheme="majorBidi"/>
          <w:i/>
          <w:iCs/>
          <w:noProof/>
          <w:sz w:val="20"/>
          <w:szCs w:val="20"/>
          <w:lang w:val="en-US"/>
        </w:rPr>
        <w:t>Middle East Development Journal</w:t>
      </w:r>
      <w:r w:rsidRPr="00BA06B6">
        <w:rPr>
          <w:rFonts w:asciiTheme="majorBidi" w:eastAsia="Calibri" w:hAnsiTheme="majorBidi" w:cstheme="majorBidi"/>
          <w:noProof/>
          <w:sz w:val="20"/>
          <w:szCs w:val="20"/>
          <w:lang w:val="en-US"/>
        </w:rPr>
        <w:t xml:space="preserve">, 6(1), 84-107. </w:t>
      </w:r>
      <w:bookmarkEnd w:id="113"/>
    </w:p>
    <w:p w14:paraId="3CF1348D" w14:textId="7777777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14" w:name="_ENREF_72"/>
      <w:r w:rsidRPr="00BA06B6">
        <w:rPr>
          <w:rFonts w:asciiTheme="majorBidi" w:eastAsia="Calibri" w:hAnsiTheme="majorBidi" w:cstheme="majorBidi"/>
          <w:noProof/>
          <w:sz w:val="20"/>
          <w:szCs w:val="20"/>
          <w:lang w:val="en-US"/>
        </w:rPr>
        <w:t xml:space="preserve">Hasan, Z. (2011). Shariah governance in Islamic financial institutions in Malaysia, GCC countries and the UK. (Doctoral thesis). Retrieved from http://etheses.dur.ac.uk/810/   </w:t>
      </w:r>
      <w:bookmarkEnd w:id="114"/>
    </w:p>
    <w:p w14:paraId="0C79CDAF" w14:textId="13E8C68F"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 xml:space="preserve">Hassan, M. K., &amp; Aliyu, S. (2018). A contemporary survey of islamic banking literature. </w:t>
      </w:r>
      <w:r w:rsidRPr="00BA06B6">
        <w:rPr>
          <w:rFonts w:asciiTheme="majorBidi" w:eastAsia="Calibri" w:hAnsiTheme="majorBidi" w:cstheme="majorBidi"/>
          <w:i/>
          <w:noProof/>
          <w:sz w:val="20"/>
          <w:szCs w:val="20"/>
          <w:lang w:val="en-US"/>
        </w:rPr>
        <w:t>Journal of Financial Stability, 34</w:t>
      </w:r>
      <w:r w:rsidRPr="00BA06B6">
        <w:rPr>
          <w:rFonts w:asciiTheme="majorBidi" w:eastAsia="Calibri" w:hAnsiTheme="majorBidi" w:cstheme="majorBidi"/>
          <w:noProof/>
          <w:sz w:val="20"/>
          <w:szCs w:val="20"/>
          <w:lang w:val="en-US"/>
        </w:rPr>
        <w:t xml:space="preserve">, 12-43. </w:t>
      </w:r>
    </w:p>
    <w:p w14:paraId="080AB0FA" w14:textId="3BA18D53" w:rsidR="003B5A80" w:rsidRPr="00BA06B6" w:rsidRDefault="003B5A80" w:rsidP="003B5A80">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He, G. (2018). Credit ratings and managerial voluntary disclosures. The Financial Review 53(2): 337-378</w:t>
      </w:r>
    </w:p>
    <w:p w14:paraId="7D5185A4" w14:textId="77777777" w:rsidR="003B5A80" w:rsidRPr="00BA06B6" w:rsidRDefault="003B5A80" w:rsidP="003B5A80">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Healy, P. M., &amp; Palepu, K. G. (1993). The effect of firms' financial disclosure strategies on stock prices. </w:t>
      </w:r>
      <w:r w:rsidRPr="00BA06B6">
        <w:rPr>
          <w:rFonts w:asciiTheme="majorBidi" w:eastAsia="Calibri" w:hAnsiTheme="majorBidi" w:cstheme="majorBidi"/>
          <w:i/>
          <w:iCs/>
          <w:noProof/>
          <w:sz w:val="20"/>
          <w:szCs w:val="20"/>
        </w:rPr>
        <w:t>Accounting Horizons</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7</w:t>
      </w:r>
      <w:r w:rsidRPr="00BA06B6">
        <w:rPr>
          <w:rFonts w:asciiTheme="majorBidi" w:eastAsia="Calibri" w:hAnsiTheme="majorBidi" w:cstheme="majorBidi"/>
          <w:noProof/>
          <w:sz w:val="20"/>
          <w:szCs w:val="20"/>
        </w:rPr>
        <w:t>(1), 1.</w:t>
      </w:r>
    </w:p>
    <w:p w14:paraId="3B80E681" w14:textId="77777777" w:rsidR="003B5A80" w:rsidRPr="00BA06B6" w:rsidRDefault="003B5A80" w:rsidP="003B5A80">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Healy, P. M., &amp; Palepu, K. G. (1995). The challenges of investor communication The case of CUC International, Inc. </w:t>
      </w:r>
      <w:r w:rsidRPr="00BA06B6">
        <w:rPr>
          <w:rFonts w:asciiTheme="majorBidi" w:eastAsia="Calibri" w:hAnsiTheme="majorBidi" w:cstheme="majorBidi"/>
          <w:i/>
          <w:iCs/>
          <w:noProof/>
          <w:sz w:val="20"/>
          <w:szCs w:val="20"/>
        </w:rPr>
        <w:t>Journal of Financial Economics</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38</w:t>
      </w:r>
      <w:r w:rsidRPr="00BA06B6">
        <w:rPr>
          <w:rFonts w:asciiTheme="majorBidi" w:eastAsia="Calibri" w:hAnsiTheme="majorBidi" w:cstheme="majorBidi"/>
          <w:noProof/>
          <w:sz w:val="20"/>
          <w:szCs w:val="20"/>
        </w:rPr>
        <w:t>(2), 111-140.</w:t>
      </w:r>
    </w:p>
    <w:p w14:paraId="3FB77D5F" w14:textId="10DDA938" w:rsidR="003B5A80" w:rsidRPr="00BA06B6" w:rsidRDefault="003B5A80" w:rsidP="003B5A80">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Healy, P. M., &amp; Palepu, K. G. (2001). Information asymmetry, corporate disclosure, and the capital markets: A review of the empirical disclosure literature. </w:t>
      </w:r>
      <w:r w:rsidRPr="00BA06B6">
        <w:rPr>
          <w:rFonts w:asciiTheme="majorBidi" w:eastAsia="Calibri" w:hAnsiTheme="majorBidi" w:cstheme="majorBidi"/>
          <w:i/>
          <w:iCs/>
          <w:noProof/>
          <w:sz w:val="20"/>
          <w:szCs w:val="20"/>
        </w:rPr>
        <w:t>Journal of Accounting and Economics</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31</w:t>
      </w:r>
      <w:r w:rsidRPr="00BA06B6">
        <w:rPr>
          <w:rFonts w:asciiTheme="majorBidi" w:eastAsia="Calibri" w:hAnsiTheme="majorBidi" w:cstheme="majorBidi"/>
          <w:noProof/>
          <w:sz w:val="20"/>
          <w:szCs w:val="20"/>
        </w:rPr>
        <w:t>(1-3), 405-440.</w:t>
      </w:r>
    </w:p>
    <w:p w14:paraId="37D4587D" w14:textId="2B10097F"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15" w:name="_ENREF_75"/>
      <w:r w:rsidRPr="00BA06B6">
        <w:rPr>
          <w:rFonts w:asciiTheme="majorBidi" w:eastAsia="Calibri" w:hAnsiTheme="majorBidi" w:cstheme="majorBidi"/>
          <w:noProof/>
          <w:sz w:val="20"/>
          <w:szCs w:val="20"/>
          <w:lang w:val="en-US"/>
        </w:rPr>
        <w:t xml:space="preserve">Heflin, F. Shaw, K.W.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Wild, J.J. (2011). Credit ratings and disclosure channels. </w:t>
      </w:r>
      <w:r w:rsidRPr="00BA06B6">
        <w:rPr>
          <w:rFonts w:asciiTheme="majorBidi" w:eastAsia="Calibri" w:hAnsiTheme="majorBidi" w:cstheme="majorBidi"/>
          <w:i/>
          <w:iCs/>
          <w:noProof/>
          <w:sz w:val="20"/>
          <w:szCs w:val="20"/>
          <w:lang w:val="en-US"/>
        </w:rPr>
        <w:t>Research in Accounting Regulation</w:t>
      </w:r>
      <w:r w:rsidRPr="00BA06B6">
        <w:rPr>
          <w:rFonts w:asciiTheme="majorBidi" w:eastAsia="Calibri" w:hAnsiTheme="majorBidi" w:cstheme="majorBidi"/>
          <w:noProof/>
          <w:sz w:val="20"/>
          <w:szCs w:val="20"/>
          <w:lang w:val="en-US"/>
        </w:rPr>
        <w:t xml:space="preserve">, 23(1), 20-33. </w:t>
      </w:r>
      <w:bookmarkEnd w:id="115"/>
    </w:p>
    <w:p w14:paraId="685389CD" w14:textId="43ACB888"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16" w:name="_ENREF_78"/>
      <w:r w:rsidRPr="00BA06B6">
        <w:rPr>
          <w:rFonts w:asciiTheme="majorBidi" w:eastAsia="Calibri" w:hAnsiTheme="majorBidi" w:cstheme="majorBidi"/>
          <w:noProof/>
          <w:sz w:val="20"/>
          <w:szCs w:val="20"/>
          <w:lang w:val="en-US"/>
        </w:rPr>
        <w:t xml:space="preserve">Hertig, G. (2006). Basel II and fostering the disclosure of banks' internal credit ratings. </w:t>
      </w:r>
      <w:r w:rsidRPr="00BA06B6">
        <w:rPr>
          <w:rFonts w:asciiTheme="majorBidi" w:eastAsia="Calibri" w:hAnsiTheme="majorBidi" w:cstheme="majorBidi"/>
          <w:i/>
          <w:iCs/>
          <w:noProof/>
          <w:sz w:val="20"/>
          <w:szCs w:val="20"/>
          <w:lang w:val="en-US"/>
        </w:rPr>
        <w:t>European Business Organization Law Review</w:t>
      </w:r>
      <w:r w:rsidRPr="00BA06B6">
        <w:rPr>
          <w:rFonts w:asciiTheme="majorBidi" w:eastAsia="Calibri" w:hAnsiTheme="majorBidi" w:cstheme="majorBidi"/>
          <w:noProof/>
          <w:sz w:val="20"/>
          <w:szCs w:val="20"/>
          <w:lang w:val="en-US"/>
        </w:rPr>
        <w:t>, 7(03), 625-646.</w:t>
      </w:r>
    </w:p>
    <w:p w14:paraId="53E9235A" w14:textId="77777777" w:rsidR="003B5A80" w:rsidRPr="00BA06B6" w:rsidRDefault="003B5A80" w:rsidP="003B5A80">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Heinle, M. S., &amp; Smith, K. C. (2017). A theory of risk disclosure. </w:t>
      </w:r>
      <w:r w:rsidRPr="00BA06B6">
        <w:rPr>
          <w:rFonts w:asciiTheme="majorBidi" w:eastAsia="Calibri" w:hAnsiTheme="majorBidi" w:cstheme="majorBidi"/>
          <w:i/>
          <w:iCs/>
          <w:noProof/>
          <w:sz w:val="20"/>
          <w:szCs w:val="20"/>
        </w:rPr>
        <w:t>Review of Accounting Studies</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22</w:t>
      </w:r>
      <w:r w:rsidRPr="00BA06B6">
        <w:rPr>
          <w:rFonts w:asciiTheme="majorBidi" w:eastAsia="Calibri" w:hAnsiTheme="majorBidi" w:cstheme="majorBidi"/>
          <w:noProof/>
          <w:sz w:val="20"/>
          <w:szCs w:val="20"/>
        </w:rPr>
        <w:t>(4), 1459-1491.</w:t>
      </w:r>
    </w:p>
    <w:p w14:paraId="31FE0717" w14:textId="77777777" w:rsidR="003B5A80" w:rsidRPr="00BA06B6" w:rsidRDefault="003B5A80" w:rsidP="003B5A80">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Hope, O. K., Hu, D., &amp; Lu, H. (2016). The benefits of specific risk-factor disclosures. </w:t>
      </w:r>
      <w:r w:rsidRPr="00BA06B6">
        <w:rPr>
          <w:rFonts w:asciiTheme="majorBidi" w:eastAsia="Calibri" w:hAnsiTheme="majorBidi" w:cstheme="majorBidi"/>
          <w:i/>
          <w:iCs/>
          <w:noProof/>
          <w:sz w:val="20"/>
          <w:szCs w:val="20"/>
        </w:rPr>
        <w:t>Review of Accounting Studies</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21</w:t>
      </w:r>
      <w:r w:rsidRPr="00BA06B6">
        <w:rPr>
          <w:rFonts w:asciiTheme="majorBidi" w:eastAsia="Calibri" w:hAnsiTheme="majorBidi" w:cstheme="majorBidi"/>
          <w:noProof/>
          <w:sz w:val="20"/>
          <w:szCs w:val="20"/>
        </w:rPr>
        <w:t>(4), 1005-1045.</w:t>
      </w:r>
    </w:p>
    <w:p w14:paraId="543016D7" w14:textId="0CFEE6CA" w:rsidR="003B5A80" w:rsidRPr="00BA06B6" w:rsidRDefault="003B5A80" w:rsidP="003B5A80">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Hovakimian, A.G., A. Kayhan, &amp; S. Titman, 2010. Credit rating targets. Working paper, University of Texas at Austin.</w:t>
      </w:r>
    </w:p>
    <w:p w14:paraId="67DA67DE" w14:textId="64161485"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 xml:space="preserve">Iannotta, G., Nocera, G., &amp; Resti, A. (2013). Do investors care about credit ratings? An analysis through the cycle. </w:t>
      </w:r>
      <w:r w:rsidRPr="00BA06B6">
        <w:rPr>
          <w:rFonts w:asciiTheme="majorBidi" w:eastAsia="Calibri" w:hAnsiTheme="majorBidi" w:cstheme="majorBidi"/>
          <w:i/>
          <w:noProof/>
          <w:sz w:val="20"/>
          <w:szCs w:val="20"/>
          <w:lang w:val="en-US"/>
        </w:rPr>
        <w:t>Journal of Financial Stability, 9</w:t>
      </w:r>
      <w:r w:rsidRPr="00BA06B6">
        <w:rPr>
          <w:rFonts w:asciiTheme="majorBidi" w:eastAsia="Calibri" w:hAnsiTheme="majorBidi" w:cstheme="majorBidi"/>
          <w:noProof/>
          <w:sz w:val="20"/>
          <w:szCs w:val="20"/>
          <w:lang w:val="en-US"/>
        </w:rPr>
        <w:t xml:space="preserve">(4), 545-555. </w:t>
      </w:r>
    </w:p>
    <w:p w14:paraId="40CFAD27" w14:textId="7777777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17" w:name="_ENREF_81"/>
      <w:bookmarkEnd w:id="116"/>
      <w:r w:rsidRPr="00BA06B6">
        <w:rPr>
          <w:rFonts w:asciiTheme="majorBidi" w:eastAsia="Calibri" w:hAnsiTheme="majorBidi" w:cstheme="majorBidi"/>
          <w:noProof/>
          <w:sz w:val="20"/>
          <w:szCs w:val="20"/>
          <w:lang w:val="en-US"/>
        </w:rPr>
        <w:t xml:space="preserve">Iatridis, G. (2008). Accounting disclosure and firms' financial attributes: Evidence from the UK stock market. </w:t>
      </w:r>
      <w:r w:rsidRPr="00BA06B6">
        <w:rPr>
          <w:rFonts w:asciiTheme="majorBidi" w:eastAsia="Calibri" w:hAnsiTheme="majorBidi" w:cstheme="majorBidi"/>
          <w:i/>
          <w:iCs/>
          <w:noProof/>
          <w:sz w:val="20"/>
          <w:szCs w:val="20"/>
          <w:lang w:val="en-US"/>
        </w:rPr>
        <w:t>International Review of Financial Analysis</w:t>
      </w:r>
      <w:r w:rsidRPr="00BA06B6">
        <w:rPr>
          <w:rFonts w:asciiTheme="majorBidi" w:eastAsia="Calibri" w:hAnsiTheme="majorBidi" w:cstheme="majorBidi"/>
          <w:noProof/>
          <w:sz w:val="20"/>
          <w:szCs w:val="20"/>
          <w:lang w:val="en-US"/>
        </w:rPr>
        <w:t xml:space="preserve">, 17(2), 219-241. </w:t>
      </w:r>
      <w:bookmarkEnd w:id="117"/>
    </w:p>
    <w:p w14:paraId="7A329485" w14:textId="7777777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18" w:name="_ENREF_82"/>
      <w:r w:rsidRPr="00BA06B6">
        <w:rPr>
          <w:rFonts w:asciiTheme="majorBidi" w:eastAsia="Calibri" w:hAnsiTheme="majorBidi" w:cstheme="majorBidi"/>
          <w:noProof/>
          <w:sz w:val="20"/>
          <w:szCs w:val="20"/>
          <w:lang w:val="en-US"/>
        </w:rPr>
        <w:t xml:space="preserve">Jensen, M.C. (1993). The modern industrial revolution, exit, and the failure of internal control systems. </w:t>
      </w:r>
      <w:r w:rsidRPr="00BA06B6">
        <w:rPr>
          <w:rFonts w:asciiTheme="majorBidi" w:eastAsia="Calibri" w:hAnsiTheme="majorBidi" w:cstheme="majorBidi"/>
          <w:i/>
          <w:iCs/>
          <w:noProof/>
          <w:sz w:val="20"/>
          <w:szCs w:val="20"/>
          <w:lang w:val="en-US"/>
        </w:rPr>
        <w:t>Journal of Finance</w:t>
      </w:r>
      <w:r w:rsidRPr="00BA06B6">
        <w:rPr>
          <w:rFonts w:asciiTheme="majorBidi" w:eastAsia="Calibri" w:hAnsiTheme="majorBidi" w:cstheme="majorBidi"/>
          <w:noProof/>
          <w:sz w:val="20"/>
          <w:szCs w:val="20"/>
          <w:lang w:val="en-US"/>
        </w:rPr>
        <w:t xml:space="preserve">, 48(3), 831-880. </w:t>
      </w:r>
      <w:bookmarkEnd w:id="118"/>
    </w:p>
    <w:p w14:paraId="0178ACFA" w14:textId="5B8CD4EF"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19" w:name="_ENREF_83"/>
      <w:r w:rsidRPr="00BA06B6">
        <w:rPr>
          <w:rFonts w:asciiTheme="majorBidi" w:eastAsia="Calibri" w:hAnsiTheme="majorBidi" w:cstheme="majorBidi"/>
          <w:noProof/>
          <w:sz w:val="20"/>
          <w:szCs w:val="20"/>
          <w:lang w:val="en-US"/>
        </w:rPr>
        <w:t xml:space="preserve">Jensen, M.C.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Meckling, W.H. (1976). Theory of the firm: Managerial behavior, agency costs and ownership structure. </w:t>
      </w:r>
      <w:r w:rsidRPr="00BA06B6">
        <w:rPr>
          <w:rFonts w:asciiTheme="majorBidi" w:eastAsia="Calibri" w:hAnsiTheme="majorBidi" w:cstheme="majorBidi"/>
          <w:i/>
          <w:iCs/>
          <w:noProof/>
          <w:sz w:val="20"/>
          <w:szCs w:val="20"/>
          <w:lang w:val="en-US"/>
        </w:rPr>
        <w:t>Journal of Financial Economics</w:t>
      </w:r>
      <w:r w:rsidRPr="00BA06B6">
        <w:rPr>
          <w:rFonts w:asciiTheme="majorBidi" w:eastAsia="Calibri" w:hAnsiTheme="majorBidi" w:cstheme="majorBidi"/>
          <w:noProof/>
          <w:sz w:val="20"/>
          <w:szCs w:val="20"/>
          <w:lang w:val="en-US"/>
        </w:rPr>
        <w:t xml:space="preserve">, 3(4), 305-360. </w:t>
      </w:r>
      <w:bookmarkEnd w:id="119"/>
    </w:p>
    <w:p w14:paraId="0D90B3A3" w14:textId="3C4BB43D"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 xml:space="preserve">Jorion, P. Shi, C.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Zhang, S. (2009). Tightening credit standards: the role of accounting quality. </w:t>
      </w:r>
      <w:r w:rsidRPr="00BA06B6">
        <w:rPr>
          <w:rFonts w:asciiTheme="majorBidi" w:eastAsia="Calibri" w:hAnsiTheme="majorBidi" w:cstheme="majorBidi"/>
          <w:i/>
          <w:iCs/>
          <w:noProof/>
          <w:sz w:val="20"/>
          <w:szCs w:val="20"/>
          <w:lang w:val="en-US"/>
        </w:rPr>
        <w:t>Review of Accounting Studies</w:t>
      </w:r>
      <w:r w:rsidRPr="00BA06B6">
        <w:rPr>
          <w:rFonts w:asciiTheme="majorBidi" w:eastAsia="Calibri" w:hAnsiTheme="majorBidi" w:cstheme="majorBidi"/>
          <w:noProof/>
          <w:sz w:val="20"/>
          <w:szCs w:val="20"/>
          <w:lang w:val="en-US"/>
        </w:rPr>
        <w:t xml:space="preserve">, 14(1), 123-160. </w:t>
      </w:r>
    </w:p>
    <w:p w14:paraId="03482C44" w14:textId="3D40699A"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20" w:name="_ENREF_86"/>
      <w:r w:rsidRPr="00BA06B6">
        <w:rPr>
          <w:rFonts w:asciiTheme="majorBidi" w:eastAsia="Calibri" w:hAnsiTheme="majorBidi" w:cstheme="majorBidi"/>
          <w:noProof/>
          <w:sz w:val="20"/>
          <w:szCs w:val="20"/>
          <w:lang w:val="en-US"/>
        </w:rPr>
        <w:t xml:space="preserve">Kaufmann, D. Kraay, A.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Mastruzzi, M. (2010). The worldwide governance indicators: Methodology and analytical issues. World Bank Policy Research Working Paper No. 5430. Available at SSRN: </w:t>
      </w:r>
      <w:hyperlink r:id="rId20" w:history="1">
        <w:r w:rsidRPr="00BA06B6">
          <w:rPr>
            <w:rFonts w:asciiTheme="majorBidi" w:eastAsia="Calibri" w:hAnsiTheme="majorBidi" w:cstheme="majorBidi"/>
            <w:noProof/>
            <w:sz w:val="20"/>
            <w:szCs w:val="20"/>
            <w:lang w:val="en-US"/>
          </w:rPr>
          <w:t>http://ssrn.com/abstract=1682130</w:t>
        </w:r>
      </w:hyperlink>
      <w:r w:rsidRPr="00BA06B6">
        <w:rPr>
          <w:rFonts w:asciiTheme="majorBidi" w:eastAsia="Calibri" w:hAnsiTheme="majorBidi" w:cstheme="majorBidi"/>
          <w:noProof/>
          <w:sz w:val="20"/>
          <w:szCs w:val="20"/>
          <w:lang w:val="en-US"/>
        </w:rPr>
        <w:t xml:space="preserve">, 1-28. </w:t>
      </w:r>
      <w:bookmarkEnd w:id="120"/>
    </w:p>
    <w:p w14:paraId="5ED150A0" w14:textId="77777777" w:rsidR="003B5A80" w:rsidRPr="00BA06B6" w:rsidRDefault="003B5A80" w:rsidP="003B5A80">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Kisgen, D. J. (2006). Credit ratings and capital structure. </w:t>
      </w:r>
      <w:r w:rsidRPr="00BA06B6">
        <w:rPr>
          <w:rFonts w:asciiTheme="majorBidi" w:eastAsia="Calibri" w:hAnsiTheme="majorBidi" w:cstheme="majorBidi"/>
          <w:i/>
          <w:iCs/>
          <w:noProof/>
          <w:sz w:val="20"/>
          <w:szCs w:val="20"/>
        </w:rPr>
        <w:t>The Journal of Finance</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61</w:t>
      </w:r>
      <w:r w:rsidRPr="00BA06B6">
        <w:rPr>
          <w:rFonts w:asciiTheme="majorBidi" w:eastAsia="Calibri" w:hAnsiTheme="majorBidi" w:cstheme="majorBidi"/>
          <w:noProof/>
          <w:sz w:val="20"/>
          <w:szCs w:val="20"/>
        </w:rPr>
        <w:t>(3), 1035-1072.</w:t>
      </w:r>
    </w:p>
    <w:p w14:paraId="57226D8B" w14:textId="397A9005" w:rsidR="003B5A80" w:rsidRPr="00BA06B6" w:rsidRDefault="003B5A80" w:rsidP="003B5A80">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lastRenderedPageBreak/>
        <w:t>Kisgen, D. J. (2009). Do firms target credit ratings or leverage levels?. </w:t>
      </w:r>
      <w:r w:rsidRPr="00BA06B6">
        <w:rPr>
          <w:rFonts w:asciiTheme="majorBidi" w:eastAsia="Calibri" w:hAnsiTheme="majorBidi" w:cstheme="majorBidi"/>
          <w:i/>
          <w:iCs/>
          <w:noProof/>
          <w:sz w:val="20"/>
          <w:szCs w:val="20"/>
        </w:rPr>
        <w:t>Journal of Financial and Quantitative Analysis</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44</w:t>
      </w:r>
      <w:r w:rsidRPr="00BA06B6">
        <w:rPr>
          <w:rFonts w:asciiTheme="majorBidi" w:eastAsia="Calibri" w:hAnsiTheme="majorBidi" w:cstheme="majorBidi"/>
          <w:noProof/>
          <w:sz w:val="20"/>
          <w:szCs w:val="20"/>
        </w:rPr>
        <w:t>(6), 1323-1344.</w:t>
      </w:r>
    </w:p>
    <w:p w14:paraId="02B653EE" w14:textId="77777777" w:rsidR="003B5A80" w:rsidRPr="00BA06B6" w:rsidRDefault="003B5A80" w:rsidP="003B5A80">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Kravet, T., &amp; Muslu, V. (2013). Textual risk disclosures and investors’ risk perceptions. </w:t>
      </w:r>
      <w:r w:rsidRPr="00BA06B6">
        <w:rPr>
          <w:rFonts w:asciiTheme="majorBidi" w:eastAsia="Calibri" w:hAnsiTheme="majorBidi" w:cstheme="majorBidi"/>
          <w:i/>
          <w:iCs/>
          <w:noProof/>
          <w:sz w:val="20"/>
          <w:szCs w:val="20"/>
        </w:rPr>
        <w:t>Review of Accounting Studies</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18</w:t>
      </w:r>
      <w:r w:rsidRPr="00BA06B6">
        <w:rPr>
          <w:rFonts w:asciiTheme="majorBidi" w:eastAsia="Calibri" w:hAnsiTheme="majorBidi" w:cstheme="majorBidi"/>
          <w:noProof/>
          <w:sz w:val="20"/>
          <w:szCs w:val="20"/>
        </w:rPr>
        <w:t>(4), 1088-1122.</w:t>
      </w:r>
    </w:p>
    <w:p w14:paraId="2DF3F2CC" w14:textId="5252449F" w:rsidR="003B5A80" w:rsidRPr="00BA06B6" w:rsidRDefault="003B5A80" w:rsidP="003B5A80">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Krippendorff, K. (2004). Reliability in content analysis. </w:t>
      </w:r>
      <w:r w:rsidRPr="00BA06B6">
        <w:rPr>
          <w:rFonts w:asciiTheme="majorBidi" w:eastAsia="Calibri" w:hAnsiTheme="majorBidi" w:cstheme="majorBidi"/>
          <w:i/>
          <w:iCs/>
          <w:noProof/>
          <w:sz w:val="20"/>
          <w:szCs w:val="20"/>
        </w:rPr>
        <w:t>Human communication research</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30</w:t>
      </w:r>
      <w:r w:rsidRPr="00BA06B6">
        <w:rPr>
          <w:rFonts w:asciiTheme="majorBidi" w:eastAsia="Calibri" w:hAnsiTheme="majorBidi" w:cstheme="majorBidi"/>
          <w:noProof/>
          <w:sz w:val="20"/>
          <w:szCs w:val="20"/>
        </w:rPr>
        <w:t>(3), 411-433.</w:t>
      </w:r>
    </w:p>
    <w:p w14:paraId="02D6E697" w14:textId="7777777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21" w:name="_ENREF_88"/>
      <w:r w:rsidRPr="00BA06B6">
        <w:rPr>
          <w:rFonts w:asciiTheme="majorBidi" w:eastAsia="Calibri" w:hAnsiTheme="majorBidi" w:cstheme="majorBidi"/>
          <w:noProof/>
          <w:sz w:val="20"/>
          <w:szCs w:val="20"/>
          <w:lang w:val="en-US"/>
        </w:rPr>
        <w:t xml:space="preserve">Kirkpatrick, G. (2009). The corporate governance lessons from the financial crisis. </w:t>
      </w:r>
      <w:r w:rsidRPr="00BA06B6">
        <w:rPr>
          <w:rFonts w:asciiTheme="majorBidi" w:eastAsia="Calibri" w:hAnsiTheme="majorBidi" w:cstheme="majorBidi"/>
          <w:i/>
          <w:iCs/>
          <w:noProof/>
          <w:sz w:val="20"/>
          <w:szCs w:val="20"/>
          <w:lang w:val="en-US"/>
        </w:rPr>
        <w:t>OECD Journal: Financial Market Trends</w:t>
      </w:r>
      <w:r w:rsidRPr="00BA06B6">
        <w:rPr>
          <w:rFonts w:asciiTheme="majorBidi" w:eastAsia="Calibri" w:hAnsiTheme="majorBidi" w:cstheme="majorBidi"/>
          <w:noProof/>
          <w:sz w:val="20"/>
          <w:szCs w:val="20"/>
          <w:lang w:val="en-US"/>
        </w:rPr>
        <w:t xml:space="preserve">, 2009(1), 61-87. </w:t>
      </w:r>
      <w:bookmarkEnd w:id="121"/>
    </w:p>
    <w:p w14:paraId="0958DB55" w14:textId="7777777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22" w:name="_ENREF_89"/>
      <w:r w:rsidRPr="00BA06B6">
        <w:rPr>
          <w:rFonts w:asciiTheme="majorBidi" w:eastAsia="Calibri" w:hAnsiTheme="majorBidi" w:cstheme="majorBidi"/>
          <w:noProof/>
          <w:sz w:val="20"/>
          <w:szCs w:val="20"/>
          <w:lang w:val="en-US"/>
        </w:rPr>
        <w:t xml:space="preserve">Koldertsova, A. (2011). The second corporate governance wave in the Middle East and North Africa. </w:t>
      </w:r>
      <w:r w:rsidRPr="00BA06B6">
        <w:rPr>
          <w:rFonts w:asciiTheme="majorBidi" w:eastAsia="Calibri" w:hAnsiTheme="majorBidi" w:cstheme="majorBidi"/>
          <w:i/>
          <w:iCs/>
          <w:noProof/>
          <w:sz w:val="20"/>
          <w:szCs w:val="20"/>
          <w:lang w:val="en-US"/>
        </w:rPr>
        <w:t>OECD Journal: Financial Market Trends</w:t>
      </w:r>
      <w:r w:rsidRPr="00BA06B6">
        <w:rPr>
          <w:rFonts w:asciiTheme="majorBidi" w:eastAsia="Calibri" w:hAnsiTheme="majorBidi" w:cstheme="majorBidi"/>
          <w:noProof/>
          <w:sz w:val="20"/>
          <w:szCs w:val="20"/>
          <w:lang w:val="en-US"/>
        </w:rPr>
        <w:t xml:space="preserve">, 2010(2), 219-226. </w:t>
      </w:r>
      <w:bookmarkEnd w:id="122"/>
    </w:p>
    <w:p w14:paraId="30E2FBA4" w14:textId="4A0A28D8"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23" w:name="_ENREF_90"/>
      <w:r w:rsidRPr="00BA06B6">
        <w:rPr>
          <w:rFonts w:asciiTheme="majorBidi" w:eastAsia="Calibri" w:hAnsiTheme="majorBidi" w:cstheme="majorBidi"/>
          <w:noProof/>
          <w:sz w:val="20"/>
          <w:szCs w:val="20"/>
          <w:lang w:val="en-US"/>
        </w:rPr>
        <w:t xml:space="preserve">Kuang, Y.F.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Qin, B. (2013). Credit ratings and CEO risk taking incentives. </w:t>
      </w:r>
      <w:r w:rsidRPr="00BA06B6">
        <w:rPr>
          <w:rFonts w:asciiTheme="majorBidi" w:eastAsia="Calibri" w:hAnsiTheme="majorBidi" w:cstheme="majorBidi"/>
          <w:i/>
          <w:iCs/>
          <w:noProof/>
          <w:sz w:val="20"/>
          <w:szCs w:val="20"/>
          <w:lang w:val="en-US"/>
        </w:rPr>
        <w:t>Contemporary Accounting Research</w:t>
      </w:r>
      <w:r w:rsidRPr="00BA06B6">
        <w:rPr>
          <w:rFonts w:asciiTheme="majorBidi" w:eastAsia="Calibri" w:hAnsiTheme="majorBidi" w:cstheme="majorBidi"/>
          <w:noProof/>
          <w:sz w:val="20"/>
          <w:szCs w:val="20"/>
          <w:lang w:val="en-US"/>
        </w:rPr>
        <w:t xml:space="preserve">, 30(4), 1524-1559. </w:t>
      </w:r>
      <w:bookmarkEnd w:id="123"/>
    </w:p>
    <w:p w14:paraId="0EDCA026" w14:textId="3E1E117A"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rPr>
        <w:t>Kusi, B. A., &amp; Opoku‐Mensah, M. (2018). Does credit information sharing affect funding cost of banks? Evidence from African banks. </w:t>
      </w:r>
      <w:r w:rsidRPr="00BA06B6">
        <w:rPr>
          <w:rFonts w:asciiTheme="majorBidi" w:eastAsia="Calibri" w:hAnsiTheme="majorBidi" w:cstheme="majorBidi"/>
          <w:i/>
          <w:iCs/>
          <w:noProof/>
          <w:sz w:val="20"/>
          <w:szCs w:val="20"/>
        </w:rPr>
        <w:t>International Journal of Finance &amp; Economics</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23</w:t>
      </w:r>
      <w:r w:rsidRPr="00BA06B6">
        <w:rPr>
          <w:rFonts w:asciiTheme="majorBidi" w:eastAsia="Calibri" w:hAnsiTheme="majorBidi" w:cstheme="majorBidi"/>
          <w:noProof/>
          <w:sz w:val="20"/>
          <w:szCs w:val="20"/>
        </w:rPr>
        <w:t>(1), 19-28.</w:t>
      </w:r>
    </w:p>
    <w:p w14:paraId="40F88821" w14:textId="2B48DD82"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 xml:space="preserve">Lau, S. T. Shrestha, K.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Yu, J. (2016). Corporate governance and the information content of earnings announcements: A cross-country analysis. </w:t>
      </w:r>
      <w:r w:rsidRPr="00BA06B6">
        <w:rPr>
          <w:rFonts w:asciiTheme="majorBidi" w:eastAsia="Calibri" w:hAnsiTheme="majorBidi" w:cstheme="majorBidi"/>
          <w:i/>
          <w:iCs/>
          <w:noProof/>
          <w:sz w:val="20"/>
          <w:szCs w:val="20"/>
          <w:lang w:val="en-US"/>
        </w:rPr>
        <w:t>Contemporary Accounting Research</w:t>
      </w:r>
      <w:r w:rsidRPr="00BA06B6">
        <w:rPr>
          <w:rFonts w:asciiTheme="majorBidi" w:eastAsia="Calibri" w:hAnsiTheme="majorBidi" w:cstheme="majorBidi"/>
          <w:noProof/>
          <w:sz w:val="20"/>
          <w:szCs w:val="20"/>
          <w:lang w:val="en-US"/>
        </w:rPr>
        <w:t>,</w:t>
      </w:r>
      <w:r w:rsidRPr="00BA06B6">
        <w:rPr>
          <w:rFonts w:asciiTheme="majorBidi" w:hAnsiTheme="majorBidi" w:cstheme="majorBidi"/>
          <w:sz w:val="20"/>
          <w:szCs w:val="20"/>
        </w:rPr>
        <w:t xml:space="preserve"> </w:t>
      </w:r>
      <w:r w:rsidRPr="00BA06B6">
        <w:rPr>
          <w:rFonts w:asciiTheme="majorBidi" w:eastAsia="Calibri" w:hAnsiTheme="majorBidi" w:cstheme="majorBidi"/>
          <w:noProof/>
          <w:sz w:val="20"/>
          <w:szCs w:val="20"/>
          <w:lang w:val="en-US"/>
        </w:rPr>
        <w:t>33(3), 1238-1266.</w:t>
      </w:r>
    </w:p>
    <w:p w14:paraId="198B27EB" w14:textId="6C971D2D"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24" w:name="_ENREF_94"/>
      <w:r w:rsidRPr="00BA06B6">
        <w:rPr>
          <w:rFonts w:asciiTheme="majorBidi" w:eastAsia="Calibri" w:hAnsiTheme="majorBidi" w:cstheme="majorBidi"/>
          <w:noProof/>
          <w:sz w:val="20"/>
          <w:szCs w:val="20"/>
          <w:lang w:val="en-US"/>
        </w:rPr>
        <w:t xml:space="preserve">Li, Y. Armstrong, A.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Clarke, A. (2014). Relationships of corporate governance mechanisms and financial performance in Islamic banks: a Meta-analysis. </w:t>
      </w:r>
      <w:r w:rsidRPr="00BA06B6">
        <w:rPr>
          <w:rFonts w:asciiTheme="majorBidi" w:eastAsia="Calibri" w:hAnsiTheme="majorBidi" w:cstheme="majorBidi"/>
          <w:i/>
          <w:iCs/>
          <w:noProof/>
          <w:sz w:val="20"/>
          <w:szCs w:val="20"/>
          <w:lang w:val="en-US"/>
        </w:rPr>
        <w:t>Journal of Business Systems, Governance &amp; Ethics</w:t>
      </w:r>
      <w:r w:rsidRPr="00BA06B6">
        <w:rPr>
          <w:rFonts w:asciiTheme="majorBidi" w:eastAsia="Calibri" w:hAnsiTheme="majorBidi" w:cstheme="majorBidi"/>
          <w:noProof/>
          <w:sz w:val="20"/>
          <w:szCs w:val="20"/>
          <w:lang w:val="en-US"/>
        </w:rPr>
        <w:t xml:space="preserve">,9(1), 50-63. </w:t>
      </w:r>
      <w:bookmarkEnd w:id="124"/>
    </w:p>
    <w:p w14:paraId="0A871241" w14:textId="53C1F2DD"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25" w:name="_ENREF_95"/>
      <w:r w:rsidRPr="00BA06B6">
        <w:rPr>
          <w:rFonts w:asciiTheme="majorBidi" w:eastAsia="Calibri" w:hAnsiTheme="majorBidi" w:cstheme="majorBidi"/>
          <w:noProof/>
          <w:sz w:val="20"/>
          <w:szCs w:val="20"/>
          <w:lang w:val="en-US"/>
        </w:rPr>
        <w:t xml:space="preserve">Liang, Q. Xu, P.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Jiraporn, P. (2013). Board characteristics and Chinese bank performance. </w:t>
      </w:r>
      <w:r w:rsidRPr="00BA06B6">
        <w:rPr>
          <w:rFonts w:asciiTheme="majorBidi" w:eastAsia="Calibri" w:hAnsiTheme="majorBidi" w:cstheme="majorBidi"/>
          <w:i/>
          <w:iCs/>
          <w:noProof/>
          <w:sz w:val="20"/>
          <w:szCs w:val="20"/>
          <w:lang w:val="en-US"/>
        </w:rPr>
        <w:t>Journal of Banking &amp; Finance</w:t>
      </w:r>
      <w:r w:rsidRPr="00BA06B6">
        <w:rPr>
          <w:rFonts w:asciiTheme="majorBidi" w:eastAsia="Calibri" w:hAnsiTheme="majorBidi" w:cstheme="majorBidi"/>
          <w:noProof/>
          <w:sz w:val="20"/>
          <w:szCs w:val="20"/>
          <w:lang w:val="en-US"/>
        </w:rPr>
        <w:t xml:space="preserve">, 37(8), 2953-2968. </w:t>
      </w:r>
      <w:bookmarkEnd w:id="125"/>
    </w:p>
    <w:p w14:paraId="7AD3FDB5" w14:textId="52400C5C"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26" w:name="_ENREF_96"/>
      <w:r w:rsidRPr="00BA06B6">
        <w:rPr>
          <w:rFonts w:asciiTheme="majorBidi" w:eastAsia="Calibri" w:hAnsiTheme="majorBidi" w:cstheme="majorBidi"/>
          <w:noProof/>
          <w:sz w:val="20"/>
          <w:szCs w:val="20"/>
          <w:lang w:val="en-US"/>
        </w:rPr>
        <w:t xml:space="preserve">Lin, X.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Zhang, Y. (2009). Bank ownership reform and bank performance in China. </w:t>
      </w:r>
      <w:r w:rsidRPr="00BA06B6">
        <w:rPr>
          <w:rFonts w:asciiTheme="majorBidi" w:eastAsia="Calibri" w:hAnsiTheme="majorBidi" w:cstheme="majorBidi"/>
          <w:i/>
          <w:iCs/>
          <w:noProof/>
          <w:sz w:val="20"/>
          <w:szCs w:val="20"/>
          <w:lang w:val="en-US"/>
        </w:rPr>
        <w:t>Journal of Banking &amp; Finance</w:t>
      </w:r>
      <w:r w:rsidRPr="00BA06B6">
        <w:rPr>
          <w:rFonts w:asciiTheme="majorBidi" w:eastAsia="Calibri" w:hAnsiTheme="majorBidi" w:cstheme="majorBidi"/>
          <w:noProof/>
          <w:sz w:val="20"/>
          <w:szCs w:val="20"/>
          <w:lang w:val="en-US"/>
        </w:rPr>
        <w:t>, 33(1), 20-29.</w:t>
      </w:r>
      <w:bookmarkStart w:id="127" w:name="_ENREF_97"/>
      <w:bookmarkEnd w:id="126"/>
    </w:p>
    <w:p w14:paraId="31B90E81" w14:textId="22914306" w:rsidR="00AA068C" w:rsidRPr="00BA06B6" w:rsidRDefault="00AA068C" w:rsidP="00AA068C">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 xml:space="preserve">Lin, Z., Liu, M., &amp; Noronha, C. (2016). The impact of corporate governance on informative earnings management in the Chinese market. </w:t>
      </w:r>
      <w:r w:rsidRPr="00BA06B6">
        <w:rPr>
          <w:rFonts w:asciiTheme="majorBidi" w:eastAsia="Calibri" w:hAnsiTheme="majorBidi" w:cstheme="majorBidi"/>
          <w:i/>
          <w:iCs/>
          <w:noProof/>
          <w:sz w:val="20"/>
          <w:szCs w:val="20"/>
        </w:rPr>
        <w:t>Abacus</w:t>
      </w:r>
      <w:r w:rsidRPr="00BA06B6">
        <w:rPr>
          <w:rFonts w:asciiTheme="majorBidi" w:eastAsia="Calibri" w:hAnsiTheme="majorBidi" w:cstheme="majorBidi"/>
          <w:noProof/>
          <w:sz w:val="20"/>
          <w:szCs w:val="20"/>
        </w:rPr>
        <w:t xml:space="preserve">, </w:t>
      </w:r>
      <w:r w:rsidRPr="00BA06B6">
        <w:rPr>
          <w:rFonts w:asciiTheme="majorBidi" w:eastAsia="Calibri" w:hAnsiTheme="majorBidi" w:cstheme="majorBidi"/>
          <w:i/>
          <w:iCs/>
          <w:noProof/>
          <w:sz w:val="20"/>
          <w:szCs w:val="20"/>
        </w:rPr>
        <w:t>52</w:t>
      </w:r>
      <w:r w:rsidRPr="00BA06B6">
        <w:rPr>
          <w:rFonts w:asciiTheme="majorBidi" w:eastAsia="Calibri" w:hAnsiTheme="majorBidi" w:cstheme="majorBidi"/>
          <w:noProof/>
          <w:sz w:val="20"/>
          <w:szCs w:val="20"/>
        </w:rPr>
        <w:t>(3), 568-609.</w:t>
      </w:r>
    </w:p>
    <w:p w14:paraId="236E272F" w14:textId="39C4FE85" w:rsidR="00AA068C" w:rsidRPr="00BA06B6" w:rsidRDefault="00AA068C" w:rsidP="00AA068C">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Liu, Y., Padgett, C., &amp; Varotto, S. (2017). Corporate governance, bank mergers and executive compensation. </w:t>
      </w:r>
      <w:r w:rsidRPr="00BA06B6">
        <w:rPr>
          <w:rFonts w:asciiTheme="majorBidi" w:eastAsia="Calibri" w:hAnsiTheme="majorBidi" w:cstheme="majorBidi"/>
          <w:i/>
          <w:iCs/>
          <w:noProof/>
          <w:sz w:val="20"/>
          <w:szCs w:val="20"/>
        </w:rPr>
        <w:t>International Journal of Finance &amp; Economics</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22</w:t>
      </w:r>
      <w:r w:rsidRPr="00BA06B6">
        <w:rPr>
          <w:rFonts w:asciiTheme="majorBidi" w:eastAsia="Calibri" w:hAnsiTheme="majorBidi" w:cstheme="majorBidi"/>
          <w:noProof/>
          <w:sz w:val="20"/>
          <w:szCs w:val="20"/>
        </w:rPr>
        <w:t>(1), 12-29.</w:t>
      </w:r>
    </w:p>
    <w:p w14:paraId="53E1F204" w14:textId="5564F6C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it-IT"/>
        </w:rPr>
      </w:pPr>
      <w:r w:rsidRPr="00BA06B6">
        <w:rPr>
          <w:rFonts w:asciiTheme="majorBidi" w:eastAsia="Calibri" w:hAnsiTheme="majorBidi" w:cstheme="majorBidi"/>
          <w:noProof/>
          <w:sz w:val="20"/>
          <w:szCs w:val="20"/>
        </w:rPr>
        <w:t xml:space="preserve">Lobo, G. J., Paugam, L., Stolowy, H., &amp; Astolfi, P. (2017). The effect of business and financial market cycles on credit ratings: Evidence from the last two decades. </w:t>
      </w:r>
      <w:r w:rsidRPr="00BA06B6">
        <w:rPr>
          <w:rFonts w:asciiTheme="majorBidi" w:eastAsia="Calibri" w:hAnsiTheme="majorBidi" w:cstheme="majorBidi"/>
          <w:i/>
          <w:iCs/>
          <w:noProof/>
          <w:sz w:val="20"/>
          <w:szCs w:val="20"/>
          <w:lang w:val="it-IT"/>
        </w:rPr>
        <w:t>Abacus</w:t>
      </w:r>
      <w:r w:rsidRPr="00BA06B6">
        <w:rPr>
          <w:rFonts w:asciiTheme="majorBidi" w:eastAsia="Calibri" w:hAnsiTheme="majorBidi" w:cstheme="majorBidi"/>
          <w:noProof/>
          <w:sz w:val="20"/>
          <w:szCs w:val="20"/>
          <w:lang w:val="it-IT"/>
        </w:rPr>
        <w:t xml:space="preserve">, </w:t>
      </w:r>
      <w:r w:rsidRPr="00BA06B6">
        <w:rPr>
          <w:rFonts w:asciiTheme="majorBidi" w:eastAsia="Calibri" w:hAnsiTheme="majorBidi" w:cstheme="majorBidi"/>
          <w:i/>
          <w:iCs/>
          <w:noProof/>
          <w:sz w:val="20"/>
          <w:szCs w:val="20"/>
          <w:lang w:val="it-IT"/>
        </w:rPr>
        <w:t>53</w:t>
      </w:r>
      <w:r w:rsidRPr="00BA06B6">
        <w:rPr>
          <w:rFonts w:asciiTheme="majorBidi" w:eastAsia="Calibri" w:hAnsiTheme="majorBidi" w:cstheme="majorBidi"/>
          <w:noProof/>
          <w:sz w:val="20"/>
          <w:szCs w:val="20"/>
          <w:lang w:val="it-IT"/>
        </w:rPr>
        <w:t>(1), 59-93.</w:t>
      </w:r>
    </w:p>
    <w:bookmarkEnd w:id="127"/>
    <w:p w14:paraId="5A09C70E" w14:textId="3AF8A98B" w:rsidR="003B5A80"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it-IT"/>
        </w:rPr>
        <w:t xml:space="preserve">Maffei, M. Aria, M. Fiondella, C. Spanò, R. </w:t>
      </w:r>
      <w:r w:rsidR="003B5A80" w:rsidRPr="00BA06B6">
        <w:rPr>
          <w:rFonts w:asciiTheme="majorBidi" w:eastAsia="Calibri" w:hAnsiTheme="majorBidi" w:cstheme="majorBidi"/>
          <w:noProof/>
          <w:sz w:val="20"/>
          <w:szCs w:val="20"/>
          <w:lang w:val="it-IT"/>
        </w:rPr>
        <w:t>&amp;</w:t>
      </w:r>
      <w:r w:rsidRPr="00BA06B6">
        <w:rPr>
          <w:rFonts w:asciiTheme="majorBidi" w:eastAsia="Calibri" w:hAnsiTheme="majorBidi" w:cstheme="majorBidi"/>
          <w:noProof/>
          <w:sz w:val="20"/>
          <w:szCs w:val="20"/>
          <w:lang w:val="it-IT"/>
        </w:rPr>
        <w:t xml:space="preserve"> Zagaria, C. (2014). </w:t>
      </w:r>
      <w:r w:rsidRPr="00BA06B6">
        <w:rPr>
          <w:rFonts w:asciiTheme="majorBidi" w:eastAsia="Calibri" w:hAnsiTheme="majorBidi" w:cstheme="majorBidi"/>
          <w:noProof/>
          <w:sz w:val="20"/>
          <w:szCs w:val="20"/>
          <w:lang w:val="en-US"/>
        </w:rPr>
        <w:t xml:space="preserve">(Un) useful risk disclosure: explanations from the Italian banks. </w:t>
      </w:r>
      <w:r w:rsidRPr="00BA06B6">
        <w:rPr>
          <w:rFonts w:asciiTheme="majorBidi" w:eastAsia="Calibri" w:hAnsiTheme="majorBidi" w:cstheme="majorBidi"/>
          <w:i/>
          <w:iCs/>
          <w:noProof/>
          <w:sz w:val="20"/>
          <w:szCs w:val="20"/>
          <w:lang w:val="en-US"/>
        </w:rPr>
        <w:t>Managerial Auditing Journal</w:t>
      </w:r>
      <w:r w:rsidRPr="00BA06B6">
        <w:rPr>
          <w:rFonts w:asciiTheme="majorBidi" w:eastAsia="Calibri" w:hAnsiTheme="majorBidi" w:cstheme="majorBidi"/>
          <w:noProof/>
          <w:sz w:val="20"/>
          <w:szCs w:val="20"/>
          <w:lang w:val="en-US"/>
        </w:rPr>
        <w:t>, 29(7), 621-648.</w:t>
      </w:r>
    </w:p>
    <w:p w14:paraId="442640B3" w14:textId="70119191" w:rsidR="003B5A80" w:rsidRPr="00BA06B6" w:rsidRDefault="003B5A80" w:rsidP="003B5A80">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 xml:space="preserve">Mansi, S., W. Maxwell, &amp; D. Miller, 2011. Analyst forecast characteristics and the cost of debt, </w:t>
      </w:r>
      <w:r w:rsidRPr="00BA06B6">
        <w:rPr>
          <w:rFonts w:asciiTheme="majorBidi" w:eastAsia="Calibri" w:hAnsiTheme="majorBidi" w:cstheme="majorBidi"/>
          <w:i/>
          <w:iCs/>
          <w:noProof/>
          <w:sz w:val="20"/>
          <w:szCs w:val="20"/>
          <w:lang w:val="en-US"/>
        </w:rPr>
        <w:t>Review of Accounting Studies 16</w:t>
      </w:r>
      <w:r w:rsidRPr="00BA06B6">
        <w:rPr>
          <w:rFonts w:asciiTheme="majorBidi" w:eastAsia="Calibri" w:hAnsiTheme="majorBidi" w:cstheme="majorBidi"/>
          <w:noProof/>
          <w:sz w:val="20"/>
          <w:szCs w:val="20"/>
          <w:lang w:val="en-US"/>
        </w:rPr>
        <w:t>, 116–142.</w:t>
      </w:r>
    </w:p>
    <w:p w14:paraId="1E0E6948" w14:textId="007247DE" w:rsidR="00AA068C" w:rsidRPr="00BA06B6" w:rsidRDefault="003B5A80" w:rsidP="003B5A80">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Marston, C. L., &amp; Shrives, P. J. (1991). The use of disclosure indices in accounting research: a review article. </w:t>
      </w:r>
      <w:r w:rsidRPr="00BA06B6">
        <w:rPr>
          <w:rFonts w:asciiTheme="majorBidi" w:eastAsia="Calibri" w:hAnsiTheme="majorBidi" w:cstheme="majorBidi"/>
          <w:i/>
          <w:iCs/>
          <w:noProof/>
          <w:sz w:val="20"/>
          <w:szCs w:val="20"/>
        </w:rPr>
        <w:t>The British Accounting Review</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23</w:t>
      </w:r>
      <w:r w:rsidRPr="00BA06B6">
        <w:rPr>
          <w:rFonts w:asciiTheme="majorBidi" w:eastAsia="Calibri" w:hAnsiTheme="majorBidi" w:cstheme="majorBidi"/>
          <w:noProof/>
          <w:sz w:val="20"/>
          <w:szCs w:val="20"/>
        </w:rPr>
        <w:t>(3), 195-210.</w:t>
      </w:r>
      <w:r w:rsidR="00AA068C" w:rsidRPr="00BA06B6">
        <w:rPr>
          <w:rFonts w:asciiTheme="majorBidi" w:eastAsia="Calibri" w:hAnsiTheme="majorBidi" w:cstheme="majorBidi"/>
          <w:noProof/>
          <w:sz w:val="20"/>
          <w:szCs w:val="20"/>
          <w:lang w:val="en-US"/>
        </w:rPr>
        <w:t xml:space="preserve"> </w:t>
      </w:r>
    </w:p>
    <w:p w14:paraId="29E9C33A" w14:textId="1D5C0E8E"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 xml:space="preserve">Martín-Oliver, A., Ruano, S., &amp; Salas-Fumás, V. (2017). The fall of Spanish cajas: Lessons of ownership and governance for banks. </w:t>
      </w:r>
      <w:r w:rsidRPr="00BA06B6">
        <w:rPr>
          <w:rFonts w:asciiTheme="majorBidi" w:eastAsia="Calibri" w:hAnsiTheme="majorBidi" w:cstheme="majorBidi"/>
          <w:i/>
          <w:noProof/>
          <w:sz w:val="20"/>
          <w:szCs w:val="20"/>
          <w:lang w:val="en-US"/>
        </w:rPr>
        <w:t>Journal of Financial Stability, 33</w:t>
      </w:r>
      <w:r w:rsidRPr="00BA06B6">
        <w:rPr>
          <w:rFonts w:asciiTheme="majorBidi" w:eastAsia="Calibri" w:hAnsiTheme="majorBidi" w:cstheme="majorBidi"/>
          <w:noProof/>
          <w:sz w:val="20"/>
          <w:szCs w:val="20"/>
          <w:lang w:val="en-US"/>
        </w:rPr>
        <w:t xml:space="preserve">, 244-260. </w:t>
      </w:r>
    </w:p>
    <w:p w14:paraId="07F35A45" w14:textId="3FCA9C51"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28" w:name="_ENREF_99"/>
      <w:r w:rsidRPr="00BA06B6">
        <w:rPr>
          <w:rFonts w:asciiTheme="majorBidi" w:eastAsia="Calibri" w:hAnsiTheme="majorBidi" w:cstheme="majorBidi"/>
          <w:noProof/>
          <w:sz w:val="20"/>
          <w:szCs w:val="20"/>
          <w:lang w:val="en-US"/>
        </w:rPr>
        <w:t xml:space="preserve">Mersland, R.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Strøm, R. Ø. (2009). Performance and governance in microfinance institutions. </w:t>
      </w:r>
      <w:r w:rsidRPr="00BA06B6">
        <w:rPr>
          <w:rFonts w:asciiTheme="majorBidi" w:eastAsia="Calibri" w:hAnsiTheme="majorBidi" w:cstheme="majorBidi"/>
          <w:i/>
          <w:iCs/>
          <w:noProof/>
          <w:sz w:val="20"/>
          <w:szCs w:val="20"/>
          <w:lang w:val="en-US"/>
        </w:rPr>
        <w:t>Journal of Banking &amp; Finance</w:t>
      </w:r>
      <w:r w:rsidRPr="00BA06B6">
        <w:rPr>
          <w:rFonts w:asciiTheme="majorBidi" w:eastAsia="Calibri" w:hAnsiTheme="majorBidi" w:cstheme="majorBidi"/>
          <w:noProof/>
          <w:sz w:val="20"/>
          <w:szCs w:val="20"/>
          <w:lang w:val="en-US"/>
        </w:rPr>
        <w:t xml:space="preserve">, 33(4), 662-669. </w:t>
      </w:r>
      <w:bookmarkEnd w:id="128"/>
    </w:p>
    <w:p w14:paraId="125A461A" w14:textId="2FE05733" w:rsidR="003B5A80" w:rsidRPr="00BA06B6" w:rsidRDefault="003B5A80" w:rsidP="003B5A80">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rPr>
        <w:t>Mokhtar, E., &amp; Mellett, H. (2013). Competition, corporate governance, ownership structure and risk reporting. </w:t>
      </w:r>
      <w:r w:rsidRPr="00BA06B6">
        <w:rPr>
          <w:rFonts w:asciiTheme="majorBidi" w:eastAsia="Calibri" w:hAnsiTheme="majorBidi" w:cstheme="majorBidi"/>
          <w:i/>
          <w:iCs/>
          <w:noProof/>
          <w:sz w:val="20"/>
          <w:szCs w:val="20"/>
        </w:rPr>
        <w:t>Managerial Auditing Journal</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28</w:t>
      </w:r>
      <w:r w:rsidRPr="00BA06B6">
        <w:rPr>
          <w:rFonts w:asciiTheme="majorBidi" w:eastAsia="Calibri" w:hAnsiTheme="majorBidi" w:cstheme="majorBidi"/>
          <w:noProof/>
          <w:sz w:val="20"/>
          <w:szCs w:val="20"/>
        </w:rPr>
        <w:t>(9), 838-865.</w:t>
      </w:r>
    </w:p>
    <w:p w14:paraId="1DDAC683" w14:textId="6FA72464" w:rsidR="00AA068C" w:rsidRPr="00BA06B6" w:rsidRDefault="00AA068C" w:rsidP="00AA068C">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Montes, G. C., Oliveira, D. S., &amp; Mendonça, H. F. (2016). Sovereign credit ratings in developing economies: New empirical assessment. </w:t>
      </w:r>
      <w:r w:rsidRPr="00BA06B6">
        <w:rPr>
          <w:rFonts w:asciiTheme="majorBidi" w:eastAsia="Calibri" w:hAnsiTheme="majorBidi" w:cstheme="majorBidi"/>
          <w:i/>
          <w:iCs/>
          <w:noProof/>
          <w:sz w:val="20"/>
          <w:szCs w:val="20"/>
        </w:rPr>
        <w:t>International Journal of Finance &amp; Economics</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21</w:t>
      </w:r>
      <w:r w:rsidRPr="00BA06B6">
        <w:rPr>
          <w:rFonts w:asciiTheme="majorBidi" w:eastAsia="Calibri" w:hAnsiTheme="majorBidi" w:cstheme="majorBidi"/>
          <w:noProof/>
          <w:sz w:val="20"/>
          <w:szCs w:val="20"/>
        </w:rPr>
        <w:t>(4), 382-397.</w:t>
      </w:r>
    </w:p>
    <w:p w14:paraId="6CFE40F7" w14:textId="7A2C031D"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rPr>
        <w:t>Moreira, F., &amp; Zhao, S. (2018). Do credit ratings affect spread and return? A study of structured finance products. </w:t>
      </w:r>
      <w:r w:rsidRPr="00BA06B6">
        <w:rPr>
          <w:rFonts w:asciiTheme="majorBidi" w:eastAsia="Calibri" w:hAnsiTheme="majorBidi" w:cstheme="majorBidi"/>
          <w:i/>
          <w:iCs/>
          <w:noProof/>
          <w:sz w:val="20"/>
          <w:szCs w:val="20"/>
        </w:rPr>
        <w:t>International Journal of Finance &amp; Economics</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23</w:t>
      </w:r>
      <w:r w:rsidRPr="00BA06B6">
        <w:rPr>
          <w:rFonts w:asciiTheme="majorBidi" w:eastAsia="Calibri" w:hAnsiTheme="majorBidi" w:cstheme="majorBidi"/>
          <w:noProof/>
          <w:sz w:val="20"/>
          <w:szCs w:val="20"/>
        </w:rPr>
        <w:t>(2), 205-217.</w:t>
      </w:r>
    </w:p>
    <w:p w14:paraId="710F3877" w14:textId="3974D64E"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29" w:name="_ENREF_102"/>
      <w:r w:rsidRPr="00BA06B6">
        <w:rPr>
          <w:rFonts w:asciiTheme="majorBidi" w:eastAsia="Calibri" w:hAnsiTheme="majorBidi" w:cstheme="majorBidi"/>
          <w:noProof/>
          <w:sz w:val="20"/>
          <w:szCs w:val="20"/>
          <w:lang w:val="en-US"/>
        </w:rPr>
        <w:t xml:space="preserve">Nguyen, B.D.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Nielsen, K.M. (2010). The value of independent directors: Evidence from sudden deaths. </w:t>
      </w:r>
      <w:r w:rsidRPr="00BA06B6">
        <w:rPr>
          <w:rFonts w:asciiTheme="majorBidi" w:eastAsia="Calibri" w:hAnsiTheme="majorBidi" w:cstheme="majorBidi"/>
          <w:i/>
          <w:iCs/>
          <w:noProof/>
          <w:sz w:val="20"/>
          <w:szCs w:val="20"/>
          <w:lang w:val="en-US"/>
        </w:rPr>
        <w:t>Journal of Financial Economics</w:t>
      </w:r>
      <w:r w:rsidRPr="00BA06B6">
        <w:rPr>
          <w:rFonts w:asciiTheme="majorBidi" w:eastAsia="Calibri" w:hAnsiTheme="majorBidi" w:cstheme="majorBidi"/>
          <w:noProof/>
          <w:sz w:val="20"/>
          <w:szCs w:val="20"/>
          <w:lang w:val="en-US"/>
        </w:rPr>
        <w:t xml:space="preserve">, 98(3), 550-567. </w:t>
      </w:r>
      <w:bookmarkEnd w:id="129"/>
    </w:p>
    <w:p w14:paraId="6FF62D6E" w14:textId="1F1A04B2"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30" w:name="_ENREF_103"/>
      <w:r w:rsidRPr="00BA06B6">
        <w:rPr>
          <w:rFonts w:asciiTheme="majorBidi" w:eastAsia="Calibri" w:hAnsiTheme="majorBidi" w:cstheme="majorBidi"/>
          <w:noProof/>
          <w:sz w:val="20"/>
          <w:szCs w:val="20"/>
          <w:lang w:val="en-US"/>
        </w:rPr>
        <w:t xml:space="preserve">Nicholson, G.J.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Kiel, G.C. (2007). Can directors impact performance? A case-based test of three theories of corporate governance. </w:t>
      </w:r>
      <w:r w:rsidRPr="00BA06B6">
        <w:rPr>
          <w:rFonts w:asciiTheme="majorBidi" w:eastAsia="Calibri" w:hAnsiTheme="majorBidi" w:cstheme="majorBidi"/>
          <w:i/>
          <w:iCs/>
          <w:noProof/>
          <w:sz w:val="20"/>
          <w:szCs w:val="20"/>
          <w:lang w:val="en-US"/>
        </w:rPr>
        <w:t>Corporate Governance: An International Review</w:t>
      </w:r>
      <w:r w:rsidRPr="00BA06B6">
        <w:rPr>
          <w:rFonts w:asciiTheme="majorBidi" w:eastAsia="Calibri" w:hAnsiTheme="majorBidi" w:cstheme="majorBidi"/>
          <w:noProof/>
          <w:sz w:val="20"/>
          <w:szCs w:val="20"/>
          <w:lang w:val="en-US"/>
        </w:rPr>
        <w:t xml:space="preserve">, 15(4), 585-608. </w:t>
      </w:r>
      <w:bookmarkEnd w:id="130"/>
    </w:p>
    <w:p w14:paraId="5239CD12" w14:textId="6FF8189B"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31" w:name="_ENREF_104"/>
      <w:r w:rsidRPr="00BA06B6">
        <w:rPr>
          <w:rFonts w:asciiTheme="majorBidi" w:eastAsia="Calibri" w:hAnsiTheme="majorBidi" w:cstheme="majorBidi"/>
          <w:noProof/>
          <w:sz w:val="20"/>
          <w:szCs w:val="20"/>
          <w:lang w:val="en-US"/>
        </w:rPr>
        <w:t xml:space="preserve">Ntim, C.G. Lindop, S.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Thomas, D.A. (2013). Corporate governance and risk reporting in South Africa: A study of corporate risk disclosures in the pre-and post-2007/2008 global financial crisis periods. </w:t>
      </w:r>
      <w:r w:rsidRPr="00BA06B6">
        <w:rPr>
          <w:rFonts w:asciiTheme="majorBidi" w:eastAsia="Calibri" w:hAnsiTheme="majorBidi" w:cstheme="majorBidi"/>
          <w:i/>
          <w:iCs/>
          <w:noProof/>
          <w:sz w:val="20"/>
          <w:szCs w:val="20"/>
          <w:lang w:val="en-US"/>
        </w:rPr>
        <w:t>International Review of Financial Analysis</w:t>
      </w:r>
      <w:r w:rsidRPr="00BA06B6">
        <w:rPr>
          <w:rFonts w:asciiTheme="majorBidi" w:eastAsia="Calibri" w:hAnsiTheme="majorBidi" w:cstheme="majorBidi"/>
          <w:noProof/>
          <w:sz w:val="20"/>
          <w:szCs w:val="20"/>
          <w:lang w:val="en-US"/>
        </w:rPr>
        <w:t xml:space="preserve">, 30, 363-383. </w:t>
      </w:r>
      <w:bookmarkEnd w:id="131"/>
    </w:p>
    <w:p w14:paraId="0E7D0BFA" w14:textId="514635E8"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32" w:name="_ENREF_105"/>
      <w:r w:rsidRPr="00BA06B6">
        <w:rPr>
          <w:rFonts w:asciiTheme="majorBidi" w:eastAsia="Calibri" w:hAnsiTheme="majorBidi" w:cstheme="majorBidi"/>
          <w:noProof/>
          <w:sz w:val="20"/>
          <w:szCs w:val="20"/>
          <w:lang w:val="en-US"/>
        </w:rPr>
        <w:t xml:space="preserve">Ntim, C.G. Opong, K.K.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Danbolt, J. (2015). Board size, corporate regulations and firm valuation in an emerging market: a simultaneous equation approach. </w:t>
      </w:r>
      <w:r w:rsidRPr="00BA06B6">
        <w:rPr>
          <w:rFonts w:asciiTheme="majorBidi" w:eastAsia="Calibri" w:hAnsiTheme="majorBidi" w:cstheme="majorBidi"/>
          <w:i/>
          <w:iCs/>
          <w:noProof/>
          <w:sz w:val="20"/>
          <w:szCs w:val="20"/>
          <w:lang w:val="en-US"/>
        </w:rPr>
        <w:t>International Review of Applied Economics</w:t>
      </w:r>
      <w:r w:rsidRPr="00BA06B6">
        <w:rPr>
          <w:rFonts w:asciiTheme="majorBidi" w:eastAsia="Calibri" w:hAnsiTheme="majorBidi" w:cstheme="majorBidi"/>
          <w:noProof/>
          <w:sz w:val="20"/>
          <w:szCs w:val="20"/>
          <w:lang w:val="en-US"/>
        </w:rPr>
        <w:t xml:space="preserve">, 29(2), 194-220. </w:t>
      </w:r>
      <w:bookmarkEnd w:id="132"/>
    </w:p>
    <w:p w14:paraId="6E412087" w14:textId="40683386"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33" w:name="_ENREF_106"/>
      <w:r w:rsidRPr="00BA06B6">
        <w:rPr>
          <w:rFonts w:asciiTheme="majorBidi" w:eastAsia="Calibri" w:hAnsiTheme="majorBidi" w:cstheme="majorBidi"/>
          <w:noProof/>
          <w:sz w:val="20"/>
          <w:szCs w:val="20"/>
          <w:lang w:val="en-US"/>
        </w:rPr>
        <w:t xml:space="preserve">Ntim, C.G.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Soobaroyen, T. (2013). Corporate governance and performance in socially responsible corporations: New empirical insights from a Neo Institutional framework. </w:t>
      </w:r>
      <w:r w:rsidRPr="00BA06B6">
        <w:rPr>
          <w:rFonts w:asciiTheme="majorBidi" w:eastAsia="Calibri" w:hAnsiTheme="majorBidi" w:cstheme="majorBidi"/>
          <w:i/>
          <w:iCs/>
          <w:noProof/>
          <w:sz w:val="20"/>
          <w:szCs w:val="20"/>
          <w:lang w:val="en-US"/>
        </w:rPr>
        <w:t>Corporate Governance: An International Review</w:t>
      </w:r>
      <w:r w:rsidRPr="00BA06B6">
        <w:rPr>
          <w:rFonts w:asciiTheme="majorBidi" w:eastAsia="Calibri" w:hAnsiTheme="majorBidi" w:cstheme="majorBidi"/>
          <w:noProof/>
          <w:sz w:val="20"/>
          <w:szCs w:val="20"/>
          <w:lang w:val="en-US"/>
        </w:rPr>
        <w:t xml:space="preserve">, 21(5), 468-494. </w:t>
      </w:r>
      <w:bookmarkEnd w:id="133"/>
    </w:p>
    <w:p w14:paraId="5389C969" w14:textId="665DDB6D"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34" w:name="_ENREF_108"/>
      <w:r w:rsidRPr="00BA06B6">
        <w:rPr>
          <w:rFonts w:asciiTheme="majorBidi" w:eastAsia="Calibri" w:hAnsiTheme="majorBidi" w:cstheme="majorBidi"/>
          <w:noProof/>
          <w:sz w:val="20"/>
          <w:szCs w:val="20"/>
          <w:lang w:val="en-US"/>
        </w:rPr>
        <w:t xml:space="preserve">O’Sullivan, J. Mamun, A.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Hassan, M.K. (2015). The relationship between board characteristics and performance of bank holding companies: Before and during the financial crisis. </w:t>
      </w:r>
      <w:r w:rsidRPr="00BA06B6">
        <w:rPr>
          <w:rFonts w:asciiTheme="majorBidi" w:eastAsia="Calibri" w:hAnsiTheme="majorBidi" w:cstheme="majorBidi"/>
          <w:i/>
          <w:iCs/>
          <w:noProof/>
          <w:sz w:val="20"/>
          <w:szCs w:val="20"/>
          <w:lang w:val="en-US"/>
        </w:rPr>
        <w:t>Journal of Economics and Finance</w:t>
      </w:r>
      <w:r w:rsidRPr="00BA06B6">
        <w:rPr>
          <w:rFonts w:asciiTheme="majorBidi" w:eastAsia="Calibri" w:hAnsiTheme="majorBidi" w:cstheme="majorBidi"/>
          <w:noProof/>
          <w:sz w:val="20"/>
          <w:szCs w:val="20"/>
          <w:lang w:val="en-US"/>
        </w:rPr>
        <w:t>, 1-34.</w:t>
      </w:r>
      <w:bookmarkEnd w:id="134"/>
    </w:p>
    <w:p w14:paraId="6800B069" w14:textId="7777777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35" w:name="_ENREF_109"/>
      <w:r w:rsidRPr="00BA06B6">
        <w:rPr>
          <w:rFonts w:asciiTheme="majorBidi" w:eastAsia="Calibri" w:hAnsiTheme="majorBidi" w:cstheme="majorBidi"/>
          <w:noProof/>
          <w:sz w:val="20"/>
          <w:szCs w:val="20"/>
          <w:lang w:val="en-US"/>
        </w:rPr>
        <w:lastRenderedPageBreak/>
        <w:t xml:space="preserve">Ozturk, H. (2014). Three essays in Turkish banking: development banks, Islamic banks and commercial banks. </w:t>
      </w:r>
      <w:bookmarkStart w:id="136" w:name="_ENREF_110"/>
      <w:bookmarkEnd w:id="135"/>
      <w:r w:rsidRPr="00BA06B6">
        <w:rPr>
          <w:rFonts w:asciiTheme="majorBidi" w:eastAsia="Calibri" w:hAnsiTheme="majorBidi" w:cstheme="majorBidi"/>
          <w:noProof/>
          <w:sz w:val="20"/>
          <w:szCs w:val="20"/>
          <w:lang w:val="en-US"/>
        </w:rPr>
        <w:t>(Doctoral thesis). Retrieved from https://lra.le.ac.uk/bitstream/2381/31399/1/2014ozturkhphd.pdf</w:t>
      </w:r>
    </w:p>
    <w:p w14:paraId="7D7CA23A" w14:textId="7777777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37" w:name="_ENREF_113"/>
      <w:bookmarkEnd w:id="136"/>
      <w:r w:rsidRPr="00BA06B6">
        <w:rPr>
          <w:rFonts w:asciiTheme="majorBidi" w:eastAsia="Calibri" w:hAnsiTheme="majorBidi" w:cstheme="majorBidi"/>
          <w:noProof/>
          <w:sz w:val="20"/>
          <w:szCs w:val="20"/>
          <w:lang w:val="en-US"/>
        </w:rPr>
        <w:t xml:space="preserve">Pfeffer, J. (1972). Size and composition of corporate boards of directors: The organization and its environment. </w:t>
      </w:r>
      <w:r w:rsidRPr="00BA06B6">
        <w:rPr>
          <w:rFonts w:asciiTheme="majorBidi" w:eastAsia="Calibri" w:hAnsiTheme="majorBidi" w:cstheme="majorBidi"/>
          <w:i/>
          <w:iCs/>
          <w:noProof/>
          <w:sz w:val="20"/>
          <w:szCs w:val="20"/>
          <w:lang w:val="en-US"/>
        </w:rPr>
        <w:t>Administrative science quarterly</w:t>
      </w:r>
      <w:r w:rsidRPr="00BA06B6">
        <w:rPr>
          <w:rFonts w:asciiTheme="majorBidi" w:eastAsia="Calibri" w:hAnsiTheme="majorBidi" w:cstheme="majorBidi"/>
          <w:noProof/>
          <w:sz w:val="20"/>
          <w:szCs w:val="20"/>
          <w:lang w:val="en-US"/>
        </w:rPr>
        <w:t xml:space="preserve">, 17(2), 218-228. </w:t>
      </w:r>
      <w:bookmarkEnd w:id="137"/>
    </w:p>
    <w:p w14:paraId="31689577" w14:textId="5B33C7C9"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38" w:name="_ENREF_114"/>
      <w:r w:rsidRPr="00BA06B6">
        <w:rPr>
          <w:rFonts w:asciiTheme="majorBidi" w:eastAsia="Calibri" w:hAnsiTheme="majorBidi" w:cstheme="majorBidi"/>
          <w:noProof/>
          <w:sz w:val="20"/>
          <w:szCs w:val="20"/>
          <w:lang w:val="en-US"/>
        </w:rPr>
        <w:t xml:space="preserve">Pfeffer, J.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Salancik, G.R. (2003). The external control of organizations: A resource dependence perspective: Stanford University Press.</w:t>
      </w:r>
      <w:bookmarkEnd w:id="138"/>
    </w:p>
    <w:p w14:paraId="143ABC97" w14:textId="2C7EFA51"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39" w:name="_ENREF_115"/>
      <w:r w:rsidRPr="00BA06B6">
        <w:rPr>
          <w:rFonts w:asciiTheme="majorBidi" w:eastAsia="Calibri" w:hAnsiTheme="majorBidi" w:cstheme="majorBidi"/>
          <w:noProof/>
          <w:sz w:val="20"/>
          <w:szCs w:val="20"/>
          <w:lang w:val="en-US"/>
        </w:rPr>
        <w:t xml:space="preserve">Porta, R.L. Lopez-deSilanes, F. Shleifer, A.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Vishny, R.W. (1999). Investor protection: origins, consequences, and reform. National Bureau of Economic Research.</w:t>
      </w:r>
      <w:bookmarkEnd w:id="139"/>
      <w:r w:rsidRPr="00BA06B6">
        <w:rPr>
          <w:rFonts w:asciiTheme="majorBidi" w:eastAsia="Calibri" w:hAnsiTheme="majorBidi" w:cstheme="majorBidi"/>
          <w:noProof/>
          <w:sz w:val="20"/>
          <w:szCs w:val="20"/>
          <w:lang w:val="en-US"/>
        </w:rPr>
        <w:t xml:space="preserve"> Working Paper no 7428 Retrieved from http://www.nber. org/papers/ w7428</w:t>
      </w:r>
    </w:p>
    <w:p w14:paraId="2C61B5D6" w14:textId="7777777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 xml:space="preserve">Rajgopal, S. (1999). Early evidence on the informativeness of the SEC's market risk disclosures: The case of commodity price risk exposure of oil and gas producers. </w:t>
      </w:r>
      <w:r w:rsidRPr="00BA06B6">
        <w:rPr>
          <w:rFonts w:asciiTheme="majorBidi" w:eastAsia="Calibri" w:hAnsiTheme="majorBidi" w:cstheme="majorBidi"/>
          <w:i/>
          <w:iCs/>
          <w:noProof/>
          <w:sz w:val="20"/>
          <w:szCs w:val="20"/>
          <w:lang w:val="en-US"/>
        </w:rPr>
        <w:t>Accounting Review</w:t>
      </w:r>
      <w:r w:rsidRPr="00BA06B6">
        <w:rPr>
          <w:rFonts w:asciiTheme="majorBidi" w:eastAsia="Calibri" w:hAnsiTheme="majorBidi" w:cstheme="majorBidi"/>
          <w:noProof/>
          <w:sz w:val="20"/>
          <w:szCs w:val="20"/>
          <w:lang w:val="en-US"/>
        </w:rPr>
        <w:t xml:space="preserve">, 74(3), 251-280. </w:t>
      </w:r>
    </w:p>
    <w:p w14:paraId="3B89A96F" w14:textId="585CEAA8"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40" w:name="_ENREF_69"/>
      <w:r w:rsidRPr="00BA06B6">
        <w:rPr>
          <w:rFonts w:asciiTheme="majorBidi" w:eastAsia="Calibri" w:hAnsiTheme="majorBidi" w:cstheme="majorBidi"/>
          <w:noProof/>
          <w:sz w:val="20"/>
          <w:szCs w:val="20"/>
          <w:lang w:val="en-US"/>
        </w:rPr>
        <w:t xml:space="preserve">Rove, H. Patelli, L. Victoravich, L.M.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Xu, P. (2011). Corporate governance and performance in the wake of the financial crisis: Evidence from US commercial banks. </w:t>
      </w:r>
      <w:r w:rsidRPr="00BA06B6">
        <w:rPr>
          <w:rFonts w:asciiTheme="majorBidi" w:eastAsia="Calibri" w:hAnsiTheme="majorBidi" w:cstheme="majorBidi"/>
          <w:i/>
          <w:iCs/>
          <w:noProof/>
          <w:sz w:val="20"/>
          <w:szCs w:val="20"/>
          <w:lang w:val="en-US"/>
        </w:rPr>
        <w:t>Corporate Governance: An International Review</w:t>
      </w:r>
      <w:r w:rsidRPr="00BA06B6">
        <w:rPr>
          <w:rFonts w:asciiTheme="majorBidi" w:eastAsia="Calibri" w:hAnsiTheme="majorBidi" w:cstheme="majorBidi"/>
          <w:noProof/>
          <w:sz w:val="20"/>
          <w:szCs w:val="20"/>
          <w:lang w:val="en-US"/>
        </w:rPr>
        <w:t xml:space="preserve">, 19(5), 418-436. </w:t>
      </w:r>
      <w:bookmarkEnd w:id="140"/>
    </w:p>
    <w:p w14:paraId="2B35E73C" w14:textId="7777777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41" w:name="_ENREF_117"/>
      <w:r w:rsidRPr="00BA06B6">
        <w:rPr>
          <w:rFonts w:asciiTheme="majorBidi" w:eastAsia="Calibri" w:hAnsiTheme="majorBidi" w:cstheme="majorBidi"/>
          <w:noProof/>
          <w:sz w:val="20"/>
          <w:szCs w:val="20"/>
          <w:lang w:val="en-US"/>
        </w:rPr>
        <w:t xml:space="preserve">Safieddine, A. (2009). Islamic financial institutions and corporate governance: New insights for agency theory. </w:t>
      </w:r>
      <w:r w:rsidRPr="00BA06B6">
        <w:rPr>
          <w:rFonts w:asciiTheme="majorBidi" w:eastAsia="Calibri" w:hAnsiTheme="majorBidi" w:cstheme="majorBidi"/>
          <w:i/>
          <w:iCs/>
          <w:noProof/>
          <w:sz w:val="20"/>
          <w:szCs w:val="20"/>
          <w:lang w:val="en-US"/>
        </w:rPr>
        <w:t>Corporate Governance: An International Review</w:t>
      </w:r>
      <w:r w:rsidRPr="00BA06B6">
        <w:rPr>
          <w:rFonts w:asciiTheme="majorBidi" w:eastAsia="Calibri" w:hAnsiTheme="majorBidi" w:cstheme="majorBidi"/>
          <w:noProof/>
          <w:sz w:val="20"/>
          <w:szCs w:val="20"/>
          <w:lang w:val="en-US"/>
        </w:rPr>
        <w:t xml:space="preserve">, 17(2), 142-158. </w:t>
      </w:r>
      <w:bookmarkEnd w:id="141"/>
    </w:p>
    <w:p w14:paraId="4DF4AF74" w14:textId="2E025464"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42" w:name="_ENREF_118"/>
      <w:r w:rsidRPr="00BA06B6">
        <w:rPr>
          <w:rFonts w:asciiTheme="majorBidi" w:eastAsia="Calibri" w:hAnsiTheme="majorBidi" w:cstheme="majorBidi"/>
          <w:noProof/>
          <w:sz w:val="20"/>
          <w:szCs w:val="20"/>
          <w:lang w:val="en-US"/>
        </w:rPr>
        <w:t xml:space="preserve">Salancik, G. R.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Pfeffer, J. (1978). A social information processing approach to job attitudes and task design. </w:t>
      </w:r>
      <w:r w:rsidRPr="00BA06B6">
        <w:rPr>
          <w:rFonts w:asciiTheme="majorBidi" w:eastAsia="Calibri" w:hAnsiTheme="majorBidi" w:cstheme="majorBidi"/>
          <w:i/>
          <w:iCs/>
          <w:noProof/>
          <w:sz w:val="20"/>
          <w:szCs w:val="20"/>
          <w:lang w:val="en-US"/>
        </w:rPr>
        <w:t>Administrative science quarterly</w:t>
      </w:r>
      <w:r w:rsidRPr="00BA06B6">
        <w:rPr>
          <w:rFonts w:asciiTheme="majorBidi" w:eastAsia="Calibri" w:hAnsiTheme="majorBidi" w:cstheme="majorBidi"/>
          <w:noProof/>
          <w:sz w:val="20"/>
          <w:szCs w:val="20"/>
          <w:lang w:val="en-US"/>
        </w:rPr>
        <w:t xml:space="preserve">, 23(2), 224-253. </w:t>
      </w:r>
      <w:bookmarkEnd w:id="142"/>
    </w:p>
    <w:p w14:paraId="3EFBD9FF" w14:textId="05807A3B"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 xml:space="preserve">Salvador, C., Pastor, J. M., &amp; de Guevara, J. F. (2014). Impact of the subprime crisis on bank ratings: The effect of the hardening of rating policies and worsening of solvency. </w:t>
      </w:r>
      <w:r w:rsidRPr="00BA06B6">
        <w:rPr>
          <w:rFonts w:asciiTheme="majorBidi" w:eastAsia="Calibri" w:hAnsiTheme="majorBidi" w:cstheme="majorBidi"/>
          <w:i/>
          <w:noProof/>
          <w:sz w:val="20"/>
          <w:szCs w:val="20"/>
          <w:lang w:val="en-US"/>
        </w:rPr>
        <w:t>Journal of Financial Stability, 11</w:t>
      </w:r>
      <w:r w:rsidRPr="00BA06B6">
        <w:rPr>
          <w:rFonts w:asciiTheme="majorBidi" w:eastAsia="Calibri" w:hAnsiTheme="majorBidi" w:cstheme="majorBidi"/>
          <w:noProof/>
          <w:sz w:val="20"/>
          <w:szCs w:val="20"/>
          <w:lang w:val="en-US"/>
        </w:rPr>
        <w:t xml:space="preserve">, 13-31. </w:t>
      </w:r>
    </w:p>
    <w:p w14:paraId="5EE6D1D8" w14:textId="16A71982"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43" w:name="_ENREF_119"/>
      <w:r w:rsidRPr="00BA06B6">
        <w:rPr>
          <w:rFonts w:asciiTheme="majorBidi" w:eastAsia="Calibri" w:hAnsiTheme="majorBidi" w:cstheme="majorBidi"/>
          <w:noProof/>
          <w:sz w:val="20"/>
          <w:szCs w:val="20"/>
          <w:lang w:val="en-US"/>
        </w:rPr>
        <w:t xml:space="preserve">Samaha, K. Dahawy, K. Hussainey, K.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Stapleton, P. (2012). The extent of corporate governance disclosure and its determinants in a developing market: The case of Egypt. </w:t>
      </w:r>
      <w:r w:rsidRPr="00BA06B6">
        <w:rPr>
          <w:rFonts w:asciiTheme="majorBidi" w:eastAsia="Calibri" w:hAnsiTheme="majorBidi" w:cstheme="majorBidi"/>
          <w:i/>
          <w:iCs/>
          <w:noProof/>
          <w:sz w:val="20"/>
          <w:szCs w:val="20"/>
          <w:lang w:val="en-US"/>
        </w:rPr>
        <w:t>Advances in Accounting</w:t>
      </w:r>
      <w:r w:rsidRPr="00BA06B6">
        <w:rPr>
          <w:rFonts w:asciiTheme="majorBidi" w:eastAsia="Calibri" w:hAnsiTheme="majorBidi" w:cstheme="majorBidi"/>
          <w:noProof/>
          <w:sz w:val="20"/>
          <w:szCs w:val="20"/>
          <w:lang w:val="en-US"/>
        </w:rPr>
        <w:t xml:space="preserve">, 28(1), 168-178. </w:t>
      </w:r>
      <w:bookmarkEnd w:id="143"/>
    </w:p>
    <w:p w14:paraId="580D2CE0" w14:textId="2CDDE54E"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rPr>
        <w:t xml:space="preserve">Samaha, K., Khlif, H., &amp; Hussainey, K. (2015). The impact of board and audit committee characteristics on voluntary disclosure: A meta-analysis. </w:t>
      </w:r>
      <w:r w:rsidRPr="00BA06B6">
        <w:rPr>
          <w:rFonts w:asciiTheme="majorBidi" w:eastAsia="Calibri" w:hAnsiTheme="majorBidi" w:cstheme="majorBidi"/>
          <w:i/>
          <w:noProof/>
          <w:sz w:val="20"/>
          <w:szCs w:val="20"/>
        </w:rPr>
        <w:t>Journal of International Accounting, Auditing and Taxation, 24</w:t>
      </w:r>
      <w:r w:rsidRPr="00BA06B6">
        <w:rPr>
          <w:rFonts w:asciiTheme="majorBidi" w:eastAsia="Calibri" w:hAnsiTheme="majorBidi" w:cstheme="majorBidi"/>
          <w:noProof/>
          <w:sz w:val="20"/>
          <w:szCs w:val="20"/>
        </w:rPr>
        <w:t>, 13-28.</w:t>
      </w:r>
    </w:p>
    <w:p w14:paraId="0C7F6C50" w14:textId="77777777" w:rsidR="00AA068C" w:rsidRPr="00BA06B6" w:rsidRDefault="00AA068C" w:rsidP="00236344">
      <w:pPr>
        <w:spacing w:after="0" w:line="240" w:lineRule="auto"/>
        <w:ind w:left="851" w:hanging="851"/>
        <w:jc w:val="both"/>
        <w:rPr>
          <w:rFonts w:asciiTheme="majorBidi" w:eastAsia="Calibri" w:hAnsiTheme="majorBidi" w:cstheme="majorBidi"/>
          <w:noProof/>
          <w:sz w:val="20"/>
          <w:szCs w:val="20"/>
          <w:lang w:val="en-US"/>
        </w:rPr>
      </w:pPr>
      <w:bookmarkStart w:id="144" w:name="_ENREF_121"/>
      <w:r w:rsidRPr="00BA06B6">
        <w:rPr>
          <w:rFonts w:asciiTheme="majorBidi" w:eastAsia="Calibri" w:hAnsiTheme="majorBidi" w:cstheme="majorBidi"/>
          <w:noProof/>
          <w:sz w:val="20"/>
          <w:szCs w:val="20"/>
          <w:lang w:val="en-US"/>
        </w:rPr>
        <w:t xml:space="preserve">Sengupta, P. (1998). Corporate disclosure quality and the cost of debt. </w:t>
      </w:r>
      <w:r w:rsidRPr="00BA06B6">
        <w:rPr>
          <w:rFonts w:asciiTheme="majorBidi" w:eastAsia="Calibri" w:hAnsiTheme="majorBidi" w:cstheme="majorBidi"/>
          <w:i/>
          <w:iCs/>
          <w:noProof/>
          <w:sz w:val="20"/>
          <w:szCs w:val="20"/>
          <w:lang w:val="en-US"/>
        </w:rPr>
        <w:t xml:space="preserve">Accounting </w:t>
      </w:r>
      <w:r w:rsidR="00236344" w:rsidRPr="00BA06B6">
        <w:rPr>
          <w:rFonts w:asciiTheme="majorBidi" w:eastAsia="Calibri" w:hAnsiTheme="majorBidi" w:cstheme="majorBidi"/>
          <w:i/>
          <w:iCs/>
          <w:noProof/>
          <w:sz w:val="20"/>
          <w:szCs w:val="20"/>
          <w:lang w:val="en-US"/>
        </w:rPr>
        <w:t>R</w:t>
      </w:r>
      <w:r w:rsidRPr="00BA06B6">
        <w:rPr>
          <w:rFonts w:asciiTheme="majorBidi" w:eastAsia="Calibri" w:hAnsiTheme="majorBidi" w:cstheme="majorBidi"/>
          <w:i/>
          <w:iCs/>
          <w:noProof/>
          <w:sz w:val="20"/>
          <w:szCs w:val="20"/>
          <w:lang w:val="en-US"/>
        </w:rPr>
        <w:t>eview</w:t>
      </w:r>
      <w:r w:rsidRPr="00BA06B6">
        <w:rPr>
          <w:rFonts w:asciiTheme="majorBidi" w:eastAsia="Calibri" w:hAnsiTheme="majorBidi" w:cstheme="majorBidi"/>
          <w:noProof/>
          <w:sz w:val="20"/>
          <w:szCs w:val="20"/>
          <w:lang w:val="en-US"/>
        </w:rPr>
        <w:t xml:space="preserve">, 73(4),459-474. </w:t>
      </w:r>
      <w:bookmarkEnd w:id="144"/>
    </w:p>
    <w:p w14:paraId="0F6AF1DD" w14:textId="0AB5DDAB"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45" w:name="_ENREF_122"/>
      <w:r w:rsidRPr="00BA06B6">
        <w:rPr>
          <w:rFonts w:asciiTheme="majorBidi" w:eastAsia="Calibri" w:hAnsiTheme="majorBidi" w:cstheme="majorBidi"/>
          <w:noProof/>
          <w:sz w:val="20"/>
          <w:szCs w:val="20"/>
          <w:lang w:val="en-US"/>
        </w:rPr>
        <w:t xml:space="preserve">Shen, C.-H. Huang, Y.-L.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Hasan, I. (2012). Asymmetric benchmarking in bank credit rating. Journal of </w:t>
      </w:r>
      <w:r w:rsidRPr="00BA06B6">
        <w:rPr>
          <w:rFonts w:asciiTheme="majorBidi" w:eastAsia="Calibri" w:hAnsiTheme="majorBidi" w:cstheme="majorBidi"/>
          <w:i/>
          <w:iCs/>
          <w:noProof/>
          <w:sz w:val="20"/>
          <w:szCs w:val="20"/>
          <w:lang w:val="en-US"/>
        </w:rPr>
        <w:t>International Financial Markets, Institutions and Money</w:t>
      </w:r>
      <w:r w:rsidRPr="00BA06B6">
        <w:rPr>
          <w:rFonts w:asciiTheme="majorBidi" w:eastAsia="Calibri" w:hAnsiTheme="majorBidi" w:cstheme="majorBidi"/>
          <w:noProof/>
          <w:sz w:val="20"/>
          <w:szCs w:val="20"/>
          <w:lang w:val="en-US"/>
        </w:rPr>
        <w:t xml:space="preserve">, 22(1), 171-193. </w:t>
      </w:r>
      <w:bookmarkEnd w:id="145"/>
    </w:p>
    <w:p w14:paraId="14CD52A0" w14:textId="3A43D503"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46" w:name="_ENREF_123"/>
      <w:r w:rsidRPr="00BA06B6">
        <w:rPr>
          <w:rFonts w:asciiTheme="majorBidi" w:eastAsia="Calibri" w:hAnsiTheme="majorBidi" w:cstheme="majorBidi"/>
          <w:noProof/>
          <w:sz w:val="20"/>
          <w:szCs w:val="20"/>
          <w:lang w:val="en-US"/>
        </w:rPr>
        <w:t xml:space="preserve">Shleifer, A. </w:t>
      </w:r>
      <w:r w:rsidR="003B5A80" w:rsidRPr="00BA06B6">
        <w:rPr>
          <w:rFonts w:asciiTheme="majorBidi" w:eastAsia="Calibri" w:hAnsiTheme="majorBidi" w:cstheme="majorBidi"/>
          <w:noProof/>
          <w:sz w:val="20"/>
          <w:szCs w:val="20"/>
          <w:lang w:val="en-US"/>
        </w:rPr>
        <w:t>&amp;</w:t>
      </w:r>
      <w:r w:rsidRPr="00BA06B6">
        <w:rPr>
          <w:rFonts w:asciiTheme="majorBidi" w:eastAsia="Calibri" w:hAnsiTheme="majorBidi" w:cstheme="majorBidi"/>
          <w:noProof/>
          <w:sz w:val="20"/>
          <w:szCs w:val="20"/>
          <w:lang w:val="en-US"/>
        </w:rPr>
        <w:t xml:space="preserve"> Vishny, R. W. (1997). A survey of corporate governance. Journal of Finance, 52(2), 737-783. </w:t>
      </w:r>
      <w:bookmarkEnd w:id="146"/>
    </w:p>
    <w:p w14:paraId="23E78577" w14:textId="1BA8C7F2"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47" w:name="_ENREF_124"/>
      <w:r w:rsidRPr="00BA06B6">
        <w:rPr>
          <w:rFonts w:asciiTheme="majorBidi" w:eastAsia="Calibri" w:hAnsiTheme="majorBidi" w:cstheme="majorBidi"/>
          <w:noProof/>
          <w:sz w:val="20"/>
          <w:szCs w:val="20"/>
          <w:lang w:val="en-US"/>
        </w:rPr>
        <w:t xml:space="preserve">Spence, M. (1973). Job market signaling. </w:t>
      </w:r>
      <w:r w:rsidRPr="00BA06B6">
        <w:rPr>
          <w:rFonts w:asciiTheme="majorBidi" w:eastAsia="Calibri" w:hAnsiTheme="majorBidi" w:cstheme="majorBidi"/>
          <w:i/>
          <w:iCs/>
          <w:noProof/>
          <w:sz w:val="20"/>
          <w:szCs w:val="20"/>
          <w:lang w:val="en-US"/>
        </w:rPr>
        <w:t>Quarterly Journal of Economics</w:t>
      </w:r>
      <w:r w:rsidRPr="00BA06B6">
        <w:rPr>
          <w:rFonts w:asciiTheme="majorBidi" w:eastAsia="Calibri" w:hAnsiTheme="majorBidi" w:cstheme="majorBidi"/>
          <w:noProof/>
          <w:sz w:val="20"/>
          <w:szCs w:val="20"/>
          <w:lang w:val="en-US"/>
        </w:rPr>
        <w:t xml:space="preserve">, 87(3), 355-374. </w:t>
      </w:r>
      <w:bookmarkEnd w:id="147"/>
    </w:p>
    <w:p w14:paraId="350B4B15" w14:textId="40337CB5" w:rsidR="003B5A80" w:rsidRPr="00BA06B6" w:rsidRDefault="003B5A80" w:rsidP="003B5A80">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rPr>
        <w:t xml:space="preserve">Standard &amp; Poor’s, 2009. Corporate ratings criteria. </w:t>
      </w:r>
      <w:hyperlink r:id="rId21" w:history="1">
        <w:r w:rsidRPr="00BA06B6">
          <w:rPr>
            <w:rStyle w:val="Hyperlink"/>
            <w:rFonts w:asciiTheme="majorBidi" w:eastAsia="Calibri" w:hAnsiTheme="majorBidi" w:cstheme="majorBidi"/>
            <w:noProof/>
            <w:color w:val="auto"/>
            <w:sz w:val="20"/>
            <w:szCs w:val="20"/>
          </w:rPr>
          <w:t>http://www.standardandpoors.com</w:t>
        </w:r>
      </w:hyperlink>
      <w:r w:rsidRPr="00BA06B6">
        <w:rPr>
          <w:rFonts w:asciiTheme="majorBidi" w:eastAsia="Calibri" w:hAnsiTheme="majorBidi" w:cstheme="majorBidi"/>
          <w:noProof/>
          <w:sz w:val="20"/>
          <w:szCs w:val="20"/>
        </w:rPr>
        <w:t xml:space="preserve">. </w:t>
      </w:r>
    </w:p>
    <w:p w14:paraId="03F7E8B2" w14:textId="57B299D5"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rPr>
        <w:t xml:space="preserve">Switzer, L. N., &amp; Wang, J. (2017). Institutional investment horizon, the information environment, and firm credit risk. </w:t>
      </w:r>
      <w:r w:rsidRPr="00BA06B6">
        <w:rPr>
          <w:rFonts w:asciiTheme="majorBidi" w:eastAsia="Calibri" w:hAnsiTheme="majorBidi" w:cstheme="majorBidi"/>
          <w:i/>
          <w:noProof/>
          <w:sz w:val="20"/>
          <w:szCs w:val="20"/>
        </w:rPr>
        <w:t>Journal of Financial Stability, 29</w:t>
      </w:r>
      <w:r w:rsidRPr="00BA06B6">
        <w:rPr>
          <w:rFonts w:asciiTheme="majorBidi" w:eastAsia="Calibri" w:hAnsiTheme="majorBidi" w:cstheme="majorBidi"/>
          <w:noProof/>
          <w:sz w:val="20"/>
          <w:szCs w:val="20"/>
        </w:rPr>
        <w:t>, 57-71.</w:t>
      </w:r>
    </w:p>
    <w:p w14:paraId="58A6AC8F" w14:textId="33672DFA" w:rsidR="00AA068C" w:rsidRPr="00BA06B6" w:rsidRDefault="00AA068C" w:rsidP="00AA068C">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lang w:val="de-DE"/>
        </w:rPr>
        <w:t xml:space="preserve">Tan, Y., Zeng, C. C., &amp; Elshandidy, T. (2017). </w:t>
      </w:r>
      <w:r w:rsidRPr="00BA06B6">
        <w:rPr>
          <w:rFonts w:asciiTheme="majorBidi" w:eastAsia="Calibri" w:hAnsiTheme="majorBidi" w:cstheme="majorBidi"/>
          <w:noProof/>
          <w:sz w:val="20"/>
          <w:szCs w:val="20"/>
        </w:rPr>
        <w:t xml:space="preserve">Risk disclosures, international orientation, and share price informativeness: Evidence from China. </w:t>
      </w:r>
      <w:r w:rsidRPr="00BA06B6">
        <w:rPr>
          <w:rFonts w:asciiTheme="majorBidi" w:eastAsia="Calibri" w:hAnsiTheme="majorBidi" w:cstheme="majorBidi"/>
          <w:i/>
          <w:iCs/>
          <w:noProof/>
          <w:sz w:val="20"/>
          <w:szCs w:val="20"/>
        </w:rPr>
        <w:t>Journal of International Accounting, Auditing and Taxation</w:t>
      </w:r>
      <w:r w:rsidRPr="00BA06B6">
        <w:rPr>
          <w:rFonts w:asciiTheme="majorBidi" w:eastAsia="Calibri" w:hAnsiTheme="majorBidi" w:cstheme="majorBidi"/>
          <w:noProof/>
          <w:sz w:val="20"/>
          <w:szCs w:val="20"/>
        </w:rPr>
        <w:t xml:space="preserve">, </w:t>
      </w:r>
      <w:r w:rsidRPr="00BA06B6">
        <w:rPr>
          <w:rFonts w:asciiTheme="majorBidi" w:eastAsia="Calibri" w:hAnsiTheme="majorBidi" w:cstheme="majorBidi"/>
          <w:i/>
          <w:iCs/>
          <w:noProof/>
          <w:sz w:val="20"/>
          <w:szCs w:val="20"/>
        </w:rPr>
        <w:t>29</w:t>
      </w:r>
      <w:r w:rsidRPr="00BA06B6">
        <w:rPr>
          <w:rFonts w:asciiTheme="majorBidi" w:eastAsia="Calibri" w:hAnsiTheme="majorBidi" w:cstheme="majorBidi"/>
          <w:noProof/>
          <w:sz w:val="20"/>
          <w:szCs w:val="20"/>
        </w:rPr>
        <w:t>, 81-102.</w:t>
      </w:r>
    </w:p>
    <w:p w14:paraId="185B9B20" w14:textId="72C948C6" w:rsidR="00F541A6" w:rsidRPr="00BA06B6" w:rsidRDefault="00F541A6" w:rsidP="00F541A6">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Tourigny, L., Dougan, W. L., Washbush, J., &amp; Clements, C. (2003). Explaining executive integrity: governance, charisma, personality and agency. </w:t>
      </w:r>
      <w:r w:rsidRPr="00BA06B6">
        <w:rPr>
          <w:rFonts w:asciiTheme="majorBidi" w:eastAsia="Calibri" w:hAnsiTheme="majorBidi" w:cstheme="majorBidi"/>
          <w:i/>
          <w:iCs/>
          <w:noProof/>
          <w:sz w:val="20"/>
          <w:szCs w:val="20"/>
        </w:rPr>
        <w:t>Management Decision</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41</w:t>
      </w:r>
      <w:r w:rsidRPr="00BA06B6">
        <w:rPr>
          <w:rFonts w:asciiTheme="majorBidi" w:eastAsia="Calibri" w:hAnsiTheme="majorBidi" w:cstheme="majorBidi"/>
          <w:noProof/>
          <w:sz w:val="20"/>
          <w:szCs w:val="20"/>
        </w:rPr>
        <w:t>(10), 1035-1049.</w:t>
      </w:r>
    </w:p>
    <w:p w14:paraId="0D36D720" w14:textId="7338D5ED" w:rsidR="00AA068C" w:rsidRPr="00BA06B6" w:rsidRDefault="00AA068C" w:rsidP="00AA068C">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 xml:space="preserve">Tran, D. H. (2014). Multiple corporate governance attributes and the cost of capital – Evidence from Germany. </w:t>
      </w:r>
      <w:r w:rsidRPr="00BA06B6">
        <w:rPr>
          <w:rFonts w:asciiTheme="majorBidi" w:eastAsia="Calibri" w:hAnsiTheme="majorBidi" w:cstheme="majorBidi"/>
          <w:i/>
          <w:noProof/>
          <w:sz w:val="20"/>
          <w:szCs w:val="20"/>
        </w:rPr>
        <w:t>The British Accounting Review, 46</w:t>
      </w:r>
      <w:r w:rsidRPr="00BA06B6">
        <w:rPr>
          <w:rFonts w:asciiTheme="majorBidi" w:eastAsia="Calibri" w:hAnsiTheme="majorBidi" w:cstheme="majorBidi"/>
          <w:noProof/>
          <w:sz w:val="20"/>
          <w:szCs w:val="20"/>
        </w:rPr>
        <w:t>(2), 179-197</w:t>
      </w:r>
      <w:r w:rsidR="003B5A80" w:rsidRPr="00BA06B6">
        <w:rPr>
          <w:rFonts w:asciiTheme="majorBidi" w:eastAsia="Calibri" w:hAnsiTheme="majorBidi" w:cstheme="majorBidi"/>
          <w:noProof/>
          <w:sz w:val="20"/>
          <w:szCs w:val="20"/>
        </w:rPr>
        <w:t>.</w:t>
      </w:r>
    </w:p>
    <w:p w14:paraId="6673D6B0" w14:textId="78EAC690" w:rsidR="003B5A80" w:rsidRPr="00BA06B6" w:rsidRDefault="003B5A80" w:rsidP="003B5A80">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 xml:space="preserve">Verrecchia, R., 1983. Discretionary disclosure, </w:t>
      </w:r>
      <w:r w:rsidRPr="00BA06B6">
        <w:rPr>
          <w:rFonts w:asciiTheme="majorBidi" w:eastAsia="Calibri" w:hAnsiTheme="majorBidi" w:cstheme="majorBidi"/>
          <w:i/>
          <w:iCs/>
          <w:noProof/>
          <w:sz w:val="20"/>
          <w:szCs w:val="20"/>
          <w:lang w:val="en-US"/>
        </w:rPr>
        <w:t>Journal of Accounting and Economics 5</w:t>
      </w:r>
      <w:r w:rsidRPr="00BA06B6">
        <w:rPr>
          <w:rFonts w:asciiTheme="majorBidi" w:eastAsia="Calibri" w:hAnsiTheme="majorBidi" w:cstheme="majorBidi"/>
          <w:noProof/>
          <w:sz w:val="20"/>
          <w:szCs w:val="20"/>
          <w:lang w:val="en-US"/>
        </w:rPr>
        <w:t>, 179–194.</w:t>
      </w:r>
    </w:p>
    <w:p w14:paraId="0BE78CB1" w14:textId="77777777"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48" w:name="_ENREF_132"/>
      <w:r w:rsidRPr="00BA06B6">
        <w:rPr>
          <w:rFonts w:asciiTheme="majorBidi" w:eastAsia="Calibri" w:hAnsiTheme="majorBidi" w:cstheme="majorBidi"/>
          <w:noProof/>
          <w:sz w:val="20"/>
          <w:szCs w:val="20"/>
          <w:lang w:val="en-US"/>
        </w:rPr>
        <w:t>Walker, S. D. (2009), ‘A Review of corporate governance in UK banks and other financial industry entities, final recommendations’, Available at </w:t>
      </w:r>
      <w:hyperlink r:id="rId22" w:tooltip="Link to external resource: http://www.hm-treasury.gov.uk/d/walker_review_261109.pdf" w:history="1">
        <w:r w:rsidRPr="00BA06B6">
          <w:rPr>
            <w:rFonts w:asciiTheme="majorBidi" w:eastAsia="Calibri" w:hAnsiTheme="majorBidi" w:cstheme="majorBidi"/>
            <w:noProof/>
            <w:sz w:val="20"/>
            <w:szCs w:val="20"/>
            <w:lang w:val="en-US"/>
          </w:rPr>
          <w:t>http://www.hm-treasury.gov.uk/d/walker_review_261109.pdf</w:t>
        </w:r>
      </w:hyperlink>
      <w:r w:rsidRPr="00BA06B6">
        <w:rPr>
          <w:rFonts w:asciiTheme="majorBidi" w:eastAsia="Calibri" w:hAnsiTheme="majorBidi" w:cstheme="majorBidi"/>
          <w:noProof/>
          <w:sz w:val="20"/>
          <w:szCs w:val="20"/>
          <w:lang w:val="en-US"/>
        </w:rPr>
        <w:t xml:space="preserve"> </w:t>
      </w:r>
    </w:p>
    <w:p w14:paraId="4D0D2044" w14:textId="147FB27C" w:rsidR="00AA068C" w:rsidRPr="00BA06B6" w:rsidRDefault="00AA068C" w:rsidP="00AA068C">
      <w:pPr>
        <w:spacing w:after="0" w:line="240" w:lineRule="auto"/>
        <w:ind w:left="851" w:hanging="851"/>
        <w:jc w:val="both"/>
        <w:rPr>
          <w:rFonts w:asciiTheme="majorBidi" w:eastAsia="Calibri" w:hAnsiTheme="majorBidi" w:cstheme="majorBidi"/>
          <w:noProof/>
          <w:sz w:val="20"/>
          <w:szCs w:val="20"/>
          <w:lang w:val="en-US"/>
        </w:rPr>
      </w:pPr>
      <w:bookmarkStart w:id="149" w:name="_ENREF_133"/>
      <w:bookmarkEnd w:id="148"/>
      <w:r w:rsidRPr="00BA06B6">
        <w:rPr>
          <w:rFonts w:asciiTheme="majorBidi" w:eastAsia="Calibri" w:hAnsiTheme="majorBidi" w:cstheme="majorBidi"/>
          <w:noProof/>
          <w:sz w:val="20"/>
          <w:szCs w:val="20"/>
          <w:lang w:val="en-US"/>
        </w:rPr>
        <w:t>World Bank. (2009). Policy brief on improving corporate governance of banks in the Middle East and North   Africa. Washington, DC: World Bank. http://documents.worldbank.org/curated/en/2009/11/1449 9341/policy-brief-improving-corporate-governance-banks-middle-east-north-africa.</w:t>
      </w:r>
    </w:p>
    <w:p w14:paraId="01EEE869" w14:textId="005D1D95" w:rsidR="003B5A80" w:rsidRPr="00BA06B6" w:rsidRDefault="003B5A80" w:rsidP="003B5A80">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Werner, S., Tosi, H. L., &amp; Gomez‐Mejia, L. (2005). Organizational governance and employee pay: How ownership structure affects the firm's compensation strategy. </w:t>
      </w:r>
      <w:r w:rsidRPr="00BA06B6">
        <w:rPr>
          <w:rFonts w:asciiTheme="majorBidi" w:eastAsia="Calibri" w:hAnsiTheme="majorBidi" w:cstheme="majorBidi"/>
          <w:i/>
          <w:iCs/>
          <w:noProof/>
          <w:sz w:val="20"/>
          <w:szCs w:val="20"/>
        </w:rPr>
        <w:t>Strategic Management Journal</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26</w:t>
      </w:r>
      <w:r w:rsidRPr="00BA06B6">
        <w:rPr>
          <w:rFonts w:asciiTheme="majorBidi" w:eastAsia="Calibri" w:hAnsiTheme="majorBidi" w:cstheme="majorBidi"/>
          <w:noProof/>
          <w:sz w:val="20"/>
          <w:szCs w:val="20"/>
        </w:rPr>
        <w:t>(4), 377-384.</w:t>
      </w:r>
    </w:p>
    <w:p w14:paraId="0B9BB2DD" w14:textId="7C86AADB" w:rsidR="00AA068C" w:rsidRPr="00BA06B6" w:rsidRDefault="00AA068C" w:rsidP="00AA068C">
      <w:pPr>
        <w:spacing w:after="0" w:line="240" w:lineRule="auto"/>
        <w:ind w:left="851" w:hanging="851"/>
        <w:jc w:val="both"/>
        <w:rPr>
          <w:rFonts w:asciiTheme="majorBidi" w:eastAsia="Calibri" w:hAnsiTheme="majorBidi" w:cstheme="majorBidi"/>
          <w:noProof/>
          <w:sz w:val="20"/>
          <w:szCs w:val="20"/>
        </w:rPr>
      </w:pPr>
      <w:r w:rsidRPr="00BA06B6">
        <w:rPr>
          <w:rFonts w:asciiTheme="majorBidi" w:eastAsia="Calibri" w:hAnsiTheme="majorBidi" w:cstheme="majorBidi"/>
          <w:noProof/>
          <w:sz w:val="20"/>
          <w:szCs w:val="20"/>
        </w:rPr>
        <w:t>Yamori, N., Harimaya, K., &amp; Tomimura, K. (2017). Corporate governance structure and efficiencies of cooperative banks. </w:t>
      </w:r>
      <w:r w:rsidRPr="00BA06B6">
        <w:rPr>
          <w:rFonts w:asciiTheme="majorBidi" w:eastAsia="Calibri" w:hAnsiTheme="majorBidi" w:cstheme="majorBidi"/>
          <w:i/>
          <w:iCs/>
          <w:noProof/>
          <w:sz w:val="20"/>
          <w:szCs w:val="20"/>
        </w:rPr>
        <w:t>International Journal of Finance &amp; Economics</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22</w:t>
      </w:r>
      <w:r w:rsidRPr="00BA06B6">
        <w:rPr>
          <w:rFonts w:asciiTheme="majorBidi" w:eastAsia="Calibri" w:hAnsiTheme="majorBidi" w:cstheme="majorBidi"/>
          <w:noProof/>
          <w:sz w:val="20"/>
          <w:szCs w:val="20"/>
        </w:rPr>
        <w:t>(4), 368-378.</w:t>
      </w:r>
    </w:p>
    <w:p w14:paraId="4BA0E7B1" w14:textId="6D570360" w:rsidR="003B5A80" w:rsidRPr="00BA06B6" w:rsidRDefault="003B5A80" w:rsidP="003B5A80">
      <w:pPr>
        <w:spacing w:after="0" w:line="240" w:lineRule="auto"/>
        <w:ind w:left="851" w:hanging="851"/>
        <w:jc w:val="both"/>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rPr>
        <w:t>Young, M. N., Peng, M. W., Ahlstrom, D., Bruton, G. D., &amp; Jiang, Y. (2008). Corporate governance in emerging economies: A review of the principal–principal perspective. </w:t>
      </w:r>
      <w:r w:rsidRPr="00BA06B6">
        <w:rPr>
          <w:rFonts w:asciiTheme="majorBidi" w:eastAsia="Calibri" w:hAnsiTheme="majorBidi" w:cstheme="majorBidi"/>
          <w:i/>
          <w:iCs/>
          <w:noProof/>
          <w:sz w:val="20"/>
          <w:szCs w:val="20"/>
        </w:rPr>
        <w:t>Journal of Management Studies</w:t>
      </w:r>
      <w:r w:rsidRPr="00BA06B6">
        <w:rPr>
          <w:rFonts w:asciiTheme="majorBidi" w:eastAsia="Calibri" w:hAnsiTheme="majorBidi" w:cstheme="majorBidi"/>
          <w:noProof/>
          <w:sz w:val="20"/>
          <w:szCs w:val="20"/>
        </w:rPr>
        <w:t>, </w:t>
      </w:r>
      <w:r w:rsidRPr="00BA06B6">
        <w:rPr>
          <w:rFonts w:asciiTheme="majorBidi" w:eastAsia="Calibri" w:hAnsiTheme="majorBidi" w:cstheme="majorBidi"/>
          <w:i/>
          <w:iCs/>
          <w:noProof/>
          <w:sz w:val="20"/>
          <w:szCs w:val="20"/>
        </w:rPr>
        <w:t>45</w:t>
      </w:r>
      <w:r w:rsidRPr="00BA06B6">
        <w:rPr>
          <w:rFonts w:asciiTheme="majorBidi" w:eastAsia="Calibri" w:hAnsiTheme="majorBidi" w:cstheme="majorBidi"/>
          <w:noProof/>
          <w:sz w:val="20"/>
          <w:szCs w:val="20"/>
        </w:rPr>
        <w:t>(1), 196-220.</w:t>
      </w:r>
    </w:p>
    <w:p w14:paraId="4445FA52" w14:textId="77777777" w:rsidR="003B5A80" w:rsidRPr="00BA06B6" w:rsidRDefault="003B5A80" w:rsidP="00AA068C">
      <w:pPr>
        <w:spacing w:after="0" w:line="240" w:lineRule="auto"/>
        <w:ind w:left="851" w:hanging="851"/>
        <w:jc w:val="both"/>
        <w:rPr>
          <w:rFonts w:asciiTheme="majorBidi" w:eastAsia="Calibri" w:hAnsiTheme="majorBidi" w:cstheme="majorBidi"/>
          <w:noProof/>
          <w:sz w:val="20"/>
          <w:szCs w:val="20"/>
          <w:lang w:val="en-US"/>
        </w:rPr>
      </w:pPr>
    </w:p>
    <w:p w14:paraId="6F2979CF" w14:textId="77777777" w:rsidR="00AA068C" w:rsidRPr="00BA06B6" w:rsidRDefault="00AA068C" w:rsidP="00AA068C">
      <w:pPr>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t xml:space="preserve"> </w:t>
      </w:r>
      <w:bookmarkEnd w:id="149"/>
      <w:r w:rsidRPr="00BA06B6">
        <w:rPr>
          <w:rFonts w:asciiTheme="majorBidi" w:eastAsia="Calibri" w:hAnsiTheme="majorBidi" w:cstheme="majorBidi"/>
          <w:noProof/>
          <w:sz w:val="20"/>
          <w:szCs w:val="20"/>
          <w:lang w:val="en-US"/>
        </w:rPr>
        <w:fldChar w:fldCharType="end"/>
      </w:r>
    </w:p>
    <w:p w14:paraId="2532FCE0" w14:textId="77777777" w:rsidR="00AA068C" w:rsidRPr="00BA06B6" w:rsidRDefault="00AA068C">
      <w:pPr>
        <w:rPr>
          <w:rFonts w:asciiTheme="majorBidi" w:eastAsia="Calibri" w:hAnsiTheme="majorBidi" w:cstheme="majorBidi"/>
          <w:noProof/>
          <w:sz w:val="20"/>
          <w:szCs w:val="20"/>
          <w:lang w:val="en-US"/>
        </w:rPr>
      </w:pPr>
      <w:r w:rsidRPr="00BA06B6">
        <w:rPr>
          <w:rFonts w:asciiTheme="majorBidi" w:eastAsia="Calibri" w:hAnsiTheme="majorBidi" w:cstheme="majorBidi"/>
          <w:noProof/>
          <w:sz w:val="20"/>
          <w:szCs w:val="20"/>
          <w:lang w:val="en-US"/>
        </w:rPr>
        <w:br w:type="page"/>
      </w:r>
    </w:p>
    <w:p w14:paraId="301BEED3" w14:textId="77777777" w:rsidR="00AA068C" w:rsidRPr="00BA06B6" w:rsidRDefault="00AA068C" w:rsidP="00236344">
      <w:pPr>
        <w:keepNext/>
        <w:keepLines/>
        <w:tabs>
          <w:tab w:val="left" w:pos="851"/>
        </w:tabs>
        <w:spacing w:after="0" w:line="360" w:lineRule="auto"/>
        <w:jc w:val="both"/>
        <w:outlineLvl w:val="0"/>
        <w:rPr>
          <w:rFonts w:ascii="Times New Roman" w:eastAsia="Calibri" w:hAnsi="Times New Roman" w:cs="Times New Roman"/>
          <w:b/>
          <w:sz w:val="24"/>
          <w:szCs w:val="24"/>
        </w:rPr>
      </w:pPr>
      <w:r w:rsidRPr="00BA06B6">
        <w:rPr>
          <w:rFonts w:ascii="Times New Roman" w:eastAsia="Calibri" w:hAnsi="Times New Roman" w:cs="Times New Roman"/>
          <w:b/>
          <w:sz w:val="24"/>
          <w:szCs w:val="24"/>
        </w:rPr>
        <w:lastRenderedPageBreak/>
        <w:t>TABLES</w:t>
      </w:r>
    </w:p>
    <w:p w14:paraId="3AA5D923" w14:textId="77777777" w:rsidR="00AA068C" w:rsidRPr="00BA06B6" w:rsidRDefault="00AA068C" w:rsidP="00AA068C">
      <w:pPr>
        <w:tabs>
          <w:tab w:val="left" w:pos="851"/>
        </w:tabs>
        <w:spacing w:after="0"/>
        <w:jc w:val="both"/>
        <w:rPr>
          <w:rFonts w:ascii="Times New Roman" w:eastAsia="Calibri" w:hAnsi="Times New Roman" w:cs="Times New Roman"/>
          <w:sz w:val="16"/>
          <w:szCs w:val="16"/>
          <w:lang w:val="en-US"/>
        </w:rPr>
      </w:pPr>
      <w:r w:rsidRPr="00BA06B6">
        <w:rPr>
          <w:rFonts w:ascii="Times New Roman" w:eastAsia="Times New Roman" w:hAnsi="Times New Roman" w:cs="Times New Roman"/>
          <w:b/>
          <w:bCs/>
          <w:sz w:val="20"/>
          <w:szCs w:val="20"/>
          <w:lang w:eastAsia="en-GB"/>
        </w:rPr>
        <w:t xml:space="preserve">TABLE </w:t>
      </w:r>
      <w:bookmarkStart w:id="150" w:name="Table1"/>
      <w:r w:rsidRPr="00BA06B6">
        <w:rPr>
          <w:rFonts w:ascii="Times New Roman" w:eastAsia="Times New Roman" w:hAnsi="Times New Roman" w:cs="Times New Roman"/>
          <w:b/>
          <w:bCs/>
          <w:sz w:val="20"/>
          <w:szCs w:val="20"/>
          <w:lang w:eastAsia="en-GB"/>
        </w:rPr>
        <w:t>1</w:t>
      </w:r>
      <w:bookmarkEnd w:id="150"/>
      <w:r w:rsidRPr="00BA06B6">
        <w:rPr>
          <w:rFonts w:ascii="Times New Roman" w:eastAsia="Times New Roman" w:hAnsi="Times New Roman" w:cs="Times New Roman"/>
          <w:b/>
          <w:bCs/>
          <w:sz w:val="20"/>
          <w:szCs w:val="20"/>
          <w:lang w:eastAsia="en-GB"/>
        </w:rPr>
        <w:t xml:space="preserve">    </w:t>
      </w:r>
      <w:r w:rsidRPr="00BA06B6">
        <w:rPr>
          <w:rFonts w:ascii="Times New Roman" w:eastAsia="Times New Roman" w:hAnsi="Times New Roman" w:cs="Times New Roman"/>
          <w:sz w:val="20"/>
          <w:szCs w:val="20"/>
          <w:lang w:eastAsia="en-GB"/>
        </w:rPr>
        <w:t>Cross-regional worldwide governance indicators comparison</w:t>
      </w:r>
    </w:p>
    <w:tbl>
      <w:tblPr>
        <w:tblStyle w:val="ListTable1Light"/>
        <w:tblW w:w="5305" w:type="pct"/>
        <w:shd w:val="clear" w:color="auto" w:fill="FFFFFF" w:themeFill="background1"/>
        <w:tblLook w:val="04A0" w:firstRow="1" w:lastRow="0" w:firstColumn="1" w:lastColumn="0" w:noHBand="0" w:noVBand="1"/>
      </w:tblPr>
      <w:tblGrid>
        <w:gridCol w:w="1441"/>
        <w:gridCol w:w="1530"/>
        <w:gridCol w:w="1909"/>
        <w:gridCol w:w="1399"/>
        <w:gridCol w:w="1259"/>
        <w:gridCol w:w="759"/>
        <w:gridCol w:w="1280"/>
      </w:tblGrid>
      <w:tr w:rsidR="00BA06B6" w:rsidRPr="00BA06B6" w14:paraId="649AF4B0" w14:textId="77777777" w:rsidTr="00B914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787EE4F" w14:textId="77777777" w:rsidR="00AA068C" w:rsidRPr="00BA06B6" w:rsidRDefault="00AA068C" w:rsidP="00BC341D">
            <w:pPr>
              <w:tabs>
                <w:tab w:val="left" w:pos="851"/>
              </w:tabs>
              <w:jc w:val="right"/>
              <w:rPr>
                <w:rFonts w:ascii="Times New Roman" w:eastAsia="Calibri" w:hAnsi="Times New Roman" w:cs="Times New Roman"/>
                <w:sz w:val="2"/>
                <w:szCs w:val="2"/>
                <w:lang w:eastAsia="zh-CN"/>
              </w:rPr>
            </w:pPr>
          </w:p>
        </w:tc>
        <w:tc>
          <w:tcPr>
            <w:tcW w:w="0" w:type="pct"/>
            <w:shd w:val="clear" w:color="auto" w:fill="FFFFFF" w:themeFill="background1"/>
          </w:tcPr>
          <w:p w14:paraId="04CDF0F8" w14:textId="77777777" w:rsidR="00AA068C" w:rsidRPr="00BA06B6" w:rsidRDefault="00AA068C" w:rsidP="00BC341D">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
                <w:szCs w:val="2"/>
                <w:lang w:eastAsia="zh-CN"/>
              </w:rPr>
            </w:pPr>
          </w:p>
        </w:tc>
        <w:tc>
          <w:tcPr>
            <w:tcW w:w="0" w:type="pct"/>
            <w:shd w:val="clear" w:color="auto" w:fill="FFFFFF" w:themeFill="background1"/>
          </w:tcPr>
          <w:p w14:paraId="6BA20A45" w14:textId="77777777" w:rsidR="00AA068C" w:rsidRPr="00BA06B6" w:rsidRDefault="00AA068C" w:rsidP="00BC341D">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
                <w:szCs w:val="2"/>
                <w:lang w:eastAsia="zh-CN"/>
              </w:rPr>
            </w:pPr>
          </w:p>
        </w:tc>
        <w:tc>
          <w:tcPr>
            <w:tcW w:w="0" w:type="pct"/>
            <w:shd w:val="clear" w:color="auto" w:fill="FFFFFF" w:themeFill="background1"/>
          </w:tcPr>
          <w:p w14:paraId="4270F167" w14:textId="77777777" w:rsidR="00AA068C" w:rsidRPr="00BA06B6" w:rsidRDefault="00AA068C" w:rsidP="00BC341D">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
                <w:szCs w:val="2"/>
                <w:lang w:eastAsia="zh-CN"/>
              </w:rPr>
            </w:pPr>
          </w:p>
        </w:tc>
        <w:tc>
          <w:tcPr>
            <w:tcW w:w="0" w:type="pct"/>
            <w:shd w:val="clear" w:color="auto" w:fill="FFFFFF" w:themeFill="background1"/>
          </w:tcPr>
          <w:p w14:paraId="01E9CB79" w14:textId="77777777" w:rsidR="00AA068C" w:rsidRPr="00BA06B6" w:rsidRDefault="00AA068C" w:rsidP="00BC341D">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
                <w:szCs w:val="2"/>
                <w:lang w:eastAsia="zh-CN"/>
              </w:rPr>
            </w:pPr>
          </w:p>
        </w:tc>
        <w:tc>
          <w:tcPr>
            <w:tcW w:w="0" w:type="pct"/>
            <w:shd w:val="clear" w:color="auto" w:fill="FFFFFF" w:themeFill="background1"/>
          </w:tcPr>
          <w:p w14:paraId="012F8647" w14:textId="77777777" w:rsidR="00AA068C" w:rsidRPr="00BA06B6" w:rsidRDefault="00AA068C" w:rsidP="00BC341D">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
                <w:szCs w:val="2"/>
                <w:lang w:eastAsia="zh-CN"/>
              </w:rPr>
            </w:pPr>
          </w:p>
        </w:tc>
        <w:tc>
          <w:tcPr>
            <w:tcW w:w="0" w:type="pct"/>
            <w:shd w:val="clear" w:color="auto" w:fill="FFFFFF" w:themeFill="background1"/>
          </w:tcPr>
          <w:p w14:paraId="173EF072" w14:textId="77777777" w:rsidR="00AA068C" w:rsidRPr="00BA06B6" w:rsidRDefault="00AA068C" w:rsidP="00BC341D">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
                <w:szCs w:val="2"/>
                <w:lang w:eastAsia="zh-CN"/>
              </w:rPr>
            </w:pPr>
          </w:p>
        </w:tc>
      </w:tr>
      <w:tr w:rsidR="00BA06B6" w:rsidRPr="00BA06B6" w14:paraId="0FC9E422" w14:textId="77777777" w:rsidTr="00B9146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666666" w:themeColor="text1" w:themeTint="99"/>
              <w:bottom w:val="single" w:sz="4" w:space="0" w:color="auto"/>
            </w:tcBorders>
            <w:shd w:val="clear" w:color="auto" w:fill="FFFFFF" w:themeFill="background1"/>
          </w:tcPr>
          <w:p w14:paraId="27A9E241" w14:textId="77777777" w:rsidR="00AA068C" w:rsidRPr="00BA06B6" w:rsidRDefault="00AA068C" w:rsidP="00BC341D">
            <w:pPr>
              <w:tabs>
                <w:tab w:val="left" w:pos="851"/>
              </w:tabs>
              <w:jc w:val="right"/>
              <w:rPr>
                <w:rFonts w:ascii="Times New Roman" w:eastAsia="Calibri" w:hAnsi="Times New Roman" w:cs="Times New Roman"/>
                <w:sz w:val="18"/>
                <w:szCs w:val="18"/>
                <w:lang w:eastAsia="zh-CN"/>
              </w:rPr>
            </w:pPr>
          </w:p>
        </w:tc>
        <w:tc>
          <w:tcPr>
            <w:tcW w:w="0" w:type="pct"/>
            <w:tcBorders>
              <w:top w:val="single" w:sz="4" w:space="0" w:color="666666" w:themeColor="text1" w:themeTint="99"/>
              <w:bottom w:val="single" w:sz="4" w:space="0" w:color="auto"/>
            </w:tcBorders>
            <w:shd w:val="clear" w:color="auto" w:fill="FFFFFF" w:themeFill="background1"/>
          </w:tcPr>
          <w:p w14:paraId="3B59AD42"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18"/>
                <w:lang w:eastAsia="zh-CN"/>
              </w:rPr>
            </w:pPr>
            <w:r w:rsidRPr="00BA06B6">
              <w:rPr>
                <w:rFonts w:ascii="Times New Roman" w:eastAsia="Calibri" w:hAnsi="Times New Roman" w:cs="Times New Roman"/>
                <w:b/>
                <w:sz w:val="18"/>
                <w:szCs w:val="18"/>
                <w:lang w:eastAsia="zh-CN"/>
              </w:rPr>
              <w:t>Voice and Accountability</w:t>
            </w:r>
          </w:p>
        </w:tc>
        <w:tc>
          <w:tcPr>
            <w:tcW w:w="0" w:type="pct"/>
            <w:tcBorders>
              <w:top w:val="single" w:sz="4" w:space="0" w:color="666666" w:themeColor="text1" w:themeTint="99"/>
              <w:bottom w:val="single" w:sz="4" w:space="0" w:color="auto"/>
            </w:tcBorders>
            <w:shd w:val="clear" w:color="auto" w:fill="FFFFFF" w:themeFill="background1"/>
          </w:tcPr>
          <w:p w14:paraId="7A58880D"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18"/>
                <w:lang w:eastAsia="zh-CN"/>
              </w:rPr>
            </w:pPr>
            <w:r w:rsidRPr="00BA06B6">
              <w:rPr>
                <w:rFonts w:ascii="Times New Roman" w:eastAsia="Calibri" w:hAnsi="Times New Roman" w:cs="Times New Roman"/>
                <w:b/>
                <w:sz w:val="18"/>
                <w:szCs w:val="18"/>
                <w:lang w:eastAsia="zh-CN"/>
              </w:rPr>
              <w:t>Political Stability and Absence of Violence/Terrorism</w:t>
            </w:r>
          </w:p>
        </w:tc>
        <w:tc>
          <w:tcPr>
            <w:tcW w:w="0" w:type="pct"/>
            <w:tcBorders>
              <w:top w:val="single" w:sz="4" w:space="0" w:color="666666" w:themeColor="text1" w:themeTint="99"/>
              <w:bottom w:val="single" w:sz="4" w:space="0" w:color="auto"/>
            </w:tcBorders>
            <w:shd w:val="clear" w:color="auto" w:fill="FFFFFF" w:themeFill="background1"/>
          </w:tcPr>
          <w:p w14:paraId="31685B13"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18"/>
                <w:lang w:eastAsia="zh-CN"/>
              </w:rPr>
            </w:pPr>
            <w:r w:rsidRPr="00BA06B6">
              <w:rPr>
                <w:rFonts w:ascii="Times New Roman" w:eastAsia="Calibri" w:hAnsi="Times New Roman" w:cs="Times New Roman"/>
                <w:b/>
                <w:sz w:val="18"/>
                <w:szCs w:val="18"/>
                <w:lang w:eastAsia="zh-CN"/>
              </w:rPr>
              <w:t>Government Effectiveness</w:t>
            </w:r>
          </w:p>
        </w:tc>
        <w:tc>
          <w:tcPr>
            <w:tcW w:w="0" w:type="pct"/>
            <w:tcBorders>
              <w:top w:val="single" w:sz="4" w:space="0" w:color="666666" w:themeColor="text1" w:themeTint="99"/>
              <w:bottom w:val="single" w:sz="4" w:space="0" w:color="auto"/>
            </w:tcBorders>
            <w:shd w:val="clear" w:color="auto" w:fill="FFFFFF" w:themeFill="background1"/>
          </w:tcPr>
          <w:p w14:paraId="0B7AC797"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18"/>
                <w:lang w:eastAsia="zh-CN"/>
              </w:rPr>
            </w:pPr>
            <w:r w:rsidRPr="00BA06B6">
              <w:rPr>
                <w:rFonts w:ascii="Times New Roman" w:eastAsia="Calibri" w:hAnsi="Times New Roman" w:cs="Times New Roman"/>
                <w:b/>
                <w:sz w:val="18"/>
                <w:szCs w:val="18"/>
                <w:lang w:eastAsia="zh-CN"/>
              </w:rPr>
              <w:t>Regulatory Quality</w:t>
            </w:r>
          </w:p>
        </w:tc>
        <w:tc>
          <w:tcPr>
            <w:tcW w:w="0" w:type="pct"/>
            <w:tcBorders>
              <w:top w:val="single" w:sz="4" w:space="0" w:color="666666" w:themeColor="text1" w:themeTint="99"/>
              <w:bottom w:val="single" w:sz="4" w:space="0" w:color="auto"/>
            </w:tcBorders>
            <w:shd w:val="clear" w:color="auto" w:fill="FFFFFF" w:themeFill="background1"/>
          </w:tcPr>
          <w:p w14:paraId="00479D9D"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18"/>
                <w:lang w:eastAsia="zh-CN"/>
              </w:rPr>
            </w:pPr>
            <w:r w:rsidRPr="00BA06B6">
              <w:rPr>
                <w:rFonts w:ascii="Times New Roman" w:eastAsia="Calibri" w:hAnsi="Times New Roman" w:cs="Times New Roman"/>
                <w:b/>
                <w:sz w:val="18"/>
                <w:szCs w:val="18"/>
                <w:lang w:eastAsia="zh-CN"/>
              </w:rPr>
              <w:t>Rule of Law</w:t>
            </w:r>
          </w:p>
        </w:tc>
        <w:tc>
          <w:tcPr>
            <w:tcW w:w="0" w:type="pct"/>
            <w:tcBorders>
              <w:top w:val="single" w:sz="4" w:space="0" w:color="666666" w:themeColor="text1" w:themeTint="99"/>
              <w:bottom w:val="single" w:sz="4" w:space="0" w:color="auto"/>
            </w:tcBorders>
            <w:shd w:val="clear" w:color="auto" w:fill="FFFFFF" w:themeFill="background1"/>
          </w:tcPr>
          <w:p w14:paraId="56763486"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18"/>
                <w:szCs w:val="18"/>
                <w:lang w:eastAsia="zh-CN"/>
              </w:rPr>
            </w:pPr>
            <w:r w:rsidRPr="00BA06B6">
              <w:rPr>
                <w:rFonts w:ascii="Times New Roman" w:eastAsia="Calibri" w:hAnsi="Times New Roman" w:cs="Times New Roman"/>
                <w:b/>
                <w:sz w:val="18"/>
                <w:szCs w:val="18"/>
                <w:lang w:eastAsia="zh-CN"/>
              </w:rPr>
              <w:t>Control of Corruption</w:t>
            </w:r>
          </w:p>
        </w:tc>
      </w:tr>
      <w:tr w:rsidR="00BA06B6" w:rsidRPr="00BA06B6" w14:paraId="19DE05CC" w14:textId="77777777" w:rsidTr="00B91469">
        <w:trPr>
          <w:trHeight w:val="205"/>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shd w:val="clear" w:color="auto" w:fill="FFFFFF" w:themeFill="background1"/>
          </w:tcPr>
          <w:p w14:paraId="4F4199FB" w14:textId="77777777" w:rsidR="00AA068C" w:rsidRPr="00BA06B6" w:rsidRDefault="00AA068C" w:rsidP="00BC341D">
            <w:pPr>
              <w:tabs>
                <w:tab w:val="left" w:pos="851"/>
              </w:tabs>
              <w:jc w:val="both"/>
              <w:rPr>
                <w:rFonts w:ascii="Times New Roman" w:eastAsia="Calibri" w:hAnsi="Times New Roman" w:cs="Times New Roman"/>
                <w:b w:val="0"/>
                <w:bCs w:val="0"/>
                <w:sz w:val="18"/>
                <w:szCs w:val="18"/>
                <w:lang w:eastAsia="zh-CN"/>
              </w:rPr>
            </w:pPr>
            <w:r w:rsidRPr="00BA06B6">
              <w:rPr>
                <w:rFonts w:ascii="Times New Roman" w:eastAsia="Calibri" w:hAnsi="Times New Roman" w:cs="Times New Roman"/>
                <w:b w:val="0"/>
                <w:bCs w:val="0"/>
                <w:caps/>
                <w:sz w:val="18"/>
                <w:szCs w:val="18"/>
                <w:lang w:eastAsia="zh-CN"/>
              </w:rPr>
              <w:t>East Asia &amp; Pacific</w:t>
            </w:r>
          </w:p>
        </w:tc>
        <w:tc>
          <w:tcPr>
            <w:tcW w:w="0" w:type="pct"/>
            <w:tcBorders>
              <w:top w:val="single" w:sz="4" w:space="0" w:color="auto"/>
            </w:tcBorders>
            <w:shd w:val="clear" w:color="auto" w:fill="FFFFFF" w:themeFill="background1"/>
          </w:tcPr>
          <w:p w14:paraId="22BD23C7"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54</w:t>
            </w:r>
          </w:p>
        </w:tc>
        <w:tc>
          <w:tcPr>
            <w:tcW w:w="0" w:type="pct"/>
            <w:tcBorders>
              <w:top w:val="single" w:sz="4" w:space="0" w:color="auto"/>
            </w:tcBorders>
            <w:shd w:val="clear" w:color="auto" w:fill="FFFFFF" w:themeFill="background1"/>
          </w:tcPr>
          <w:p w14:paraId="4D124ADB"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63</w:t>
            </w:r>
          </w:p>
        </w:tc>
        <w:tc>
          <w:tcPr>
            <w:tcW w:w="0" w:type="pct"/>
            <w:tcBorders>
              <w:top w:val="single" w:sz="4" w:space="0" w:color="auto"/>
            </w:tcBorders>
            <w:shd w:val="clear" w:color="auto" w:fill="FFFFFF" w:themeFill="background1"/>
          </w:tcPr>
          <w:p w14:paraId="51CE8AED"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49</w:t>
            </w:r>
          </w:p>
        </w:tc>
        <w:tc>
          <w:tcPr>
            <w:tcW w:w="0" w:type="pct"/>
            <w:tcBorders>
              <w:top w:val="single" w:sz="4" w:space="0" w:color="auto"/>
            </w:tcBorders>
            <w:shd w:val="clear" w:color="auto" w:fill="FFFFFF" w:themeFill="background1"/>
          </w:tcPr>
          <w:p w14:paraId="7BB477FE"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47</w:t>
            </w:r>
          </w:p>
        </w:tc>
        <w:tc>
          <w:tcPr>
            <w:tcW w:w="0" w:type="pct"/>
            <w:tcBorders>
              <w:top w:val="single" w:sz="4" w:space="0" w:color="auto"/>
            </w:tcBorders>
            <w:shd w:val="clear" w:color="auto" w:fill="FFFFFF" w:themeFill="background1"/>
          </w:tcPr>
          <w:p w14:paraId="556C3991"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56</w:t>
            </w:r>
          </w:p>
        </w:tc>
        <w:tc>
          <w:tcPr>
            <w:tcW w:w="0" w:type="pct"/>
            <w:tcBorders>
              <w:top w:val="single" w:sz="4" w:space="0" w:color="auto"/>
            </w:tcBorders>
            <w:shd w:val="clear" w:color="auto" w:fill="FFFFFF" w:themeFill="background1"/>
          </w:tcPr>
          <w:p w14:paraId="33E957E7"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53</w:t>
            </w:r>
          </w:p>
        </w:tc>
      </w:tr>
      <w:tr w:rsidR="00BA06B6" w:rsidRPr="00BA06B6" w14:paraId="1F32F569" w14:textId="77777777" w:rsidTr="00B91469">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75912485" w14:textId="77777777" w:rsidR="00AA068C" w:rsidRPr="00BA06B6" w:rsidRDefault="00AA068C" w:rsidP="00BC341D">
            <w:pPr>
              <w:tabs>
                <w:tab w:val="left" w:pos="851"/>
              </w:tabs>
              <w:jc w:val="both"/>
              <w:rPr>
                <w:rFonts w:ascii="Times New Roman" w:eastAsia="Calibri" w:hAnsi="Times New Roman" w:cs="Times New Roman"/>
                <w:b w:val="0"/>
                <w:bCs w:val="0"/>
                <w:sz w:val="18"/>
                <w:szCs w:val="18"/>
                <w:lang w:eastAsia="zh-CN"/>
              </w:rPr>
            </w:pPr>
            <w:r w:rsidRPr="00BA06B6">
              <w:rPr>
                <w:rFonts w:ascii="Times New Roman" w:eastAsia="Calibri" w:hAnsi="Times New Roman" w:cs="Times New Roman"/>
                <w:b w:val="0"/>
                <w:bCs w:val="0"/>
                <w:caps/>
                <w:sz w:val="18"/>
                <w:szCs w:val="18"/>
                <w:lang w:eastAsia="zh-CN"/>
              </w:rPr>
              <w:t>Europe &amp; Central Asia</w:t>
            </w:r>
          </w:p>
        </w:tc>
        <w:tc>
          <w:tcPr>
            <w:tcW w:w="0" w:type="pct"/>
            <w:shd w:val="clear" w:color="auto" w:fill="FFFFFF" w:themeFill="background1"/>
          </w:tcPr>
          <w:p w14:paraId="5C32F21C"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66</w:t>
            </w:r>
          </w:p>
        </w:tc>
        <w:tc>
          <w:tcPr>
            <w:tcW w:w="0" w:type="pct"/>
            <w:shd w:val="clear" w:color="auto" w:fill="FFFFFF" w:themeFill="background1"/>
          </w:tcPr>
          <w:p w14:paraId="297EF650"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63</w:t>
            </w:r>
          </w:p>
        </w:tc>
        <w:tc>
          <w:tcPr>
            <w:tcW w:w="0" w:type="pct"/>
            <w:shd w:val="clear" w:color="auto" w:fill="FFFFFF" w:themeFill="background1"/>
          </w:tcPr>
          <w:p w14:paraId="06BC2240"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68</w:t>
            </w:r>
          </w:p>
        </w:tc>
        <w:tc>
          <w:tcPr>
            <w:tcW w:w="0" w:type="pct"/>
            <w:shd w:val="clear" w:color="auto" w:fill="FFFFFF" w:themeFill="background1"/>
          </w:tcPr>
          <w:p w14:paraId="7A7A93CA"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69</w:t>
            </w:r>
          </w:p>
        </w:tc>
        <w:tc>
          <w:tcPr>
            <w:tcW w:w="0" w:type="pct"/>
            <w:shd w:val="clear" w:color="auto" w:fill="FFFFFF" w:themeFill="background1"/>
          </w:tcPr>
          <w:p w14:paraId="4B84A278"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66</w:t>
            </w:r>
          </w:p>
        </w:tc>
        <w:tc>
          <w:tcPr>
            <w:tcW w:w="0" w:type="pct"/>
            <w:shd w:val="clear" w:color="auto" w:fill="FFFFFF" w:themeFill="background1"/>
          </w:tcPr>
          <w:p w14:paraId="3A59B9A0"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63</w:t>
            </w:r>
          </w:p>
        </w:tc>
      </w:tr>
      <w:tr w:rsidR="00BA06B6" w:rsidRPr="00BA06B6" w14:paraId="07F3D1C7" w14:textId="77777777" w:rsidTr="00B91469">
        <w:trPr>
          <w:trHeight w:val="194"/>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0FD7F29" w14:textId="77777777" w:rsidR="00AA068C" w:rsidRPr="00BA06B6" w:rsidRDefault="00AA068C" w:rsidP="00BC341D">
            <w:pPr>
              <w:tabs>
                <w:tab w:val="left" w:pos="851"/>
              </w:tabs>
              <w:jc w:val="both"/>
              <w:rPr>
                <w:rFonts w:ascii="Times New Roman" w:eastAsia="Calibri" w:hAnsi="Times New Roman" w:cs="Times New Roman"/>
                <w:b w:val="0"/>
                <w:bCs w:val="0"/>
                <w:sz w:val="18"/>
                <w:szCs w:val="18"/>
                <w:lang w:eastAsia="zh-CN"/>
              </w:rPr>
            </w:pPr>
            <w:r w:rsidRPr="00BA06B6">
              <w:rPr>
                <w:rFonts w:ascii="Times New Roman" w:eastAsia="Calibri" w:hAnsi="Times New Roman" w:cs="Times New Roman"/>
                <w:b w:val="0"/>
                <w:bCs w:val="0"/>
                <w:caps/>
                <w:sz w:val="18"/>
                <w:szCs w:val="18"/>
                <w:lang w:eastAsia="zh-CN"/>
              </w:rPr>
              <w:t>Latin America &amp; Caribbean</w:t>
            </w:r>
          </w:p>
        </w:tc>
        <w:tc>
          <w:tcPr>
            <w:tcW w:w="0" w:type="pct"/>
            <w:shd w:val="clear" w:color="auto" w:fill="FFFFFF" w:themeFill="background1"/>
          </w:tcPr>
          <w:p w14:paraId="1803FC59"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61</w:t>
            </w:r>
          </w:p>
        </w:tc>
        <w:tc>
          <w:tcPr>
            <w:tcW w:w="0" w:type="pct"/>
            <w:shd w:val="clear" w:color="auto" w:fill="FFFFFF" w:themeFill="background1"/>
          </w:tcPr>
          <w:p w14:paraId="6BF49B80"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55</w:t>
            </w:r>
          </w:p>
        </w:tc>
        <w:tc>
          <w:tcPr>
            <w:tcW w:w="0" w:type="pct"/>
            <w:shd w:val="clear" w:color="auto" w:fill="FFFFFF" w:themeFill="background1"/>
          </w:tcPr>
          <w:p w14:paraId="21FE798C"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58</w:t>
            </w:r>
          </w:p>
        </w:tc>
        <w:tc>
          <w:tcPr>
            <w:tcW w:w="0" w:type="pct"/>
            <w:shd w:val="clear" w:color="auto" w:fill="FFFFFF" w:themeFill="background1"/>
          </w:tcPr>
          <w:p w14:paraId="3A89AB47"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56</w:t>
            </w:r>
          </w:p>
        </w:tc>
        <w:tc>
          <w:tcPr>
            <w:tcW w:w="0" w:type="pct"/>
            <w:shd w:val="clear" w:color="auto" w:fill="FFFFFF" w:themeFill="background1"/>
          </w:tcPr>
          <w:p w14:paraId="4E7C9E34"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51</w:t>
            </w:r>
          </w:p>
        </w:tc>
        <w:tc>
          <w:tcPr>
            <w:tcW w:w="0" w:type="pct"/>
            <w:shd w:val="clear" w:color="auto" w:fill="FFFFFF" w:themeFill="background1"/>
          </w:tcPr>
          <w:p w14:paraId="1DCE21CF"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57</w:t>
            </w:r>
          </w:p>
        </w:tc>
      </w:tr>
      <w:tr w:rsidR="00BA06B6" w:rsidRPr="00BA06B6" w14:paraId="627473C7" w14:textId="77777777" w:rsidTr="00B91469">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2FC36F06" w14:textId="77777777" w:rsidR="00AA068C" w:rsidRPr="00BA06B6" w:rsidRDefault="00AA068C" w:rsidP="00BC341D">
            <w:pPr>
              <w:tabs>
                <w:tab w:val="left" w:pos="851"/>
              </w:tabs>
              <w:jc w:val="both"/>
              <w:rPr>
                <w:rFonts w:ascii="Times New Roman" w:eastAsia="Calibri" w:hAnsi="Times New Roman" w:cs="Times New Roman"/>
                <w:b w:val="0"/>
                <w:bCs w:val="0"/>
                <w:sz w:val="18"/>
                <w:szCs w:val="18"/>
                <w:lang w:eastAsia="zh-CN"/>
              </w:rPr>
            </w:pPr>
            <w:r w:rsidRPr="00BA06B6">
              <w:rPr>
                <w:rFonts w:ascii="Times New Roman" w:eastAsia="Calibri" w:hAnsi="Times New Roman" w:cs="Times New Roman"/>
                <w:b w:val="0"/>
                <w:bCs w:val="0"/>
                <w:caps/>
                <w:sz w:val="18"/>
                <w:szCs w:val="18"/>
                <w:lang w:eastAsia="zh-CN"/>
              </w:rPr>
              <w:t>MENA</w:t>
            </w:r>
          </w:p>
        </w:tc>
        <w:tc>
          <w:tcPr>
            <w:tcW w:w="0" w:type="pct"/>
            <w:shd w:val="clear" w:color="auto" w:fill="FFFFFF" w:themeFill="background1"/>
          </w:tcPr>
          <w:p w14:paraId="778707B4"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25</w:t>
            </w:r>
          </w:p>
        </w:tc>
        <w:tc>
          <w:tcPr>
            <w:tcW w:w="0" w:type="pct"/>
            <w:shd w:val="clear" w:color="auto" w:fill="FFFFFF" w:themeFill="background1"/>
          </w:tcPr>
          <w:p w14:paraId="123F6C05"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28</w:t>
            </w:r>
          </w:p>
        </w:tc>
        <w:tc>
          <w:tcPr>
            <w:tcW w:w="0" w:type="pct"/>
            <w:shd w:val="clear" w:color="auto" w:fill="FFFFFF" w:themeFill="background1"/>
          </w:tcPr>
          <w:p w14:paraId="261FB763"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44</w:t>
            </w:r>
          </w:p>
        </w:tc>
        <w:tc>
          <w:tcPr>
            <w:tcW w:w="0" w:type="pct"/>
            <w:shd w:val="clear" w:color="auto" w:fill="FFFFFF" w:themeFill="background1"/>
          </w:tcPr>
          <w:p w14:paraId="29CB13F4"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44</w:t>
            </w:r>
          </w:p>
        </w:tc>
        <w:tc>
          <w:tcPr>
            <w:tcW w:w="0" w:type="pct"/>
            <w:shd w:val="clear" w:color="auto" w:fill="FFFFFF" w:themeFill="background1"/>
          </w:tcPr>
          <w:p w14:paraId="6EC939F3"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44</w:t>
            </w:r>
          </w:p>
        </w:tc>
        <w:tc>
          <w:tcPr>
            <w:tcW w:w="0" w:type="pct"/>
            <w:shd w:val="clear" w:color="auto" w:fill="FFFFFF" w:themeFill="background1"/>
          </w:tcPr>
          <w:p w14:paraId="38C115F7"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45</w:t>
            </w:r>
          </w:p>
        </w:tc>
      </w:tr>
      <w:tr w:rsidR="00BA06B6" w:rsidRPr="00BA06B6" w14:paraId="7B29FF02" w14:textId="77777777" w:rsidTr="00B91469">
        <w:trPr>
          <w:trHeight w:val="205"/>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288A8B56" w14:textId="77777777" w:rsidR="00AA068C" w:rsidRPr="00BA06B6" w:rsidRDefault="00AA068C" w:rsidP="00BC341D">
            <w:pPr>
              <w:tabs>
                <w:tab w:val="left" w:pos="851"/>
              </w:tabs>
              <w:jc w:val="both"/>
              <w:rPr>
                <w:rFonts w:ascii="Times New Roman" w:eastAsia="Calibri" w:hAnsi="Times New Roman" w:cs="Times New Roman"/>
                <w:b w:val="0"/>
                <w:bCs w:val="0"/>
                <w:sz w:val="18"/>
                <w:szCs w:val="18"/>
                <w:lang w:eastAsia="zh-CN"/>
              </w:rPr>
            </w:pPr>
            <w:r w:rsidRPr="00BA06B6">
              <w:rPr>
                <w:rFonts w:ascii="Times New Roman" w:eastAsia="Calibri" w:hAnsi="Times New Roman" w:cs="Times New Roman"/>
                <w:b w:val="0"/>
                <w:bCs w:val="0"/>
                <w:caps/>
                <w:sz w:val="18"/>
                <w:szCs w:val="18"/>
                <w:lang w:eastAsia="zh-CN"/>
              </w:rPr>
              <w:t>North America</w:t>
            </w:r>
          </w:p>
        </w:tc>
        <w:tc>
          <w:tcPr>
            <w:tcW w:w="0" w:type="pct"/>
            <w:shd w:val="clear" w:color="auto" w:fill="FFFFFF" w:themeFill="background1"/>
          </w:tcPr>
          <w:p w14:paraId="66102740"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87</w:t>
            </w:r>
          </w:p>
        </w:tc>
        <w:tc>
          <w:tcPr>
            <w:tcW w:w="0" w:type="pct"/>
            <w:shd w:val="clear" w:color="auto" w:fill="FFFFFF" w:themeFill="background1"/>
          </w:tcPr>
          <w:p w14:paraId="14BEA742"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77</w:t>
            </w:r>
          </w:p>
        </w:tc>
        <w:tc>
          <w:tcPr>
            <w:tcW w:w="0" w:type="pct"/>
            <w:shd w:val="clear" w:color="auto" w:fill="FFFFFF" w:themeFill="background1"/>
          </w:tcPr>
          <w:p w14:paraId="71233CC1"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89</w:t>
            </w:r>
          </w:p>
        </w:tc>
        <w:tc>
          <w:tcPr>
            <w:tcW w:w="0" w:type="pct"/>
            <w:shd w:val="clear" w:color="auto" w:fill="FFFFFF" w:themeFill="background1"/>
          </w:tcPr>
          <w:p w14:paraId="6FDEB7A3"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90</w:t>
            </w:r>
          </w:p>
        </w:tc>
        <w:tc>
          <w:tcPr>
            <w:tcW w:w="0" w:type="pct"/>
            <w:shd w:val="clear" w:color="auto" w:fill="FFFFFF" w:themeFill="background1"/>
          </w:tcPr>
          <w:p w14:paraId="4E37EE69"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60</w:t>
            </w:r>
          </w:p>
        </w:tc>
        <w:tc>
          <w:tcPr>
            <w:tcW w:w="0" w:type="pct"/>
            <w:shd w:val="clear" w:color="auto" w:fill="FFFFFF" w:themeFill="background1"/>
          </w:tcPr>
          <w:p w14:paraId="52C21845"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89</w:t>
            </w:r>
          </w:p>
        </w:tc>
      </w:tr>
      <w:tr w:rsidR="00BA06B6" w:rsidRPr="00BA06B6" w14:paraId="3B4060C7" w14:textId="77777777" w:rsidTr="00B91469">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1528D7CE" w14:textId="77777777" w:rsidR="00AA068C" w:rsidRPr="00BA06B6" w:rsidRDefault="00AA068C" w:rsidP="00BC341D">
            <w:pPr>
              <w:tabs>
                <w:tab w:val="left" w:pos="851"/>
              </w:tabs>
              <w:jc w:val="both"/>
              <w:rPr>
                <w:rFonts w:ascii="Times New Roman" w:eastAsia="Calibri" w:hAnsi="Times New Roman" w:cs="Times New Roman"/>
                <w:b w:val="0"/>
                <w:bCs w:val="0"/>
                <w:sz w:val="18"/>
                <w:szCs w:val="18"/>
                <w:lang w:eastAsia="zh-CN"/>
              </w:rPr>
            </w:pPr>
            <w:r w:rsidRPr="00BA06B6">
              <w:rPr>
                <w:rFonts w:ascii="Times New Roman" w:eastAsia="Calibri" w:hAnsi="Times New Roman" w:cs="Times New Roman"/>
                <w:b w:val="0"/>
                <w:bCs w:val="0"/>
                <w:caps/>
                <w:sz w:val="18"/>
                <w:szCs w:val="18"/>
                <w:lang w:eastAsia="zh-CN"/>
              </w:rPr>
              <w:t>South Asia</w:t>
            </w:r>
          </w:p>
        </w:tc>
        <w:tc>
          <w:tcPr>
            <w:tcW w:w="0" w:type="pct"/>
            <w:shd w:val="clear" w:color="auto" w:fill="FFFFFF" w:themeFill="background1"/>
          </w:tcPr>
          <w:p w14:paraId="5AEBB8D9"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34</w:t>
            </w:r>
          </w:p>
        </w:tc>
        <w:tc>
          <w:tcPr>
            <w:tcW w:w="0" w:type="pct"/>
            <w:shd w:val="clear" w:color="auto" w:fill="FFFFFF" w:themeFill="background1"/>
          </w:tcPr>
          <w:p w14:paraId="201F53D2"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23</w:t>
            </w:r>
          </w:p>
        </w:tc>
        <w:tc>
          <w:tcPr>
            <w:tcW w:w="0" w:type="pct"/>
            <w:shd w:val="clear" w:color="auto" w:fill="FFFFFF" w:themeFill="background1"/>
          </w:tcPr>
          <w:p w14:paraId="6CDF63D9"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34</w:t>
            </w:r>
          </w:p>
        </w:tc>
        <w:tc>
          <w:tcPr>
            <w:tcW w:w="0" w:type="pct"/>
            <w:shd w:val="clear" w:color="auto" w:fill="FFFFFF" w:themeFill="background1"/>
          </w:tcPr>
          <w:p w14:paraId="51065D63"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26</w:t>
            </w:r>
          </w:p>
        </w:tc>
        <w:tc>
          <w:tcPr>
            <w:tcW w:w="0" w:type="pct"/>
            <w:shd w:val="clear" w:color="auto" w:fill="FFFFFF" w:themeFill="background1"/>
          </w:tcPr>
          <w:p w14:paraId="7C398BFB"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32</w:t>
            </w:r>
          </w:p>
        </w:tc>
        <w:tc>
          <w:tcPr>
            <w:tcW w:w="0" w:type="pct"/>
            <w:shd w:val="clear" w:color="auto" w:fill="FFFFFF" w:themeFill="background1"/>
          </w:tcPr>
          <w:p w14:paraId="46BC2766"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34</w:t>
            </w:r>
          </w:p>
        </w:tc>
      </w:tr>
      <w:tr w:rsidR="00BA06B6" w:rsidRPr="00BA06B6" w14:paraId="3E442E7F" w14:textId="77777777" w:rsidTr="00B91469">
        <w:trPr>
          <w:trHeight w:val="217"/>
        </w:trPr>
        <w:tc>
          <w:tcPr>
            <w:cnfStyle w:val="001000000000" w:firstRow="0" w:lastRow="0" w:firstColumn="1" w:lastColumn="0" w:oddVBand="0" w:evenVBand="0" w:oddHBand="0" w:evenHBand="0" w:firstRowFirstColumn="0" w:firstRowLastColumn="0" w:lastRowFirstColumn="0" w:lastRowLastColumn="0"/>
            <w:tcW w:w="0" w:type="pct"/>
            <w:tcBorders>
              <w:bottom w:val="single" w:sz="4" w:space="0" w:color="auto"/>
            </w:tcBorders>
            <w:shd w:val="clear" w:color="auto" w:fill="FFFFFF" w:themeFill="background1"/>
          </w:tcPr>
          <w:p w14:paraId="2FCD7B46" w14:textId="77777777" w:rsidR="00AA068C" w:rsidRPr="00BA06B6" w:rsidRDefault="00AA068C" w:rsidP="00BC341D">
            <w:pPr>
              <w:tabs>
                <w:tab w:val="left" w:pos="851"/>
              </w:tabs>
              <w:jc w:val="both"/>
              <w:rPr>
                <w:rFonts w:ascii="Times New Roman" w:eastAsia="Calibri" w:hAnsi="Times New Roman" w:cs="Times New Roman"/>
                <w:b w:val="0"/>
                <w:bCs w:val="0"/>
                <w:sz w:val="18"/>
                <w:szCs w:val="18"/>
                <w:lang w:eastAsia="zh-CN"/>
              </w:rPr>
            </w:pPr>
            <w:r w:rsidRPr="00BA06B6">
              <w:rPr>
                <w:rFonts w:ascii="Times New Roman" w:eastAsia="Calibri" w:hAnsi="Times New Roman" w:cs="Times New Roman"/>
                <w:b w:val="0"/>
                <w:bCs w:val="0"/>
                <w:caps/>
                <w:sz w:val="18"/>
                <w:szCs w:val="18"/>
                <w:lang w:eastAsia="zh-CN"/>
              </w:rPr>
              <w:t>Sub-Saharan Africa</w:t>
            </w:r>
          </w:p>
        </w:tc>
        <w:tc>
          <w:tcPr>
            <w:tcW w:w="0" w:type="pct"/>
            <w:tcBorders>
              <w:bottom w:val="single" w:sz="4" w:space="0" w:color="auto"/>
            </w:tcBorders>
            <w:shd w:val="clear" w:color="auto" w:fill="FFFFFF" w:themeFill="background1"/>
          </w:tcPr>
          <w:p w14:paraId="78FF031E"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32</w:t>
            </w:r>
          </w:p>
        </w:tc>
        <w:tc>
          <w:tcPr>
            <w:tcW w:w="0" w:type="pct"/>
            <w:tcBorders>
              <w:bottom w:val="single" w:sz="4" w:space="0" w:color="auto"/>
            </w:tcBorders>
            <w:shd w:val="clear" w:color="auto" w:fill="FFFFFF" w:themeFill="background1"/>
          </w:tcPr>
          <w:p w14:paraId="6A279C2B"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34</w:t>
            </w:r>
          </w:p>
        </w:tc>
        <w:tc>
          <w:tcPr>
            <w:tcW w:w="0" w:type="pct"/>
            <w:tcBorders>
              <w:bottom w:val="single" w:sz="4" w:space="0" w:color="auto"/>
            </w:tcBorders>
            <w:shd w:val="clear" w:color="auto" w:fill="FFFFFF" w:themeFill="background1"/>
          </w:tcPr>
          <w:p w14:paraId="0C9F0AA5"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27</w:t>
            </w:r>
          </w:p>
        </w:tc>
        <w:tc>
          <w:tcPr>
            <w:tcW w:w="0" w:type="pct"/>
            <w:tcBorders>
              <w:bottom w:val="single" w:sz="4" w:space="0" w:color="auto"/>
            </w:tcBorders>
            <w:shd w:val="clear" w:color="auto" w:fill="FFFFFF" w:themeFill="background1"/>
          </w:tcPr>
          <w:p w14:paraId="4C681A6E"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30</w:t>
            </w:r>
          </w:p>
        </w:tc>
        <w:tc>
          <w:tcPr>
            <w:tcW w:w="0" w:type="pct"/>
            <w:tcBorders>
              <w:bottom w:val="single" w:sz="4" w:space="0" w:color="auto"/>
            </w:tcBorders>
            <w:shd w:val="clear" w:color="auto" w:fill="FFFFFF" w:themeFill="background1"/>
          </w:tcPr>
          <w:p w14:paraId="50CADA88"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29</w:t>
            </w:r>
          </w:p>
        </w:tc>
        <w:tc>
          <w:tcPr>
            <w:tcW w:w="0" w:type="pct"/>
            <w:tcBorders>
              <w:bottom w:val="single" w:sz="4" w:space="0" w:color="auto"/>
            </w:tcBorders>
            <w:shd w:val="clear" w:color="auto" w:fill="FFFFFF" w:themeFill="background1"/>
          </w:tcPr>
          <w:p w14:paraId="112E74D1"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eastAsia="zh-CN"/>
              </w:rPr>
            </w:pPr>
            <w:r w:rsidRPr="00BA06B6">
              <w:rPr>
                <w:rFonts w:ascii="Times New Roman" w:eastAsia="Calibri" w:hAnsi="Times New Roman" w:cs="Times New Roman"/>
                <w:bCs/>
                <w:sz w:val="18"/>
                <w:szCs w:val="18"/>
                <w:lang w:eastAsia="zh-CN"/>
              </w:rPr>
              <w:t>30</w:t>
            </w:r>
          </w:p>
        </w:tc>
      </w:tr>
      <w:tr w:rsidR="00BA06B6" w:rsidRPr="00BA06B6" w14:paraId="3D773A4F" w14:textId="77777777" w:rsidTr="00B91469">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0" w:type="pct"/>
            <w:gridSpan w:val="7"/>
            <w:tcBorders>
              <w:top w:val="single" w:sz="4" w:space="0" w:color="auto"/>
            </w:tcBorders>
            <w:shd w:val="clear" w:color="auto" w:fill="FFFFFF" w:themeFill="background1"/>
          </w:tcPr>
          <w:p w14:paraId="58B89D4B" w14:textId="77777777" w:rsidR="00AA068C" w:rsidRPr="00BA06B6" w:rsidRDefault="004137CB" w:rsidP="00BC341D">
            <w:pPr>
              <w:tabs>
                <w:tab w:val="left" w:pos="851"/>
              </w:tabs>
              <w:jc w:val="both"/>
              <w:rPr>
                <w:rFonts w:ascii="Times New Roman" w:eastAsia="Calibri" w:hAnsi="Times New Roman" w:cs="Times New Roman"/>
                <w:b w:val="0"/>
                <w:bCs w:val="0"/>
                <w:sz w:val="18"/>
                <w:szCs w:val="18"/>
                <w:lang w:eastAsia="zh-CN"/>
              </w:rPr>
            </w:pPr>
            <w:r w:rsidRPr="00BA06B6">
              <w:rPr>
                <w:rFonts w:ascii="Times New Roman" w:eastAsia="Calibri" w:hAnsi="Times New Roman" w:cs="Times New Roman"/>
                <w:b w:val="0"/>
                <w:bCs w:val="0"/>
                <w:sz w:val="18"/>
                <w:szCs w:val="18"/>
                <w:lang w:eastAsia="zh-CN"/>
              </w:rPr>
              <w:t>Note</w:t>
            </w:r>
            <w:r w:rsidRPr="00BA06B6">
              <w:rPr>
                <w:rFonts w:ascii="Times New Roman" w:eastAsia="Calibri" w:hAnsi="Times New Roman" w:cs="Times New Roman"/>
                <w:b w:val="0"/>
                <w:bCs w:val="0"/>
                <w:i/>
                <w:iCs/>
                <w:sz w:val="18"/>
                <w:szCs w:val="18"/>
                <w:lang w:eastAsia="zh-CN"/>
              </w:rPr>
              <w:t>.</w:t>
            </w:r>
            <w:r w:rsidRPr="00BA06B6">
              <w:rPr>
                <w:rFonts w:ascii="Times New Roman" w:eastAsia="Calibri" w:hAnsi="Times New Roman" w:cs="Times New Roman"/>
                <w:b w:val="0"/>
                <w:bCs w:val="0"/>
                <w:sz w:val="18"/>
                <w:szCs w:val="18"/>
                <w:lang w:eastAsia="zh-CN"/>
              </w:rPr>
              <w:t xml:space="preserve"> Each number in each cell refers to the overall score (%) given to each region under each of the worldwide governance indicators. source: Worldwide Governance Indicators (</w:t>
            </w:r>
            <w:r w:rsidRPr="00BA06B6">
              <w:rPr>
                <w:rFonts w:ascii="Times New Roman" w:eastAsia="Calibri" w:hAnsi="Times New Roman" w:cs="Times New Roman"/>
                <w:b w:val="0"/>
                <w:bCs w:val="0"/>
                <w:i/>
                <w:sz w:val="18"/>
                <w:szCs w:val="18"/>
                <w:lang w:eastAsia="zh-CN"/>
              </w:rPr>
              <w:t>WGI</w:t>
            </w:r>
            <w:r w:rsidRPr="00BA06B6">
              <w:rPr>
                <w:rFonts w:ascii="Times New Roman" w:eastAsia="Calibri" w:hAnsi="Times New Roman" w:cs="Times New Roman"/>
                <w:b w:val="0"/>
                <w:bCs w:val="0"/>
                <w:sz w:val="18"/>
                <w:szCs w:val="18"/>
                <w:lang w:eastAsia="zh-CN"/>
              </w:rPr>
              <w:t xml:space="preserve">) (World Bank, 2015). </w:t>
            </w:r>
          </w:p>
        </w:tc>
      </w:tr>
    </w:tbl>
    <w:p w14:paraId="2204D067" w14:textId="77777777" w:rsidR="00AA068C" w:rsidRPr="00BA06B6" w:rsidRDefault="00AA068C" w:rsidP="00AA068C">
      <w:pPr>
        <w:tabs>
          <w:tab w:val="left" w:pos="851"/>
        </w:tabs>
        <w:spacing w:after="200" w:line="276" w:lineRule="auto"/>
        <w:jc w:val="both"/>
        <w:rPr>
          <w:rFonts w:ascii="Arial" w:eastAsia="Calibri" w:hAnsi="Arial" w:cs="Arial"/>
          <w:sz w:val="16"/>
          <w:szCs w:val="16"/>
          <w:u w:val="single"/>
          <w:bdr w:val="none" w:sz="0" w:space="0" w:color="auto" w:frame="1"/>
          <w:shd w:val="clear" w:color="auto" w:fill="FFFFFF"/>
        </w:rPr>
      </w:pPr>
    </w:p>
    <w:p w14:paraId="2DBBC1E1" w14:textId="77777777" w:rsidR="00AA068C" w:rsidRPr="00BA06B6" w:rsidRDefault="00AA068C" w:rsidP="00AA068C">
      <w:pPr>
        <w:tabs>
          <w:tab w:val="left" w:pos="851"/>
        </w:tabs>
        <w:jc w:val="both"/>
        <w:rPr>
          <w:rFonts w:ascii="Arial" w:eastAsia="Calibri" w:hAnsi="Arial" w:cs="Arial"/>
          <w:sz w:val="16"/>
          <w:szCs w:val="16"/>
          <w:u w:val="single"/>
          <w:bdr w:val="none" w:sz="0" w:space="0" w:color="auto" w:frame="1"/>
          <w:shd w:val="clear" w:color="auto" w:fill="FFFFFF"/>
        </w:rPr>
      </w:pPr>
    </w:p>
    <w:p w14:paraId="1709B300" w14:textId="77777777" w:rsidR="00AA068C" w:rsidRPr="00BA06B6" w:rsidRDefault="00AA068C" w:rsidP="00AA068C">
      <w:pPr>
        <w:tabs>
          <w:tab w:val="left" w:pos="851"/>
        </w:tabs>
        <w:jc w:val="both"/>
        <w:rPr>
          <w:rFonts w:ascii="Arial" w:eastAsia="Calibri" w:hAnsi="Arial" w:cs="Arial"/>
          <w:sz w:val="16"/>
          <w:szCs w:val="16"/>
          <w:u w:val="single"/>
          <w:bdr w:val="none" w:sz="0" w:space="0" w:color="auto" w:frame="1"/>
          <w:shd w:val="clear" w:color="auto" w:fill="FFFFFF"/>
        </w:rPr>
      </w:pPr>
    </w:p>
    <w:p w14:paraId="6A24CDCE" w14:textId="77777777" w:rsidR="00AA068C" w:rsidRPr="00BA06B6" w:rsidRDefault="00AA068C" w:rsidP="00AA068C">
      <w:pPr>
        <w:tabs>
          <w:tab w:val="left" w:pos="851"/>
        </w:tabs>
        <w:jc w:val="both"/>
        <w:rPr>
          <w:rFonts w:ascii="Arial" w:eastAsia="Calibri" w:hAnsi="Arial" w:cs="Arial"/>
          <w:sz w:val="16"/>
          <w:szCs w:val="16"/>
          <w:u w:val="single"/>
          <w:bdr w:val="none" w:sz="0" w:space="0" w:color="auto" w:frame="1"/>
          <w:shd w:val="clear" w:color="auto" w:fill="FFFFFF"/>
        </w:rPr>
      </w:pPr>
    </w:p>
    <w:p w14:paraId="20F84AA1" w14:textId="77777777" w:rsidR="00AA068C" w:rsidRPr="00BA06B6" w:rsidRDefault="00AA068C" w:rsidP="00AA068C">
      <w:pPr>
        <w:tabs>
          <w:tab w:val="left" w:pos="851"/>
        </w:tabs>
        <w:jc w:val="both"/>
        <w:rPr>
          <w:rFonts w:ascii="Arial" w:eastAsia="Calibri" w:hAnsi="Arial" w:cs="Arial"/>
          <w:sz w:val="16"/>
          <w:szCs w:val="16"/>
          <w:u w:val="single"/>
          <w:bdr w:val="none" w:sz="0" w:space="0" w:color="auto" w:frame="1"/>
          <w:shd w:val="clear" w:color="auto" w:fill="FFFFFF"/>
        </w:rPr>
      </w:pPr>
    </w:p>
    <w:p w14:paraId="7053C074" w14:textId="77777777" w:rsidR="00AA068C" w:rsidRPr="00BA06B6" w:rsidRDefault="00AA068C" w:rsidP="00AA068C">
      <w:pPr>
        <w:rPr>
          <w:rFonts w:ascii="Arial" w:eastAsia="Calibri" w:hAnsi="Arial" w:cs="Arial"/>
          <w:sz w:val="16"/>
          <w:szCs w:val="16"/>
          <w:u w:val="single"/>
          <w:bdr w:val="none" w:sz="0" w:space="0" w:color="auto" w:frame="1"/>
          <w:shd w:val="clear" w:color="auto" w:fill="FFFFFF"/>
        </w:rPr>
      </w:pPr>
      <w:r w:rsidRPr="00BA06B6">
        <w:rPr>
          <w:rFonts w:ascii="Arial" w:eastAsia="Calibri" w:hAnsi="Arial" w:cs="Arial"/>
          <w:sz w:val="16"/>
          <w:szCs w:val="16"/>
          <w:u w:val="single"/>
          <w:bdr w:val="none" w:sz="0" w:space="0" w:color="auto" w:frame="1"/>
          <w:shd w:val="clear" w:color="auto" w:fill="FFFFFF"/>
        </w:rPr>
        <w:br w:type="page"/>
      </w:r>
    </w:p>
    <w:p w14:paraId="580B044C" w14:textId="77777777" w:rsidR="00AA068C" w:rsidRPr="00BA06B6" w:rsidRDefault="00AA068C" w:rsidP="00AA068C">
      <w:pPr>
        <w:sectPr w:rsidR="00AA068C" w:rsidRPr="00BA06B6">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pPr>
    </w:p>
    <w:p w14:paraId="39B0AFA7" w14:textId="77777777" w:rsidR="00AA068C" w:rsidRPr="00BA06B6" w:rsidRDefault="00AA068C" w:rsidP="00AA068C">
      <w:r w:rsidRPr="00BA06B6">
        <w:rPr>
          <w:rFonts w:ascii="Times New Roman" w:eastAsia="Times New Roman" w:hAnsi="Times New Roman" w:cs="Times New Roman"/>
          <w:b/>
          <w:bCs/>
          <w:sz w:val="20"/>
          <w:szCs w:val="20"/>
          <w:lang w:eastAsia="en-GB"/>
        </w:rPr>
        <w:lastRenderedPageBreak/>
        <w:t xml:space="preserve">TABLE 2 </w:t>
      </w:r>
      <w:r w:rsidRPr="00BA06B6">
        <w:rPr>
          <w:rFonts w:ascii="Times New Roman" w:eastAsia="Times New Roman" w:hAnsi="Times New Roman" w:cs="Times New Roman"/>
          <w:sz w:val="20"/>
          <w:szCs w:val="20"/>
          <w:lang w:eastAsia="en-GB"/>
        </w:rPr>
        <w:t>Sample construction procedure</w:t>
      </w:r>
    </w:p>
    <w:tbl>
      <w:tblPr>
        <w:tblStyle w:val="ListTable2"/>
        <w:tblW w:w="5186" w:type="pct"/>
        <w:shd w:val="clear" w:color="auto" w:fill="FFFFFF" w:themeFill="background1"/>
        <w:tblLayout w:type="fixed"/>
        <w:tblLook w:val="04A0" w:firstRow="1" w:lastRow="0" w:firstColumn="1" w:lastColumn="0" w:noHBand="0" w:noVBand="1"/>
      </w:tblPr>
      <w:tblGrid>
        <w:gridCol w:w="1319"/>
        <w:gridCol w:w="1211"/>
        <w:gridCol w:w="1404"/>
        <w:gridCol w:w="1041"/>
        <w:gridCol w:w="953"/>
        <w:gridCol w:w="964"/>
        <w:gridCol w:w="1210"/>
        <w:gridCol w:w="1260"/>
      </w:tblGrid>
      <w:tr w:rsidR="00BA06B6" w:rsidRPr="00BA06B6" w14:paraId="3757166B" w14:textId="77777777" w:rsidTr="00B914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666666" w:themeColor="text1" w:themeTint="99"/>
            </w:tcBorders>
            <w:shd w:val="clear" w:color="auto" w:fill="FFFFFF" w:themeFill="background1"/>
            <w:noWrap/>
          </w:tcPr>
          <w:p w14:paraId="4A4F5D8D" w14:textId="77777777" w:rsidR="00AA068C" w:rsidRPr="00BA06B6" w:rsidRDefault="00AA068C" w:rsidP="00BC341D">
            <w:pPr>
              <w:tabs>
                <w:tab w:val="left" w:pos="851"/>
              </w:tabs>
              <w:jc w:val="both"/>
              <w:rPr>
                <w:rFonts w:ascii="Times New Roman" w:eastAsia="Times New Roman" w:hAnsi="Times New Roman" w:cs="Times New Roman"/>
                <w:sz w:val="2"/>
                <w:szCs w:val="2"/>
                <w:lang w:val="en-US" w:eastAsia="en-GB"/>
              </w:rPr>
            </w:pPr>
          </w:p>
        </w:tc>
        <w:tc>
          <w:tcPr>
            <w:tcW w:w="647" w:type="pct"/>
            <w:tcBorders>
              <w:bottom w:val="single" w:sz="4" w:space="0" w:color="666666" w:themeColor="text1" w:themeTint="99"/>
            </w:tcBorders>
            <w:shd w:val="clear" w:color="auto" w:fill="FFFFFF" w:themeFill="background1"/>
            <w:noWrap/>
          </w:tcPr>
          <w:p w14:paraId="61C4D9CA" w14:textId="77777777" w:rsidR="00AA068C" w:rsidRPr="00BA06B6" w:rsidRDefault="00AA068C" w:rsidP="00BC341D">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
                <w:szCs w:val="2"/>
                <w:lang w:val="en-US" w:eastAsia="en-GB"/>
              </w:rPr>
            </w:pPr>
          </w:p>
        </w:tc>
        <w:tc>
          <w:tcPr>
            <w:tcW w:w="750" w:type="pct"/>
            <w:tcBorders>
              <w:bottom w:val="single" w:sz="4" w:space="0" w:color="666666" w:themeColor="text1" w:themeTint="99"/>
            </w:tcBorders>
            <w:shd w:val="clear" w:color="auto" w:fill="FFFFFF" w:themeFill="background1"/>
            <w:noWrap/>
          </w:tcPr>
          <w:p w14:paraId="57E405FB" w14:textId="77777777" w:rsidR="00AA068C" w:rsidRPr="00BA06B6" w:rsidRDefault="00AA068C" w:rsidP="00BC341D">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
                <w:szCs w:val="2"/>
                <w:lang w:val="en-US" w:eastAsia="en-GB"/>
              </w:rPr>
            </w:pPr>
          </w:p>
        </w:tc>
        <w:tc>
          <w:tcPr>
            <w:tcW w:w="556" w:type="pct"/>
            <w:tcBorders>
              <w:bottom w:val="single" w:sz="4" w:space="0" w:color="666666" w:themeColor="text1" w:themeTint="99"/>
            </w:tcBorders>
            <w:shd w:val="clear" w:color="auto" w:fill="FFFFFF" w:themeFill="background1"/>
            <w:noWrap/>
          </w:tcPr>
          <w:p w14:paraId="61C641BA" w14:textId="77777777" w:rsidR="00AA068C" w:rsidRPr="00BA06B6" w:rsidRDefault="00AA068C" w:rsidP="00BC341D">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
                <w:szCs w:val="2"/>
                <w:lang w:val="en-US" w:eastAsia="en-GB"/>
              </w:rPr>
            </w:pPr>
          </w:p>
        </w:tc>
        <w:tc>
          <w:tcPr>
            <w:tcW w:w="509" w:type="pct"/>
            <w:tcBorders>
              <w:bottom w:val="single" w:sz="4" w:space="0" w:color="666666" w:themeColor="text1" w:themeTint="99"/>
            </w:tcBorders>
            <w:shd w:val="clear" w:color="auto" w:fill="FFFFFF" w:themeFill="background1"/>
            <w:noWrap/>
          </w:tcPr>
          <w:p w14:paraId="0DD46AB8" w14:textId="77777777" w:rsidR="00AA068C" w:rsidRPr="00BA06B6" w:rsidRDefault="00AA068C" w:rsidP="00BC341D">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
                <w:szCs w:val="2"/>
                <w:lang w:val="en-US" w:eastAsia="en-GB"/>
              </w:rPr>
            </w:pPr>
          </w:p>
        </w:tc>
        <w:tc>
          <w:tcPr>
            <w:tcW w:w="515" w:type="pct"/>
            <w:tcBorders>
              <w:bottom w:val="single" w:sz="4" w:space="0" w:color="666666" w:themeColor="text1" w:themeTint="99"/>
            </w:tcBorders>
            <w:shd w:val="clear" w:color="auto" w:fill="FFFFFF" w:themeFill="background1"/>
            <w:noWrap/>
          </w:tcPr>
          <w:p w14:paraId="290EC8C5" w14:textId="77777777" w:rsidR="00AA068C" w:rsidRPr="00BA06B6" w:rsidRDefault="00AA068C" w:rsidP="00BC341D">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
                <w:szCs w:val="2"/>
                <w:lang w:val="en-US" w:eastAsia="en-GB"/>
              </w:rPr>
            </w:pPr>
          </w:p>
        </w:tc>
        <w:tc>
          <w:tcPr>
            <w:tcW w:w="646" w:type="pct"/>
            <w:tcBorders>
              <w:bottom w:val="single" w:sz="4" w:space="0" w:color="666666" w:themeColor="text1" w:themeTint="99"/>
            </w:tcBorders>
            <w:shd w:val="clear" w:color="auto" w:fill="FFFFFF" w:themeFill="background1"/>
            <w:noWrap/>
          </w:tcPr>
          <w:p w14:paraId="373902B0" w14:textId="77777777" w:rsidR="00AA068C" w:rsidRPr="00BA06B6" w:rsidRDefault="00AA068C" w:rsidP="00BC341D">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
                <w:szCs w:val="2"/>
                <w:lang w:val="en-US" w:eastAsia="en-GB"/>
              </w:rPr>
            </w:pPr>
          </w:p>
        </w:tc>
        <w:tc>
          <w:tcPr>
            <w:tcW w:w="673" w:type="pct"/>
            <w:tcBorders>
              <w:bottom w:val="single" w:sz="4" w:space="0" w:color="666666" w:themeColor="text1" w:themeTint="99"/>
            </w:tcBorders>
            <w:shd w:val="clear" w:color="auto" w:fill="FFFFFF" w:themeFill="background1"/>
            <w:noWrap/>
          </w:tcPr>
          <w:p w14:paraId="2128DA9A" w14:textId="77777777" w:rsidR="00AA068C" w:rsidRPr="00BA06B6" w:rsidRDefault="00AA068C" w:rsidP="00BC341D">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
                <w:szCs w:val="2"/>
                <w:lang w:val="en-US" w:eastAsia="en-GB"/>
              </w:rPr>
            </w:pPr>
          </w:p>
        </w:tc>
      </w:tr>
      <w:tr w:rsidR="00BA06B6" w:rsidRPr="00BA06B6" w14:paraId="6EDCE900" w14:textId="77777777" w:rsidTr="00B914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uto"/>
            </w:tcBorders>
            <w:shd w:val="clear" w:color="auto" w:fill="FFFFFF" w:themeFill="background1"/>
            <w:noWrap/>
            <w:hideMark/>
          </w:tcPr>
          <w:p w14:paraId="2303E3DC" w14:textId="77777777" w:rsidR="00AA068C" w:rsidRPr="00BA06B6" w:rsidRDefault="00AA068C" w:rsidP="00BC341D">
            <w:pPr>
              <w:tabs>
                <w:tab w:val="left" w:pos="851"/>
              </w:tabs>
              <w:jc w:val="both"/>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Country</w:t>
            </w:r>
          </w:p>
        </w:tc>
        <w:tc>
          <w:tcPr>
            <w:tcW w:w="647" w:type="pct"/>
            <w:tcBorders>
              <w:bottom w:val="single" w:sz="4" w:space="0" w:color="auto"/>
            </w:tcBorders>
            <w:shd w:val="clear" w:color="auto" w:fill="FFFFFF" w:themeFill="background1"/>
            <w:noWrap/>
            <w:hideMark/>
          </w:tcPr>
          <w:p w14:paraId="6749325B"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eastAsia="en-GB"/>
              </w:rPr>
            </w:pPr>
            <w:r w:rsidRPr="00BA06B6">
              <w:rPr>
                <w:rFonts w:ascii="Times New Roman" w:eastAsia="Times New Roman" w:hAnsi="Times New Roman" w:cs="Times New Roman"/>
                <w:b/>
                <w:bCs/>
                <w:sz w:val="20"/>
                <w:szCs w:val="20"/>
                <w:lang w:val="en-US" w:eastAsia="en-GB"/>
              </w:rPr>
              <w:t>Total banks</w:t>
            </w:r>
          </w:p>
        </w:tc>
        <w:tc>
          <w:tcPr>
            <w:tcW w:w="750" w:type="pct"/>
            <w:tcBorders>
              <w:bottom w:val="single" w:sz="4" w:space="0" w:color="auto"/>
            </w:tcBorders>
            <w:shd w:val="clear" w:color="auto" w:fill="FFFFFF" w:themeFill="background1"/>
            <w:noWrap/>
            <w:hideMark/>
          </w:tcPr>
          <w:p w14:paraId="7E1DB92D"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eastAsia="en-GB"/>
              </w:rPr>
            </w:pPr>
            <w:r w:rsidRPr="00BA06B6">
              <w:rPr>
                <w:rFonts w:ascii="Times New Roman" w:eastAsia="Times New Roman" w:hAnsi="Times New Roman" w:cs="Times New Roman"/>
                <w:b/>
                <w:bCs/>
                <w:sz w:val="20"/>
                <w:szCs w:val="20"/>
                <w:lang w:val="en-US" w:eastAsia="en-GB"/>
              </w:rPr>
              <w:t>Banks selected</w:t>
            </w:r>
          </w:p>
        </w:tc>
        <w:tc>
          <w:tcPr>
            <w:tcW w:w="556" w:type="pct"/>
            <w:tcBorders>
              <w:bottom w:val="single" w:sz="4" w:space="0" w:color="auto"/>
            </w:tcBorders>
            <w:shd w:val="clear" w:color="auto" w:fill="FFFFFF" w:themeFill="background1"/>
            <w:noWrap/>
            <w:hideMark/>
          </w:tcPr>
          <w:p w14:paraId="5555F7AC"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eastAsia="en-GB"/>
              </w:rPr>
            </w:pPr>
            <w:r w:rsidRPr="00BA06B6">
              <w:rPr>
                <w:rFonts w:ascii="Times New Roman" w:eastAsia="Times New Roman" w:hAnsi="Times New Roman" w:cs="Times New Roman"/>
                <w:b/>
                <w:bCs/>
                <w:sz w:val="20"/>
                <w:szCs w:val="20"/>
                <w:lang w:val="en-US" w:eastAsia="en-GB"/>
              </w:rPr>
              <w:t xml:space="preserve">IBs </w:t>
            </w:r>
            <w:proofErr w:type="spellStart"/>
            <w:r w:rsidRPr="00BA06B6">
              <w:rPr>
                <w:rFonts w:ascii="Times New Roman" w:eastAsia="Times New Roman" w:hAnsi="Times New Roman" w:cs="Times New Roman"/>
                <w:b/>
                <w:bCs/>
                <w:sz w:val="20"/>
                <w:szCs w:val="20"/>
                <w:lang w:val="en-US" w:eastAsia="en-GB"/>
              </w:rPr>
              <w:t>obs</w:t>
            </w:r>
            <w:proofErr w:type="spellEnd"/>
          </w:p>
        </w:tc>
        <w:tc>
          <w:tcPr>
            <w:tcW w:w="509" w:type="pct"/>
            <w:tcBorders>
              <w:bottom w:val="single" w:sz="4" w:space="0" w:color="auto"/>
            </w:tcBorders>
            <w:shd w:val="clear" w:color="auto" w:fill="FFFFFF" w:themeFill="background1"/>
            <w:noWrap/>
            <w:hideMark/>
          </w:tcPr>
          <w:p w14:paraId="5E0B52EE"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eastAsia="en-GB"/>
              </w:rPr>
            </w:pPr>
            <w:r w:rsidRPr="00BA06B6">
              <w:rPr>
                <w:rFonts w:ascii="Times New Roman" w:eastAsia="Times New Roman" w:hAnsi="Times New Roman" w:cs="Times New Roman"/>
                <w:b/>
                <w:bCs/>
                <w:sz w:val="20"/>
                <w:szCs w:val="20"/>
                <w:lang w:val="en-US" w:eastAsia="en-GB"/>
              </w:rPr>
              <w:t xml:space="preserve">CBs </w:t>
            </w:r>
            <w:proofErr w:type="spellStart"/>
            <w:r w:rsidRPr="00BA06B6">
              <w:rPr>
                <w:rFonts w:ascii="Times New Roman" w:eastAsia="Times New Roman" w:hAnsi="Times New Roman" w:cs="Times New Roman"/>
                <w:b/>
                <w:bCs/>
                <w:sz w:val="20"/>
                <w:szCs w:val="20"/>
                <w:lang w:val="en-US" w:eastAsia="en-GB"/>
              </w:rPr>
              <w:t>obs</w:t>
            </w:r>
            <w:proofErr w:type="spellEnd"/>
          </w:p>
        </w:tc>
        <w:tc>
          <w:tcPr>
            <w:tcW w:w="515" w:type="pct"/>
            <w:tcBorders>
              <w:bottom w:val="single" w:sz="4" w:space="0" w:color="auto"/>
            </w:tcBorders>
            <w:shd w:val="clear" w:color="auto" w:fill="FFFFFF" w:themeFill="background1"/>
            <w:noWrap/>
            <w:hideMark/>
          </w:tcPr>
          <w:p w14:paraId="73795F4E"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eastAsia="en-GB"/>
              </w:rPr>
            </w:pPr>
            <w:r w:rsidRPr="00BA06B6">
              <w:rPr>
                <w:rFonts w:ascii="Times New Roman" w:eastAsia="Times New Roman" w:hAnsi="Times New Roman" w:cs="Times New Roman"/>
                <w:b/>
                <w:bCs/>
                <w:sz w:val="20"/>
                <w:szCs w:val="20"/>
                <w:lang w:val="en-US" w:eastAsia="en-GB"/>
              </w:rPr>
              <w:t xml:space="preserve">DBs </w:t>
            </w:r>
            <w:proofErr w:type="spellStart"/>
            <w:r w:rsidRPr="00BA06B6">
              <w:rPr>
                <w:rFonts w:ascii="Times New Roman" w:eastAsia="Times New Roman" w:hAnsi="Times New Roman" w:cs="Times New Roman"/>
                <w:b/>
                <w:bCs/>
                <w:sz w:val="20"/>
                <w:szCs w:val="20"/>
                <w:lang w:val="en-US" w:eastAsia="en-GB"/>
              </w:rPr>
              <w:t>obs</w:t>
            </w:r>
            <w:proofErr w:type="spellEnd"/>
          </w:p>
        </w:tc>
        <w:tc>
          <w:tcPr>
            <w:tcW w:w="646" w:type="pct"/>
            <w:tcBorders>
              <w:bottom w:val="single" w:sz="4" w:space="0" w:color="auto"/>
            </w:tcBorders>
            <w:shd w:val="clear" w:color="auto" w:fill="FFFFFF" w:themeFill="background1"/>
            <w:noWrap/>
            <w:hideMark/>
          </w:tcPr>
          <w:p w14:paraId="124A344A"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eastAsia="en-GB"/>
              </w:rPr>
            </w:pPr>
            <w:r w:rsidRPr="00BA06B6">
              <w:rPr>
                <w:rFonts w:ascii="Times New Roman" w:eastAsia="Times New Roman" w:hAnsi="Times New Roman" w:cs="Times New Roman"/>
                <w:b/>
                <w:bCs/>
                <w:sz w:val="20"/>
                <w:szCs w:val="20"/>
                <w:lang w:val="en-US" w:eastAsia="en-GB"/>
              </w:rPr>
              <w:t>Full sample</w:t>
            </w:r>
          </w:p>
        </w:tc>
        <w:tc>
          <w:tcPr>
            <w:tcW w:w="673" w:type="pct"/>
            <w:tcBorders>
              <w:bottom w:val="single" w:sz="4" w:space="0" w:color="auto"/>
            </w:tcBorders>
            <w:shd w:val="clear" w:color="auto" w:fill="FFFFFF" w:themeFill="background1"/>
            <w:noWrap/>
            <w:hideMark/>
          </w:tcPr>
          <w:p w14:paraId="43C4C596"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0"/>
                <w:szCs w:val="20"/>
                <w:lang w:val="en-US" w:eastAsia="en-GB"/>
              </w:rPr>
            </w:pPr>
            <w:r w:rsidRPr="00BA06B6">
              <w:rPr>
                <w:rFonts w:ascii="Times New Roman" w:eastAsia="Times New Roman" w:hAnsi="Times New Roman" w:cs="Times New Roman"/>
                <w:b/>
                <w:bCs/>
                <w:sz w:val="20"/>
                <w:szCs w:val="20"/>
                <w:lang w:val="en-US" w:eastAsia="en-GB"/>
              </w:rPr>
              <w:t>Percentage</w:t>
            </w:r>
          </w:p>
        </w:tc>
      </w:tr>
      <w:tr w:rsidR="00BA06B6" w:rsidRPr="00BA06B6" w14:paraId="18579284" w14:textId="77777777" w:rsidTr="004137CB">
        <w:trPr>
          <w:trHeight w:val="300"/>
        </w:trPr>
        <w:tc>
          <w:tcPr>
            <w:cnfStyle w:val="001000000000" w:firstRow="0" w:lastRow="0" w:firstColumn="1" w:lastColumn="0" w:oddVBand="0" w:evenVBand="0" w:oddHBand="0" w:evenHBand="0" w:firstRowFirstColumn="0" w:firstRowLastColumn="0" w:lastRowFirstColumn="0" w:lastRowLastColumn="0"/>
            <w:tcW w:w="704" w:type="pct"/>
            <w:tcBorders>
              <w:top w:val="single" w:sz="4" w:space="0" w:color="auto"/>
              <w:bottom w:val="nil"/>
            </w:tcBorders>
            <w:shd w:val="clear" w:color="auto" w:fill="FFFFFF" w:themeFill="background1"/>
            <w:noWrap/>
            <w:hideMark/>
          </w:tcPr>
          <w:p w14:paraId="2BE39937" w14:textId="77777777" w:rsidR="00AA068C" w:rsidRPr="00BA06B6" w:rsidRDefault="00AA068C" w:rsidP="00BC341D">
            <w:pPr>
              <w:tabs>
                <w:tab w:val="left" w:pos="851"/>
              </w:tabs>
              <w:jc w:val="both"/>
              <w:rPr>
                <w:rFonts w:ascii="Times New Roman" w:eastAsia="Times New Roman" w:hAnsi="Times New Roman" w:cs="Times New Roman"/>
                <w:b w:val="0"/>
                <w:bCs w:val="0"/>
                <w:sz w:val="20"/>
                <w:szCs w:val="20"/>
                <w:lang w:eastAsia="en-GB"/>
              </w:rPr>
            </w:pPr>
            <w:r w:rsidRPr="00BA06B6">
              <w:rPr>
                <w:rFonts w:ascii="Times New Roman" w:eastAsia="Times New Roman" w:hAnsi="Times New Roman" w:cs="Times New Roman"/>
                <w:b w:val="0"/>
                <w:bCs w:val="0"/>
                <w:sz w:val="20"/>
                <w:szCs w:val="20"/>
                <w:lang w:val="en-US" w:eastAsia="en-GB"/>
              </w:rPr>
              <w:t>Bahrain</w:t>
            </w:r>
          </w:p>
        </w:tc>
        <w:tc>
          <w:tcPr>
            <w:tcW w:w="647" w:type="pct"/>
            <w:tcBorders>
              <w:top w:val="single" w:sz="4" w:space="0" w:color="auto"/>
              <w:bottom w:val="nil"/>
            </w:tcBorders>
            <w:shd w:val="clear" w:color="auto" w:fill="FFFFFF" w:themeFill="background1"/>
            <w:noWrap/>
            <w:hideMark/>
          </w:tcPr>
          <w:p w14:paraId="5579A254"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11</w:t>
            </w:r>
          </w:p>
        </w:tc>
        <w:tc>
          <w:tcPr>
            <w:tcW w:w="750" w:type="pct"/>
            <w:tcBorders>
              <w:top w:val="single" w:sz="4" w:space="0" w:color="auto"/>
              <w:bottom w:val="nil"/>
            </w:tcBorders>
            <w:shd w:val="clear" w:color="auto" w:fill="FFFFFF" w:themeFill="background1"/>
            <w:noWrap/>
            <w:hideMark/>
          </w:tcPr>
          <w:p w14:paraId="36555811"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9</w:t>
            </w:r>
          </w:p>
        </w:tc>
        <w:tc>
          <w:tcPr>
            <w:tcW w:w="556" w:type="pct"/>
            <w:tcBorders>
              <w:top w:val="single" w:sz="4" w:space="0" w:color="auto"/>
              <w:bottom w:val="nil"/>
            </w:tcBorders>
            <w:shd w:val="clear" w:color="auto" w:fill="FFFFFF" w:themeFill="background1"/>
            <w:noWrap/>
            <w:hideMark/>
          </w:tcPr>
          <w:p w14:paraId="03205F11"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36</w:t>
            </w:r>
          </w:p>
        </w:tc>
        <w:tc>
          <w:tcPr>
            <w:tcW w:w="509" w:type="pct"/>
            <w:tcBorders>
              <w:top w:val="single" w:sz="4" w:space="0" w:color="auto"/>
              <w:bottom w:val="nil"/>
            </w:tcBorders>
            <w:shd w:val="clear" w:color="auto" w:fill="FFFFFF" w:themeFill="background1"/>
            <w:noWrap/>
            <w:hideMark/>
          </w:tcPr>
          <w:p w14:paraId="0BEBCF51"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8</w:t>
            </w:r>
          </w:p>
        </w:tc>
        <w:tc>
          <w:tcPr>
            <w:tcW w:w="515" w:type="pct"/>
            <w:tcBorders>
              <w:top w:val="single" w:sz="4" w:space="0" w:color="auto"/>
              <w:bottom w:val="nil"/>
            </w:tcBorders>
            <w:shd w:val="clear" w:color="auto" w:fill="FFFFFF" w:themeFill="background1"/>
            <w:noWrap/>
            <w:hideMark/>
          </w:tcPr>
          <w:p w14:paraId="707D1C7C"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24</w:t>
            </w:r>
          </w:p>
        </w:tc>
        <w:tc>
          <w:tcPr>
            <w:tcW w:w="646" w:type="pct"/>
            <w:tcBorders>
              <w:top w:val="single" w:sz="4" w:space="0" w:color="auto"/>
              <w:bottom w:val="nil"/>
            </w:tcBorders>
            <w:shd w:val="clear" w:color="auto" w:fill="FFFFFF" w:themeFill="background1"/>
            <w:noWrap/>
            <w:hideMark/>
          </w:tcPr>
          <w:p w14:paraId="0ABAAB84"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68</w:t>
            </w:r>
          </w:p>
        </w:tc>
        <w:tc>
          <w:tcPr>
            <w:tcW w:w="673" w:type="pct"/>
            <w:tcBorders>
              <w:top w:val="single" w:sz="4" w:space="0" w:color="auto"/>
              <w:bottom w:val="nil"/>
            </w:tcBorders>
            <w:shd w:val="clear" w:color="auto" w:fill="FFFFFF" w:themeFill="background1"/>
            <w:noWrap/>
            <w:hideMark/>
          </w:tcPr>
          <w:p w14:paraId="36528F7E"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9.71%</w:t>
            </w:r>
          </w:p>
        </w:tc>
      </w:tr>
      <w:tr w:rsidR="00BA06B6" w:rsidRPr="00BA06B6" w14:paraId="4A4AACC1" w14:textId="77777777" w:rsidTr="00B914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pct"/>
            <w:tcBorders>
              <w:top w:val="nil"/>
              <w:bottom w:val="nil"/>
            </w:tcBorders>
            <w:shd w:val="clear" w:color="auto" w:fill="FFFFFF" w:themeFill="background1"/>
            <w:noWrap/>
            <w:hideMark/>
          </w:tcPr>
          <w:p w14:paraId="729C9F34" w14:textId="77777777" w:rsidR="00AA068C" w:rsidRPr="00BA06B6" w:rsidRDefault="00AA068C" w:rsidP="00BC341D">
            <w:pPr>
              <w:tabs>
                <w:tab w:val="left" w:pos="851"/>
              </w:tabs>
              <w:jc w:val="both"/>
              <w:rPr>
                <w:rFonts w:ascii="Times New Roman" w:eastAsia="Times New Roman" w:hAnsi="Times New Roman" w:cs="Times New Roman"/>
                <w:b w:val="0"/>
                <w:bCs w:val="0"/>
                <w:sz w:val="20"/>
                <w:szCs w:val="20"/>
                <w:lang w:eastAsia="en-GB"/>
              </w:rPr>
            </w:pPr>
            <w:r w:rsidRPr="00BA06B6">
              <w:rPr>
                <w:rFonts w:ascii="Times New Roman" w:eastAsia="Times New Roman" w:hAnsi="Times New Roman" w:cs="Times New Roman"/>
                <w:b w:val="0"/>
                <w:bCs w:val="0"/>
                <w:sz w:val="20"/>
                <w:szCs w:val="20"/>
                <w:lang w:val="en-US" w:eastAsia="en-GB"/>
              </w:rPr>
              <w:t>Egypt</w:t>
            </w:r>
          </w:p>
        </w:tc>
        <w:tc>
          <w:tcPr>
            <w:tcW w:w="647" w:type="pct"/>
            <w:tcBorders>
              <w:top w:val="nil"/>
              <w:bottom w:val="nil"/>
            </w:tcBorders>
            <w:shd w:val="clear" w:color="auto" w:fill="FFFFFF" w:themeFill="background1"/>
            <w:noWrap/>
            <w:hideMark/>
          </w:tcPr>
          <w:p w14:paraId="7D947224"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11</w:t>
            </w:r>
          </w:p>
        </w:tc>
        <w:tc>
          <w:tcPr>
            <w:tcW w:w="750" w:type="pct"/>
            <w:tcBorders>
              <w:top w:val="nil"/>
              <w:bottom w:val="nil"/>
            </w:tcBorders>
            <w:shd w:val="clear" w:color="auto" w:fill="FFFFFF" w:themeFill="background1"/>
            <w:noWrap/>
            <w:hideMark/>
          </w:tcPr>
          <w:p w14:paraId="42EBD0C7"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11</w:t>
            </w:r>
          </w:p>
        </w:tc>
        <w:tc>
          <w:tcPr>
            <w:tcW w:w="556" w:type="pct"/>
            <w:tcBorders>
              <w:top w:val="nil"/>
              <w:bottom w:val="nil"/>
            </w:tcBorders>
            <w:shd w:val="clear" w:color="auto" w:fill="FFFFFF" w:themeFill="background1"/>
            <w:noWrap/>
            <w:hideMark/>
          </w:tcPr>
          <w:p w14:paraId="6BB54C50"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13</w:t>
            </w:r>
          </w:p>
        </w:tc>
        <w:tc>
          <w:tcPr>
            <w:tcW w:w="509" w:type="pct"/>
            <w:tcBorders>
              <w:top w:val="nil"/>
              <w:bottom w:val="nil"/>
            </w:tcBorders>
            <w:shd w:val="clear" w:color="auto" w:fill="FFFFFF" w:themeFill="background1"/>
            <w:noWrap/>
            <w:hideMark/>
          </w:tcPr>
          <w:p w14:paraId="253D9A17"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40</w:t>
            </w:r>
          </w:p>
        </w:tc>
        <w:tc>
          <w:tcPr>
            <w:tcW w:w="515" w:type="pct"/>
            <w:tcBorders>
              <w:top w:val="nil"/>
              <w:bottom w:val="nil"/>
            </w:tcBorders>
            <w:shd w:val="clear" w:color="auto" w:fill="FFFFFF" w:themeFill="background1"/>
            <w:noWrap/>
            <w:hideMark/>
          </w:tcPr>
          <w:p w14:paraId="474D361A"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20</w:t>
            </w:r>
          </w:p>
        </w:tc>
        <w:tc>
          <w:tcPr>
            <w:tcW w:w="646" w:type="pct"/>
            <w:tcBorders>
              <w:top w:val="nil"/>
              <w:bottom w:val="nil"/>
            </w:tcBorders>
            <w:shd w:val="clear" w:color="auto" w:fill="FFFFFF" w:themeFill="background1"/>
            <w:noWrap/>
            <w:hideMark/>
          </w:tcPr>
          <w:p w14:paraId="782163CD"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73</w:t>
            </w:r>
          </w:p>
        </w:tc>
        <w:tc>
          <w:tcPr>
            <w:tcW w:w="673" w:type="pct"/>
            <w:tcBorders>
              <w:top w:val="nil"/>
              <w:bottom w:val="nil"/>
            </w:tcBorders>
            <w:shd w:val="clear" w:color="auto" w:fill="FFFFFF" w:themeFill="background1"/>
            <w:noWrap/>
            <w:hideMark/>
          </w:tcPr>
          <w:p w14:paraId="33FE9FF1"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10.43%</w:t>
            </w:r>
          </w:p>
        </w:tc>
      </w:tr>
      <w:tr w:rsidR="00BA06B6" w:rsidRPr="00BA06B6" w14:paraId="16545D0D" w14:textId="77777777" w:rsidTr="00B91469">
        <w:trPr>
          <w:trHeight w:val="300"/>
        </w:trPr>
        <w:tc>
          <w:tcPr>
            <w:cnfStyle w:val="001000000000" w:firstRow="0" w:lastRow="0" w:firstColumn="1" w:lastColumn="0" w:oddVBand="0" w:evenVBand="0" w:oddHBand="0" w:evenHBand="0" w:firstRowFirstColumn="0" w:firstRowLastColumn="0" w:lastRowFirstColumn="0" w:lastRowLastColumn="0"/>
            <w:tcW w:w="704" w:type="pct"/>
            <w:tcBorders>
              <w:top w:val="nil"/>
              <w:bottom w:val="nil"/>
            </w:tcBorders>
            <w:shd w:val="clear" w:color="auto" w:fill="FFFFFF" w:themeFill="background1"/>
            <w:noWrap/>
            <w:hideMark/>
          </w:tcPr>
          <w:p w14:paraId="2DD2378A" w14:textId="77777777" w:rsidR="00AA068C" w:rsidRPr="00BA06B6" w:rsidRDefault="00AA068C" w:rsidP="00BC341D">
            <w:pPr>
              <w:tabs>
                <w:tab w:val="left" w:pos="851"/>
              </w:tabs>
              <w:jc w:val="both"/>
              <w:rPr>
                <w:rFonts w:ascii="Times New Roman" w:eastAsia="Times New Roman" w:hAnsi="Times New Roman" w:cs="Times New Roman"/>
                <w:b w:val="0"/>
                <w:bCs w:val="0"/>
                <w:sz w:val="20"/>
                <w:szCs w:val="20"/>
                <w:lang w:eastAsia="en-GB"/>
              </w:rPr>
            </w:pPr>
            <w:r w:rsidRPr="00BA06B6">
              <w:rPr>
                <w:rFonts w:ascii="Times New Roman" w:eastAsia="Times New Roman" w:hAnsi="Times New Roman" w:cs="Times New Roman"/>
                <w:b w:val="0"/>
                <w:bCs w:val="0"/>
                <w:sz w:val="20"/>
                <w:szCs w:val="20"/>
                <w:lang w:val="en-US" w:eastAsia="en-GB"/>
              </w:rPr>
              <w:t>Jordan</w:t>
            </w:r>
          </w:p>
        </w:tc>
        <w:tc>
          <w:tcPr>
            <w:tcW w:w="647" w:type="pct"/>
            <w:tcBorders>
              <w:top w:val="nil"/>
              <w:bottom w:val="nil"/>
            </w:tcBorders>
            <w:shd w:val="clear" w:color="auto" w:fill="FFFFFF" w:themeFill="background1"/>
            <w:noWrap/>
            <w:hideMark/>
          </w:tcPr>
          <w:p w14:paraId="74A97149"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12</w:t>
            </w:r>
          </w:p>
        </w:tc>
        <w:tc>
          <w:tcPr>
            <w:tcW w:w="750" w:type="pct"/>
            <w:tcBorders>
              <w:top w:val="nil"/>
              <w:bottom w:val="nil"/>
            </w:tcBorders>
            <w:shd w:val="clear" w:color="auto" w:fill="FFFFFF" w:themeFill="background1"/>
            <w:noWrap/>
            <w:hideMark/>
          </w:tcPr>
          <w:p w14:paraId="236BFAA7"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12</w:t>
            </w:r>
          </w:p>
        </w:tc>
        <w:tc>
          <w:tcPr>
            <w:tcW w:w="556" w:type="pct"/>
            <w:tcBorders>
              <w:top w:val="nil"/>
              <w:bottom w:val="nil"/>
            </w:tcBorders>
            <w:shd w:val="clear" w:color="auto" w:fill="FFFFFF" w:themeFill="background1"/>
            <w:noWrap/>
            <w:hideMark/>
          </w:tcPr>
          <w:p w14:paraId="007B9956"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13</w:t>
            </w:r>
          </w:p>
        </w:tc>
        <w:tc>
          <w:tcPr>
            <w:tcW w:w="509" w:type="pct"/>
            <w:tcBorders>
              <w:top w:val="nil"/>
              <w:bottom w:val="nil"/>
            </w:tcBorders>
            <w:shd w:val="clear" w:color="auto" w:fill="FFFFFF" w:themeFill="background1"/>
            <w:noWrap/>
            <w:hideMark/>
          </w:tcPr>
          <w:p w14:paraId="20B6225B"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75</w:t>
            </w:r>
          </w:p>
        </w:tc>
        <w:tc>
          <w:tcPr>
            <w:tcW w:w="515" w:type="pct"/>
            <w:tcBorders>
              <w:top w:val="nil"/>
              <w:bottom w:val="nil"/>
            </w:tcBorders>
            <w:shd w:val="clear" w:color="auto" w:fill="FFFFFF" w:themeFill="background1"/>
            <w:noWrap/>
            <w:hideMark/>
          </w:tcPr>
          <w:p w14:paraId="0650B3B0"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3</w:t>
            </w:r>
          </w:p>
        </w:tc>
        <w:tc>
          <w:tcPr>
            <w:tcW w:w="646" w:type="pct"/>
            <w:tcBorders>
              <w:top w:val="nil"/>
              <w:bottom w:val="nil"/>
            </w:tcBorders>
            <w:shd w:val="clear" w:color="auto" w:fill="FFFFFF" w:themeFill="background1"/>
            <w:noWrap/>
            <w:hideMark/>
          </w:tcPr>
          <w:p w14:paraId="610A0F82"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91</w:t>
            </w:r>
          </w:p>
        </w:tc>
        <w:tc>
          <w:tcPr>
            <w:tcW w:w="673" w:type="pct"/>
            <w:tcBorders>
              <w:top w:val="nil"/>
              <w:bottom w:val="nil"/>
            </w:tcBorders>
            <w:shd w:val="clear" w:color="auto" w:fill="FFFFFF" w:themeFill="background1"/>
            <w:noWrap/>
            <w:hideMark/>
          </w:tcPr>
          <w:p w14:paraId="5A01E8FF"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13.00%</w:t>
            </w:r>
          </w:p>
        </w:tc>
      </w:tr>
      <w:tr w:rsidR="00BA06B6" w:rsidRPr="00BA06B6" w14:paraId="07F3B140" w14:textId="77777777" w:rsidTr="00B914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pct"/>
            <w:tcBorders>
              <w:top w:val="nil"/>
              <w:bottom w:val="nil"/>
            </w:tcBorders>
            <w:shd w:val="clear" w:color="auto" w:fill="FFFFFF" w:themeFill="background1"/>
            <w:noWrap/>
            <w:hideMark/>
          </w:tcPr>
          <w:p w14:paraId="3D826A1B" w14:textId="77777777" w:rsidR="00AA068C" w:rsidRPr="00BA06B6" w:rsidRDefault="00AA068C" w:rsidP="00BC341D">
            <w:pPr>
              <w:tabs>
                <w:tab w:val="left" w:pos="851"/>
              </w:tabs>
              <w:jc w:val="both"/>
              <w:rPr>
                <w:rFonts w:ascii="Times New Roman" w:eastAsia="Times New Roman" w:hAnsi="Times New Roman" w:cs="Times New Roman"/>
                <w:b w:val="0"/>
                <w:bCs w:val="0"/>
                <w:sz w:val="20"/>
                <w:szCs w:val="20"/>
                <w:lang w:eastAsia="en-GB"/>
              </w:rPr>
            </w:pPr>
            <w:r w:rsidRPr="00BA06B6">
              <w:rPr>
                <w:rFonts w:ascii="Times New Roman" w:eastAsia="Times New Roman" w:hAnsi="Times New Roman" w:cs="Times New Roman"/>
                <w:b w:val="0"/>
                <w:bCs w:val="0"/>
                <w:sz w:val="20"/>
                <w:szCs w:val="20"/>
                <w:lang w:val="en-US" w:eastAsia="en-GB"/>
              </w:rPr>
              <w:t>Kuwait</w:t>
            </w:r>
          </w:p>
        </w:tc>
        <w:tc>
          <w:tcPr>
            <w:tcW w:w="647" w:type="pct"/>
            <w:tcBorders>
              <w:top w:val="nil"/>
              <w:bottom w:val="nil"/>
            </w:tcBorders>
            <w:shd w:val="clear" w:color="auto" w:fill="FFFFFF" w:themeFill="background1"/>
            <w:noWrap/>
            <w:hideMark/>
          </w:tcPr>
          <w:p w14:paraId="4F2D51FE"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13</w:t>
            </w:r>
          </w:p>
        </w:tc>
        <w:tc>
          <w:tcPr>
            <w:tcW w:w="750" w:type="pct"/>
            <w:tcBorders>
              <w:top w:val="nil"/>
              <w:bottom w:val="nil"/>
            </w:tcBorders>
            <w:shd w:val="clear" w:color="auto" w:fill="FFFFFF" w:themeFill="background1"/>
            <w:noWrap/>
            <w:hideMark/>
          </w:tcPr>
          <w:p w14:paraId="18AF625B"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10</w:t>
            </w:r>
          </w:p>
        </w:tc>
        <w:tc>
          <w:tcPr>
            <w:tcW w:w="556" w:type="pct"/>
            <w:tcBorders>
              <w:top w:val="nil"/>
              <w:bottom w:val="nil"/>
            </w:tcBorders>
            <w:shd w:val="clear" w:color="auto" w:fill="FFFFFF" w:themeFill="background1"/>
            <w:noWrap/>
            <w:hideMark/>
          </w:tcPr>
          <w:p w14:paraId="1B5CF1D0"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36</w:t>
            </w:r>
          </w:p>
        </w:tc>
        <w:tc>
          <w:tcPr>
            <w:tcW w:w="509" w:type="pct"/>
            <w:tcBorders>
              <w:top w:val="nil"/>
              <w:bottom w:val="nil"/>
            </w:tcBorders>
            <w:shd w:val="clear" w:color="auto" w:fill="FFFFFF" w:themeFill="background1"/>
            <w:noWrap/>
            <w:hideMark/>
          </w:tcPr>
          <w:p w14:paraId="57B5673E"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35</w:t>
            </w:r>
          </w:p>
        </w:tc>
        <w:tc>
          <w:tcPr>
            <w:tcW w:w="515" w:type="pct"/>
            <w:tcBorders>
              <w:top w:val="nil"/>
              <w:bottom w:val="nil"/>
            </w:tcBorders>
            <w:shd w:val="clear" w:color="auto" w:fill="FFFFFF" w:themeFill="background1"/>
            <w:noWrap/>
            <w:hideMark/>
          </w:tcPr>
          <w:p w14:paraId="65469594"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5</w:t>
            </w:r>
          </w:p>
        </w:tc>
        <w:tc>
          <w:tcPr>
            <w:tcW w:w="646" w:type="pct"/>
            <w:tcBorders>
              <w:top w:val="nil"/>
              <w:bottom w:val="nil"/>
            </w:tcBorders>
            <w:shd w:val="clear" w:color="auto" w:fill="FFFFFF" w:themeFill="background1"/>
            <w:noWrap/>
            <w:hideMark/>
          </w:tcPr>
          <w:p w14:paraId="5FE549B9"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76</w:t>
            </w:r>
          </w:p>
        </w:tc>
        <w:tc>
          <w:tcPr>
            <w:tcW w:w="673" w:type="pct"/>
            <w:tcBorders>
              <w:top w:val="nil"/>
              <w:bottom w:val="nil"/>
            </w:tcBorders>
            <w:shd w:val="clear" w:color="auto" w:fill="FFFFFF" w:themeFill="background1"/>
            <w:noWrap/>
            <w:hideMark/>
          </w:tcPr>
          <w:p w14:paraId="7A4A1AD1"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10.86%</w:t>
            </w:r>
          </w:p>
        </w:tc>
      </w:tr>
      <w:tr w:rsidR="00BA06B6" w:rsidRPr="00BA06B6" w14:paraId="402991B1" w14:textId="77777777" w:rsidTr="00B91469">
        <w:trPr>
          <w:trHeight w:val="300"/>
        </w:trPr>
        <w:tc>
          <w:tcPr>
            <w:cnfStyle w:val="001000000000" w:firstRow="0" w:lastRow="0" w:firstColumn="1" w:lastColumn="0" w:oddVBand="0" w:evenVBand="0" w:oddHBand="0" w:evenHBand="0" w:firstRowFirstColumn="0" w:firstRowLastColumn="0" w:lastRowFirstColumn="0" w:lastRowLastColumn="0"/>
            <w:tcW w:w="704" w:type="pct"/>
            <w:tcBorders>
              <w:top w:val="nil"/>
              <w:bottom w:val="nil"/>
            </w:tcBorders>
            <w:shd w:val="clear" w:color="auto" w:fill="FFFFFF" w:themeFill="background1"/>
            <w:noWrap/>
            <w:hideMark/>
          </w:tcPr>
          <w:p w14:paraId="2AE39854" w14:textId="77777777" w:rsidR="00AA068C" w:rsidRPr="00BA06B6" w:rsidRDefault="00AA068C" w:rsidP="00BC341D">
            <w:pPr>
              <w:tabs>
                <w:tab w:val="left" w:pos="851"/>
              </w:tabs>
              <w:jc w:val="both"/>
              <w:rPr>
                <w:rFonts w:ascii="Times New Roman" w:eastAsia="Times New Roman" w:hAnsi="Times New Roman" w:cs="Times New Roman"/>
                <w:b w:val="0"/>
                <w:bCs w:val="0"/>
                <w:sz w:val="20"/>
                <w:szCs w:val="20"/>
                <w:lang w:eastAsia="en-GB"/>
              </w:rPr>
            </w:pPr>
            <w:r w:rsidRPr="00BA06B6">
              <w:rPr>
                <w:rFonts w:ascii="Times New Roman" w:eastAsia="Times New Roman" w:hAnsi="Times New Roman" w:cs="Times New Roman"/>
                <w:b w:val="0"/>
                <w:bCs w:val="0"/>
                <w:sz w:val="20"/>
                <w:szCs w:val="20"/>
                <w:lang w:val="en-US" w:eastAsia="en-GB"/>
              </w:rPr>
              <w:t>Lebanon</w:t>
            </w:r>
          </w:p>
        </w:tc>
        <w:tc>
          <w:tcPr>
            <w:tcW w:w="647" w:type="pct"/>
            <w:tcBorders>
              <w:top w:val="nil"/>
              <w:bottom w:val="nil"/>
            </w:tcBorders>
            <w:shd w:val="clear" w:color="auto" w:fill="FFFFFF" w:themeFill="background1"/>
            <w:noWrap/>
            <w:hideMark/>
          </w:tcPr>
          <w:p w14:paraId="78578B34"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6</w:t>
            </w:r>
          </w:p>
        </w:tc>
        <w:tc>
          <w:tcPr>
            <w:tcW w:w="750" w:type="pct"/>
            <w:tcBorders>
              <w:top w:val="nil"/>
              <w:bottom w:val="nil"/>
            </w:tcBorders>
            <w:shd w:val="clear" w:color="auto" w:fill="FFFFFF" w:themeFill="background1"/>
            <w:noWrap/>
            <w:hideMark/>
          </w:tcPr>
          <w:p w14:paraId="51844F0A"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6</w:t>
            </w:r>
          </w:p>
        </w:tc>
        <w:tc>
          <w:tcPr>
            <w:tcW w:w="556" w:type="pct"/>
            <w:tcBorders>
              <w:top w:val="nil"/>
              <w:bottom w:val="nil"/>
            </w:tcBorders>
            <w:shd w:val="clear" w:color="auto" w:fill="FFFFFF" w:themeFill="background1"/>
            <w:noWrap/>
            <w:hideMark/>
          </w:tcPr>
          <w:p w14:paraId="5BD903EE"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0</w:t>
            </w:r>
          </w:p>
        </w:tc>
        <w:tc>
          <w:tcPr>
            <w:tcW w:w="509" w:type="pct"/>
            <w:tcBorders>
              <w:top w:val="nil"/>
              <w:bottom w:val="nil"/>
            </w:tcBorders>
            <w:shd w:val="clear" w:color="auto" w:fill="FFFFFF" w:themeFill="background1"/>
            <w:noWrap/>
            <w:hideMark/>
          </w:tcPr>
          <w:p w14:paraId="2F789E60"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28</w:t>
            </w:r>
          </w:p>
        </w:tc>
        <w:tc>
          <w:tcPr>
            <w:tcW w:w="515" w:type="pct"/>
            <w:tcBorders>
              <w:top w:val="nil"/>
              <w:bottom w:val="nil"/>
            </w:tcBorders>
            <w:shd w:val="clear" w:color="auto" w:fill="FFFFFF" w:themeFill="background1"/>
            <w:noWrap/>
            <w:hideMark/>
          </w:tcPr>
          <w:p w14:paraId="41608558"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16</w:t>
            </w:r>
          </w:p>
        </w:tc>
        <w:tc>
          <w:tcPr>
            <w:tcW w:w="646" w:type="pct"/>
            <w:tcBorders>
              <w:top w:val="nil"/>
              <w:bottom w:val="nil"/>
            </w:tcBorders>
            <w:shd w:val="clear" w:color="auto" w:fill="FFFFFF" w:themeFill="background1"/>
            <w:noWrap/>
            <w:hideMark/>
          </w:tcPr>
          <w:p w14:paraId="2EE84AD9"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44</w:t>
            </w:r>
          </w:p>
        </w:tc>
        <w:tc>
          <w:tcPr>
            <w:tcW w:w="673" w:type="pct"/>
            <w:tcBorders>
              <w:top w:val="nil"/>
              <w:bottom w:val="nil"/>
            </w:tcBorders>
            <w:shd w:val="clear" w:color="auto" w:fill="FFFFFF" w:themeFill="background1"/>
            <w:noWrap/>
            <w:hideMark/>
          </w:tcPr>
          <w:p w14:paraId="208C446B"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6.29%</w:t>
            </w:r>
          </w:p>
        </w:tc>
      </w:tr>
      <w:tr w:rsidR="00BA06B6" w:rsidRPr="00BA06B6" w14:paraId="5B6C43E7" w14:textId="77777777" w:rsidTr="00B914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pct"/>
            <w:tcBorders>
              <w:top w:val="nil"/>
              <w:bottom w:val="nil"/>
            </w:tcBorders>
            <w:shd w:val="clear" w:color="auto" w:fill="FFFFFF" w:themeFill="background1"/>
            <w:noWrap/>
            <w:hideMark/>
          </w:tcPr>
          <w:p w14:paraId="15C6FE75" w14:textId="77777777" w:rsidR="00AA068C" w:rsidRPr="00BA06B6" w:rsidRDefault="00AA068C" w:rsidP="00BC341D">
            <w:pPr>
              <w:tabs>
                <w:tab w:val="left" w:pos="851"/>
              </w:tabs>
              <w:jc w:val="both"/>
              <w:rPr>
                <w:rFonts w:ascii="Times New Roman" w:eastAsia="Times New Roman" w:hAnsi="Times New Roman" w:cs="Times New Roman"/>
                <w:b w:val="0"/>
                <w:bCs w:val="0"/>
                <w:sz w:val="20"/>
                <w:szCs w:val="20"/>
                <w:lang w:eastAsia="en-GB"/>
              </w:rPr>
            </w:pPr>
            <w:r w:rsidRPr="00BA06B6">
              <w:rPr>
                <w:rFonts w:ascii="Times New Roman" w:eastAsia="Times New Roman" w:hAnsi="Times New Roman" w:cs="Times New Roman"/>
                <w:b w:val="0"/>
                <w:bCs w:val="0"/>
                <w:sz w:val="20"/>
                <w:szCs w:val="20"/>
                <w:lang w:val="en-US" w:eastAsia="en-GB"/>
              </w:rPr>
              <w:t>Morocco</w:t>
            </w:r>
          </w:p>
        </w:tc>
        <w:tc>
          <w:tcPr>
            <w:tcW w:w="647" w:type="pct"/>
            <w:tcBorders>
              <w:top w:val="nil"/>
              <w:bottom w:val="nil"/>
            </w:tcBorders>
            <w:shd w:val="clear" w:color="auto" w:fill="FFFFFF" w:themeFill="background1"/>
            <w:noWrap/>
            <w:hideMark/>
          </w:tcPr>
          <w:p w14:paraId="0E1C891A"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5</w:t>
            </w:r>
          </w:p>
        </w:tc>
        <w:tc>
          <w:tcPr>
            <w:tcW w:w="750" w:type="pct"/>
            <w:tcBorders>
              <w:top w:val="nil"/>
              <w:bottom w:val="nil"/>
            </w:tcBorders>
            <w:shd w:val="clear" w:color="auto" w:fill="FFFFFF" w:themeFill="background1"/>
            <w:noWrap/>
            <w:hideMark/>
          </w:tcPr>
          <w:p w14:paraId="77C45F91"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w:t>
            </w:r>
          </w:p>
        </w:tc>
        <w:tc>
          <w:tcPr>
            <w:tcW w:w="556" w:type="pct"/>
            <w:tcBorders>
              <w:top w:val="nil"/>
              <w:bottom w:val="nil"/>
            </w:tcBorders>
            <w:shd w:val="clear" w:color="auto" w:fill="FFFFFF" w:themeFill="background1"/>
            <w:noWrap/>
            <w:hideMark/>
          </w:tcPr>
          <w:p w14:paraId="43933590"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0</w:t>
            </w:r>
          </w:p>
        </w:tc>
        <w:tc>
          <w:tcPr>
            <w:tcW w:w="509" w:type="pct"/>
            <w:tcBorders>
              <w:top w:val="nil"/>
              <w:bottom w:val="nil"/>
            </w:tcBorders>
            <w:shd w:val="clear" w:color="auto" w:fill="FFFFFF" w:themeFill="background1"/>
            <w:noWrap/>
            <w:hideMark/>
          </w:tcPr>
          <w:p w14:paraId="017AA0C5"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8</w:t>
            </w:r>
          </w:p>
        </w:tc>
        <w:tc>
          <w:tcPr>
            <w:tcW w:w="515" w:type="pct"/>
            <w:tcBorders>
              <w:top w:val="nil"/>
              <w:bottom w:val="nil"/>
            </w:tcBorders>
            <w:shd w:val="clear" w:color="auto" w:fill="FFFFFF" w:themeFill="background1"/>
            <w:noWrap/>
            <w:hideMark/>
          </w:tcPr>
          <w:p w14:paraId="587655AB"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0</w:t>
            </w:r>
          </w:p>
        </w:tc>
        <w:tc>
          <w:tcPr>
            <w:tcW w:w="646" w:type="pct"/>
            <w:tcBorders>
              <w:top w:val="nil"/>
              <w:bottom w:val="nil"/>
            </w:tcBorders>
            <w:shd w:val="clear" w:color="auto" w:fill="FFFFFF" w:themeFill="background1"/>
            <w:noWrap/>
            <w:hideMark/>
          </w:tcPr>
          <w:p w14:paraId="4EC1727D"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8</w:t>
            </w:r>
          </w:p>
        </w:tc>
        <w:tc>
          <w:tcPr>
            <w:tcW w:w="673" w:type="pct"/>
            <w:tcBorders>
              <w:top w:val="nil"/>
              <w:bottom w:val="nil"/>
            </w:tcBorders>
            <w:shd w:val="clear" w:color="auto" w:fill="FFFFFF" w:themeFill="background1"/>
            <w:noWrap/>
            <w:hideMark/>
          </w:tcPr>
          <w:p w14:paraId="6E5203E4"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1.14%</w:t>
            </w:r>
          </w:p>
        </w:tc>
      </w:tr>
      <w:tr w:rsidR="00BA06B6" w:rsidRPr="00BA06B6" w14:paraId="2F910490" w14:textId="77777777" w:rsidTr="00B91469">
        <w:trPr>
          <w:trHeight w:val="300"/>
        </w:trPr>
        <w:tc>
          <w:tcPr>
            <w:cnfStyle w:val="001000000000" w:firstRow="0" w:lastRow="0" w:firstColumn="1" w:lastColumn="0" w:oddVBand="0" w:evenVBand="0" w:oddHBand="0" w:evenHBand="0" w:firstRowFirstColumn="0" w:firstRowLastColumn="0" w:lastRowFirstColumn="0" w:lastRowLastColumn="0"/>
            <w:tcW w:w="704" w:type="pct"/>
            <w:tcBorders>
              <w:top w:val="nil"/>
              <w:bottom w:val="nil"/>
            </w:tcBorders>
            <w:shd w:val="clear" w:color="auto" w:fill="FFFFFF" w:themeFill="background1"/>
            <w:noWrap/>
            <w:hideMark/>
          </w:tcPr>
          <w:p w14:paraId="6375DB58" w14:textId="77777777" w:rsidR="00AA068C" w:rsidRPr="00BA06B6" w:rsidRDefault="00AA068C" w:rsidP="00BC341D">
            <w:pPr>
              <w:tabs>
                <w:tab w:val="left" w:pos="851"/>
              </w:tabs>
              <w:jc w:val="both"/>
              <w:rPr>
                <w:rFonts w:ascii="Times New Roman" w:eastAsia="Times New Roman" w:hAnsi="Times New Roman" w:cs="Times New Roman"/>
                <w:b w:val="0"/>
                <w:bCs w:val="0"/>
                <w:sz w:val="20"/>
                <w:szCs w:val="20"/>
                <w:lang w:eastAsia="en-GB"/>
              </w:rPr>
            </w:pPr>
            <w:r w:rsidRPr="00BA06B6">
              <w:rPr>
                <w:rFonts w:ascii="Times New Roman" w:eastAsia="Times New Roman" w:hAnsi="Times New Roman" w:cs="Times New Roman"/>
                <w:b w:val="0"/>
                <w:bCs w:val="0"/>
                <w:sz w:val="20"/>
                <w:szCs w:val="20"/>
                <w:lang w:val="en-US" w:eastAsia="en-GB"/>
              </w:rPr>
              <w:t>Oman</w:t>
            </w:r>
          </w:p>
        </w:tc>
        <w:tc>
          <w:tcPr>
            <w:tcW w:w="647" w:type="pct"/>
            <w:tcBorders>
              <w:top w:val="nil"/>
              <w:bottom w:val="nil"/>
            </w:tcBorders>
            <w:shd w:val="clear" w:color="auto" w:fill="FFFFFF" w:themeFill="background1"/>
            <w:noWrap/>
            <w:hideMark/>
          </w:tcPr>
          <w:p w14:paraId="3B6CA46C"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6</w:t>
            </w:r>
          </w:p>
        </w:tc>
        <w:tc>
          <w:tcPr>
            <w:tcW w:w="750" w:type="pct"/>
            <w:tcBorders>
              <w:top w:val="nil"/>
              <w:bottom w:val="nil"/>
            </w:tcBorders>
            <w:shd w:val="clear" w:color="auto" w:fill="FFFFFF" w:themeFill="background1"/>
            <w:noWrap/>
            <w:hideMark/>
          </w:tcPr>
          <w:p w14:paraId="51EC9AD3"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5</w:t>
            </w:r>
          </w:p>
        </w:tc>
        <w:tc>
          <w:tcPr>
            <w:tcW w:w="556" w:type="pct"/>
            <w:tcBorders>
              <w:top w:val="nil"/>
              <w:bottom w:val="nil"/>
            </w:tcBorders>
            <w:shd w:val="clear" w:color="auto" w:fill="FFFFFF" w:themeFill="background1"/>
            <w:noWrap/>
            <w:hideMark/>
          </w:tcPr>
          <w:p w14:paraId="7CFC7773"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0</w:t>
            </w:r>
          </w:p>
        </w:tc>
        <w:tc>
          <w:tcPr>
            <w:tcW w:w="509" w:type="pct"/>
            <w:tcBorders>
              <w:top w:val="nil"/>
              <w:bottom w:val="nil"/>
            </w:tcBorders>
            <w:shd w:val="clear" w:color="auto" w:fill="FFFFFF" w:themeFill="background1"/>
            <w:noWrap/>
            <w:hideMark/>
          </w:tcPr>
          <w:p w14:paraId="7C7F7F12"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34</w:t>
            </w:r>
          </w:p>
        </w:tc>
        <w:tc>
          <w:tcPr>
            <w:tcW w:w="515" w:type="pct"/>
            <w:tcBorders>
              <w:top w:val="nil"/>
              <w:bottom w:val="nil"/>
            </w:tcBorders>
            <w:shd w:val="clear" w:color="auto" w:fill="FFFFFF" w:themeFill="background1"/>
            <w:noWrap/>
            <w:hideMark/>
          </w:tcPr>
          <w:p w14:paraId="423ABEF7"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5</w:t>
            </w:r>
          </w:p>
        </w:tc>
        <w:tc>
          <w:tcPr>
            <w:tcW w:w="646" w:type="pct"/>
            <w:tcBorders>
              <w:top w:val="nil"/>
              <w:bottom w:val="nil"/>
            </w:tcBorders>
            <w:shd w:val="clear" w:color="auto" w:fill="FFFFFF" w:themeFill="background1"/>
            <w:noWrap/>
            <w:hideMark/>
          </w:tcPr>
          <w:p w14:paraId="62BCD315"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39</w:t>
            </w:r>
          </w:p>
        </w:tc>
        <w:tc>
          <w:tcPr>
            <w:tcW w:w="673" w:type="pct"/>
            <w:tcBorders>
              <w:top w:val="nil"/>
              <w:bottom w:val="nil"/>
            </w:tcBorders>
            <w:shd w:val="clear" w:color="auto" w:fill="FFFFFF" w:themeFill="background1"/>
            <w:noWrap/>
            <w:hideMark/>
          </w:tcPr>
          <w:p w14:paraId="00FAC62B"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5.57%</w:t>
            </w:r>
          </w:p>
        </w:tc>
      </w:tr>
      <w:tr w:rsidR="00BA06B6" w:rsidRPr="00BA06B6" w14:paraId="24CAA13E" w14:textId="77777777" w:rsidTr="00B914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pct"/>
            <w:tcBorders>
              <w:top w:val="nil"/>
              <w:bottom w:val="nil"/>
            </w:tcBorders>
            <w:shd w:val="clear" w:color="auto" w:fill="FFFFFF" w:themeFill="background1"/>
            <w:noWrap/>
            <w:hideMark/>
          </w:tcPr>
          <w:p w14:paraId="6968D0D8" w14:textId="77777777" w:rsidR="00AA068C" w:rsidRPr="00BA06B6" w:rsidRDefault="00AA068C" w:rsidP="00BC341D">
            <w:pPr>
              <w:tabs>
                <w:tab w:val="left" w:pos="851"/>
              </w:tabs>
              <w:jc w:val="both"/>
              <w:rPr>
                <w:rFonts w:ascii="Times New Roman" w:eastAsia="Times New Roman" w:hAnsi="Times New Roman" w:cs="Times New Roman"/>
                <w:b w:val="0"/>
                <w:bCs w:val="0"/>
                <w:sz w:val="20"/>
                <w:szCs w:val="20"/>
                <w:lang w:eastAsia="en-GB"/>
              </w:rPr>
            </w:pPr>
            <w:r w:rsidRPr="00BA06B6">
              <w:rPr>
                <w:rFonts w:ascii="Times New Roman" w:eastAsia="Times New Roman" w:hAnsi="Times New Roman" w:cs="Times New Roman"/>
                <w:b w:val="0"/>
                <w:bCs w:val="0"/>
                <w:sz w:val="20"/>
                <w:szCs w:val="20"/>
                <w:lang w:val="en-US" w:eastAsia="en-GB"/>
              </w:rPr>
              <w:t>Qatar</w:t>
            </w:r>
          </w:p>
        </w:tc>
        <w:tc>
          <w:tcPr>
            <w:tcW w:w="647" w:type="pct"/>
            <w:tcBorders>
              <w:top w:val="nil"/>
              <w:bottom w:val="nil"/>
            </w:tcBorders>
            <w:shd w:val="clear" w:color="auto" w:fill="FFFFFF" w:themeFill="background1"/>
            <w:noWrap/>
            <w:hideMark/>
          </w:tcPr>
          <w:p w14:paraId="7520CD36"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8</w:t>
            </w:r>
          </w:p>
        </w:tc>
        <w:tc>
          <w:tcPr>
            <w:tcW w:w="750" w:type="pct"/>
            <w:tcBorders>
              <w:top w:val="nil"/>
              <w:bottom w:val="nil"/>
            </w:tcBorders>
            <w:shd w:val="clear" w:color="auto" w:fill="FFFFFF" w:themeFill="background1"/>
            <w:noWrap/>
            <w:hideMark/>
          </w:tcPr>
          <w:p w14:paraId="066D97F1"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8</w:t>
            </w:r>
          </w:p>
        </w:tc>
        <w:tc>
          <w:tcPr>
            <w:tcW w:w="556" w:type="pct"/>
            <w:tcBorders>
              <w:top w:val="nil"/>
              <w:bottom w:val="nil"/>
            </w:tcBorders>
            <w:shd w:val="clear" w:color="auto" w:fill="FFFFFF" w:themeFill="background1"/>
            <w:noWrap/>
            <w:hideMark/>
          </w:tcPr>
          <w:p w14:paraId="356AADD3"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24</w:t>
            </w:r>
          </w:p>
        </w:tc>
        <w:tc>
          <w:tcPr>
            <w:tcW w:w="509" w:type="pct"/>
            <w:tcBorders>
              <w:top w:val="nil"/>
              <w:bottom w:val="nil"/>
            </w:tcBorders>
            <w:shd w:val="clear" w:color="auto" w:fill="FFFFFF" w:themeFill="background1"/>
            <w:noWrap/>
            <w:hideMark/>
          </w:tcPr>
          <w:p w14:paraId="589B571C"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11</w:t>
            </w:r>
          </w:p>
        </w:tc>
        <w:tc>
          <w:tcPr>
            <w:tcW w:w="515" w:type="pct"/>
            <w:tcBorders>
              <w:top w:val="nil"/>
              <w:bottom w:val="nil"/>
            </w:tcBorders>
            <w:shd w:val="clear" w:color="auto" w:fill="FFFFFF" w:themeFill="background1"/>
            <w:noWrap/>
            <w:hideMark/>
          </w:tcPr>
          <w:p w14:paraId="5A69B6BF"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28</w:t>
            </w:r>
          </w:p>
        </w:tc>
        <w:tc>
          <w:tcPr>
            <w:tcW w:w="646" w:type="pct"/>
            <w:tcBorders>
              <w:top w:val="nil"/>
              <w:bottom w:val="nil"/>
            </w:tcBorders>
            <w:shd w:val="clear" w:color="auto" w:fill="FFFFFF" w:themeFill="background1"/>
            <w:noWrap/>
            <w:hideMark/>
          </w:tcPr>
          <w:p w14:paraId="2494949B"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63</w:t>
            </w:r>
          </w:p>
        </w:tc>
        <w:tc>
          <w:tcPr>
            <w:tcW w:w="673" w:type="pct"/>
            <w:tcBorders>
              <w:top w:val="nil"/>
              <w:bottom w:val="nil"/>
            </w:tcBorders>
            <w:shd w:val="clear" w:color="auto" w:fill="FFFFFF" w:themeFill="background1"/>
            <w:noWrap/>
            <w:hideMark/>
          </w:tcPr>
          <w:p w14:paraId="7315C244"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9.00%</w:t>
            </w:r>
          </w:p>
        </w:tc>
      </w:tr>
      <w:tr w:rsidR="00BA06B6" w:rsidRPr="00BA06B6" w14:paraId="4AC99A6D" w14:textId="77777777" w:rsidTr="00B91469">
        <w:trPr>
          <w:trHeight w:val="300"/>
        </w:trPr>
        <w:tc>
          <w:tcPr>
            <w:cnfStyle w:val="001000000000" w:firstRow="0" w:lastRow="0" w:firstColumn="1" w:lastColumn="0" w:oddVBand="0" w:evenVBand="0" w:oddHBand="0" w:evenHBand="0" w:firstRowFirstColumn="0" w:firstRowLastColumn="0" w:lastRowFirstColumn="0" w:lastRowLastColumn="0"/>
            <w:tcW w:w="704" w:type="pct"/>
            <w:tcBorders>
              <w:top w:val="nil"/>
              <w:bottom w:val="nil"/>
            </w:tcBorders>
            <w:shd w:val="clear" w:color="auto" w:fill="FFFFFF" w:themeFill="background1"/>
            <w:noWrap/>
            <w:hideMark/>
          </w:tcPr>
          <w:p w14:paraId="0C9888CA" w14:textId="77777777" w:rsidR="00AA068C" w:rsidRPr="00BA06B6" w:rsidRDefault="00AA068C" w:rsidP="00BC341D">
            <w:pPr>
              <w:tabs>
                <w:tab w:val="left" w:pos="851"/>
              </w:tabs>
              <w:jc w:val="both"/>
              <w:rPr>
                <w:rFonts w:ascii="Times New Roman" w:eastAsia="Times New Roman" w:hAnsi="Times New Roman" w:cs="Times New Roman"/>
                <w:b w:val="0"/>
                <w:bCs w:val="0"/>
                <w:sz w:val="20"/>
                <w:szCs w:val="20"/>
                <w:lang w:eastAsia="en-GB"/>
              </w:rPr>
            </w:pPr>
            <w:r w:rsidRPr="00BA06B6">
              <w:rPr>
                <w:rFonts w:ascii="Times New Roman" w:eastAsia="Times New Roman" w:hAnsi="Times New Roman" w:cs="Times New Roman"/>
                <w:b w:val="0"/>
                <w:bCs w:val="0"/>
                <w:sz w:val="20"/>
                <w:szCs w:val="20"/>
                <w:lang w:val="en-US" w:eastAsia="en-GB"/>
              </w:rPr>
              <w:t>Saudi Arabia</w:t>
            </w:r>
          </w:p>
        </w:tc>
        <w:tc>
          <w:tcPr>
            <w:tcW w:w="647" w:type="pct"/>
            <w:tcBorders>
              <w:top w:val="nil"/>
              <w:bottom w:val="nil"/>
            </w:tcBorders>
            <w:shd w:val="clear" w:color="auto" w:fill="FFFFFF" w:themeFill="background1"/>
            <w:noWrap/>
            <w:hideMark/>
          </w:tcPr>
          <w:p w14:paraId="52C468E0"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12</w:t>
            </w:r>
          </w:p>
        </w:tc>
        <w:tc>
          <w:tcPr>
            <w:tcW w:w="750" w:type="pct"/>
            <w:tcBorders>
              <w:top w:val="nil"/>
              <w:bottom w:val="nil"/>
            </w:tcBorders>
            <w:shd w:val="clear" w:color="auto" w:fill="FFFFFF" w:themeFill="background1"/>
            <w:noWrap/>
            <w:hideMark/>
          </w:tcPr>
          <w:p w14:paraId="53F83BC1"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11</w:t>
            </w:r>
          </w:p>
        </w:tc>
        <w:tc>
          <w:tcPr>
            <w:tcW w:w="556" w:type="pct"/>
            <w:tcBorders>
              <w:top w:val="nil"/>
              <w:bottom w:val="nil"/>
            </w:tcBorders>
            <w:shd w:val="clear" w:color="auto" w:fill="FFFFFF" w:themeFill="background1"/>
            <w:noWrap/>
            <w:hideMark/>
          </w:tcPr>
          <w:p w14:paraId="751947E8"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21</w:t>
            </w:r>
          </w:p>
        </w:tc>
        <w:tc>
          <w:tcPr>
            <w:tcW w:w="509" w:type="pct"/>
            <w:tcBorders>
              <w:top w:val="nil"/>
              <w:bottom w:val="nil"/>
            </w:tcBorders>
            <w:shd w:val="clear" w:color="auto" w:fill="FFFFFF" w:themeFill="background1"/>
            <w:noWrap/>
            <w:hideMark/>
          </w:tcPr>
          <w:p w14:paraId="65E88597"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0</w:t>
            </w:r>
          </w:p>
        </w:tc>
        <w:tc>
          <w:tcPr>
            <w:tcW w:w="515" w:type="pct"/>
            <w:tcBorders>
              <w:top w:val="nil"/>
              <w:bottom w:val="nil"/>
            </w:tcBorders>
            <w:shd w:val="clear" w:color="auto" w:fill="FFFFFF" w:themeFill="background1"/>
            <w:noWrap/>
            <w:hideMark/>
          </w:tcPr>
          <w:p w14:paraId="2459EADE"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63</w:t>
            </w:r>
          </w:p>
        </w:tc>
        <w:tc>
          <w:tcPr>
            <w:tcW w:w="646" w:type="pct"/>
            <w:tcBorders>
              <w:top w:val="nil"/>
              <w:bottom w:val="nil"/>
            </w:tcBorders>
            <w:shd w:val="clear" w:color="auto" w:fill="FFFFFF" w:themeFill="background1"/>
            <w:noWrap/>
            <w:hideMark/>
          </w:tcPr>
          <w:p w14:paraId="2894078A"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84</w:t>
            </w:r>
          </w:p>
        </w:tc>
        <w:tc>
          <w:tcPr>
            <w:tcW w:w="673" w:type="pct"/>
            <w:tcBorders>
              <w:top w:val="nil"/>
              <w:bottom w:val="nil"/>
            </w:tcBorders>
            <w:shd w:val="clear" w:color="auto" w:fill="FFFFFF" w:themeFill="background1"/>
            <w:noWrap/>
            <w:hideMark/>
          </w:tcPr>
          <w:p w14:paraId="51F1F826"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12.00%</w:t>
            </w:r>
          </w:p>
        </w:tc>
      </w:tr>
      <w:tr w:rsidR="00BA06B6" w:rsidRPr="00BA06B6" w14:paraId="31F8F5C5" w14:textId="77777777" w:rsidTr="00B914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pct"/>
            <w:tcBorders>
              <w:top w:val="nil"/>
              <w:bottom w:val="nil"/>
            </w:tcBorders>
            <w:shd w:val="clear" w:color="auto" w:fill="FFFFFF" w:themeFill="background1"/>
            <w:noWrap/>
            <w:hideMark/>
          </w:tcPr>
          <w:p w14:paraId="33363285" w14:textId="77777777" w:rsidR="00AA068C" w:rsidRPr="00BA06B6" w:rsidRDefault="00AA068C" w:rsidP="00BC341D">
            <w:pPr>
              <w:tabs>
                <w:tab w:val="left" w:pos="851"/>
              </w:tabs>
              <w:jc w:val="both"/>
              <w:rPr>
                <w:rFonts w:ascii="Times New Roman" w:eastAsia="Times New Roman" w:hAnsi="Times New Roman" w:cs="Times New Roman"/>
                <w:b w:val="0"/>
                <w:bCs w:val="0"/>
                <w:sz w:val="20"/>
                <w:szCs w:val="20"/>
                <w:lang w:eastAsia="en-GB"/>
              </w:rPr>
            </w:pPr>
            <w:r w:rsidRPr="00BA06B6">
              <w:rPr>
                <w:rFonts w:ascii="Times New Roman" w:eastAsia="Times New Roman" w:hAnsi="Times New Roman" w:cs="Times New Roman"/>
                <w:b w:val="0"/>
                <w:bCs w:val="0"/>
                <w:sz w:val="20"/>
                <w:szCs w:val="20"/>
                <w:lang w:val="en-US" w:eastAsia="en-GB"/>
              </w:rPr>
              <w:t>Syria</w:t>
            </w:r>
          </w:p>
        </w:tc>
        <w:tc>
          <w:tcPr>
            <w:tcW w:w="647" w:type="pct"/>
            <w:tcBorders>
              <w:top w:val="nil"/>
              <w:bottom w:val="nil"/>
            </w:tcBorders>
            <w:shd w:val="clear" w:color="auto" w:fill="FFFFFF" w:themeFill="background1"/>
            <w:noWrap/>
            <w:hideMark/>
          </w:tcPr>
          <w:p w14:paraId="413CF9E0"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11</w:t>
            </w:r>
          </w:p>
        </w:tc>
        <w:tc>
          <w:tcPr>
            <w:tcW w:w="750" w:type="pct"/>
            <w:tcBorders>
              <w:top w:val="nil"/>
              <w:bottom w:val="nil"/>
            </w:tcBorders>
            <w:shd w:val="clear" w:color="auto" w:fill="FFFFFF" w:themeFill="background1"/>
            <w:noWrap/>
            <w:hideMark/>
          </w:tcPr>
          <w:p w14:paraId="5B4ACCE2"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2</w:t>
            </w:r>
          </w:p>
        </w:tc>
        <w:tc>
          <w:tcPr>
            <w:tcW w:w="556" w:type="pct"/>
            <w:tcBorders>
              <w:top w:val="nil"/>
              <w:bottom w:val="nil"/>
            </w:tcBorders>
            <w:shd w:val="clear" w:color="auto" w:fill="FFFFFF" w:themeFill="background1"/>
            <w:noWrap/>
            <w:hideMark/>
          </w:tcPr>
          <w:p w14:paraId="5FA2D104"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w:t>
            </w:r>
          </w:p>
        </w:tc>
        <w:tc>
          <w:tcPr>
            <w:tcW w:w="509" w:type="pct"/>
            <w:tcBorders>
              <w:top w:val="nil"/>
              <w:bottom w:val="nil"/>
            </w:tcBorders>
            <w:shd w:val="clear" w:color="auto" w:fill="FFFFFF" w:themeFill="background1"/>
            <w:noWrap/>
            <w:hideMark/>
          </w:tcPr>
          <w:p w14:paraId="04397B45"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w:t>
            </w:r>
          </w:p>
        </w:tc>
        <w:tc>
          <w:tcPr>
            <w:tcW w:w="515" w:type="pct"/>
            <w:tcBorders>
              <w:top w:val="nil"/>
              <w:bottom w:val="nil"/>
            </w:tcBorders>
            <w:shd w:val="clear" w:color="auto" w:fill="FFFFFF" w:themeFill="background1"/>
            <w:noWrap/>
            <w:hideMark/>
          </w:tcPr>
          <w:p w14:paraId="2C3AC05D"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0</w:t>
            </w:r>
          </w:p>
        </w:tc>
        <w:tc>
          <w:tcPr>
            <w:tcW w:w="646" w:type="pct"/>
            <w:tcBorders>
              <w:top w:val="nil"/>
              <w:bottom w:val="nil"/>
            </w:tcBorders>
            <w:shd w:val="clear" w:color="auto" w:fill="FFFFFF" w:themeFill="background1"/>
            <w:noWrap/>
            <w:hideMark/>
          </w:tcPr>
          <w:p w14:paraId="64F26F66"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2</w:t>
            </w:r>
          </w:p>
        </w:tc>
        <w:tc>
          <w:tcPr>
            <w:tcW w:w="673" w:type="pct"/>
            <w:tcBorders>
              <w:top w:val="nil"/>
              <w:bottom w:val="nil"/>
            </w:tcBorders>
            <w:shd w:val="clear" w:color="auto" w:fill="FFFFFF" w:themeFill="background1"/>
            <w:noWrap/>
            <w:hideMark/>
          </w:tcPr>
          <w:p w14:paraId="43A87E10"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0.29%</w:t>
            </w:r>
          </w:p>
        </w:tc>
      </w:tr>
      <w:tr w:rsidR="00BA06B6" w:rsidRPr="00BA06B6" w14:paraId="6878EA6E" w14:textId="77777777" w:rsidTr="00B91469">
        <w:trPr>
          <w:trHeight w:val="300"/>
        </w:trPr>
        <w:tc>
          <w:tcPr>
            <w:cnfStyle w:val="001000000000" w:firstRow="0" w:lastRow="0" w:firstColumn="1" w:lastColumn="0" w:oddVBand="0" w:evenVBand="0" w:oddHBand="0" w:evenHBand="0" w:firstRowFirstColumn="0" w:firstRowLastColumn="0" w:lastRowFirstColumn="0" w:lastRowLastColumn="0"/>
            <w:tcW w:w="704" w:type="pct"/>
            <w:tcBorders>
              <w:top w:val="nil"/>
              <w:bottom w:val="nil"/>
            </w:tcBorders>
            <w:shd w:val="clear" w:color="auto" w:fill="FFFFFF" w:themeFill="background1"/>
            <w:noWrap/>
            <w:hideMark/>
          </w:tcPr>
          <w:p w14:paraId="36F944C2" w14:textId="77777777" w:rsidR="00AA068C" w:rsidRPr="00BA06B6" w:rsidRDefault="00AA068C" w:rsidP="00BC341D">
            <w:pPr>
              <w:tabs>
                <w:tab w:val="left" w:pos="851"/>
              </w:tabs>
              <w:jc w:val="both"/>
              <w:rPr>
                <w:rFonts w:ascii="Times New Roman" w:eastAsia="Times New Roman" w:hAnsi="Times New Roman" w:cs="Times New Roman"/>
                <w:b w:val="0"/>
                <w:bCs w:val="0"/>
                <w:sz w:val="20"/>
                <w:szCs w:val="20"/>
                <w:lang w:eastAsia="en-GB"/>
              </w:rPr>
            </w:pPr>
            <w:r w:rsidRPr="00BA06B6">
              <w:rPr>
                <w:rFonts w:ascii="Times New Roman" w:eastAsia="Times New Roman" w:hAnsi="Times New Roman" w:cs="Times New Roman"/>
                <w:b w:val="0"/>
                <w:bCs w:val="0"/>
                <w:sz w:val="20"/>
                <w:szCs w:val="20"/>
                <w:lang w:val="en-US" w:eastAsia="en-GB"/>
              </w:rPr>
              <w:t>Tunisia</w:t>
            </w:r>
          </w:p>
        </w:tc>
        <w:tc>
          <w:tcPr>
            <w:tcW w:w="647" w:type="pct"/>
            <w:tcBorders>
              <w:top w:val="nil"/>
              <w:bottom w:val="nil"/>
            </w:tcBorders>
            <w:shd w:val="clear" w:color="auto" w:fill="FFFFFF" w:themeFill="background1"/>
            <w:noWrap/>
            <w:hideMark/>
          </w:tcPr>
          <w:p w14:paraId="13CF972D"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2</w:t>
            </w:r>
          </w:p>
        </w:tc>
        <w:tc>
          <w:tcPr>
            <w:tcW w:w="750" w:type="pct"/>
            <w:tcBorders>
              <w:top w:val="nil"/>
              <w:bottom w:val="nil"/>
            </w:tcBorders>
            <w:shd w:val="clear" w:color="auto" w:fill="FFFFFF" w:themeFill="background1"/>
            <w:noWrap/>
            <w:hideMark/>
          </w:tcPr>
          <w:p w14:paraId="1DE764E1"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2</w:t>
            </w:r>
          </w:p>
        </w:tc>
        <w:tc>
          <w:tcPr>
            <w:tcW w:w="556" w:type="pct"/>
            <w:tcBorders>
              <w:top w:val="nil"/>
              <w:bottom w:val="nil"/>
            </w:tcBorders>
            <w:shd w:val="clear" w:color="auto" w:fill="FFFFFF" w:themeFill="background1"/>
            <w:noWrap/>
            <w:hideMark/>
          </w:tcPr>
          <w:p w14:paraId="5115C2CF"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0</w:t>
            </w:r>
          </w:p>
        </w:tc>
        <w:tc>
          <w:tcPr>
            <w:tcW w:w="509" w:type="pct"/>
            <w:tcBorders>
              <w:top w:val="nil"/>
              <w:bottom w:val="nil"/>
            </w:tcBorders>
            <w:shd w:val="clear" w:color="auto" w:fill="FFFFFF" w:themeFill="background1"/>
            <w:noWrap/>
            <w:hideMark/>
          </w:tcPr>
          <w:p w14:paraId="4ADF6C72"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9</w:t>
            </w:r>
          </w:p>
        </w:tc>
        <w:tc>
          <w:tcPr>
            <w:tcW w:w="515" w:type="pct"/>
            <w:tcBorders>
              <w:top w:val="nil"/>
              <w:bottom w:val="nil"/>
            </w:tcBorders>
            <w:shd w:val="clear" w:color="auto" w:fill="FFFFFF" w:themeFill="background1"/>
            <w:noWrap/>
            <w:hideMark/>
          </w:tcPr>
          <w:p w14:paraId="785024CE"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0</w:t>
            </w:r>
          </w:p>
        </w:tc>
        <w:tc>
          <w:tcPr>
            <w:tcW w:w="646" w:type="pct"/>
            <w:tcBorders>
              <w:top w:val="nil"/>
              <w:bottom w:val="nil"/>
            </w:tcBorders>
            <w:shd w:val="clear" w:color="auto" w:fill="FFFFFF" w:themeFill="background1"/>
            <w:noWrap/>
            <w:hideMark/>
          </w:tcPr>
          <w:p w14:paraId="35A0F968"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9</w:t>
            </w:r>
          </w:p>
        </w:tc>
        <w:tc>
          <w:tcPr>
            <w:tcW w:w="673" w:type="pct"/>
            <w:tcBorders>
              <w:top w:val="nil"/>
              <w:bottom w:val="nil"/>
            </w:tcBorders>
            <w:shd w:val="clear" w:color="auto" w:fill="FFFFFF" w:themeFill="background1"/>
            <w:noWrap/>
            <w:hideMark/>
          </w:tcPr>
          <w:p w14:paraId="7B8CED4F"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1.29%</w:t>
            </w:r>
          </w:p>
        </w:tc>
      </w:tr>
      <w:tr w:rsidR="00BA06B6" w:rsidRPr="00BA06B6" w14:paraId="747859A2" w14:textId="77777777" w:rsidTr="00B914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4" w:type="pct"/>
            <w:tcBorders>
              <w:top w:val="nil"/>
              <w:bottom w:val="nil"/>
            </w:tcBorders>
            <w:shd w:val="clear" w:color="auto" w:fill="FFFFFF" w:themeFill="background1"/>
            <w:noWrap/>
            <w:hideMark/>
          </w:tcPr>
          <w:p w14:paraId="01C66C2F" w14:textId="77777777" w:rsidR="00AA068C" w:rsidRPr="00BA06B6" w:rsidRDefault="00AA068C" w:rsidP="00BC341D">
            <w:pPr>
              <w:tabs>
                <w:tab w:val="left" w:pos="851"/>
              </w:tabs>
              <w:jc w:val="both"/>
              <w:rPr>
                <w:rFonts w:ascii="Times New Roman" w:eastAsia="Times New Roman" w:hAnsi="Times New Roman" w:cs="Times New Roman"/>
                <w:b w:val="0"/>
                <w:bCs w:val="0"/>
                <w:sz w:val="20"/>
                <w:szCs w:val="20"/>
                <w:lang w:eastAsia="en-GB"/>
              </w:rPr>
            </w:pPr>
            <w:r w:rsidRPr="00BA06B6">
              <w:rPr>
                <w:rFonts w:ascii="Times New Roman" w:eastAsia="Times New Roman" w:hAnsi="Times New Roman" w:cs="Times New Roman"/>
                <w:b w:val="0"/>
                <w:bCs w:val="0"/>
                <w:sz w:val="20"/>
                <w:szCs w:val="20"/>
                <w:lang w:val="en-US" w:eastAsia="en-GB"/>
              </w:rPr>
              <w:t>UAE</w:t>
            </w:r>
          </w:p>
        </w:tc>
        <w:tc>
          <w:tcPr>
            <w:tcW w:w="647" w:type="pct"/>
            <w:tcBorders>
              <w:top w:val="nil"/>
              <w:bottom w:val="nil"/>
            </w:tcBorders>
            <w:shd w:val="clear" w:color="auto" w:fill="FFFFFF" w:themeFill="background1"/>
            <w:noWrap/>
            <w:hideMark/>
          </w:tcPr>
          <w:p w14:paraId="343101F8"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21</w:t>
            </w:r>
          </w:p>
        </w:tc>
        <w:tc>
          <w:tcPr>
            <w:tcW w:w="750" w:type="pct"/>
            <w:tcBorders>
              <w:top w:val="nil"/>
              <w:bottom w:val="nil"/>
            </w:tcBorders>
            <w:shd w:val="clear" w:color="auto" w:fill="FFFFFF" w:themeFill="background1"/>
            <w:noWrap/>
            <w:hideMark/>
          </w:tcPr>
          <w:p w14:paraId="57255818"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18</w:t>
            </w:r>
          </w:p>
        </w:tc>
        <w:tc>
          <w:tcPr>
            <w:tcW w:w="556" w:type="pct"/>
            <w:tcBorders>
              <w:top w:val="nil"/>
              <w:bottom w:val="nil"/>
            </w:tcBorders>
            <w:shd w:val="clear" w:color="auto" w:fill="FFFFFF" w:themeFill="background1"/>
            <w:noWrap/>
            <w:hideMark/>
          </w:tcPr>
          <w:p w14:paraId="4EB168C2"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32</w:t>
            </w:r>
          </w:p>
        </w:tc>
        <w:tc>
          <w:tcPr>
            <w:tcW w:w="509" w:type="pct"/>
            <w:tcBorders>
              <w:top w:val="nil"/>
              <w:bottom w:val="nil"/>
            </w:tcBorders>
            <w:shd w:val="clear" w:color="auto" w:fill="FFFFFF" w:themeFill="background1"/>
            <w:noWrap/>
            <w:hideMark/>
          </w:tcPr>
          <w:p w14:paraId="070CC4BB"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39</w:t>
            </w:r>
          </w:p>
        </w:tc>
        <w:tc>
          <w:tcPr>
            <w:tcW w:w="515" w:type="pct"/>
            <w:tcBorders>
              <w:top w:val="nil"/>
              <w:bottom w:val="nil"/>
            </w:tcBorders>
            <w:shd w:val="clear" w:color="auto" w:fill="FFFFFF" w:themeFill="background1"/>
            <w:noWrap/>
            <w:hideMark/>
          </w:tcPr>
          <w:p w14:paraId="0FE3DCC7"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72</w:t>
            </w:r>
          </w:p>
        </w:tc>
        <w:tc>
          <w:tcPr>
            <w:tcW w:w="646" w:type="pct"/>
            <w:tcBorders>
              <w:top w:val="nil"/>
              <w:bottom w:val="nil"/>
            </w:tcBorders>
            <w:shd w:val="clear" w:color="auto" w:fill="FFFFFF" w:themeFill="background1"/>
            <w:noWrap/>
            <w:hideMark/>
          </w:tcPr>
          <w:p w14:paraId="33998387"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143</w:t>
            </w:r>
          </w:p>
        </w:tc>
        <w:tc>
          <w:tcPr>
            <w:tcW w:w="673" w:type="pct"/>
            <w:tcBorders>
              <w:top w:val="nil"/>
              <w:bottom w:val="nil"/>
            </w:tcBorders>
            <w:shd w:val="clear" w:color="auto" w:fill="FFFFFF" w:themeFill="background1"/>
            <w:noWrap/>
            <w:hideMark/>
          </w:tcPr>
          <w:p w14:paraId="2357A597"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20.43%</w:t>
            </w:r>
          </w:p>
        </w:tc>
      </w:tr>
      <w:tr w:rsidR="00BA06B6" w:rsidRPr="00BA06B6" w14:paraId="1E26C8F1" w14:textId="77777777" w:rsidTr="004137CB">
        <w:trPr>
          <w:trHeight w:val="300"/>
        </w:trPr>
        <w:tc>
          <w:tcPr>
            <w:cnfStyle w:val="001000000000" w:firstRow="0" w:lastRow="0" w:firstColumn="1" w:lastColumn="0" w:oddVBand="0" w:evenVBand="0" w:oddHBand="0" w:evenHBand="0" w:firstRowFirstColumn="0" w:firstRowLastColumn="0" w:lastRowFirstColumn="0" w:lastRowLastColumn="0"/>
            <w:tcW w:w="704" w:type="pct"/>
            <w:tcBorders>
              <w:top w:val="nil"/>
              <w:bottom w:val="single" w:sz="4" w:space="0" w:color="auto"/>
            </w:tcBorders>
            <w:shd w:val="clear" w:color="auto" w:fill="FFFFFF" w:themeFill="background1"/>
            <w:noWrap/>
            <w:hideMark/>
          </w:tcPr>
          <w:p w14:paraId="48139C81" w14:textId="77777777" w:rsidR="00AA068C" w:rsidRPr="00BA06B6" w:rsidRDefault="00AA068C" w:rsidP="00BC341D">
            <w:pPr>
              <w:tabs>
                <w:tab w:val="left" w:pos="851"/>
              </w:tabs>
              <w:jc w:val="both"/>
              <w:rPr>
                <w:rFonts w:ascii="Times New Roman" w:eastAsia="Times New Roman" w:hAnsi="Times New Roman" w:cs="Times New Roman"/>
                <w:b w:val="0"/>
                <w:bCs w:val="0"/>
                <w:sz w:val="20"/>
                <w:szCs w:val="20"/>
                <w:lang w:eastAsia="en-GB"/>
              </w:rPr>
            </w:pPr>
            <w:r w:rsidRPr="00BA06B6">
              <w:rPr>
                <w:rFonts w:ascii="Times New Roman" w:eastAsia="Times New Roman" w:hAnsi="Times New Roman" w:cs="Times New Roman"/>
                <w:b w:val="0"/>
                <w:bCs w:val="0"/>
                <w:sz w:val="20"/>
                <w:szCs w:val="20"/>
                <w:lang w:val="en-US" w:eastAsia="en-GB"/>
              </w:rPr>
              <w:t>Total</w:t>
            </w:r>
          </w:p>
        </w:tc>
        <w:tc>
          <w:tcPr>
            <w:tcW w:w="647" w:type="pct"/>
            <w:tcBorders>
              <w:top w:val="nil"/>
              <w:bottom w:val="single" w:sz="4" w:space="0" w:color="auto"/>
            </w:tcBorders>
            <w:shd w:val="clear" w:color="auto" w:fill="FFFFFF" w:themeFill="background1"/>
            <w:noWrap/>
            <w:hideMark/>
          </w:tcPr>
          <w:p w14:paraId="3367D60F"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118</w:t>
            </w:r>
          </w:p>
        </w:tc>
        <w:tc>
          <w:tcPr>
            <w:tcW w:w="750" w:type="pct"/>
            <w:tcBorders>
              <w:top w:val="nil"/>
              <w:bottom w:val="single" w:sz="4" w:space="0" w:color="auto"/>
            </w:tcBorders>
            <w:shd w:val="clear" w:color="auto" w:fill="FFFFFF" w:themeFill="background1"/>
            <w:noWrap/>
            <w:hideMark/>
          </w:tcPr>
          <w:p w14:paraId="318BC515"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95</w:t>
            </w:r>
          </w:p>
        </w:tc>
        <w:tc>
          <w:tcPr>
            <w:tcW w:w="556" w:type="pct"/>
            <w:tcBorders>
              <w:top w:val="nil"/>
              <w:bottom w:val="single" w:sz="4" w:space="0" w:color="auto"/>
            </w:tcBorders>
            <w:shd w:val="clear" w:color="auto" w:fill="FFFFFF" w:themeFill="background1"/>
            <w:noWrap/>
            <w:hideMark/>
          </w:tcPr>
          <w:p w14:paraId="5A1482FB"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176</w:t>
            </w:r>
          </w:p>
        </w:tc>
        <w:tc>
          <w:tcPr>
            <w:tcW w:w="509" w:type="pct"/>
            <w:tcBorders>
              <w:top w:val="nil"/>
              <w:bottom w:val="single" w:sz="4" w:space="0" w:color="auto"/>
            </w:tcBorders>
            <w:shd w:val="clear" w:color="auto" w:fill="FFFFFF" w:themeFill="background1"/>
            <w:noWrap/>
            <w:hideMark/>
          </w:tcPr>
          <w:p w14:paraId="5FF1B48B"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288</w:t>
            </w:r>
          </w:p>
        </w:tc>
        <w:tc>
          <w:tcPr>
            <w:tcW w:w="515" w:type="pct"/>
            <w:tcBorders>
              <w:top w:val="nil"/>
              <w:bottom w:val="single" w:sz="4" w:space="0" w:color="auto"/>
            </w:tcBorders>
            <w:shd w:val="clear" w:color="auto" w:fill="FFFFFF" w:themeFill="background1"/>
            <w:noWrap/>
            <w:hideMark/>
          </w:tcPr>
          <w:p w14:paraId="56A81EC6"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236</w:t>
            </w:r>
          </w:p>
        </w:tc>
        <w:tc>
          <w:tcPr>
            <w:tcW w:w="646" w:type="pct"/>
            <w:tcBorders>
              <w:top w:val="nil"/>
              <w:bottom w:val="single" w:sz="4" w:space="0" w:color="auto"/>
            </w:tcBorders>
            <w:shd w:val="clear" w:color="auto" w:fill="FFFFFF" w:themeFill="background1"/>
            <w:noWrap/>
            <w:hideMark/>
          </w:tcPr>
          <w:p w14:paraId="0AB16973"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700</w:t>
            </w:r>
          </w:p>
        </w:tc>
        <w:tc>
          <w:tcPr>
            <w:tcW w:w="673" w:type="pct"/>
            <w:tcBorders>
              <w:top w:val="nil"/>
              <w:bottom w:val="single" w:sz="4" w:space="0" w:color="auto"/>
            </w:tcBorders>
            <w:shd w:val="clear" w:color="auto" w:fill="FFFFFF" w:themeFill="background1"/>
            <w:noWrap/>
            <w:hideMark/>
          </w:tcPr>
          <w:p w14:paraId="53271A3F"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A06B6">
              <w:rPr>
                <w:rFonts w:ascii="Times New Roman" w:eastAsia="Times New Roman" w:hAnsi="Times New Roman" w:cs="Times New Roman"/>
                <w:sz w:val="20"/>
                <w:szCs w:val="20"/>
                <w:lang w:val="en-US" w:eastAsia="en-GB"/>
              </w:rPr>
              <w:t>100.00%</w:t>
            </w:r>
          </w:p>
        </w:tc>
      </w:tr>
    </w:tbl>
    <w:p w14:paraId="50F78829" w14:textId="77777777" w:rsidR="00AA068C" w:rsidRPr="00BA06B6" w:rsidRDefault="00AA068C" w:rsidP="00AA068C">
      <w:pPr>
        <w:tabs>
          <w:tab w:val="left" w:pos="851"/>
        </w:tabs>
        <w:spacing w:after="200" w:line="276" w:lineRule="auto"/>
        <w:jc w:val="both"/>
        <w:rPr>
          <w:rFonts w:ascii="Arial" w:eastAsia="Calibri" w:hAnsi="Arial" w:cs="Arial"/>
          <w:sz w:val="16"/>
          <w:szCs w:val="16"/>
          <w:u w:val="single"/>
          <w:bdr w:val="none" w:sz="0" w:space="0" w:color="auto" w:frame="1"/>
          <w:shd w:val="clear" w:color="auto" w:fill="FFFFFF"/>
        </w:rPr>
      </w:pPr>
    </w:p>
    <w:p w14:paraId="432F7917" w14:textId="77777777" w:rsidR="00AA068C" w:rsidRPr="00BA06B6" w:rsidRDefault="00AA068C" w:rsidP="00AA068C">
      <w:pPr>
        <w:tabs>
          <w:tab w:val="left" w:pos="851"/>
        </w:tabs>
        <w:spacing w:after="200" w:line="276" w:lineRule="auto"/>
        <w:jc w:val="both"/>
        <w:rPr>
          <w:rFonts w:ascii="Arial" w:eastAsia="Calibri" w:hAnsi="Arial" w:cs="Arial"/>
          <w:sz w:val="16"/>
          <w:szCs w:val="16"/>
          <w:u w:val="single"/>
          <w:bdr w:val="none" w:sz="0" w:space="0" w:color="auto" w:frame="1"/>
          <w:shd w:val="clear" w:color="auto" w:fill="FFFFFF"/>
        </w:rPr>
      </w:pPr>
    </w:p>
    <w:p w14:paraId="0F454C4A" w14:textId="77777777" w:rsidR="00AA068C" w:rsidRPr="00BA06B6" w:rsidRDefault="00AA068C" w:rsidP="00AA068C">
      <w:pPr>
        <w:tabs>
          <w:tab w:val="left" w:pos="851"/>
        </w:tabs>
        <w:spacing w:after="200" w:line="276" w:lineRule="auto"/>
        <w:jc w:val="both"/>
        <w:rPr>
          <w:rFonts w:ascii="Arial" w:eastAsia="Calibri" w:hAnsi="Arial" w:cs="Arial"/>
          <w:sz w:val="16"/>
          <w:szCs w:val="16"/>
          <w:u w:val="single"/>
          <w:bdr w:val="none" w:sz="0" w:space="0" w:color="auto" w:frame="1"/>
          <w:shd w:val="clear" w:color="auto" w:fill="FFFFFF"/>
        </w:rPr>
      </w:pPr>
    </w:p>
    <w:p w14:paraId="708C59B1" w14:textId="77777777" w:rsidR="00AA068C" w:rsidRPr="00BA06B6" w:rsidRDefault="00AA068C" w:rsidP="00AA068C">
      <w:pPr>
        <w:tabs>
          <w:tab w:val="left" w:pos="851"/>
        </w:tabs>
        <w:spacing w:after="200" w:line="276" w:lineRule="auto"/>
        <w:jc w:val="both"/>
        <w:rPr>
          <w:rFonts w:ascii="Arial" w:eastAsia="Calibri" w:hAnsi="Arial" w:cs="Arial"/>
          <w:sz w:val="16"/>
          <w:szCs w:val="16"/>
          <w:u w:val="single"/>
          <w:bdr w:val="none" w:sz="0" w:space="0" w:color="auto" w:frame="1"/>
          <w:shd w:val="clear" w:color="auto" w:fill="FFFFFF"/>
        </w:rPr>
      </w:pPr>
    </w:p>
    <w:p w14:paraId="5359DEF3" w14:textId="77777777" w:rsidR="00AA068C" w:rsidRPr="00BA06B6" w:rsidRDefault="00AA068C" w:rsidP="00AA068C">
      <w:pPr>
        <w:tabs>
          <w:tab w:val="left" w:pos="851"/>
        </w:tabs>
        <w:spacing w:after="200" w:line="276" w:lineRule="auto"/>
        <w:jc w:val="both"/>
        <w:rPr>
          <w:rFonts w:ascii="Arial" w:eastAsia="Calibri" w:hAnsi="Arial" w:cs="Arial"/>
          <w:sz w:val="16"/>
          <w:szCs w:val="16"/>
          <w:u w:val="single"/>
          <w:bdr w:val="none" w:sz="0" w:space="0" w:color="auto" w:frame="1"/>
          <w:shd w:val="clear" w:color="auto" w:fill="FFFFFF"/>
        </w:rPr>
      </w:pPr>
    </w:p>
    <w:p w14:paraId="39CAEFA9" w14:textId="77777777" w:rsidR="00AA068C" w:rsidRPr="00BA06B6" w:rsidRDefault="00AA068C" w:rsidP="00AA068C">
      <w:pPr>
        <w:tabs>
          <w:tab w:val="left" w:pos="851"/>
        </w:tabs>
        <w:spacing w:after="200" w:line="276" w:lineRule="auto"/>
        <w:jc w:val="both"/>
        <w:rPr>
          <w:rFonts w:ascii="Times New Roman" w:eastAsia="SimSun" w:hAnsi="Times New Roman" w:cs="Times New Roman"/>
          <w:b/>
          <w:bCs/>
          <w:sz w:val="20"/>
          <w:szCs w:val="20"/>
          <w:lang w:val="en-US" w:eastAsia="zh-CN"/>
        </w:rPr>
      </w:pPr>
    </w:p>
    <w:p w14:paraId="39590900" w14:textId="77777777" w:rsidR="00AA068C" w:rsidRPr="00BA06B6" w:rsidRDefault="00AA068C" w:rsidP="00AA068C">
      <w:pPr>
        <w:tabs>
          <w:tab w:val="left" w:pos="851"/>
        </w:tabs>
        <w:spacing w:after="200" w:line="276" w:lineRule="auto"/>
        <w:jc w:val="both"/>
        <w:rPr>
          <w:rFonts w:ascii="Times New Roman" w:eastAsia="SimSun" w:hAnsi="Times New Roman" w:cs="Times New Roman"/>
          <w:b/>
          <w:bCs/>
          <w:sz w:val="20"/>
          <w:szCs w:val="20"/>
          <w:lang w:val="en-US" w:eastAsia="zh-CN"/>
        </w:rPr>
      </w:pPr>
      <w:r w:rsidRPr="00BA06B6">
        <w:rPr>
          <w:rFonts w:ascii="Times New Roman" w:eastAsia="SimSun" w:hAnsi="Times New Roman" w:cs="Times New Roman"/>
          <w:b/>
          <w:bCs/>
          <w:sz w:val="20"/>
          <w:szCs w:val="20"/>
          <w:lang w:val="en-US" w:eastAsia="zh-CN"/>
        </w:rPr>
        <w:br w:type="page"/>
      </w:r>
    </w:p>
    <w:p w14:paraId="27BB2057" w14:textId="77777777" w:rsidR="00AA068C" w:rsidRPr="00BA06B6" w:rsidRDefault="00AA068C" w:rsidP="00AA068C">
      <w:pPr>
        <w:tabs>
          <w:tab w:val="left" w:pos="851"/>
        </w:tabs>
        <w:spacing w:after="0" w:line="240" w:lineRule="auto"/>
        <w:jc w:val="both"/>
        <w:rPr>
          <w:rFonts w:ascii="Times New Roman" w:eastAsia="SimSun" w:hAnsi="Times New Roman" w:cs="Times New Roman"/>
          <w:bCs/>
          <w:sz w:val="20"/>
          <w:szCs w:val="20"/>
          <w:lang w:val="en-US" w:eastAsia="zh-CN"/>
        </w:rPr>
      </w:pPr>
      <w:r w:rsidRPr="00BA06B6">
        <w:rPr>
          <w:rFonts w:ascii="Times New Roman" w:eastAsia="SimSun" w:hAnsi="Times New Roman" w:cs="Times New Roman"/>
          <w:b/>
          <w:sz w:val="20"/>
          <w:szCs w:val="20"/>
          <w:lang w:val="en-US" w:eastAsia="zh-CN"/>
        </w:rPr>
        <w:lastRenderedPageBreak/>
        <w:t xml:space="preserve">TABLE 3    </w:t>
      </w:r>
      <w:r w:rsidRPr="00BA06B6">
        <w:rPr>
          <w:rFonts w:ascii="Times New Roman" w:eastAsia="SimSun" w:hAnsi="Times New Roman" w:cs="Times New Roman"/>
          <w:bCs/>
          <w:sz w:val="20"/>
          <w:szCs w:val="20"/>
          <w:lang w:val="en-US" w:eastAsia="zh-CN"/>
        </w:rPr>
        <w:t>Summary of variables definitions</w:t>
      </w:r>
    </w:p>
    <w:tbl>
      <w:tblPr>
        <w:tblStyle w:val="PlainTable3"/>
        <w:tblW w:w="9639" w:type="dxa"/>
        <w:shd w:val="clear" w:color="auto" w:fill="FFFFFF" w:themeFill="background1"/>
        <w:tblLook w:val="04A0" w:firstRow="1" w:lastRow="0" w:firstColumn="1" w:lastColumn="0" w:noHBand="0" w:noVBand="1"/>
      </w:tblPr>
      <w:tblGrid>
        <w:gridCol w:w="956"/>
        <w:gridCol w:w="8683"/>
      </w:tblGrid>
      <w:tr w:rsidR="00BA06B6" w:rsidRPr="00BA06B6" w14:paraId="0E1811DC" w14:textId="77777777" w:rsidTr="00B91469">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956" w:type="dxa"/>
            <w:shd w:val="clear" w:color="auto" w:fill="FFFFFF" w:themeFill="background1"/>
          </w:tcPr>
          <w:p w14:paraId="50D46D31" w14:textId="77777777" w:rsidR="00AA068C" w:rsidRPr="00BA06B6" w:rsidRDefault="00AA068C" w:rsidP="00BC341D">
            <w:pPr>
              <w:tabs>
                <w:tab w:val="left" w:pos="851"/>
              </w:tabs>
              <w:jc w:val="both"/>
              <w:rPr>
                <w:rFonts w:ascii="Times New Roman" w:eastAsia="SimSun" w:hAnsi="Times New Roman" w:cs="Times New Roman"/>
                <w:i/>
                <w:sz w:val="2"/>
                <w:szCs w:val="2"/>
                <w:lang w:eastAsia="zh-CN"/>
              </w:rPr>
            </w:pPr>
          </w:p>
        </w:tc>
        <w:tc>
          <w:tcPr>
            <w:tcW w:w="8683" w:type="dxa"/>
            <w:shd w:val="clear" w:color="auto" w:fill="FFFFFF" w:themeFill="background1"/>
          </w:tcPr>
          <w:p w14:paraId="006DC480" w14:textId="77777777" w:rsidR="00AA068C" w:rsidRPr="00BA06B6" w:rsidRDefault="00AA068C" w:rsidP="00BC341D">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i/>
                <w:sz w:val="2"/>
                <w:szCs w:val="2"/>
                <w:lang w:eastAsia="zh-CN"/>
              </w:rPr>
            </w:pPr>
          </w:p>
        </w:tc>
      </w:tr>
      <w:tr w:rsidR="00BA06B6" w:rsidRPr="00BA06B6" w14:paraId="0F32FA72" w14:textId="77777777" w:rsidTr="00B91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tcBorders>
              <w:top w:val="single" w:sz="4" w:space="0" w:color="7F7F7F" w:themeColor="text1" w:themeTint="80"/>
              <w:bottom w:val="single" w:sz="4" w:space="0" w:color="auto"/>
            </w:tcBorders>
            <w:shd w:val="clear" w:color="auto" w:fill="FFFFFF" w:themeFill="background1"/>
          </w:tcPr>
          <w:p w14:paraId="4C71D09B" w14:textId="77777777" w:rsidR="00AA068C" w:rsidRPr="00BA06B6" w:rsidRDefault="00236344" w:rsidP="00BC341D">
            <w:pPr>
              <w:tabs>
                <w:tab w:val="left" w:pos="851"/>
              </w:tabs>
              <w:jc w:val="both"/>
              <w:rPr>
                <w:rFonts w:ascii="Times New Roman" w:eastAsia="SimSun" w:hAnsi="Times New Roman" w:cs="Times New Roman"/>
                <w:iCs/>
                <w:sz w:val="18"/>
                <w:szCs w:val="18"/>
                <w:lang w:eastAsia="zh-CN"/>
              </w:rPr>
            </w:pPr>
            <w:r w:rsidRPr="00BA06B6">
              <w:rPr>
                <w:rFonts w:ascii="Times New Roman" w:eastAsia="SimSun" w:hAnsi="Times New Roman" w:cs="Times New Roman"/>
                <w:iCs/>
                <w:caps w:val="0"/>
                <w:sz w:val="18"/>
                <w:szCs w:val="18"/>
                <w:lang w:eastAsia="zh-CN"/>
              </w:rPr>
              <w:t>Variables</w:t>
            </w:r>
          </w:p>
        </w:tc>
        <w:tc>
          <w:tcPr>
            <w:tcW w:w="8683" w:type="dxa"/>
            <w:tcBorders>
              <w:top w:val="single" w:sz="4" w:space="0" w:color="7F7F7F" w:themeColor="text1" w:themeTint="80"/>
              <w:bottom w:val="single" w:sz="4" w:space="0" w:color="auto"/>
            </w:tcBorders>
            <w:shd w:val="clear" w:color="auto" w:fill="FFFFFF" w:themeFill="background1"/>
          </w:tcPr>
          <w:p w14:paraId="455CABAE"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iCs/>
                <w:sz w:val="18"/>
                <w:szCs w:val="18"/>
                <w:lang w:eastAsia="zh-CN"/>
              </w:rPr>
            </w:pPr>
            <w:r w:rsidRPr="00BA06B6">
              <w:rPr>
                <w:rFonts w:ascii="Times New Roman" w:eastAsia="SimSun" w:hAnsi="Times New Roman" w:cs="Times New Roman"/>
                <w:b/>
                <w:iCs/>
                <w:sz w:val="18"/>
                <w:szCs w:val="18"/>
                <w:lang w:eastAsia="zh-CN"/>
              </w:rPr>
              <w:t>Definitions and coding.</w:t>
            </w:r>
          </w:p>
        </w:tc>
      </w:tr>
      <w:tr w:rsidR="00BA06B6" w:rsidRPr="00BA06B6" w14:paraId="78DE67C6" w14:textId="77777777" w:rsidTr="00B91469">
        <w:tc>
          <w:tcPr>
            <w:cnfStyle w:val="001000000000" w:firstRow="0" w:lastRow="0" w:firstColumn="1" w:lastColumn="0" w:oddVBand="0" w:evenVBand="0" w:oddHBand="0" w:evenHBand="0" w:firstRowFirstColumn="0" w:firstRowLastColumn="0" w:lastRowFirstColumn="0" w:lastRowLastColumn="0"/>
            <w:tcW w:w="9639" w:type="dxa"/>
            <w:gridSpan w:val="2"/>
            <w:tcBorders>
              <w:top w:val="single" w:sz="4" w:space="0" w:color="auto"/>
              <w:bottom w:val="single" w:sz="4" w:space="0" w:color="auto"/>
            </w:tcBorders>
            <w:shd w:val="clear" w:color="auto" w:fill="FFFFFF" w:themeFill="background1"/>
          </w:tcPr>
          <w:p w14:paraId="31BE9ECA" w14:textId="77777777" w:rsidR="00AA068C" w:rsidRPr="00BA06B6" w:rsidRDefault="00AA068C" w:rsidP="00BC341D">
            <w:pPr>
              <w:tabs>
                <w:tab w:val="left" w:pos="851"/>
              </w:tabs>
              <w:jc w:val="both"/>
              <w:rPr>
                <w:rFonts w:ascii="Times New Roman" w:eastAsia="SimSun" w:hAnsi="Times New Roman" w:cs="Times New Roman"/>
                <w:b w:val="0"/>
                <w:bCs w:val="0"/>
                <w:iCs/>
                <w:sz w:val="18"/>
                <w:szCs w:val="18"/>
                <w:lang w:eastAsia="zh-CN"/>
              </w:rPr>
            </w:pPr>
            <w:r w:rsidRPr="00BA06B6">
              <w:rPr>
                <w:rFonts w:ascii="Times New Roman" w:eastAsia="SimSun" w:hAnsi="Times New Roman" w:cs="Times New Roman"/>
                <w:b w:val="0"/>
                <w:bCs w:val="0"/>
                <w:iCs/>
                <w:caps w:val="0"/>
                <w:sz w:val="18"/>
                <w:szCs w:val="18"/>
                <w:lang w:eastAsia="zh-CN"/>
              </w:rPr>
              <w:t xml:space="preserve">Panel A: Dependent Variables (Fitch Long-Term Issuer Default Ratings). </w:t>
            </w:r>
          </w:p>
        </w:tc>
      </w:tr>
      <w:tr w:rsidR="00BA06B6" w:rsidRPr="00BA06B6" w14:paraId="74711DE5" w14:textId="77777777" w:rsidTr="00B91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tcBorders>
              <w:top w:val="single" w:sz="4" w:space="0" w:color="auto"/>
              <w:bottom w:val="single" w:sz="4" w:space="0" w:color="auto"/>
            </w:tcBorders>
            <w:shd w:val="clear" w:color="auto" w:fill="FFFFFF" w:themeFill="background1"/>
          </w:tcPr>
          <w:p w14:paraId="07400035" w14:textId="77777777" w:rsidR="00AA068C" w:rsidRPr="00BA06B6" w:rsidRDefault="00AA068C" w:rsidP="00BC341D">
            <w:pPr>
              <w:tabs>
                <w:tab w:val="left" w:pos="851"/>
              </w:tabs>
              <w:jc w:val="both"/>
              <w:rPr>
                <w:rFonts w:ascii="Times New Roman" w:eastAsia="SimSun" w:hAnsi="Times New Roman" w:cs="Times New Roman"/>
                <w:b w:val="0"/>
                <w:bCs w:val="0"/>
                <w:sz w:val="18"/>
                <w:szCs w:val="18"/>
                <w:lang w:eastAsia="zh-CN"/>
              </w:rPr>
            </w:pPr>
            <w:r w:rsidRPr="00BA06B6">
              <w:rPr>
                <w:rFonts w:ascii="Times New Roman" w:eastAsia="SimSun" w:hAnsi="Times New Roman" w:cs="Times New Roman"/>
                <w:b w:val="0"/>
                <w:bCs w:val="0"/>
                <w:sz w:val="18"/>
                <w:szCs w:val="18"/>
                <w:lang w:eastAsia="zh-CN"/>
              </w:rPr>
              <w:t>RATE</w:t>
            </w:r>
          </w:p>
        </w:tc>
        <w:tc>
          <w:tcPr>
            <w:tcW w:w="8683" w:type="dxa"/>
            <w:tcBorders>
              <w:top w:val="single" w:sz="4" w:space="0" w:color="auto"/>
              <w:bottom w:val="single" w:sz="4" w:space="0" w:color="auto"/>
            </w:tcBorders>
            <w:shd w:val="clear" w:color="auto" w:fill="FFFFFF" w:themeFill="background1"/>
          </w:tcPr>
          <w:p w14:paraId="3D54ACAC" w14:textId="77777777" w:rsidR="00AA068C" w:rsidRPr="00BA06B6" w:rsidRDefault="00AA068C" w:rsidP="00B91469">
            <w:pPr>
              <w:tabs>
                <w:tab w:val="left" w:pos="851"/>
              </w:tabs>
              <w:ind w:right="-7025"/>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Cs/>
                <w:sz w:val="18"/>
                <w:szCs w:val="18"/>
                <w:lang w:eastAsia="zh-CN"/>
              </w:rPr>
            </w:pPr>
            <w:r w:rsidRPr="00BA06B6">
              <w:rPr>
                <w:rFonts w:ascii="Times New Roman" w:eastAsia="SimSun" w:hAnsi="Times New Roman" w:cs="Times New Roman"/>
                <w:bCs/>
                <w:sz w:val="18"/>
                <w:szCs w:val="18"/>
                <w:lang w:eastAsia="zh-CN"/>
              </w:rPr>
              <w:t>Is the assigned rating score for Fitch’s long term issuer default ratings coded according to: 22 if the bank has Fitch ratings of AAA; 21 if AA+; 20 if AA; 19 if AA-; 18 if A+; 17 if A; 16 if A-; 15 if BBB+; 14 if BBB; 13 if BBB-; 12 if BB+; 11 if BB; 10 if BB-; 9 if B+; 8 if B; 7 if B-; 6 if CCC+; 5 if CCC; 4 if CCC-; 3 if CC; 2 if C; 1 if DDD, DD, D; 0 if NR , WD.</w:t>
            </w:r>
          </w:p>
        </w:tc>
      </w:tr>
      <w:tr w:rsidR="00BA06B6" w:rsidRPr="00BA06B6" w14:paraId="1140C0D3" w14:textId="77777777" w:rsidTr="00B91469">
        <w:tc>
          <w:tcPr>
            <w:cnfStyle w:val="001000000000" w:firstRow="0" w:lastRow="0" w:firstColumn="1" w:lastColumn="0" w:oddVBand="0" w:evenVBand="0" w:oddHBand="0" w:evenHBand="0" w:firstRowFirstColumn="0" w:firstRowLastColumn="0" w:lastRowFirstColumn="0" w:lastRowLastColumn="0"/>
            <w:tcW w:w="9639" w:type="dxa"/>
            <w:gridSpan w:val="2"/>
            <w:tcBorders>
              <w:top w:val="single" w:sz="4" w:space="0" w:color="auto"/>
              <w:bottom w:val="single" w:sz="4" w:space="0" w:color="auto"/>
            </w:tcBorders>
            <w:shd w:val="clear" w:color="auto" w:fill="FFFFFF" w:themeFill="background1"/>
          </w:tcPr>
          <w:p w14:paraId="3294CB1C" w14:textId="77777777" w:rsidR="00AA068C" w:rsidRPr="00BA06B6" w:rsidRDefault="00AA068C" w:rsidP="00BC341D">
            <w:pPr>
              <w:tabs>
                <w:tab w:val="left" w:pos="851"/>
              </w:tabs>
              <w:jc w:val="both"/>
              <w:rPr>
                <w:rFonts w:ascii="Times New Roman" w:eastAsia="SimSun" w:hAnsi="Times New Roman" w:cs="Times New Roman"/>
                <w:b w:val="0"/>
                <w:bCs w:val="0"/>
                <w:sz w:val="18"/>
                <w:szCs w:val="18"/>
                <w:lang w:eastAsia="zh-CN"/>
              </w:rPr>
            </w:pPr>
            <w:r w:rsidRPr="00BA06B6">
              <w:rPr>
                <w:rFonts w:ascii="Times New Roman" w:eastAsia="SimSun" w:hAnsi="Times New Roman" w:cs="Times New Roman"/>
                <w:b w:val="0"/>
                <w:bCs w:val="0"/>
                <w:caps w:val="0"/>
                <w:sz w:val="18"/>
                <w:szCs w:val="18"/>
                <w:lang w:eastAsia="zh-CN"/>
              </w:rPr>
              <w:t>Panel B: Risk Disclosure Index.</w:t>
            </w:r>
          </w:p>
        </w:tc>
      </w:tr>
      <w:tr w:rsidR="00BA06B6" w:rsidRPr="00BA06B6" w14:paraId="01F9EF29" w14:textId="77777777" w:rsidTr="00B91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tcBorders>
              <w:top w:val="single" w:sz="4" w:space="0" w:color="auto"/>
            </w:tcBorders>
            <w:shd w:val="clear" w:color="auto" w:fill="FFFFFF" w:themeFill="background1"/>
          </w:tcPr>
          <w:p w14:paraId="7C321559" w14:textId="77777777" w:rsidR="00AA068C" w:rsidRPr="00BA06B6" w:rsidRDefault="00AA068C" w:rsidP="00BC341D">
            <w:pPr>
              <w:tabs>
                <w:tab w:val="left" w:pos="851"/>
              </w:tabs>
              <w:jc w:val="both"/>
              <w:rPr>
                <w:rFonts w:ascii="Times New Roman" w:eastAsia="SimSun" w:hAnsi="Times New Roman" w:cs="Times New Roman"/>
                <w:b w:val="0"/>
                <w:bCs w:val="0"/>
                <w:sz w:val="18"/>
                <w:szCs w:val="18"/>
                <w:lang w:eastAsia="zh-CN"/>
              </w:rPr>
            </w:pPr>
            <w:r w:rsidRPr="00BA06B6">
              <w:rPr>
                <w:rFonts w:ascii="Times New Roman" w:eastAsia="SimSun" w:hAnsi="Times New Roman" w:cs="Times New Roman"/>
                <w:b w:val="0"/>
                <w:bCs w:val="0"/>
                <w:sz w:val="18"/>
                <w:szCs w:val="18"/>
                <w:lang w:eastAsia="zh-CN"/>
              </w:rPr>
              <w:t>RDI</w:t>
            </w:r>
          </w:p>
        </w:tc>
        <w:tc>
          <w:tcPr>
            <w:tcW w:w="8683" w:type="dxa"/>
            <w:tcBorders>
              <w:top w:val="single" w:sz="4" w:space="0" w:color="auto"/>
            </w:tcBorders>
            <w:shd w:val="clear" w:color="auto" w:fill="FFFFFF" w:themeFill="background1"/>
          </w:tcPr>
          <w:p w14:paraId="2869E81A"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Cs/>
                <w:sz w:val="18"/>
                <w:szCs w:val="18"/>
                <w:lang w:eastAsia="zh-CN"/>
              </w:rPr>
            </w:pPr>
            <w:r w:rsidRPr="00BA06B6">
              <w:rPr>
                <w:rFonts w:ascii="Times New Roman" w:eastAsia="Calibri" w:hAnsi="Times New Roman" w:cs="Times New Roman"/>
                <w:sz w:val="18"/>
                <w:szCs w:val="18"/>
              </w:rPr>
              <w:t xml:space="preserve">This is the overall unweighted risk index, consisting of 6 risk components, namely </w:t>
            </w:r>
            <w:r w:rsidRPr="00BA06B6">
              <w:rPr>
                <w:rFonts w:ascii="Times New Roman" w:eastAsia="Times New Roman" w:hAnsi="Times New Roman" w:cs="Times New Roman"/>
                <w:sz w:val="18"/>
                <w:szCs w:val="18"/>
                <w:lang w:eastAsia="en-GB"/>
              </w:rPr>
              <w:t>credit risk disclosure; liquidity risk disclosure; market risk disclosure; capital adequacy risk disclosure; operational risk disclosure; and strategic risks disclosure</w:t>
            </w:r>
            <w:r w:rsidRPr="00BA06B6">
              <w:rPr>
                <w:rFonts w:ascii="Times New Roman" w:eastAsia="Calibri" w:hAnsi="Times New Roman" w:cs="Times New Roman"/>
                <w:sz w:val="18"/>
                <w:szCs w:val="18"/>
              </w:rPr>
              <w:t>, and 96 individual items. Each item is scored 1 if it is disclosed and 0 otherwise. The scores are then aggregated and expressed as a percentage, ranging from 0 % (lowest) to 100% (highest). Appendix contains the items and scoring procedure.</w:t>
            </w:r>
          </w:p>
        </w:tc>
      </w:tr>
      <w:tr w:rsidR="00BA06B6" w:rsidRPr="00BA06B6" w14:paraId="7CEE9DBC" w14:textId="77777777" w:rsidTr="00B91469">
        <w:tc>
          <w:tcPr>
            <w:cnfStyle w:val="001000000000" w:firstRow="0" w:lastRow="0" w:firstColumn="1" w:lastColumn="0" w:oddVBand="0" w:evenVBand="0" w:oddHBand="0" w:evenHBand="0" w:firstRowFirstColumn="0" w:firstRowLastColumn="0" w:lastRowFirstColumn="0" w:lastRowLastColumn="0"/>
            <w:tcW w:w="956" w:type="dxa"/>
            <w:tcBorders>
              <w:bottom w:val="single" w:sz="4" w:space="0" w:color="auto"/>
            </w:tcBorders>
            <w:shd w:val="clear" w:color="auto" w:fill="FFFFFF" w:themeFill="background1"/>
          </w:tcPr>
          <w:p w14:paraId="6C58B6D5" w14:textId="77777777" w:rsidR="00AA068C" w:rsidRPr="00BA06B6" w:rsidRDefault="00AA068C" w:rsidP="00BC341D">
            <w:pPr>
              <w:tabs>
                <w:tab w:val="left" w:pos="851"/>
              </w:tabs>
              <w:jc w:val="both"/>
              <w:rPr>
                <w:rFonts w:ascii="Times New Roman" w:eastAsia="SimSun" w:hAnsi="Times New Roman" w:cs="Times New Roman"/>
                <w:b w:val="0"/>
                <w:bCs w:val="0"/>
                <w:sz w:val="18"/>
                <w:szCs w:val="18"/>
                <w:lang w:eastAsia="zh-CN"/>
              </w:rPr>
            </w:pPr>
            <w:r w:rsidRPr="00BA06B6">
              <w:rPr>
                <w:rFonts w:ascii="Times New Roman" w:eastAsia="SimSun" w:hAnsi="Times New Roman" w:cs="Times New Roman"/>
                <w:b w:val="0"/>
                <w:bCs w:val="0"/>
                <w:sz w:val="18"/>
                <w:szCs w:val="18"/>
                <w:lang w:eastAsia="zh-CN"/>
              </w:rPr>
              <w:t>W-RDI</w:t>
            </w:r>
          </w:p>
        </w:tc>
        <w:tc>
          <w:tcPr>
            <w:tcW w:w="8683" w:type="dxa"/>
            <w:tcBorders>
              <w:bottom w:val="single" w:sz="4" w:space="0" w:color="auto"/>
            </w:tcBorders>
            <w:shd w:val="clear" w:color="auto" w:fill="FFFFFF" w:themeFill="background1"/>
          </w:tcPr>
          <w:p w14:paraId="226AF967"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This is an alternative weighted risk disclosure index, consisting of 6 risk components, namely </w:t>
            </w:r>
            <w:r w:rsidRPr="00BA06B6">
              <w:rPr>
                <w:rFonts w:ascii="Times New Roman" w:eastAsia="Times New Roman" w:hAnsi="Times New Roman" w:cs="Times New Roman"/>
                <w:sz w:val="18"/>
                <w:szCs w:val="18"/>
                <w:lang w:eastAsia="en-GB"/>
              </w:rPr>
              <w:t>credit risk disclosure; liquidity risk disclosure; market risk disclosure; capital adequacy risk disclosure; operational risk disclosure; and strategic risks disclosure</w:t>
            </w:r>
            <w:r w:rsidRPr="00BA06B6">
              <w:rPr>
                <w:rFonts w:ascii="Times New Roman" w:eastAsia="Calibri" w:hAnsi="Times New Roman" w:cs="Times New Roman"/>
                <w:sz w:val="18"/>
                <w:szCs w:val="18"/>
              </w:rPr>
              <w:t>, and 96 individual items. Each item is scored 0 (not disclosed), 1 (risk item disclosed by bank contains past, future, good, bad and/or qualitative information) and 2 (risk item disclosed by bank contains past, future, good, bad, qualitative and/or quantitative information) if it is disclosed. The scores are then aggregated and expressed as a percentage, ranging from 0% (lowest) to 100% (highest). Appendix contains the items and scoring procedure.</w:t>
            </w:r>
          </w:p>
        </w:tc>
      </w:tr>
      <w:tr w:rsidR="00BA06B6" w:rsidRPr="00BA06B6" w14:paraId="799D2425" w14:textId="77777777" w:rsidTr="00B91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tcBorders>
              <w:top w:val="single" w:sz="4" w:space="0" w:color="auto"/>
              <w:bottom w:val="single" w:sz="4" w:space="0" w:color="auto"/>
            </w:tcBorders>
            <w:shd w:val="clear" w:color="auto" w:fill="FFFFFF" w:themeFill="background1"/>
          </w:tcPr>
          <w:p w14:paraId="692633C6" w14:textId="77777777" w:rsidR="00AA068C" w:rsidRPr="00BA06B6" w:rsidRDefault="00AA068C" w:rsidP="00BC341D">
            <w:pPr>
              <w:tabs>
                <w:tab w:val="left" w:pos="851"/>
              </w:tabs>
              <w:jc w:val="both"/>
              <w:rPr>
                <w:rFonts w:ascii="Times New Roman" w:eastAsia="SimSun" w:hAnsi="Times New Roman" w:cs="Times New Roman"/>
                <w:b w:val="0"/>
                <w:bCs w:val="0"/>
                <w:sz w:val="18"/>
                <w:szCs w:val="18"/>
                <w:lang w:eastAsia="zh-CN"/>
              </w:rPr>
            </w:pPr>
            <w:r w:rsidRPr="00BA06B6">
              <w:rPr>
                <w:rFonts w:ascii="Times New Roman" w:eastAsia="SimSun" w:hAnsi="Times New Roman" w:cs="Times New Roman"/>
                <w:b w:val="0"/>
                <w:bCs w:val="0"/>
                <w:caps w:val="0"/>
                <w:sz w:val="18"/>
                <w:szCs w:val="18"/>
                <w:lang w:eastAsia="zh-CN"/>
              </w:rPr>
              <w:t>Panel C: Corporate Governance (CG) Variables.</w:t>
            </w:r>
          </w:p>
        </w:tc>
      </w:tr>
      <w:tr w:rsidR="00BA06B6" w:rsidRPr="00BA06B6" w14:paraId="2F9EE274" w14:textId="77777777" w:rsidTr="00B91469">
        <w:tc>
          <w:tcPr>
            <w:cnfStyle w:val="001000000000" w:firstRow="0" w:lastRow="0" w:firstColumn="1" w:lastColumn="0" w:oddVBand="0" w:evenVBand="0" w:oddHBand="0" w:evenHBand="0" w:firstRowFirstColumn="0" w:firstRowLastColumn="0" w:lastRowFirstColumn="0" w:lastRowLastColumn="0"/>
            <w:tcW w:w="956" w:type="dxa"/>
            <w:tcBorders>
              <w:top w:val="single" w:sz="4" w:space="0" w:color="auto"/>
            </w:tcBorders>
            <w:shd w:val="clear" w:color="auto" w:fill="FFFFFF" w:themeFill="background1"/>
          </w:tcPr>
          <w:p w14:paraId="1C808AE4" w14:textId="77777777" w:rsidR="00AA068C" w:rsidRPr="00BA06B6" w:rsidRDefault="00AA068C" w:rsidP="00BC341D">
            <w:pPr>
              <w:tabs>
                <w:tab w:val="left" w:pos="851"/>
              </w:tabs>
              <w:jc w:val="both"/>
              <w:rPr>
                <w:rFonts w:ascii="Times New Roman" w:eastAsia="SimSun" w:hAnsi="Times New Roman" w:cs="Times New Roman"/>
                <w:b w:val="0"/>
                <w:bCs w:val="0"/>
                <w:sz w:val="18"/>
                <w:szCs w:val="18"/>
                <w:lang w:eastAsia="zh-CN"/>
              </w:rPr>
            </w:pPr>
            <w:r w:rsidRPr="00BA06B6">
              <w:rPr>
                <w:rFonts w:ascii="Times New Roman" w:eastAsia="SimSun" w:hAnsi="Times New Roman" w:cs="Times New Roman"/>
                <w:b w:val="0"/>
                <w:bCs w:val="0"/>
                <w:sz w:val="18"/>
                <w:szCs w:val="18"/>
                <w:lang w:eastAsia="zh-CN"/>
              </w:rPr>
              <w:t>BOWN</w:t>
            </w:r>
          </w:p>
        </w:tc>
        <w:tc>
          <w:tcPr>
            <w:tcW w:w="8683" w:type="dxa"/>
            <w:tcBorders>
              <w:top w:val="single" w:sz="4" w:space="0" w:color="auto"/>
            </w:tcBorders>
            <w:shd w:val="clear" w:color="auto" w:fill="FFFFFF" w:themeFill="background1"/>
          </w:tcPr>
          <w:p w14:paraId="0A5D1297"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Cs/>
                <w:sz w:val="18"/>
                <w:szCs w:val="18"/>
                <w:lang w:eastAsia="zh-CN"/>
              </w:rPr>
            </w:pPr>
            <w:r w:rsidRPr="00BA06B6">
              <w:rPr>
                <w:rFonts w:ascii="Times New Roman" w:eastAsia="SimSun" w:hAnsi="Times New Roman" w:cs="Times New Roman"/>
                <w:bCs/>
                <w:sz w:val="18"/>
                <w:szCs w:val="18"/>
                <w:lang w:eastAsia="zh-CN"/>
              </w:rPr>
              <w:t>Percentage of shareholders with at least 5% to a bank’s total ordinary shareholdings.</w:t>
            </w:r>
          </w:p>
        </w:tc>
      </w:tr>
      <w:tr w:rsidR="00BA06B6" w:rsidRPr="00BA06B6" w14:paraId="536E3669" w14:textId="77777777" w:rsidTr="00B91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shd w:val="clear" w:color="auto" w:fill="FFFFFF" w:themeFill="background1"/>
          </w:tcPr>
          <w:p w14:paraId="7D624D6F" w14:textId="77777777" w:rsidR="00AA068C" w:rsidRPr="00BA06B6" w:rsidRDefault="00AA068C" w:rsidP="00BC341D">
            <w:pPr>
              <w:tabs>
                <w:tab w:val="left" w:pos="851"/>
              </w:tabs>
              <w:jc w:val="both"/>
              <w:rPr>
                <w:rFonts w:ascii="Times New Roman" w:eastAsia="SimSun" w:hAnsi="Times New Roman" w:cs="Times New Roman"/>
                <w:b w:val="0"/>
                <w:bCs w:val="0"/>
                <w:sz w:val="18"/>
                <w:szCs w:val="18"/>
                <w:lang w:eastAsia="zh-CN"/>
              </w:rPr>
            </w:pPr>
            <w:r w:rsidRPr="00BA06B6">
              <w:rPr>
                <w:rFonts w:ascii="Times New Roman" w:eastAsia="SimSun" w:hAnsi="Times New Roman" w:cs="Times New Roman"/>
                <w:b w:val="0"/>
                <w:bCs w:val="0"/>
                <w:sz w:val="18"/>
                <w:szCs w:val="18"/>
                <w:lang w:eastAsia="zh-CN"/>
              </w:rPr>
              <w:t>GOWN</w:t>
            </w:r>
          </w:p>
        </w:tc>
        <w:tc>
          <w:tcPr>
            <w:tcW w:w="8683" w:type="dxa"/>
            <w:shd w:val="clear" w:color="auto" w:fill="FFFFFF" w:themeFill="background1"/>
          </w:tcPr>
          <w:p w14:paraId="3F419E99"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Cs/>
                <w:sz w:val="18"/>
                <w:szCs w:val="18"/>
                <w:lang w:eastAsia="zh-CN"/>
              </w:rPr>
            </w:pPr>
            <w:r w:rsidRPr="00BA06B6">
              <w:rPr>
                <w:rFonts w:ascii="Times New Roman" w:eastAsia="SimSun" w:hAnsi="Times New Roman" w:cs="Times New Roman"/>
                <w:bCs/>
                <w:sz w:val="18"/>
                <w:szCs w:val="18"/>
                <w:lang w:eastAsia="zh-CN"/>
              </w:rPr>
              <w:t>Percentage of governmental ownership with at least 5% to a bank’s total ordinary shareholdings.</w:t>
            </w:r>
          </w:p>
        </w:tc>
      </w:tr>
      <w:tr w:rsidR="00BA06B6" w:rsidRPr="00BA06B6" w14:paraId="169A170B" w14:textId="77777777" w:rsidTr="00B91469">
        <w:tc>
          <w:tcPr>
            <w:cnfStyle w:val="001000000000" w:firstRow="0" w:lastRow="0" w:firstColumn="1" w:lastColumn="0" w:oddVBand="0" w:evenVBand="0" w:oddHBand="0" w:evenHBand="0" w:firstRowFirstColumn="0" w:firstRowLastColumn="0" w:lastRowFirstColumn="0" w:lastRowLastColumn="0"/>
            <w:tcW w:w="956" w:type="dxa"/>
            <w:shd w:val="clear" w:color="auto" w:fill="FFFFFF" w:themeFill="background1"/>
          </w:tcPr>
          <w:p w14:paraId="462A4A63" w14:textId="77777777" w:rsidR="00AA068C" w:rsidRPr="00BA06B6" w:rsidRDefault="00AA068C" w:rsidP="00BC341D">
            <w:pPr>
              <w:tabs>
                <w:tab w:val="left" w:pos="851"/>
              </w:tabs>
              <w:jc w:val="both"/>
              <w:rPr>
                <w:rFonts w:ascii="Times New Roman" w:eastAsia="SimSun" w:hAnsi="Times New Roman" w:cs="Times New Roman"/>
                <w:b w:val="0"/>
                <w:bCs w:val="0"/>
                <w:sz w:val="18"/>
                <w:szCs w:val="18"/>
                <w:lang w:eastAsia="zh-CN"/>
              </w:rPr>
            </w:pPr>
            <w:r w:rsidRPr="00BA06B6">
              <w:rPr>
                <w:rFonts w:ascii="Times New Roman" w:eastAsia="SimSun" w:hAnsi="Times New Roman" w:cs="Times New Roman"/>
                <w:b w:val="0"/>
                <w:bCs w:val="0"/>
                <w:sz w:val="18"/>
                <w:szCs w:val="18"/>
                <w:lang w:eastAsia="zh-CN"/>
              </w:rPr>
              <w:t>FOWN</w:t>
            </w:r>
          </w:p>
        </w:tc>
        <w:tc>
          <w:tcPr>
            <w:tcW w:w="8683" w:type="dxa"/>
            <w:shd w:val="clear" w:color="auto" w:fill="FFFFFF" w:themeFill="background1"/>
          </w:tcPr>
          <w:p w14:paraId="5F74958C"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Cs/>
                <w:sz w:val="18"/>
                <w:szCs w:val="18"/>
                <w:lang w:eastAsia="zh-CN"/>
              </w:rPr>
            </w:pPr>
            <w:r w:rsidRPr="00BA06B6">
              <w:rPr>
                <w:rFonts w:ascii="Times New Roman" w:eastAsia="SimSun" w:hAnsi="Times New Roman" w:cs="Times New Roman"/>
                <w:bCs/>
                <w:sz w:val="18"/>
                <w:szCs w:val="18"/>
                <w:lang w:eastAsia="zh-CN"/>
              </w:rPr>
              <w:t>Percentage of foreign ownership with at least 5% to a bank’s total ordinary shareholdings.</w:t>
            </w:r>
          </w:p>
        </w:tc>
      </w:tr>
      <w:tr w:rsidR="00BA06B6" w:rsidRPr="00BA06B6" w14:paraId="31534A54" w14:textId="77777777" w:rsidTr="00B91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shd w:val="clear" w:color="auto" w:fill="FFFFFF" w:themeFill="background1"/>
          </w:tcPr>
          <w:p w14:paraId="3072CC27" w14:textId="77777777" w:rsidR="00AA068C" w:rsidRPr="00BA06B6" w:rsidRDefault="00AA068C" w:rsidP="00BC341D">
            <w:pPr>
              <w:tabs>
                <w:tab w:val="left" w:pos="851"/>
              </w:tabs>
              <w:jc w:val="both"/>
              <w:rPr>
                <w:rFonts w:ascii="Times New Roman" w:eastAsia="SimSun" w:hAnsi="Times New Roman" w:cs="Times New Roman"/>
                <w:b w:val="0"/>
                <w:bCs w:val="0"/>
                <w:sz w:val="18"/>
                <w:szCs w:val="18"/>
                <w:lang w:eastAsia="zh-CN"/>
              </w:rPr>
            </w:pPr>
            <w:r w:rsidRPr="00BA06B6">
              <w:rPr>
                <w:rFonts w:ascii="Times New Roman" w:eastAsia="SimSun" w:hAnsi="Times New Roman" w:cs="Times New Roman"/>
                <w:b w:val="0"/>
                <w:bCs w:val="0"/>
                <w:sz w:val="18"/>
                <w:szCs w:val="18"/>
                <w:lang w:eastAsia="zh-CN"/>
              </w:rPr>
              <w:t>BS</w:t>
            </w:r>
          </w:p>
        </w:tc>
        <w:tc>
          <w:tcPr>
            <w:tcW w:w="8683" w:type="dxa"/>
            <w:shd w:val="clear" w:color="auto" w:fill="FFFFFF" w:themeFill="background1"/>
          </w:tcPr>
          <w:p w14:paraId="3F0EAEC3"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Cs/>
                <w:sz w:val="18"/>
                <w:szCs w:val="18"/>
                <w:lang w:eastAsia="zh-CN"/>
              </w:rPr>
            </w:pPr>
            <w:r w:rsidRPr="00BA06B6">
              <w:rPr>
                <w:rFonts w:ascii="Times New Roman" w:eastAsia="SimSun" w:hAnsi="Times New Roman" w:cs="Times New Roman"/>
                <w:bCs/>
                <w:sz w:val="18"/>
                <w:szCs w:val="18"/>
                <w:lang w:eastAsia="zh-CN"/>
              </w:rPr>
              <w:t>Number of board of directors on a bank’s board.</w:t>
            </w:r>
          </w:p>
        </w:tc>
      </w:tr>
      <w:tr w:rsidR="00BA06B6" w:rsidRPr="00BA06B6" w14:paraId="358E7B76" w14:textId="77777777" w:rsidTr="00B91469">
        <w:tc>
          <w:tcPr>
            <w:cnfStyle w:val="001000000000" w:firstRow="0" w:lastRow="0" w:firstColumn="1" w:lastColumn="0" w:oddVBand="0" w:evenVBand="0" w:oddHBand="0" w:evenHBand="0" w:firstRowFirstColumn="0" w:firstRowLastColumn="0" w:lastRowFirstColumn="0" w:lastRowLastColumn="0"/>
            <w:tcW w:w="956" w:type="dxa"/>
            <w:shd w:val="clear" w:color="auto" w:fill="FFFFFF" w:themeFill="background1"/>
          </w:tcPr>
          <w:p w14:paraId="63574A09" w14:textId="77777777" w:rsidR="00AA068C" w:rsidRPr="00BA06B6" w:rsidRDefault="00AA068C" w:rsidP="00BC341D">
            <w:pPr>
              <w:tabs>
                <w:tab w:val="left" w:pos="851"/>
              </w:tabs>
              <w:jc w:val="both"/>
              <w:rPr>
                <w:rFonts w:ascii="Times New Roman" w:eastAsia="SimSun" w:hAnsi="Times New Roman" w:cs="Times New Roman"/>
                <w:b w:val="0"/>
                <w:bCs w:val="0"/>
                <w:sz w:val="18"/>
                <w:szCs w:val="18"/>
                <w:lang w:eastAsia="zh-CN"/>
              </w:rPr>
            </w:pPr>
            <w:r w:rsidRPr="00BA06B6">
              <w:rPr>
                <w:rFonts w:ascii="Times New Roman" w:eastAsia="SimSun" w:hAnsi="Times New Roman" w:cs="Times New Roman"/>
                <w:b w:val="0"/>
                <w:bCs w:val="0"/>
                <w:sz w:val="18"/>
                <w:szCs w:val="18"/>
                <w:lang w:eastAsia="zh-CN"/>
              </w:rPr>
              <w:t xml:space="preserve">DUAL </w:t>
            </w:r>
          </w:p>
        </w:tc>
        <w:tc>
          <w:tcPr>
            <w:tcW w:w="8683" w:type="dxa"/>
            <w:shd w:val="clear" w:color="auto" w:fill="FFFFFF" w:themeFill="background1"/>
          </w:tcPr>
          <w:p w14:paraId="26C02D16"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Cs/>
                <w:sz w:val="18"/>
                <w:szCs w:val="18"/>
                <w:lang w:eastAsia="zh-CN"/>
              </w:rPr>
            </w:pPr>
            <w:r w:rsidRPr="00BA06B6">
              <w:rPr>
                <w:rFonts w:ascii="Times New Roman" w:eastAsia="SimSun" w:hAnsi="Times New Roman" w:cs="Times New Roman"/>
                <w:bCs/>
                <w:sz w:val="18"/>
                <w:szCs w:val="18"/>
                <w:lang w:eastAsia="zh-CN"/>
              </w:rPr>
              <w:t>1, if a company’s CEO and chairperson positions are held by same person, 0 otherwise.</w:t>
            </w:r>
          </w:p>
        </w:tc>
      </w:tr>
      <w:tr w:rsidR="00BA06B6" w:rsidRPr="00BA06B6" w14:paraId="263104A3" w14:textId="77777777" w:rsidTr="00B91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shd w:val="clear" w:color="auto" w:fill="FFFFFF" w:themeFill="background1"/>
          </w:tcPr>
          <w:p w14:paraId="362328DF" w14:textId="77777777" w:rsidR="00AA068C" w:rsidRPr="00BA06B6" w:rsidRDefault="00AA068C" w:rsidP="00BC341D">
            <w:pPr>
              <w:tabs>
                <w:tab w:val="left" w:pos="851"/>
              </w:tabs>
              <w:jc w:val="both"/>
              <w:rPr>
                <w:rFonts w:ascii="Times New Roman" w:eastAsia="SimSun" w:hAnsi="Times New Roman" w:cs="Times New Roman"/>
                <w:b w:val="0"/>
                <w:bCs w:val="0"/>
                <w:sz w:val="18"/>
                <w:szCs w:val="18"/>
                <w:lang w:eastAsia="zh-CN"/>
              </w:rPr>
            </w:pPr>
            <w:r w:rsidRPr="00BA06B6">
              <w:rPr>
                <w:rFonts w:ascii="Times New Roman" w:eastAsia="SimSun" w:hAnsi="Times New Roman" w:cs="Times New Roman"/>
                <w:b w:val="0"/>
                <w:bCs w:val="0"/>
                <w:sz w:val="18"/>
                <w:szCs w:val="18"/>
                <w:lang w:eastAsia="zh-CN"/>
              </w:rPr>
              <w:t>GDB</w:t>
            </w:r>
          </w:p>
        </w:tc>
        <w:tc>
          <w:tcPr>
            <w:tcW w:w="8683" w:type="dxa"/>
            <w:shd w:val="clear" w:color="auto" w:fill="FFFFFF" w:themeFill="background1"/>
          </w:tcPr>
          <w:p w14:paraId="7DE3C607"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Cs/>
                <w:sz w:val="18"/>
                <w:szCs w:val="18"/>
                <w:lang w:eastAsia="zh-CN"/>
              </w:rPr>
            </w:pPr>
            <w:r w:rsidRPr="00BA06B6">
              <w:rPr>
                <w:rFonts w:ascii="Times New Roman" w:eastAsia="SimSun" w:hAnsi="Times New Roman" w:cs="Times New Roman"/>
                <w:bCs/>
                <w:sz w:val="18"/>
                <w:szCs w:val="18"/>
                <w:lang w:eastAsia="zh-CN"/>
              </w:rPr>
              <w:t>Percentage of women directors to the total number of a bank’s board of directors.</w:t>
            </w:r>
          </w:p>
        </w:tc>
      </w:tr>
      <w:tr w:rsidR="00BA06B6" w:rsidRPr="00BA06B6" w14:paraId="1A141DFD" w14:textId="77777777" w:rsidTr="00B91469">
        <w:tc>
          <w:tcPr>
            <w:cnfStyle w:val="001000000000" w:firstRow="0" w:lastRow="0" w:firstColumn="1" w:lastColumn="0" w:oddVBand="0" w:evenVBand="0" w:oddHBand="0" w:evenHBand="0" w:firstRowFirstColumn="0" w:firstRowLastColumn="0" w:lastRowFirstColumn="0" w:lastRowLastColumn="0"/>
            <w:tcW w:w="956" w:type="dxa"/>
            <w:shd w:val="clear" w:color="auto" w:fill="FFFFFF" w:themeFill="background1"/>
          </w:tcPr>
          <w:p w14:paraId="418BB210" w14:textId="77777777" w:rsidR="00AA068C" w:rsidRPr="00BA06B6" w:rsidRDefault="00AA068C" w:rsidP="00BC341D">
            <w:pPr>
              <w:tabs>
                <w:tab w:val="left" w:pos="851"/>
              </w:tabs>
              <w:jc w:val="both"/>
              <w:rPr>
                <w:rFonts w:ascii="Times New Roman" w:eastAsia="SimSun" w:hAnsi="Times New Roman" w:cs="Times New Roman"/>
                <w:b w:val="0"/>
                <w:bCs w:val="0"/>
                <w:sz w:val="18"/>
                <w:szCs w:val="18"/>
                <w:lang w:eastAsia="zh-CN"/>
              </w:rPr>
            </w:pPr>
            <w:r w:rsidRPr="00BA06B6">
              <w:rPr>
                <w:rFonts w:ascii="Times New Roman" w:eastAsia="SimSun" w:hAnsi="Times New Roman" w:cs="Times New Roman"/>
                <w:b w:val="0"/>
                <w:bCs w:val="0"/>
                <w:sz w:val="18"/>
                <w:szCs w:val="18"/>
                <w:lang w:eastAsia="zh-CN"/>
              </w:rPr>
              <w:t>BBID</w:t>
            </w:r>
          </w:p>
        </w:tc>
        <w:tc>
          <w:tcPr>
            <w:tcW w:w="8683" w:type="dxa"/>
            <w:shd w:val="clear" w:color="auto" w:fill="FFFFFF" w:themeFill="background1"/>
          </w:tcPr>
          <w:p w14:paraId="273AE947"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Cs/>
                <w:sz w:val="18"/>
                <w:szCs w:val="18"/>
                <w:lang w:eastAsia="zh-CN"/>
              </w:rPr>
            </w:pPr>
            <w:r w:rsidRPr="00BA06B6">
              <w:rPr>
                <w:rFonts w:ascii="Times New Roman" w:eastAsia="SimSun" w:hAnsi="Times New Roman" w:cs="Times New Roman"/>
                <w:bCs/>
                <w:sz w:val="18"/>
                <w:szCs w:val="18"/>
                <w:lang w:eastAsia="zh-CN"/>
              </w:rPr>
              <w:t>Percentage of non-executives directors to the total number of a bank’s board of directors.</w:t>
            </w:r>
          </w:p>
        </w:tc>
      </w:tr>
      <w:tr w:rsidR="00BA06B6" w:rsidRPr="00BA06B6" w14:paraId="6AAB0C31" w14:textId="77777777" w:rsidTr="00B91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tcBorders>
              <w:bottom w:val="single" w:sz="4" w:space="0" w:color="auto"/>
            </w:tcBorders>
            <w:shd w:val="clear" w:color="auto" w:fill="FFFFFF" w:themeFill="background1"/>
          </w:tcPr>
          <w:p w14:paraId="10CF3A8B" w14:textId="77777777" w:rsidR="00AA068C" w:rsidRPr="00BA06B6" w:rsidRDefault="00AA068C" w:rsidP="00BC341D">
            <w:pPr>
              <w:tabs>
                <w:tab w:val="left" w:pos="851"/>
              </w:tabs>
              <w:jc w:val="both"/>
              <w:rPr>
                <w:rFonts w:ascii="Times New Roman" w:eastAsia="SimSun" w:hAnsi="Times New Roman" w:cs="Times New Roman"/>
                <w:b w:val="0"/>
                <w:bCs w:val="0"/>
                <w:sz w:val="18"/>
                <w:szCs w:val="18"/>
                <w:lang w:eastAsia="zh-CN"/>
              </w:rPr>
            </w:pPr>
            <w:r w:rsidRPr="00BA06B6">
              <w:rPr>
                <w:rFonts w:ascii="Times New Roman" w:eastAsia="SimSun" w:hAnsi="Times New Roman" w:cs="Times New Roman"/>
                <w:b w:val="0"/>
                <w:bCs w:val="0"/>
                <w:sz w:val="18"/>
                <w:szCs w:val="18"/>
                <w:lang w:eastAsia="zh-CN"/>
              </w:rPr>
              <w:t xml:space="preserve">SSB </w:t>
            </w:r>
          </w:p>
        </w:tc>
        <w:tc>
          <w:tcPr>
            <w:tcW w:w="8683" w:type="dxa"/>
            <w:tcBorders>
              <w:bottom w:val="single" w:sz="4" w:space="0" w:color="auto"/>
            </w:tcBorders>
            <w:shd w:val="clear" w:color="auto" w:fill="FFFFFF" w:themeFill="background1"/>
          </w:tcPr>
          <w:p w14:paraId="7905B2D8"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Cs/>
                <w:sz w:val="18"/>
                <w:szCs w:val="18"/>
                <w:lang w:eastAsia="zh-CN"/>
              </w:rPr>
            </w:pPr>
            <w:r w:rsidRPr="00BA06B6">
              <w:rPr>
                <w:rFonts w:ascii="Times New Roman" w:eastAsia="Times New Roman" w:hAnsi="Times New Roman" w:cs="Times New Roman"/>
                <w:iCs/>
                <w:sz w:val="18"/>
                <w:szCs w:val="18"/>
                <w:lang w:eastAsia="en-GB"/>
              </w:rPr>
              <w:t>The total SSB characteristics score (</w:t>
            </w:r>
            <w:r w:rsidRPr="00BA06B6">
              <w:rPr>
                <w:rFonts w:ascii="Times New Roman" w:eastAsia="Times New Roman" w:hAnsi="Times New Roman" w:cs="Times New Roman"/>
                <w:i/>
                <w:sz w:val="18"/>
                <w:szCs w:val="18"/>
                <w:lang w:eastAsia="en-GB"/>
              </w:rPr>
              <w:t>SSB</w:t>
            </w:r>
            <w:r w:rsidRPr="00BA06B6">
              <w:rPr>
                <w:rFonts w:ascii="Times New Roman" w:eastAsia="Times New Roman" w:hAnsi="Times New Roman" w:cs="Times New Roman"/>
                <w:iCs/>
                <w:sz w:val="18"/>
                <w:szCs w:val="18"/>
                <w:lang w:eastAsia="en-GB"/>
              </w:rPr>
              <w:t>), which is calculated based on an SSB index that contains 7 items.  Scoring criteria are</w:t>
            </w:r>
            <w:r w:rsidRPr="00BA06B6">
              <w:rPr>
                <w:rFonts w:ascii="Times New Roman" w:eastAsia="SimSun" w:hAnsi="Times New Roman" w:cs="Times New Roman"/>
                <w:bCs/>
                <w:sz w:val="18"/>
                <w:szCs w:val="18"/>
                <w:lang w:eastAsia="zh-CN"/>
              </w:rPr>
              <w:t xml:space="preserve">; SSB existence=1, if a bank has SSB board, 0 otherwise.; SSB report =1, if a bank has disclosed SSB report, 0 otherwise; SSB  size =1, if a bank has disclosed number of SSB’s member, 0 otherwise; SSB meetings=1, if a bank has disclosed number of SSB meetings, 0 otherwise; Experience=1, if a bank discloses SSB experience, 0 otherwise; Independent=1, if SSB’s members are independent from management, 0 otherwise; Total fees disclosed=1, if a bank discloses SSB fees/ compensation, 0 otherwise. This are then aggregated and expressed as a percentage ranging from 0% (lowest) to 100% (highest). </w:t>
            </w:r>
          </w:p>
        </w:tc>
      </w:tr>
      <w:tr w:rsidR="00BA06B6" w:rsidRPr="00BA06B6" w14:paraId="6ECC8885" w14:textId="77777777" w:rsidTr="00B91469">
        <w:tc>
          <w:tcPr>
            <w:cnfStyle w:val="001000000000" w:firstRow="0" w:lastRow="0" w:firstColumn="1" w:lastColumn="0" w:oddVBand="0" w:evenVBand="0" w:oddHBand="0" w:evenHBand="0" w:firstRowFirstColumn="0" w:firstRowLastColumn="0" w:lastRowFirstColumn="0" w:lastRowLastColumn="0"/>
            <w:tcW w:w="9639" w:type="dxa"/>
            <w:gridSpan w:val="2"/>
            <w:tcBorders>
              <w:top w:val="single" w:sz="4" w:space="0" w:color="auto"/>
              <w:bottom w:val="single" w:sz="4" w:space="0" w:color="auto"/>
            </w:tcBorders>
            <w:shd w:val="clear" w:color="auto" w:fill="FFFFFF" w:themeFill="background1"/>
          </w:tcPr>
          <w:p w14:paraId="3EFF9A3A" w14:textId="77777777" w:rsidR="00AA068C" w:rsidRPr="00BA06B6" w:rsidRDefault="00AA068C" w:rsidP="00BC341D">
            <w:pPr>
              <w:tabs>
                <w:tab w:val="left" w:pos="851"/>
              </w:tabs>
              <w:jc w:val="both"/>
              <w:rPr>
                <w:rFonts w:ascii="Times New Roman" w:eastAsia="SimSun" w:hAnsi="Times New Roman" w:cs="Times New Roman"/>
                <w:b w:val="0"/>
                <w:bCs w:val="0"/>
                <w:iCs/>
                <w:sz w:val="18"/>
                <w:szCs w:val="18"/>
                <w:lang w:eastAsia="zh-CN"/>
              </w:rPr>
            </w:pPr>
            <w:r w:rsidRPr="00BA06B6">
              <w:rPr>
                <w:rFonts w:ascii="Times New Roman" w:eastAsia="SimSun" w:hAnsi="Times New Roman" w:cs="Times New Roman"/>
                <w:b w:val="0"/>
                <w:bCs w:val="0"/>
                <w:iCs/>
                <w:caps w:val="0"/>
                <w:sz w:val="18"/>
                <w:szCs w:val="18"/>
                <w:lang w:eastAsia="zh-CN"/>
              </w:rPr>
              <w:t>Panel D: Control Variables.</w:t>
            </w:r>
          </w:p>
        </w:tc>
      </w:tr>
      <w:tr w:rsidR="00BA06B6" w:rsidRPr="00BA06B6" w14:paraId="21042374" w14:textId="77777777" w:rsidTr="00B91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tcBorders>
              <w:top w:val="single" w:sz="4" w:space="0" w:color="auto"/>
            </w:tcBorders>
            <w:shd w:val="clear" w:color="auto" w:fill="FFFFFF" w:themeFill="background1"/>
          </w:tcPr>
          <w:p w14:paraId="379E5446" w14:textId="77777777" w:rsidR="00AA068C" w:rsidRPr="00BA06B6" w:rsidRDefault="00AA068C" w:rsidP="00BC341D">
            <w:pPr>
              <w:tabs>
                <w:tab w:val="left" w:pos="851"/>
              </w:tabs>
              <w:jc w:val="both"/>
              <w:rPr>
                <w:rFonts w:ascii="Times New Roman" w:eastAsia="SimSun" w:hAnsi="Times New Roman" w:cs="Times New Roman"/>
                <w:b w:val="0"/>
                <w:bCs w:val="0"/>
                <w:iCs/>
                <w:sz w:val="18"/>
                <w:szCs w:val="18"/>
                <w:lang w:eastAsia="zh-CN"/>
              </w:rPr>
            </w:pPr>
            <w:r w:rsidRPr="00BA06B6">
              <w:rPr>
                <w:rFonts w:ascii="Times New Roman" w:eastAsia="SimSun" w:hAnsi="Times New Roman" w:cs="Times New Roman"/>
                <w:b w:val="0"/>
                <w:bCs w:val="0"/>
                <w:iCs/>
                <w:sz w:val="18"/>
                <w:szCs w:val="18"/>
                <w:lang w:eastAsia="zh-CN"/>
              </w:rPr>
              <w:t>LNTA</w:t>
            </w:r>
          </w:p>
        </w:tc>
        <w:tc>
          <w:tcPr>
            <w:tcW w:w="8683" w:type="dxa"/>
            <w:tcBorders>
              <w:top w:val="single" w:sz="4" w:space="0" w:color="auto"/>
            </w:tcBorders>
            <w:shd w:val="clear" w:color="auto" w:fill="FFFFFF" w:themeFill="background1"/>
          </w:tcPr>
          <w:p w14:paraId="5013C1F1"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Cs/>
                <w:sz w:val="18"/>
                <w:szCs w:val="18"/>
                <w:lang w:eastAsia="zh-CN"/>
              </w:rPr>
            </w:pPr>
            <w:r w:rsidRPr="00BA06B6">
              <w:rPr>
                <w:rFonts w:ascii="Times New Roman" w:eastAsia="SimSun" w:hAnsi="Times New Roman" w:cs="Times New Roman"/>
                <w:bCs/>
                <w:sz w:val="18"/>
                <w:szCs w:val="18"/>
                <w:lang w:eastAsia="zh-CN"/>
              </w:rPr>
              <w:t>Natural log of total assets.</w:t>
            </w:r>
          </w:p>
        </w:tc>
      </w:tr>
      <w:tr w:rsidR="00BA06B6" w:rsidRPr="00BA06B6" w14:paraId="4086BA4F" w14:textId="77777777" w:rsidTr="00B91469">
        <w:tc>
          <w:tcPr>
            <w:cnfStyle w:val="001000000000" w:firstRow="0" w:lastRow="0" w:firstColumn="1" w:lastColumn="0" w:oddVBand="0" w:evenVBand="0" w:oddHBand="0" w:evenHBand="0" w:firstRowFirstColumn="0" w:firstRowLastColumn="0" w:lastRowFirstColumn="0" w:lastRowLastColumn="0"/>
            <w:tcW w:w="956" w:type="dxa"/>
            <w:shd w:val="clear" w:color="auto" w:fill="FFFFFF" w:themeFill="background1"/>
          </w:tcPr>
          <w:p w14:paraId="36D0D802" w14:textId="77777777" w:rsidR="00AA068C" w:rsidRPr="00BA06B6" w:rsidRDefault="00AA068C" w:rsidP="00BC341D">
            <w:pPr>
              <w:tabs>
                <w:tab w:val="left" w:pos="851"/>
              </w:tabs>
              <w:jc w:val="both"/>
              <w:rPr>
                <w:rFonts w:ascii="Times New Roman" w:eastAsia="SimSun" w:hAnsi="Times New Roman" w:cs="Times New Roman"/>
                <w:b w:val="0"/>
                <w:bCs w:val="0"/>
                <w:iCs/>
                <w:sz w:val="18"/>
                <w:szCs w:val="18"/>
                <w:lang w:eastAsia="zh-CN"/>
              </w:rPr>
            </w:pPr>
            <w:r w:rsidRPr="00BA06B6">
              <w:rPr>
                <w:rFonts w:ascii="Times New Roman" w:eastAsia="SimSun" w:hAnsi="Times New Roman" w:cs="Times New Roman"/>
                <w:b w:val="0"/>
                <w:bCs w:val="0"/>
                <w:iCs/>
                <w:sz w:val="18"/>
                <w:szCs w:val="18"/>
                <w:lang w:eastAsia="zh-CN"/>
              </w:rPr>
              <w:t>ROAA</w:t>
            </w:r>
          </w:p>
        </w:tc>
        <w:tc>
          <w:tcPr>
            <w:tcW w:w="8683" w:type="dxa"/>
            <w:shd w:val="clear" w:color="auto" w:fill="FFFFFF" w:themeFill="background1"/>
          </w:tcPr>
          <w:p w14:paraId="04FB876B"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Cs/>
                <w:sz w:val="18"/>
                <w:szCs w:val="18"/>
                <w:lang w:eastAsia="zh-CN"/>
              </w:rPr>
            </w:pPr>
            <w:r w:rsidRPr="00BA06B6">
              <w:rPr>
                <w:rFonts w:ascii="Times New Roman" w:eastAsia="SimSun" w:hAnsi="Times New Roman" w:cs="Times New Roman"/>
                <w:bCs/>
                <w:sz w:val="18"/>
                <w:szCs w:val="18"/>
                <w:lang w:eastAsia="zh-CN"/>
              </w:rPr>
              <w:t xml:space="preserve"> Percentage of net income to total asset.</w:t>
            </w:r>
          </w:p>
        </w:tc>
      </w:tr>
      <w:tr w:rsidR="00BA06B6" w:rsidRPr="00BA06B6" w14:paraId="2109250F" w14:textId="77777777" w:rsidTr="00B91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shd w:val="clear" w:color="auto" w:fill="FFFFFF" w:themeFill="background1"/>
          </w:tcPr>
          <w:p w14:paraId="0BA64983" w14:textId="77777777" w:rsidR="00AA068C" w:rsidRPr="00BA06B6" w:rsidRDefault="00AA068C" w:rsidP="00BC341D">
            <w:pPr>
              <w:tabs>
                <w:tab w:val="left" w:pos="851"/>
              </w:tabs>
              <w:jc w:val="both"/>
              <w:rPr>
                <w:rFonts w:ascii="Times New Roman" w:eastAsia="SimSun" w:hAnsi="Times New Roman" w:cs="Times New Roman"/>
                <w:b w:val="0"/>
                <w:bCs w:val="0"/>
                <w:iCs/>
                <w:sz w:val="18"/>
                <w:szCs w:val="18"/>
                <w:lang w:eastAsia="zh-CN"/>
              </w:rPr>
            </w:pPr>
            <w:r w:rsidRPr="00BA06B6">
              <w:rPr>
                <w:rFonts w:ascii="Times New Roman" w:eastAsia="SimSun" w:hAnsi="Times New Roman" w:cs="Times New Roman"/>
                <w:b w:val="0"/>
                <w:bCs w:val="0"/>
                <w:iCs/>
                <w:sz w:val="18"/>
                <w:szCs w:val="18"/>
                <w:lang w:eastAsia="zh-CN"/>
              </w:rPr>
              <w:t>LIQ</w:t>
            </w:r>
          </w:p>
        </w:tc>
        <w:tc>
          <w:tcPr>
            <w:tcW w:w="8683" w:type="dxa"/>
            <w:shd w:val="clear" w:color="auto" w:fill="FFFFFF" w:themeFill="background1"/>
          </w:tcPr>
          <w:p w14:paraId="055ECDC8"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Cs/>
                <w:sz w:val="18"/>
                <w:szCs w:val="18"/>
                <w:lang w:eastAsia="zh-CN"/>
              </w:rPr>
            </w:pPr>
            <w:r w:rsidRPr="00BA06B6">
              <w:rPr>
                <w:rFonts w:ascii="Times New Roman" w:eastAsia="SimSun" w:hAnsi="Times New Roman" w:cs="Times New Roman"/>
                <w:bCs/>
                <w:sz w:val="18"/>
                <w:szCs w:val="18"/>
                <w:lang w:eastAsia="zh-CN"/>
              </w:rPr>
              <w:t>Net loans to total assets.</w:t>
            </w:r>
          </w:p>
        </w:tc>
      </w:tr>
      <w:tr w:rsidR="00BA06B6" w:rsidRPr="00BA06B6" w14:paraId="50173510" w14:textId="77777777" w:rsidTr="00B91469">
        <w:tc>
          <w:tcPr>
            <w:cnfStyle w:val="001000000000" w:firstRow="0" w:lastRow="0" w:firstColumn="1" w:lastColumn="0" w:oddVBand="0" w:evenVBand="0" w:oddHBand="0" w:evenHBand="0" w:firstRowFirstColumn="0" w:firstRowLastColumn="0" w:lastRowFirstColumn="0" w:lastRowLastColumn="0"/>
            <w:tcW w:w="956" w:type="dxa"/>
            <w:shd w:val="clear" w:color="auto" w:fill="FFFFFF" w:themeFill="background1"/>
          </w:tcPr>
          <w:p w14:paraId="76DF7B26" w14:textId="77777777" w:rsidR="00AA068C" w:rsidRPr="00BA06B6" w:rsidRDefault="00AA068C" w:rsidP="00BC341D">
            <w:pPr>
              <w:tabs>
                <w:tab w:val="left" w:pos="851"/>
              </w:tabs>
              <w:jc w:val="both"/>
              <w:rPr>
                <w:rFonts w:ascii="Times New Roman" w:eastAsia="SimSun" w:hAnsi="Times New Roman" w:cs="Times New Roman"/>
                <w:b w:val="0"/>
                <w:bCs w:val="0"/>
                <w:iCs/>
                <w:sz w:val="18"/>
                <w:szCs w:val="18"/>
                <w:lang w:eastAsia="zh-CN"/>
              </w:rPr>
            </w:pPr>
            <w:r w:rsidRPr="00BA06B6">
              <w:rPr>
                <w:rFonts w:ascii="Times New Roman" w:eastAsia="SimSun" w:hAnsi="Times New Roman" w:cs="Times New Roman"/>
                <w:b w:val="0"/>
                <w:bCs w:val="0"/>
                <w:iCs/>
                <w:sz w:val="18"/>
                <w:szCs w:val="18"/>
                <w:lang w:eastAsia="zh-CN"/>
              </w:rPr>
              <w:t>INCD</w:t>
            </w:r>
          </w:p>
        </w:tc>
        <w:tc>
          <w:tcPr>
            <w:tcW w:w="8683" w:type="dxa"/>
            <w:shd w:val="clear" w:color="auto" w:fill="FFFFFF" w:themeFill="background1"/>
          </w:tcPr>
          <w:p w14:paraId="768464AD"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Cs/>
                <w:sz w:val="18"/>
                <w:szCs w:val="18"/>
                <w:lang w:eastAsia="zh-CN"/>
              </w:rPr>
            </w:pPr>
            <w:r w:rsidRPr="00BA06B6">
              <w:rPr>
                <w:rFonts w:ascii="Times New Roman" w:eastAsia="SimSun" w:hAnsi="Times New Roman" w:cs="Times New Roman"/>
                <w:bCs/>
                <w:sz w:val="18"/>
                <w:szCs w:val="18"/>
                <w:lang w:eastAsia="zh-CN"/>
              </w:rPr>
              <w:t>Percentage of net interest income/ average earning assets.</w:t>
            </w:r>
          </w:p>
        </w:tc>
      </w:tr>
      <w:tr w:rsidR="00BA06B6" w:rsidRPr="00BA06B6" w14:paraId="29BEF24E" w14:textId="77777777" w:rsidTr="00B91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shd w:val="clear" w:color="auto" w:fill="FFFFFF" w:themeFill="background1"/>
          </w:tcPr>
          <w:p w14:paraId="255B762A" w14:textId="77777777" w:rsidR="00AA068C" w:rsidRPr="00BA06B6" w:rsidRDefault="00AA068C" w:rsidP="00BC341D">
            <w:pPr>
              <w:tabs>
                <w:tab w:val="left" w:pos="851"/>
              </w:tabs>
              <w:jc w:val="both"/>
              <w:rPr>
                <w:rFonts w:ascii="Times New Roman" w:eastAsia="SimSun" w:hAnsi="Times New Roman" w:cs="Times New Roman"/>
                <w:b w:val="0"/>
                <w:bCs w:val="0"/>
                <w:iCs/>
                <w:sz w:val="18"/>
                <w:szCs w:val="18"/>
                <w:lang w:eastAsia="zh-CN"/>
              </w:rPr>
            </w:pPr>
            <w:r w:rsidRPr="00BA06B6">
              <w:rPr>
                <w:rFonts w:ascii="Times New Roman" w:eastAsia="SimSun" w:hAnsi="Times New Roman" w:cs="Times New Roman"/>
                <w:b w:val="0"/>
                <w:bCs w:val="0"/>
                <w:iCs/>
                <w:sz w:val="18"/>
                <w:szCs w:val="18"/>
                <w:lang w:eastAsia="zh-CN"/>
              </w:rPr>
              <w:t>COST</w:t>
            </w:r>
          </w:p>
        </w:tc>
        <w:tc>
          <w:tcPr>
            <w:tcW w:w="8683" w:type="dxa"/>
            <w:shd w:val="clear" w:color="auto" w:fill="FFFFFF" w:themeFill="background1"/>
          </w:tcPr>
          <w:p w14:paraId="40D0EA72"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Cs/>
                <w:sz w:val="18"/>
                <w:szCs w:val="18"/>
                <w:lang w:eastAsia="zh-CN"/>
              </w:rPr>
            </w:pPr>
            <w:r w:rsidRPr="00BA06B6">
              <w:rPr>
                <w:rFonts w:ascii="Times New Roman" w:eastAsia="SimSun" w:hAnsi="Times New Roman" w:cs="Times New Roman"/>
                <w:bCs/>
                <w:sz w:val="18"/>
                <w:szCs w:val="18"/>
                <w:lang w:eastAsia="zh-CN"/>
              </w:rPr>
              <w:t>Percentage of cost to income.</w:t>
            </w:r>
          </w:p>
        </w:tc>
      </w:tr>
      <w:tr w:rsidR="00BA06B6" w:rsidRPr="00BA06B6" w14:paraId="66221CB5" w14:textId="77777777" w:rsidTr="00B91469">
        <w:tc>
          <w:tcPr>
            <w:cnfStyle w:val="001000000000" w:firstRow="0" w:lastRow="0" w:firstColumn="1" w:lastColumn="0" w:oddVBand="0" w:evenVBand="0" w:oddHBand="0" w:evenHBand="0" w:firstRowFirstColumn="0" w:firstRowLastColumn="0" w:lastRowFirstColumn="0" w:lastRowLastColumn="0"/>
            <w:tcW w:w="956" w:type="dxa"/>
            <w:shd w:val="clear" w:color="auto" w:fill="FFFFFF" w:themeFill="background1"/>
          </w:tcPr>
          <w:p w14:paraId="1D625A7A" w14:textId="77777777" w:rsidR="00AA068C" w:rsidRPr="00BA06B6" w:rsidRDefault="00AA068C" w:rsidP="00BC341D">
            <w:pPr>
              <w:tabs>
                <w:tab w:val="left" w:pos="851"/>
              </w:tabs>
              <w:jc w:val="both"/>
              <w:rPr>
                <w:rFonts w:ascii="Times New Roman" w:eastAsia="SimSun" w:hAnsi="Times New Roman" w:cs="Times New Roman"/>
                <w:b w:val="0"/>
                <w:bCs w:val="0"/>
                <w:iCs/>
                <w:sz w:val="18"/>
                <w:szCs w:val="18"/>
                <w:lang w:eastAsia="zh-CN"/>
              </w:rPr>
            </w:pPr>
            <w:r w:rsidRPr="00BA06B6">
              <w:rPr>
                <w:rFonts w:ascii="Times New Roman" w:eastAsia="SimSun" w:hAnsi="Times New Roman" w:cs="Times New Roman"/>
                <w:b w:val="0"/>
                <w:bCs w:val="0"/>
                <w:iCs/>
                <w:sz w:val="18"/>
                <w:szCs w:val="18"/>
                <w:lang w:eastAsia="zh-CN"/>
              </w:rPr>
              <w:t>CAP</w:t>
            </w:r>
          </w:p>
        </w:tc>
        <w:tc>
          <w:tcPr>
            <w:tcW w:w="8683" w:type="dxa"/>
            <w:shd w:val="clear" w:color="auto" w:fill="FFFFFF" w:themeFill="background1"/>
          </w:tcPr>
          <w:p w14:paraId="6135C060"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Cs/>
                <w:sz w:val="18"/>
                <w:szCs w:val="18"/>
                <w:lang w:eastAsia="zh-CN"/>
              </w:rPr>
            </w:pPr>
            <w:r w:rsidRPr="00BA06B6">
              <w:rPr>
                <w:rFonts w:ascii="Times New Roman" w:eastAsia="SimSun" w:hAnsi="Times New Roman" w:cs="Times New Roman"/>
                <w:bCs/>
                <w:sz w:val="18"/>
                <w:szCs w:val="18"/>
                <w:lang w:eastAsia="zh-CN"/>
              </w:rPr>
              <w:t xml:space="preserve"> Ratio of capital to risk-weighted assets</w:t>
            </w:r>
          </w:p>
        </w:tc>
      </w:tr>
      <w:tr w:rsidR="00BA06B6" w:rsidRPr="00BA06B6" w14:paraId="4164E9C1" w14:textId="77777777" w:rsidTr="00B91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shd w:val="clear" w:color="auto" w:fill="FFFFFF" w:themeFill="background1"/>
          </w:tcPr>
          <w:p w14:paraId="45B432EE" w14:textId="77777777" w:rsidR="00AA068C" w:rsidRPr="00BA06B6" w:rsidRDefault="00AA068C" w:rsidP="00BC341D">
            <w:pPr>
              <w:tabs>
                <w:tab w:val="left" w:pos="851"/>
              </w:tabs>
              <w:jc w:val="both"/>
              <w:rPr>
                <w:rFonts w:ascii="Times New Roman" w:eastAsia="SimSun" w:hAnsi="Times New Roman" w:cs="Times New Roman"/>
                <w:b w:val="0"/>
                <w:bCs w:val="0"/>
                <w:iCs/>
                <w:sz w:val="18"/>
                <w:szCs w:val="18"/>
                <w:lang w:eastAsia="zh-CN"/>
              </w:rPr>
            </w:pPr>
            <w:r w:rsidRPr="00BA06B6">
              <w:rPr>
                <w:rFonts w:ascii="Times New Roman" w:eastAsia="SimSun" w:hAnsi="Times New Roman" w:cs="Times New Roman"/>
                <w:b w:val="0"/>
                <w:bCs w:val="0"/>
                <w:iCs/>
                <w:sz w:val="18"/>
                <w:szCs w:val="18"/>
                <w:lang w:eastAsia="zh-CN"/>
              </w:rPr>
              <w:t>V&amp;A</w:t>
            </w:r>
          </w:p>
        </w:tc>
        <w:tc>
          <w:tcPr>
            <w:tcW w:w="8683" w:type="dxa"/>
            <w:shd w:val="clear" w:color="auto" w:fill="FFFFFF" w:themeFill="background1"/>
          </w:tcPr>
          <w:p w14:paraId="2D12B2DF"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Cs/>
                <w:sz w:val="18"/>
                <w:szCs w:val="18"/>
                <w:lang w:eastAsia="zh-CN"/>
              </w:rPr>
            </w:pPr>
            <w:r w:rsidRPr="00BA06B6">
              <w:rPr>
                <w:rFonts w:ascii="Times New Roman" w:eastAsia="SimSun" w:hAnsi="Times New Roman" w:cs="Times New Roman"/>
                <w:bCs/>
                <w:sz w:val="18"/>
                <w:szCs w:val="18"/>
                <w:lang w:eastAsia="zh-CN"/>
              </w:rPr>
              <w:t xml:space="preserve">Country-level voice and accountability score based on </w:t>
            </w:r>
            <w:hyperlink w:anchor="_ENREF_86" w:tooltip="Kaufmann, 2010 #468" w:history="1">
              <w:r w:rsidRPr="00BA06B6">
                <w:rPr>
                  <w:rFonts w:ascii="Times New Roman" w:eastAsia="SimSun" w:hAnsi="Times New Roman" w:cs="Times New Roman"/>
                  <w:bCs/>
                  <w:sz w:val="18"/>
                  <w:szCs w:val="18"/>
                  <w:lang w:eastAsia="zh-CN"/>
                </w:rPr>
                <w:fldChar w:fldCharType="begin"/>
              </w:r>
              <w:r w:rsidRPr="00BA06B6">
                <w:rPr>
                  <w:rFonts w:ascii="Times New Roman" w:eastAsia="SimSun" w:hAnsi="Times New Roman" w:cs="Times New Roman"/>
                  <w:bCs/>
                  <w:sz w:val="18"/>
                  <w:szCs w:val="18"/>
                  <w:lang w:eastAsia="zh-CN"/>
                </w:rPr>
                <w:instrText xml:space="preserve"> ADDIN EN.CITE &lt;EndNote&gt;&lt;Cite AuthorYear="1"&gt;&lt;Author&gt;Kaufmann&lt;/Author&gt;&lt;Year&gt;2010&lt;/Year&gt;&lt;RecNum&gt;468&lt;/RecNum&gt;&lt;DisplayText&gt;Kaufmann et al. (2010)&lt;/DisplayText&gt;&lt;record&gt;&lt;rec-number&gt;468&lt;/rec-number&gt;&lt;foreign-keys&gt;&lt;key app="EN" db-id="2dxffaaevppfp1e50wgpfxs8pwda290z0az0" timestamp="1441229301"&gt;468&lt;/key&gt;&lt;/foreign-keys&gt;&lt;ref-type name="Journal Article"&gt;17&lt;/ref-type&gt;&lt;contributors&gt;&lt;authors&gt;&lt;author&gt;Daniel Kaufmann&lt;/author&gt;&lt;author&gt;Aart Kraay&lt;/author&gt;&lt;author&gt;Massimo Mastruzzi&lt;/author&gt;&lt;/authors&gt;&lt;/contributors&gt;&lt;titles&gt;&lt;title&gt;The Worldwide Governance Indicators: Methodology and Analytical Issues&lt;/title&gt;&lt;secondary-title&gt;World Bank Policy Research Working Paper No. 5430. Available at SSRN: http://ssrn.com/abstract=1682130&lt;/secondary-title&gt;&lt;/titles&gt;&lt;periodical&gt;&lt;full-title&gt;World Bank Policy Research Working Paper No. 5430. Available at SSRN: http://ssrn.com/abstract=1682130&lt;/full-title&gt;&lt;/periodical&gt;&lt;pages&gt;1-28&lt;/pages&gt;&lt;section&gt;1&lt;/section&gt;&lt;dates&gt;&lt;year&gt;2010&lt;/year&gt;&lt;/dates&gt;&lt;work-type&gt;Working Paper&lt;/work-type&gt;&lt;urls&gt;&lt;/urls&gt;&lt;/record&gt;&lt;/Cite&gt;&lt;/EndNote&gt;</w:instrText>
              </w:r>
              <w:r w:rsidRPr="00BA06B6">
                <w:rPr>
                  <w:rFonts w:ascii="Times New Roman" w:eastAsia="SimSun" w:hAnsi="Times New Roman" w:cs="Times New Roman"/>
                  <w:bCs/>
                  <w:sz w:val="18"/>
                  <w:szCs w:val="18"/>
                  <w:lang w:eastAsia="zh-CN"/>
                </w:rPr>
                <w:fldChar w:fldCharType="separate"/>
              </w:r>
              <w:r w:rsidRPr="00BA06B6">
                <w:rPr>
                  <w:rFonts w:ascii="Times New Roman" w:eastAsia="SimSun" w:hAnsi="Times New Roman" w:cs="Times New Roman"/>
                  <w:bCs/>
                  <w:noProof/>
                  <w:sz w:val="18"/>
                  <w:szCs w:val="18"/>
                  <w:lang w:eastAsia="zh-CN"/>
                </w:rPr>
                <w:t xml:space="preserve">Kaufmann </w:t>
              </w:r>
              <w:r w:rsidRPr="00BA06B6">
                <w:rPr>
                  <w:rFonts w:ascii="Times New Roman" w:eastAsia="SimSun" w:hAnsi="Times New Roman" w:cs="Times New Roman"/>
                  <w:bCs/>
                  <w:i/>
                  <w:iCs/>
                  <w:noProof/>
                  <w:sz w:val="18"/>
                  <w:szCs w:val="18"/>
                  <w:lang w:eastAsia="zh-CN"/>
                </w:rPr>
                <w:t>et al.</w:t>
              </w:r>
              <w:r w:rsidRPr="00BA06B6">
                <w:rPr>
                  <w:rFonts w:ascii="Times New Roman" w:eastAsia="SimSun" w:hAnsi="Times New Roman" w:cs="Times New Roman"/>
                  <w:bCs/>
                  <w:noProof/>
                  <w:sz w:val="18"/>
                  <w:szCs w:val="18"/>
                  <w:lang w:eastAsia="zh-CN"/>
                </w:rPr>
                <w:t xml:space="preserve"> (2010)</w:t>
              </w:r>
              <w:r w:rsidRPr="00BA06B6">
                <w:rPr>
                  <w:rFonts w:ascii="Times New Roman" w:eastAsia="SimSun" w:hAnsi="Times New Roman" w:cs="Times New Roman"/>
                  <w:bCs/>
                  <w:sz w:val="18"/>
                  <w:szCs w:val="18"/>
                  <w:lang w:eastAsia="zh-CN"/>
                </w:rPr>
                <w:fldChar w:fldCharType="end"/>
              </w:r>
            </w:hyperlink>
            <w:r w:rsidRPr="00BA06B6">
              <w:rPr>
                <w:rFonts w:ascii="Times New Roman" w:eastAsia="SimSun" w:hAnsi="Times New Roman" w:cs="Times New Roman"/>
                <w:bCs/>
                <w:sz w:val="18"/>
                <w:szCs w:val="18"/>
                <w:lang w:eastAsia="zh-CN"/>
              </w:rPr>
              <w:t>, which measures the extent to which a country's residents contribute towards choosing their government, enjoying freedom of independence and association, and having unrestricted access to media in years. A higher score means more accountability.</w:t>
            </w:r>
          </w:p>
        </w:tc>
      </w:tr>
      <w:tr w:rsidR="00BA06B6" w:rsidRPr="00BA06B6" w14:paraId="2D28E812" w14:textId="77777777" w:rsidTr="00B91469">
        <w:tc>
          <w:tcPr>
            <w:cnfStyle w:val="001000000000" w:firstRow="0" w:lastRow="0" w:firstColumn="1" w:lastColumn="0" w:oddVBand="0" w:evenVBand="0" w:oddHBand="0" w:evenHBand="0" w:firstRowFirstColumn="0" w:firstRowLastColumn="0" w:lastRowFirstColumn="0" w:lastRowLastColumn="0"/>
            <w:tcW w:w="956" w:type="dxa"/>
            <w:shd w:val="clear" w:color="auto" w:fill="FFFFFF" w:themeFill="background1"/>
          </w:tcPr>
          <w:p w14:paraId="57687BA9" w14:textId="77777777" w:rsidR="00AA068C" w:rsidRPr="00BA06B6" w:rsidRDefault="00AA068C" w:rsidP="00BC341D">
            <w:pPr>
              <w:tabs>
                <w:tab w:val="left" w:pos="851"/>
              </w:tabs>
              <w:jc w:val="both"/>
              <w:rPr>
                <w:rFonts w:ascii="Times New Roman" w:eastAsia="SimSun" w:hAnsi="Times New Roman" w:cs="Times New Roman"/>
                <w:b w:val="0"/>
                <w:bCs w:val="0"/>
                <w:iCs/>
                <w:sz w:val="18"/>
                <w:szCs w:val="18"/>
                <w:lang w:eastAsia="zh-CN"/>
              </w:rPr>
            </w:pPr>
            <w:r w:rsidRPr="00BA06B6">
              <w:rPr>
                <w:rFonts w:ascii="Times New Roman" w:eastAsia="SimSun" w:hAnsi="Times New Roman" w:cs="Times New Roman"/>
                <w:b w:val="0"/>
                <w:bCs w:val="0"/>
                <w:iCs/>
                <w:sz w:val="18"/>
                <w:szCs w:val="18"/>
                <w:lang w:eastAsia="zh-CN"/>
              </w:rPr>
              <w:t>RQ</w:t>
            </w:r>
          </w:p>
        </w:tc>
        <w:tc>
          <w:tcPr>
            <w:tcW w:w="8683" w:type="dxa"/>
            <w:shd w:val="clear" w:color="auto" w:fill="FFFFFF" w:themeFill="background1"/>
          </w:tcPr>
          <w:p w14:paraId="5E5CE779"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Cs/>
                <w:sz w:val="18"/>
                <w:szCs w:val="18"/>
                <w:lang w:eastAsia="zh-CN"/>
              </w:rPr>
            </w:pPr>
            <w:r w:rsidRPr="00BA06B6">
              <w:rPr>
                <w:rFonts w:ascii="Times New Roman" w:eastAsia="SimSun" w:hAnsi="Times New Roman" w:cs="Times New Roman"/>
                <w:bCs/>
                <w:sz w:val="18"/>
                <w:szCs w:val="18"/>
                <w:lang w:eastAsia="zh-CN"/>
              </w:rPr>
              <w:t xml:space="preserve">Country-level regulatory quality score based on </w:t>
            </w:r>
            <w:hyperlink w:anchor="_ENREF_86" w:tooltip="Kaufmann, 2010 #468" w:history="1">
              <w:r w:rsidRPr="00BA06B6">
                <w:rPr>
                  <w:rFonts w:ascii="Times New Roman" w:eastAsia="SimSun" w:hAnsi="Times New Roman" w:cs="Times New Roman"/>
                  <w:bCs/>
                  <w:sz w:val="18"/>
                  <w:szCs w:val="18"/>
                  <w:lang w:eastAsia="zh-CN"/>
                </w:rPr>
                <w:fldChar w:fldCharType="begin"/>
              </w:r>
              <w:r w:rsidRPr="00BA06B6">
                <w:rPr>
                  <w:rFonts w:ascii="Times New Roman" w:eastAsia="SimSun" w:hAnsi="Times New Roman" w:cs="Times New Roman"/>
                  <w:bCs/>
                  <w:sz w:val="18"/>
                  <w:szCs w:val="18"/>
                  <w:lang w:eastAsia="zh-CN"/>
                </w:rPr>
                <w:instrText xml:space="preserve"> ADDIN EN.CITE &lt;EndNote&gt;&lt;Cite AuthorYear="1"&gt;&lt;Author&gt;Kaufmann&lt;/Author&gt;&lt;Year&gt;2010&lt;/Year&gt;&lt;RecNum&gt;468&lt;/RecNum&gt;&lt;DisplayText&gt;Kaufmann et al. (2010)&lt;/DisplayText&gt;&lt;record&gt;&lt;rec-number&gt;468&lt;/rec-number&gt;&lt;foreign-keys&gt;&lt;key app="EN" db-id="2dxffaaevppfp1e50wgpfxs8pwda290z0az0" timestamp="1441229301"&gt;468&lt;/key&gt;&lt;/foreign-keys&gt;&lt;ref-type name="Journal Article"&gt;17&lt;/ref-type&gt;&lt;contributors&gt;&lt;authors&gt;&lt;author&gt;Daniel Kaufmann&lt;/author&gt;&lt;author&gt;Aart Kraay&lt;/author&gt;&lt;author&gt;Massimo Mastruzzi&lt;/author&gt;&lt;/authors&gt;&lt;/contributors&gt;&lt;titles&gt;&lt;title&gt;The Worldwide Governance Indicators: Methodology and Analytical Issues&lt;/title&gt;&lt;secondary-title&gt;World Bank Policy Research Working Paper No. 5430. Available at SSRN: http://ssrn.com/abstract=1682130&lt;/secondary-title&gt;&lt;/titles&gt;&lt;periodical&gt;&lt;full-title&gt;World Bank Policy Research Working Paper No. 5430. Available at SSRN: http://ssrn.com/abstract=1682130&lt;/full-title&gt;&lt;/periodical&gt;&lt;pages&gt;1-28&lt;/pages&gt;&lt;section&gt;1&lt;/section&gt;&lt;dates&gt;&lt;year&gt;2010&lt;/year&gt;&lt;/dates&gt;&lt;work-type&gt;Working Paper&lt;/work-type&gt;&lt;urls&gt;&lt;/urls&gt;&lt;/record&gt;&lt;/Cite&gt;&lt;/EndNote&gt;</w:instrText>
              </w:r>
              <w:r w:rsidRPr="00BA06B6">
                <w:rPr>
                  <w:rFonts w:ascii="Times New Roman" w:eastAsia="SimSun" w:hAnsi="Times New Roman" w:cs="Times New Roman"/>
                  <w:bCs/>
                  <w:sz w:val="18"/>
                  <w:szCs w:val="18"/>
                  <w:lang w:eastAsia="zh-CN"/>
                </w:rPr>
                <w:fldChar w:fldCharType="separate"/>
              </w:r>
              <w:r w:rsidRPr="00BA06B6">
                <w:rPr>
                  <w:rFonts w:ascii="Times New Roman" w:eastAsia="SimSun" w:hAnsi="Times New Roman" w:cs="Times New Roman"/>
                  <w:bCs/>
                  <w:noProof/>
                  <w:sz w:val="18"/>
                  <w:szCs w:val="18"/>
                  <w:lang w:eastAsia="zh-CN"/>
                </w:rPr>
                <w:t xml:space="preserve">Kaufmann </w:t>
              </w:r>
              <w:r w:rsidRPr="00BA06B6">
                <w:rPr>
                  <w:rFonts w:ascii="Times New Roman" w:eastAsia="SimSun" w:hAnsi="Times New Roman" w:cs="Times New Roman"/>
                  <w:bCs/>
                  <w:i/>
                  <w:iCs/>
                  <w:noProof/>
                  <w:sz w:val="18"/>
                  <w:szCs w:val="18"/>
                  <w:lang w:eastAsia="zh-CN"/>
                </w:rPr>
                <w:t>et al.</w:t>
              </w:r>
              <w:r w:rsidRPr="00BA06B6">
                <w:rPr>
                  <w:rFonts w:ascii="Times New Roman" w:eastAsia="SimSun" w:hAnsi="Times New Roman" w:cs="Times New Roman"/>
                  <w:bCs/>
                  <w:noProof/>
                  <w:sz w:val="18"/>
                  <w:szCs w:val="18"/>
                  <w:lang w:eastAsia="zh-CN"/>
                </w:rPr>
                <w:t xml:space="preserve"> (2010)</w:t>
              </w:r>
              <w:r w:rsidRPr="00BA06B6">
                <w:rPr>
                  <w:rFonts w:ascii="Times New Roman" w:eastAsia="SimSun" w:hAnsi="Times New Roman" w:cs="Times New Roman"/>
                  <w:bCs/>
                  <w:sz w:val="18"/>
                  <w:szCs w:val="18"/>
                  <w:lang w:eastAsia="zh-CN"/>
                </w:rPr>
                <w:fldChar w:fldCharType="end"/>
              </w:r>
            </w:hyperlink>
            <w:r w:rsidRPr="00BA06B6">
              <w:rPr>
                <w:rFonts w:ascii="Times New Roman" w:eastAsia="SimSun" w:hAnsi="Times New Roman" w:cs="Times New Roman"/>
                <w:bCs/>
                <w:sz w:val="18"/>
                <w:szCs w:val="18"/>
                <w:lang w:eastAsia="zh-CN"/>
              </w:rPr>
              <w:t>, which captures the ability of the government to formulate and implement sound policies and regulations in years that promotes private sector development. A higher score means better regulatory quality.</w:t>
            </w:r>
          </w:p>
        </w:tc>
      </w:tr>
      <w:tr w:rsidR="00BA06B6" w:rsidRPr="00BA06B6" w14:paraId="2E7E7108" w14:textId="77777777" w:rsidTr="00B91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shd w:val="clear" w:color="auto" w:fill="FFFFFF" w:themeFill="background1"/>
          </w:tcPr>
          <w:p w14:paraId="155BCF96" w14:textId="77777777" w:rsidR="00AA068C" w:rsidRPr="00BA06B6" w:rsidRDefault="00AA068C" w:rsidP="00BC341D">
            <w:pPr>
              <w:tabs>
                <w:tab w:val="left" w:pos="851"/>
              </w:tabs>
              <w:jc w:val="both"/>
              <w:rPr>
                <w:rFonts w:ascii="Times New Roman" w:eastAsia="SimSun" w:hAnsi="Times New Roman" w:cs="Times New Roman"/>
                <w:b w:val="0"/>
                <w:bCs w:val="0"/>
                <w:iCs/>
                <w:sz w:val="18"/>
                <w:szCs w:val="18"/>
                <w:lang w:eastAsia="zh-CN"/>
              </w:rPr>
            </w:pPr>
            <w:r w:rsidRPr="00BA06B6">
              <w:rPr>
                <w:rFonts w:ascii="Times New Roman" w:eastAsia="SimSun" w:hAnsi="Times New Roman" w:cs="Times New Roman"/>
                <w:b w:val="0"/>
                <w:bCs w:val="0"/>
                <w:iCs/>
                <w:sz w:val="18"/>
                <w:szCs w:val="18"/>
                <w:lang w:eastAsia="zh-CN"/>
              </w:rPr>
              <w:t>RL</w:t>
            </w:r>
          </w:p>
        </w:tc>
        <w:tc>
          <w:tcPr>
            <w:tcW w:w="8683" w:type="dxa"/>
            <w:shd w:val="clear" w:color="auto" w:fill="FFFFFF" w:themeFill="background1"/>
          </w:tcPr>
          <w:p w14:paraId="7E37672F"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Cs/>
                <w:sz w:val="18"/>
                <w:szCs w:val="18"/>
                <w:lang w:eastAsia="zh-CN"/>
              </w:rPr>
            </w:pPr>
            <w:r w:rsidRPr="00BA06B6">
              <w:rPr>
                <w:rFonts w:ascii="Times New Roman" w:eastAsia="SimSun" w:hAnsi="Times New Roman" w:cs="Times New Roman"/>
                <w:bCs/>
                <w:sz w:val="18"/>
                <w:szCs w:val="18"/>
                <w:lang w:eastAsia="zh-CN"/>
              </w:rPr>
              <w:t xml:space="preserve">Country-level rule of low score based on </w:t>
            </w:r>
            <w:hyperlink w:anchor="_ENREF_86" w:tooltip="Kaufmann, 2010 #468" w:history="1"/>
            <w:r w:rsidRPr="00BA06B6">
              <w:rPr>
                <w:rFonts w:ascii="Times New Roman" w:eastAsia="SimSun" w:hAnsi="Times New Roman" w:cs="Times New Roman"/>
                <w:bCs/>
                <w:sz w:val="18"/>
                <w:szCs w:val="18"/>
                <w:lang w:eastAsia="zh-CN"/>
              </w:rPr>
              <w:fldChar w:fldCharType="begin"/>
            </w:r>
            <w:r w:rsidRPr="00BA06B6">
              <w:rPr>
                <w:rFonts w:ascii="Times New Roman" w:eastAsia="SimSun" w:hAnsi="Times New Roman" w:cs="Times New Roman"/>
                <w:bCs/>
                <w:sz w:val="18"/>
                <w:szCs w:val="18"/>
                <w:lang w:eastAsia="zh-CN"/>
              </w:rPr>
              <w:instrText xml:space="preserve"> ADDIN EN.CITE &lt;EndNote&gt;&lt;Cite AuthorYear="1"&gt;&lt;Author&gt;Kaufmann&lt;/Author&gt;&lt;Year&gt;2010&lt;/Year&gt;&lt;RecNum&gt;468&lt;/RecNum&gt;&lt;DisplayText&gt;Kaufmann et al. (2010)&lt;/DisplayText&gt;&lt;record&gt;&lt;rec-number&gt;468&lt;/rec-number&gt;&lt;foreign-keys&gt;&lt;key app="EN" db-id="2dxffaaevppfp1e50wgpfxs8pwda290z0az0" timestamp="1441229301"&gt;468&lt;/key&gt;&lt;/foreign-keys&gt;&lt;ref-type name="Journal Article"&gt;17&lt;/ref-type&gt;&lt;contributors&gt;&lt;authors&gt;&lt;author&gt;Daniel Kaufmann&lt;/author&gt;&lt;author&gt;Aart Kraay&lt;/author&gt;&lt;author&gt;Massimo Mastruzzi&lt;/author&gt;&lt;/authors&gt;&lt;/contributors&gt;&lt;titles&gt;&lt;title&gt;The Worldwide Governance Indicators: Methodology and Analytical Issues&lt;/title&gt;&lt;secondary-title&gt;World Bank Policy Research Working Paper No. 5430. Available at SSRN: http://ssrn.com/abstract=1682130&lt;/secondary-title&gt;&lt;/titles&gt;&lt;periodical&gt;&lt;full-title&gt;World Bank Policy Research Working Paper No. 5430. Available at SSRN: http://ssrn.com/abstract=1682130&lt;/full-title&gt;&lt;/periodical&gt;&lt;pages&gt;1-28&lt;/pages&gt;&lt;section&gt;1&lt;/section&gt;&lt;dates&gt;&lt;year&gt;2010&lt;/year&gt;&lt;/dates&gt;&lt;work-type&gt;Working Paper&lt;/work-type&gt;&lt;urls&gt;&lt;/urls&gt;&lt;/record&gt;&lt;/Cite&gt;&lt;/EndNote&gt;</w:instrText>
            </w:r>
            <w:r w:rsidRPr="00BA06B6">
              <w:rPr>
                <w:rFonts w:ascii="Times New Roman" w:eastAsia="SimSun" w:hAnsi="Times New Roman" w:cs="Times New Roman"/>
                <w:bCs/>
                <w:sz w:val="18"/>
                <w:szCs w:val="18"/>
                <w:lang w:eastAsia="zh-CN"/>
              </w:rPr>
              <w:fldChar w:fldCharType="separate"/>
            </w:r>
            <w:r w:rsidRPr="00BA06B6">
              <w:rPr>
                <w:rFonts w:ascii="Times New Roman" w:eastAsia="SimSun" w:hAnsi="Times New Roman" w:cs="Times New Roman"/>
                <w:bCs/>
                <w:noProof/>
                <w:sz w:val="18"/>
                <w:szCs w:val="18"/>
                <w:lang w:eastAsia="zh-CN"/>
              </w:rPr>
              <w:t xml:space="preserve">Kaufmann </w:t>
            </w:r>
            <w:r w:rsidRPr="00BA06B6">
              <w:rPr>
                <w:rFonts w:ascii="Times New Roman" w:eastAsia="SimSun" w:hAnsi="Times New Roman" w:cs="Times New Roman"/>
                <w:bCs/>
                <w:i/>
                <w:iCs/>
                <w:noProof/>
                <w:sz w:val="18"/>
                <w:szCs w:val="18"/>
                <w:lang w:eastAsia="zh-CN"/>
              </w:rPr>
              <w:t>et al.</w:t>
            </w:r>
            <w:r w:rsidRPr="00BA06B6">
              <w:rPr>
                <w:rFonts w:ascii="Times New Roman" w:eastAsia="SimSun" w:hAnsi="Times New Roman" w:cs="Times New Roman"/>
                <w:bCs/>
                <w:noProof/>
                <w:sz w:val="18"/>
                <w:szCs w:val="18"/>
                <w:lang w:eastAsia="zh-CN"/>
              </w:rPr>
              <w:t xml:space="preserve"> (2010)</w:t>
            </w:r>
            <w:r w:rsidRPr="00BA06B6">
              <w:rPr>
                <w:rFonts w:ascii="Times New Roman" w:eastAsia="SimSun" w:hAnsi="Times New Roman" w:cs="Times New Roman"/>
                <w:bCs/>
                <w:sz w:val="18"/>
                <w:szCs w:val="18"/>
                <w:lang w:eastAsia="zh-CN"/>
              </w:rPr>
              <w:fldChar w:fldCharType="end"/>
            </w:r>
            <w:r w:rsidRPr="00BA06B6">
              <w:rPr>
                <w:rFonts w:ascii="Times New Roman" w:eastAsia="SimSun" w:hAnsi="Times New Roman" w:cs="Times New Roman"/>
                <w:bCs/>
                <w:sz w:val="18"/>
                <w:szCs w:val="18"/>
                <w:lang w:eastAsia="zh-CN"/>
              </w:rPr>
              <w:t>, which measures the level to which managers abide by the dictates of the rule of law. A higher score means better adherence to the rule of law.</w:t>
            </w:r>
          </w:p>
        </w:tc>
      </w:tr>
      <w:tr w:rsidR="00BA06B6" w:rsidRPr="00BA06B6" w14:paraId="62FA7EAF" w14:textId="77777777" w:rsidTr="00B91469">
        <w:tc>
          <w:tcPr>
            <w:cnfStyle w:val="001000000000" w:firstRow="0" w:lastRow="0" w:firstColumn="1" w:lastColumn="0" w:oddVBand="0" w:evenVBand="0" w:oddHBand="0" w:evenHBand="0" w:firstRowFirstColumn="0" w:firstRowLastColumn="0" w:lastRowFirstColumn="0" w:lastRowLastColumn="0"/>
            <w:tcW w:w="956" w:type="dxa"/>
            <w:shd w:val="clear" w:color="auto" w:fill="FFFFFF" w:themeFill="background1"/>
          </w:tcPr>
          <w:p w14:paraId="43C31C98" w14:textId="77777777" w:rsidR="00AA068C" w:rsidRPr="00BA06B6" w:rsidRDefault="00AA068C" w:rsidP="00BC341D">
            <w:pPr>
              <w:tabs>
                <w:tab w:val="left" w:pos="851"/>
              </w:tabs>
              <w:jc w:val="both"/>
              <w:rPr>
                <w:rFonts w:ascii="Times New Roman" w:eastAsia="SimSun" w:hAnsi="Times New Roman" w:cs="Times New Roman"/>
                <w:b w:val="0"/>
                <w:bCs w:val="0"/>
                <w:iCs/>
                <w:sz w:val="18"/>
                <w:szCs w:val="18"/>
                <w:lang w:eastAsia="zh-CN"/>
              </w:rPr>
            </w:pPr>
            <w:r w:rsidRPr="00BA06B6">
              <w:rPr>
                <w:rFonts w:ascii="Times New Roman" w:eastAsia="SimSun" w:hAnsi="Times New Roman" w:cs="Times New Roman"/>
                <w:b w:val="0"/>
                <w:bCs w:val="0"/>
                <w:iCs/>
                <w:sz w:val="18"/>
                <w:szCs w:val="18"/>
                <w:lang w:eastAsia="zh-CN"/>
              </w:rPr>
              <w:t>INFL</w:t>
            </w:r>
          </w:p>
        </w:tc>
        <w:tc>
          <w:tcPr>
            <w:tcW w:w="8683" w:type="dxa"/>
            <w:shd w:val="clear" w:color="auto" w:fill="FFFFFF" w:themeFill="background1"/>
          </w:tcPr>
          <w:p w14:paraId="2F2CC125"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Cs/>
                <w:sz w:val="18"/>
                <w:szCs w:val="18"/>
                <w:lang w:eastAsia="zh-CN"/>
              </w:rPr>
            </w:pPr>
            <w:r w:rsidRPr="00BA06B6">
              <w:rPr>
                <w:rFonts w:ascii="Times New Roman" w:eastAsia="SimSun" w:hAnsi="Times New Roman" w:cs="Times New Roman"/>
                <w:bCs/>
                <w:sz w:val="18"/>
                <w:szCs w:val="18"/>
                <w:lang w:eastAsia="zh-CN"/>
              </w:rPr>
              <w:t>Consumer prices index.</w:t>
            </w:r>
          </w:p>
        </w:tc>
      </w:tr>
      <w:tr w:rsidR="00BA06B6" w:rsidRPr="00BA06B6" w14:paraId="1DE2FD47" w14:textId="77777777" w:rsidTr="00B91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 w:type="dxa"/>
            <w:shd w:val="clear" w:color="auto" w:fill="FFFFFF" w:themeFill="background1"/>
          </w:tcPr>
          <w:p w14:paraId="3EDADC09" w14:textId="77777777" w:rsidR="00AA068C" w:rsidRPr="00BA06B6" w:rsidRDefault="00AA068C" w:rsidP="00BC341D">
            <w:pPr>
              <w:tabs>
                <w:tab w:val="left" w:pos="851"/>
              </w:tabs>
              <w:jc w:val="both"/>
              <w:rPr>
                <w:rFonts w:ascii="Times New Roman" w:eastAsia="SimSun" w:hAnsi="Times New Roman" w:cs="Times New Roman"/>
                <w:b w:val="0"/>
                <w:bCs w:val="0"/>
                <w:iCs/>
                <w:sz w:val="18"/>
                <w:szCs w:val="18"/>
                <w:lang w:eastAsia="zh-CN"/>
              </w:rPr>
            </w:pPr>
            <w:r w:rsidRPr="00BA06B6">
              <w:rPr>
                <w:rFonts w:ascii="Times New Roman" w:eastAsia="SimSun" w:hAnsi="Times New Roman" w:cs="Times New Roman"/>
                <w:b w:val="0"/>
                <w:bCs w:val="0"/>
                <w:iCs/>
                <w:sz w:val="18"/>
                <w:szCs w:val="18"/>
                <w:lang w:eastAsia="zh-CN"/>
              </w:rPr>
              <w:t>GDP</w:t>
            </w:r>
          </w:p>
        </w:tc>
        <w:tc>
          <w:tcPr>
            <w:tcW w:w="8683" w:type="dxa"/>
            <w:shd w:val="clear" w:color="auto" w:fill="FFFFFF" w:themeFill="background1"/>
          </w:tcPr>
          <w:p w14:paraId="6D3824A7"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Cs/>
                <w:sz w:val="18"/>
                <w:szCs w:val="18"/>
                <w:lang w:eastAsia="zh-CN"/>
              </w:rPr>
            </w:pPr>
            <w:r w:rsidRPr="00BA06B6">
              <w:rPr>
                <w:rFonts w:ascii="Times New Roman" w:eastAsia="SimSun" w:hAnsi="Times New Roman" w:cs="Times New Roman"/>
                <w:bCs/>
                <w:sz w:val="18"/>
                <w:szCs w:val="18"/>
                <w:lang w:eastAsia="zh-CN"/>
              </w:rPr>
              <w:t>GDP per capita (current US$).</w:t>
            </w:r>
          </w:p>
        </w:tc>
      </w:tr>
      <w:tr w:rsidR="00BA06B6" w:rsidRPr="00BA06B6" w14:paraId="5BA839DD" w14:textId="77777777" w:rsidTr="00B91469">
        <w:tc>
          <w:tcPr>
            <w:cnfStyle w:val="001000000000" w:firstRow="0" w:lastRow="0" w:firstColumn="1" w:lastColumn="0" w:oddVBand="0" w:evenVBand="0" w:oddHBand="0" w:evenHBand="0" w:firstRowFirstColumn="0" w:firstRowLastColumn="0" w:lastRowFirstColumn="0" w:lastRowLastColumn="0"/>
            <w:tcW w:w="956" w:type="dxa"/>
            <w:shd w:val="clear" w:color="auto" w:fill="FFFFFF" w:themeFill="background1"/>
          </w:tcPr>
          <w:p w14:paraId="281B41C5" w14:textId="77777777" w:rsidR="00AA068C" w:rsidRPr="00BA06B6" w:rsidRDefault="00AA068C" w:rsidP="00BC341D">
            <w:pPr>
              <w:tabs>
                <w:tab w:val="left" w:pos="851"/>
              </w:tabs>
              <w:jc w:val="both"/>
              <w:rPr>
                <w:rFonts w:ascii="Times New Roman" w:eastAsia="SimSun" w:hAnsi="Times New Roman" w:cs="Times New Roman"/>
                <w:b w:val="0"/>
                <w:bCs w:val="0"/>
                <w:iCs/>
                <w:sz w:val="18"/>
                <w:szCs w:val="18"/>
                <w:lang w:eastAsia="zh-CN"/>
              </w:rPr>
            </w:pPr>
            <w:r w:rsidRPr="00BA06B6">
              <w:rPr>
                <w:rFonts w:ascii="Times New Roman" w:eastAsia="SimSun" w:hAnsi="Times New Roman" w:cs="Times New Roman"/>
                <w:b w:val="0"/>
                <w:bCs w:val="0"/>
                <w:iCs/>
                <w:sz w:val="18"/>
                <w:szCs w:val="18"/>
                <w:lang w:eastAsia="zh-CN"/>
              </w:rPr>
              <w:t>YD</w:t>
            </w:r>
          </w:p>
        </w:tc>
        <w:tc>
          <w:tcPr>
            <w:tcW w:w="8683" w:type="dxa"/>
            <w:shd w:val="clear" w:color="auto" w:fill="FFFFFF" w:themeFill="background1"/>
          </w:tcPr>
          <w:p w14:paraId="38B6E627"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Cs/>
                <w:sz w:val="18"/>
                <w:szCs w:val="18"/>
                <w:lang w:eastAsia="zh-CN"/>
              </w:rPr>
            </w:pPr>
            <w:r w:rsidRPr="00BA06B6">
              <w:rPr>
                <w:rFonts w:ascii="Times New Roman" w:eastAsia="SimSun" w:hAnsi="Times New Roman" w:cs="Times New Roman"/>
                <w:bCs/>
                <w:sz w:val="18"/>
                <w:szCs w:val="18"/>
                <w:lang w:eastAsia="zh-CN"/>
              </w:rPr>
              <w:t>Dummies for each of the fiscal years 2006 - 2013.</w:t>
            </w:r>
          </w:p>
        </w:tc>
      </w:tr>
    </w:tbl>
    <w:p w14:paraId="5FC0A900" w14:textId="77777777" w:rsidR="00AA068C" w:rsidRPr="00BA06B6" w:rsidRDefault="00AA068C" w:rsidP="00AA068C">
      <w:pPr>
        <w:tabs>
          <w:tab w:val="left" w:pos="851"/>
        </w:tabs>
        <w:spacing w:after="200" w:line="276" w:lineRule="auto"/>
        <w:jc w:val="both"/>
        <w:rPr>
          <w:rFonts w:ascii="Times New Roman" w:eastAsia="SimSun" w:hAnsi="Times New Roman" w:cs="Times New Roman"/>
          <w:b/>
          <w:bCs/>
          <w:sz w:val="20"/>
          <w:szCs w:val="20"/>
          <w:lang w:eastAsia="zh-CN"/>
        </w:rPr>
      </w:pPr>
      <w:r w:rsidRPr="00BA06B6">
        <w:rPr>
          <w:rFonts w:ascii="Times New Roman" w:eastAsia="SimSun" w:hAnsi="Times New Roman" w:cs="Times New Roman"/>
          <w:b/>
          <w:bCs/>
          <w:sz w:val="20"/>
          <w:szCs w:val="20"/>
          <w:lang w:eastAsia="zh-CN"/>
        </w:rPr>
        <w:br w:type="page"/>
      </w:r>
    </w:p>
    <w:p w14:paraId="7D205D68" w14:textId="77777777" w:rsidR="00AA068C" w:rsidRPr="00BA06B6" w:rsidRDefault="00AA068C" w:rsidP="00AA068C">
      <w:pPr>
        <w:tabs>
          <w:tab w:val="left" w:pos="851"/>
        </w:tabs>
        <w:spacing w:after="0" w:line="276" w:lineRule="auto"/>
        <w:jc w:val="both"/>
        <w:rPr>
          <w:rFonts w:ascii="Times New Roman" w:eastAsia="SimSun" w:hAnsi="Times New Roman" w:cs="Times New Roman"/>
          <w:b/>
          <w:bCs/>
          <w:sz w:val="20"/>
          <w:szCs w:val="20"/>
          <w:lang w:eastAsia="zh-CN"/>
        </w:rPr>
      </w:pPr>
      <w:r w:rsidRPr="00BA06B6">
        <w:rPr>
          <w:rFonts w:ascii="Times New Roman" w:eastAsia="SimSun" w:hAnsi="Times New Roman" w:cs="Times New Roman"/>
          <w:b/>
          <w:bCs/>
          <w:sz w:val="20"/>
          <w:szCs w:val="20"/>
          <w:lang w:eastAsia="zh-CN"/>
        </w:rPr>
        <w:lastRenderedPageBreak/>
        <w:t xml:space="preserve">TABLE 4   </w:t>
      </w:r>
      <w:r w:rsidRPr="00BA06B6">
        <w:rPr>
          <w:rFonts w:ascii="Times New Roman" w:eastAsia="SimSun" w:hAnsi="Times New Roman" w:cs="Times New Roman"/>
          <w:sz w:val="20"/>
          <w:szCs w:val="20"/>
          <w:lang w:eastAsia="zh-CN"/>
        </w:rPr>
        <w:t xml:space="preserve">Summary descriptive statistics for </w:t>
      </w:r>
      <w:r w:rsidRPr="00BA06B6">
        <w:rPr>
          <w:rFonts w:ascii="Times New Roman" w:eastAsia="SimSun" w:hAnsi="Times New Roman" w:cs="Times New Roman"/>
          <w:i/>
          <w:sz w:val="20"/>
          <w:szCs w:val="20"/>
          <w:lang w:eastAsia="zh-CN"/>
        </w:rPr>
        <w:t>RATE, RDI</w:t>
      </w:r>
      <w:r w:rsidRPr="00BA06B6">
        <w:rPr>
          <w:rFonts w:ascii="Times New Roman" w:eastAsia="SimSun" w:hAnsi="Times New Roman" w:cs="Times New Roman"/>
          <w:sz w:val="20"/>
          <w:szCs w:val="20"/>
          <w:lang w:eastAsia="zh-CN"/>
        </w:rPr>
        <w:t xml:space="preserve"> and </w:t>
      </w:r>
      <w:r w:rsidRPr="00BA06B6">
        <w:rPr>
          <w:rFonts w:ascii="Times New Roman" w:eastAsia="SimSun" w:hAnsi="Times New Roman" w:cs="Times New Roman"/>
          <w:i/>
          <w:sz w:val="20"/>
          <w:szCs w:val="20"/>
          <w:lang w:eastAsia="zh-CN"/>
        </w:rPr>
        <w:t>SSB</w:t>
      </w:r>
      <w:r w:rsidRPr="00BA06B6">
        <w:rPr>
          <w:rFonts w:ascii="Times New Roman" w:eastAsia="SimSun" w:hAnsi="Times New Roman" w:cs="Times New Roman"/>
          <w:sz w:val="20"/>
          <w:szCs w:val="20"/>
          <w:lang w:eastAsia="zh-CN"/>
        </w:rPr>
        <w:t xml:space="preserve"> index for all 700 bank-years observations</w:t>
      </w:r>
    </w:p>
    <w:tbl>
      <w:tblPr>
        <w:tblStyle w:val="ListTable2"/>
        <w:tblW w:w="9726" w:type="dxa"/>
        <w:shd w:val="clear" w:color="auto" w:fill="FFFFFF" w:themeFill="background1"/>
        <w:tblLook w:val="00A0" w:firstRow="1" w:lastRow="0" w:firstColumn="1" w:lastColumn="0" w:noHBand="0" w:noVBand="0"/>
      </w:tblPr>
      <w:tblGrid>
        <w:gridCol w:w="1054"/>
        <w:gridCol w:w="977"/>
        <w:gridCol w:w="849"/>
        <w:gridCol w:w="978"/>
        <w:gridCol w:w="978"/>
        <w:gridCol w:w="978"/>
        <w:gridCol w:w="978"/>
        <w:gridCol w:w="978"/>
        <w:gridCol w:w="978"/>
        <w:gridCol w:w="978"/>
      </w:tblGrid>
      <w:tr w:rsidR="00BA06B6" w:rsidRPr="00BA06B6" w14:paraId="1A35AE36" w14:textId="77777777" w:rsidTr="00B914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5DAC5B03" w14:textId="77777777" w:rsidR="00AA068C" w:rsidRPr="00BA06B6" w:rsidRDefault="00AA068C" w:rsidP="00BC341D">
            <w:pPr>
              <w:tabs>
                <w:tab w:val="left" w:pos="851"/>
              </w:tabs>
              <w:jc w:val="both"/>
              <w:rPr>
                <w:rFonts w:ascii="Times New Roman" w:eastAsia="SimSun" w:hAnsi="Times New Roman" w:cs="Times New Roman"/>
                <w:sz w:val="2"/>
                <w:szCs w:val="2"/>
                <w:lang w:val="en-US" w:eastAsia="en-GB"/>
              </w:rPr>
            </w:pPr>
            <w:r w:rsidRPr="00BA06B6">
              <w:rPr>
                <w:rFonts w:ascii="Times New Roman" w:eastAsia="SimSun" w:hAnsi="Times New Roman" w:cs="Times New Roman"/>
                <w:sz w:val="2"/>
                <w:szCs w:val="2"/>
                <w:lang w:val="en-US" w:eastAsia="en-GB"/>
              </w:rPr>
              <w:t>[</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382C6239" w14:textId="77777777" w:rsidR="00AA068C" w:rsidRPr="00BA06B6" w:rsidRDefault="00AA068C" w:rsidP="00BC341D">
            <w:pPr>
              <w:tabs>
                <w:tab w:val="left" w:pos="851"/>
              </w:tabs>
              <w:jc w:val="center"/>
              <w:rPr>
                <w:rFonts w:ascii="Times New Roman" w:eastAsia="SimSun" w:hAnsi="Times New Roman" w:cs="Times New Roman"/>
                <w:sz w:val="2"/>
                <w:szCs w:val="2"/>
                <w:lang w:val="en-US" w:eastAsia="en-GB"/>
              </w:rPr>
            </w:pPr>
          </w:p>
        </w:tc>
        <w:tc>
          <w:tcPr>
            <w:tcW w:w="0" w:type="dxa"/>
            <w:shd w:val="clear" w:color="auto" w:fill="FFFFFF" w:themeFill="background1"/>
            <w:noWrap/>
          </w:tcPr>
          <w:p w14:paraId="19C10046" w14:textId="77777777" w:rsidR="00AA068C" w:rsidRPr="00BA06B6" w:rsidRDefault="00AA068C" w:rsidP="00BC341D">
            <w:pPr>
              <w:tabs>
                <w:tab w:val="left" w:pos="851"/>
              </w:tabs>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2"/>
                <w:szCs w:val="2"/>
                <w:lang w:val="en-US" w:eastAsia="en-GB"/>
              </w:rPr>
            </w:pP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1C342F8F" w14:textId="77777777" w:rsidR="00AA068C" w:rsidRPr="00BA06B6" w:rsidRDefault="00AA068C" w:rsidP="00BC341D">
            <w:pPr>
              <w:tabs>
                <w:tab w:val="left" w:pos="851"/>
              </w:tabs>
              <w:jc w:val="center"/>
              <w:rPr>
                <w:rFonts w:ascii="Times New Roman" w:eastAsia="SimSun" w:hAnsi="Times New Roman" w:cs="Times New Roman"/>
                <w:sz w:val="2"/>
                <w:szCs w:val="2"/>
                <w:lang w:val="en-US" w:eastAsia="en-GB"/>
              </w:rPr>
            </w:pPr>
          </w:p>
        </w:tc>
        <w:tc>
          <w:tcPr>
            <w:tcW w:w="0" w:type="dxa"/>
            <w:shd w:val="clear" w:color="auto" w:fill="FFFFFF" w:themeFill="background1"/>
            <w:noWrap/>
          </w:tcPr>
          <w:p w14:paraId="19114849" w14:textId="77777777" w:rsidR="00AA068C" w:rsidRPr="00BA06B6" w:rsidRDefault="00AA068C" w:rsidP="00BC341D">
            <w:pPr>
              <w:tabs>
                <w:tab w:val="left" w:pos="851"/>
              </w:tabs>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2"/>
                <w:szCs w:val="2"/>
                <w:lang w:val="en-US" w:eastAsia="en-GB"/>
              </w:rPr>
            </w:pP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470EC8FF" w14:textId="77777777" w:rsidR="00AA068C" w:rsidRPr="00BA06B6" w:rsidRDefault="00AA068C" w:rsidP="00BC341D">
            <w:pPr>
              <w:tabs>
                <w:tab w:val="left" w:pos="851"/>
              </w:tabs>
              <w:jc w:val="center"/>
              <w:rPr>
                <w:rFonts w:ascii="Times New Roman" w:eastAsia="SimSun" w:hAnsi="Times New Roman" w:cs="Times New Roman"/>
                <w:sz w:val="2"/>
                <w:szCs w:val="2"/>
                <w:lang w:val="en-US" w:eastAsia="en-GB"/>
              </w:rPr>
            </w:pPr>
          </w:p>
        </w:tc>
        <w:tc>
          <w:tcPr>
            <w:tcW w:w="0" w:type="dxa"/>
            <w:shd w:val="clear" w:color="auto" w:fill="FFFFFF" w:themeFill="background1"/>
            <w:noWrap/>
          </w:tcPr>
          <w:p w14:paraId="1D41CC7C" w14:textId="77777777" w:rsidR="00AA068C" w:rsidRPr="00BA06B6" w:rsidRDefault="00AA068C" w:rsidP="00BC341D">
            <w:pPr>
              <w:tabs>
                <w:tab w:val="left" w:pos="851"/>
              </w:tabs>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2"/>
                <w:szCs w:val="2"/>
                <w:lang w:val="en-US" w:eastAsia="en-GB"/>
              </w:rPr>
            </w:pP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004E6F77" w14:textId="77777777" w:rsidR="00AA068C" w:rsidRPr="00BA06B6" w:rsidRDefault="00AA068C" w:rsidP="00BC341D">
            <w:pPr>
              <w:tabs>
                <w:tab w:val="left" w:pos="851"/>
              </w:tabs>
              <w:jc w:val="center"/>
              <w:rPr>
                <w:rFonts w:ascii="Times New Roman" w:eastAsia="SimSun" w:hAnsi="Times New Roman" w:cs="Times New Roman"/>
                <w:sz w:val="2"/>
                <w:szCs w:val="2"/>
                <w:lang w:val="en-US" w:eastAsia="en-GB"/>
              </w:rPr>
            </w:pPr>
          </w:p>
        </w:tc>
        <w:tc>
          <w:tcPr>
            <w:tcW w:w="0" w:type="dxa"/>
            <w:shd w:val="clear" w:color="auto" w:fill="FFFFFF" w:themeFill="background1"/>
            <w:noWrap/>
          </w:tcPr>
          <w:p w14:paraId="5C16E778" w14:textId="77777777" w:rsidR="00AA068C" w:rsidRPr="00BA06B6" w:rsidRDefault="00AA068C" w:rsidP="00BC341D">
            <w:pPr>
              <w:tabs>
                <w:tab w:val="left" w:pos="851"/>
              </w:tabs>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2"/>
                <w:szCs w:val="2"/>
                <w:lang w:val="en-US" w:eastAsia="en-GB"/>
              </w:rPr>
            </w:pP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75BACC1F" w14:textId="77777777" w:rsidR="00AA068C" w:rsidRPr="00BA06B6" w:rsidRDefault="00AA068C" w:rsidP="00BC341D">
            <w:pPr>
              <w:tabs>
                <w:tab w:val="left" w:pos="851"/>
              </w:tabs>
              <w:jc w:val="center"/>
              <w:rPr>
                <w:rFonts w:ascii="Times New Roman" w:eastAsia="SimSun" w:hAnsi="Times New Roman" w:cs="Times New Roman"/>
                <w:sz w:val="2"/>
                <w:szCs w:val="2"/>
                <w:lang w:val="en-US" w:eastAsia="en-GB"/>
              </w:rPr>
            </w:pPr>
          </w:p>
        </w:tc>
      </w:tr>
      <w:tr w:rsidR="00BA06B6" w:rsidRPr="00BA06B6" w14:paraId="6D39FE2C" w14:textId="77777777" w:rsidTr="00B91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1869054B"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0FFCC027" w14:textId="77777777" w:rsidR="00AA068C" w:rsidRPr="00BA06B6" w:rsidRDefault="00AA068C" w:rsidP="00BC341D">
            <w:pPr>
              <w:tabs>
                <w:tab w:val="left" w:pos="851"/>
              </w:tabs>
              <w:jc w:val="center"/>
              <w:rPr>
                <w:rFonts w:ascii="Times New Roman" w:eastAsia="SimSun" w:hAnsi="Times New Roman" w:cs="Times New Roman"/>
                <w:b/>
                <w:bCs/>
                <w:sz w:val="20"/>
                <w:szCs w:val="20"/>
                <w:lang w:val="en-US" w:eastAsia="en-GB"/>
              </w:rPr>
            </w:pPr>
            <w:r w:rsidRPr="00BA06B6">
              <w:rPr>
                <w:rFonts w:ascii="Times New Roman" w:eastAsia="SimSun" w:hAnsi="Times New Roman" w:cs="Times New Roman"/>
                <w:b/>
                <w:bCs/>
                <w:sz w:val="20"/>
                <w:szCs w:val="20"/>
                <w:lang w:val="en-US" w:eastAsia="en-GB"/>
              </w:rPr>
              <w:t>All</w:t>
            </w:r>
          </w:p>
        </w:tc>
        <w:tc>
          <w:tcPr>
            <w:tcW w:w="0" w:type="dxa"/>
            <w:shd w:val="clear" w:color="auto" w:fill="FFFFFF" w:themeFill="background1"/>
            <w:noWrap/>
          </w:tcPr>
          <w:p w14:paraId="6E644A98" w14:textId="77777777" w:rsidR="00AA068C" w:rsidRPr="00BA06B6" w:rsidRDefault="00AA068C" w:rsidP="00BC341D">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sz w:val="20"/>
                <w:szCs w:val="20"/>
                <w:lang w:val="en-US" w:eastAsia="en-GB"/>
              </w:rPr>
            </w:pPr>
            <w:r w:rsidRPr="00BA06B6">
              <w:rPr>
                <w:rFonts w:ascii="Times New Roman" w:eastAsia="SimSun" w:hAnsi="Times New Roman" w:cs="Times New Roman"/>
                <w:b/>
                <w:bCs/>
                <w:sz w:val="20"/>
                <w:szCs w:val="20"/>
                <w:lang w:val="en-US" w:eastAsia="en-GB"/>
              </w:rPr>
              <w:t>2006</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188E8C6D" w14:textId="77777777" w:rsidR="00AA068C" w:rsidRPr="00BA06B6" w:rsidRDefault="00AA068C" w:rsidP="00BC341D">
            <w:pPr>
              <w:tabs>
                <w:tab w:val="left" w:pos="851"/>
              </w:tabs>
              <w:jc w:val="center"/>
              <w:rPr>
                <w:rFonts w:ascii="Times New Roman" w:eastAsia="SimSun" w:hAnsi="Times New Roman" w:cs="Times New Roman"/>
                <w:b/>
                <w:bCs/>
                <w:sz w:val="20"/>
                <w:szCs w:val="20"/>
                <w:lang w:val="en-US" w:eastAsia="en-GB"/>
              </w:rPr>
            </w:pPr>
            <w:r w:rsidRPr="00BA06B6">
              <w:rPr>
                <w:rFonts w:ascii="Times New Roman" w:eastAsia="SimSun" w:hAnsi="Times New Roman" w:cs="Times New Roman"/>
                <w:b/>
                <w:bCs/>
                <w:sz w:val="20"/>
                <w:szCs w:val="20"/>
                <w:lang w:val="en-US" w:eastAsia="en-GB"/>
              </w:rPr>
              <w:t>2007</w:t>
            </w:r>
          </w:p>
        </w:tc>
        <w:tc>
          <w:tcPr>
            <w:tcW w:w="0" w:type="dxa"/>
            <w:shd w:val="clear" w:color="auto" w:fill="FFFFFF" w:themeFill="background1"/>
            <w:noWrap/>
          </w:tcPr>
          <w:p w14:paraId="2FADF7F5" w14:textId="77777777" w:rsidR="00AA068C" w:rsidRPr="00BA06B6" w:rsidRDefault="00AA068C" w:rsidP="00BC341D">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sz w:val="20"/>
                <w:szCs w:val="20"/>
                <w:lang w:val="en-US" w:eastAsia="en-GB"/>
              </w:rPr>
            </w:pPr>
            <w:r w:rsidRPr="00BA06B6">
              <w:rPr>
                <w:rFonts w:ascii="Times New Roman" w:eastAsia="SimSun" w:hAnsi="Times New Roman" w:cs="Times New Roman"/>
                <w:b/>
                <w:bCs/>
                <w:sz w:val="20"/>
                <w:szCs w:val="20"/>
                <w:lang w:val="en-US" w:eastAsia="en-GB"/>
              </w:rPr>
              <w:t>2008</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400E3AFC" w14:textId="77777777" w:rsidR="00AA068C" w:rsidRPr="00BA06B6" w:rsidRDefault="00AA068C" w:rsidP="00BC341D">
            <w:pPr>
              <w:tabs>
                <w:tab w:val="left" w:pos="851"/>
              </w:tabs>
              <w:jc w:val="center"/>
              <w:rPr>
                <w:rFonts w:ascii="Times New Roman" w:eastAsia="SimSun" w:hAnsi="Times New Roman" w:cs="Times New Roman"/>
                <w:b/>
                <w:bCs/>
                <w:sz w:val="20"/>
                <w:szCs w:val="20"/>
                <w:lang w:val="en-US" w:eastAsia="en-GB"/>
              </w:rPr>
            </w:pPr>
            <w:r w:rsidRPr="00BA06B6">
              <w:rPr>
                <w:rFonts w:ascii="Times New Roman" w:eastAsia="SimSun" w:hAnsi="Times New Roman" w:cs="Times New Roman"/>
                <w:b/>
                <w:bCs/>
                <w:sz w:val="20"/>
                <w:szCs w:val="20"/>
                <w:lang w:val="en-US" w:eastAsia="en-GB"/>
              </w:rPr>
              <w:t>2009</w:t>
            </w:r>
          </w:p>
        </w:tc>
        <w:tc>
          <w:tcPr>
            <w:tcW w:w="0" w:type="dxa"/>
            <w:shd w:val="clear" w:color="auto" w:fill="FFFFFF" w:themeFill="background1"/>
            <w:noWrap/>
          </w:tcPr>
          <w:p w14:paraId="7CF9AC3C" w14:textId="77777777" w:rsidR="00AA068C" w:rsidRPr="00BA06B6" w:rsidRDefault="00AA068C" w:rsidP="00BC341D">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sz w:val="20"/>
                <w:szCs w:val="20"/>
                <w:lang w:val="en-US" w:eastAsia="en-GB"/>
              </w:rPr>
            </w:pPr>
            <w:r w:rsidRPr="00BA06B6">
              <w:rPr>
                <w:rFonts w:ascii="Times New Roman" w:eastAsia="SimSun" w:hAnsi="Times New Roman" w:cs="Times New Roman"/>
                <w:b/>
                <w:bCs/>
                <w:sz w:val="20"/>
                <w:szCs w:val="20"/>
                <w:lang w:val="en-US" w:eastAsia="en-GB"/>
              </w:rPr>
              <w:t>2010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11518012" w14:textId="77777777" w:rsidR="00AA068C" w:rsidRPr="00BA06B6" w:rsidRDefault="00AA068C" w:rsidP="00BC341D">
            <w:pPr>
              <w:tabs>
                <w:tab w:val="left" w:pos="851"/>
              </w:tabs>
              <w:jc w:val="center"/>
              <w:rPr>
                <w:rFonts w:ascii="Times New Roman" w:eastAsia="SimSun" w:hAnsi="Times New Roman" w:cs="Times New Roman"/>
                <w:b/>
                <w:bCs/>
                <w:sz w:val="20"/>
                <w:szCs w:val="20"/>
                <w:lang w:val="en-US" w:eastAsia="en-GB"/>
              </w:rPr>
            </w:pPr>
            <w:r w:rsidRPr="00BA06B6">
              <w:rPr>
                <w:rFonts w:ascii="Times New Roman" w:eastAsia="SimSun" w:hAnsi="Times New Roman" w:cs="Times New Roman"/>
                <w:b/>
                <w:bCs/>
                <w:sz w:val="20"/>
                <w:szCs w:val="20"/>
                <w:lang w:val="en-US" w:eastAsia="en-GB"/>
              </w:rPr>
              <w:t>2011</w:t>
            </w:r>
          </w:p>
        </w:tc>
        <w:tc>
          <w:tcPr>
            <w:tcW w:w="0" w:type="dxa"/>
            <w:shd w:val="clear" w:color="auto" w:fill="FFFFFF" w:themeFill="background1"/>
            <w:noWrap/>
          </w:tcPr>
          <w:p w14:paraId="7EAAF931" w14:textId="77777777" w:rsidR="00AA068C" w:rsidRPr="00BA06B6" w:rsidRDefault="00AA068C" w:rsidP="00BC341D">
            <w:pPr>
              <w:tabs>
                <w:tab w:val="left" w:pos="851"/>
              </w:tabs>
              <w:jc w:val="center"/>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sz w:val="20"/>
                <w:szCs w:val="20"/>
                <w:lang w:val="en-US" w:eastAsia="en-GB"/>
              </w:rPr>
            </w:pPr>
            <w:r w:rsidRPr="00BA06B6">
              <w:rPr>
                <w:rFonts w:ascii="Times New Roman" w:eastAsia="SimSun" w:hAnsi="Times New Roman" w:cs="Times New Roman"/>
                <w:b/>
                <w:bCs/>
                <w:sz w:val="20"/>
                <w:szCs w:val="20"/>
                <w:lang w:val="en-US" w:eastAsia="en-GB"/>
              </w:rPr>
              <w:t>2012</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0026D806" w14:textId="77777777" w:rsidR="00AA068C" w:rsidRPr="00BA06B6" w:rsidRDefault="00AA068C" w:rsidP="00BC341D">
            <w:pPr>
              <w:tabs>
                <w:tab w:val="left" w:pos="851"/>
              </w:tabs>
              <w:jc w:val="center"/>
              <w:rPr>
                <w:rFonts w:ascii="Times New Roman" w:eastAsia="SimSun" w:hAnsi="Times New Roman" w:cs="Times New Roman"/>
                <w:b/>
                <w:bCs/>
                <w:sz w:val="20"/>
                <w:szCs w:val="20"/>
                <w:lang w:val="en-US" w:eastAsia="en-GB"/>
              </w:rPr>
            </w:pPr>
            <w:r w:rsidRPr="00BA06B6">
              <w:rPr>
                <w:rFonts w:ascii="Times New Roman" w:eastAsia="SimSun" w:hAnsi="Times New Roman" w:cs="Times New Roman"/>
                <w:b/>
                <w:bCs/>
                <w:sz w:val="20"/>
                <w:szCs w:val="20"/>
                <w:lang w:val="en-US" w:eastAsia="en-GB"/>
              </w:rPr>
              <w:t>2013</w:t>
            </w:r>
          </w:p>
        </w:tc>
      </w:tr>
      <w:tr w:rsidR="00BA06B6" w:rsidRPr="00BA06B6" w14:paraId="6C394654" w14:textId="77777777" w:rsidTr="00B91469">
        <w:trPr>
          <w:trHeight w:val="105"/>
        </w:trPr>
        <w:tc>
          <w:tcPr>
            <w:cnfStyle w:val="001000000000" w:firstRow="0" w:lastRow="0" w:firstColumn="1" w:lastColumn="0" w:oddVBand="0" w:evenVBand="0" w:oddHBand="0" w:evenHBand="0" w:firstRowFirstColumn="0" w:firstRowLastColumn="0" w:lastRowFirstColumn="0" w:lastRowLastColumn="0"/>
            <w:tcW w:w="0" w:type="dxa"/>
            <w:gridSpan w:val="9"/>
            <w:shd w:val="clear" w:color="auto" w:fill="FFFFFF" w:themeFill="background1"/>
            <w:noWrap/>
          </w:tcPr>
          <w:p w14:paraId="64D8CD54"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RATE</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6C49F497" w14:textId="77777777" w:rsidR="00AA068C" w:rsidRPr="00BA06B6" w:rsidRDefault="00AA068C" w:rsidP="00BC341D">
            <w:pPr>
              <w:tabs>
                <w:tab w:val="left" w:pos="851"/>
              </w:tabs>
              <w:jc w:val="both"/>
              <w:rPr>
                <w:rFonts w:ascii="Times New Roman" w:eastAsia="SimSun" w:hAnsi="Times New Roman" w:cs="Times New Roman"/>
                <w:i/>
                <w:iCs/>
                <w:sz w:val="20"/>
                <w:szCs w:val="20"/>
                <w:lang w:val="en-US" w:eastAsia="en-GB"/>
              </w:rPr>
            </w:pPr>
          </w:p>
        </w:tc>
      </w:tr>
      <w:tr w:rsidR="00BA06B6" w:rsidRPr="00BA06B6" w14:paraId="7D5A56D4" w14:textId="77777777" w:rsidTr="00B91469">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6C4BFFEC"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Mean</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3AA5E0DE"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14.12</w:t>
            </w:r>
          </w:p>
        </w:tc>
        <w:tc>
          <w:tcPr>
            <w:tcW w:w="0" w:type="dxa"/>
            <w:shd w:val="clear" w:color="auto" w:fill="FFFFFF" w:themeFill="background1"/>
            <w:noWrap/>
          </w:tcPr>
          <w:p w14:paraId="08B0804A"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14.44</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76364FFA"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14.53</w:t>
            </w:r>
          </w:p>
        </w:tc>
        <w:tc>
          <w:tcPr>
            <w:tcW w:w="0" w:type="dxa"/>
            <w:shd w:val="clear" w:color="auto" w:fill="FFFFFF" w:themeFill="background1"/>
            <w:noWrap/>
          </w:tcPr>
          <w:p w14:paraId="1CA71366"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14.40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509FE0FB"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14.29</w:t>
            </w:r>
          </w:p>
        </w:tc>
        <w:tc>
          <w:tcPr>
            <w:tcW w:w="0" w:type="dxa"/>
            <w:shd w:val="clear" w:color="auto" w:fill="FFFFFF" w:themeFill="background1"/>
            <w:noWrap/>
          </w:tcPr>
          <w:p w14:paraId="2086EE7A"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14.09</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73778A5F"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13.77</w:t>
            </w:r>
          </w:p>
        </w:tc>
        <w:tc>
          <w:tcPr>
            <w:tcW w:w="0" w:type="dxa"/>
            <w:shd w:val="clear" w:color="auto" w:fill="FFFFFF" w:themeFill="background1"/>
            <w:noWrap/>
          </w:tcPr>
          <w:p w14:paraId="4C04465D"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13.69</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5B0C2E55"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13.84</w:t>
            </w:r>
          </w:p>
        </w:tc>
      </w:tr>
      <w:tr w:rsidR="00BA06B6" w:rsidRPr="00BA06B6" w14:paraId="348C8350" w14:textId="77777777" w:rsidTr="00B91469">
        <w:trPr>
          <w:trHeight w:val="238"/>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0DC20F0F"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Median</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68C878A8"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15.00</w:t>
            </w:r>
          </w:p>
        </w:tc>
        <w:tc>
          <w:tcPr>
            <w:tcW w:w="0" w:type="dxa"/>
            <w:shd w:val="clear" w:color="auto" w:fill="FFFFFF" w:themeFill="background1"/>
            <w:noWrap/>
          </w:tcPr>
          <w:p w14:paraId="6DC9A670"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15.00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6C02F59F"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16.00</w:t>
            </w:r>
          </w:p>
        </w:tc>
        <w:tc>
          <w:tcPr>
            <w:tcW w:w="0" w:type="dxa"/>
            <w:shd w:val="clear" w:color="auto" w:fill="FFFFFF" w:themeFill="background1"/>
            <w:noWrap/>
          </w:tcPr>
          <w:p w14:paraId="4895B3FF"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15.00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32271262"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15.00</w:t>
            </w:r>
          </w:p>
        </w:tc>
        <w:tc>
          <w:tcPr>
            <w:tcW w:w="0" w:type="dxa"/>
            <w:shd w:val="clear" w:color="auto" w:fill="FFFFFF" w:themeFill="background1"/>
            <w:noWrap/>
          </w:tcPr>
          <w:p w14:paraId="1FF8FDCA"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15.00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2E2CED19"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15.00</w:t>
            </w:r>
          </w:p>
        </w:tc>
        <w:tc>
          <w:tcPr>
            <w:tcW w:w="0" w:type="dxa"/>
            <w:shd w:val="clear" w:color="auto" w:fill="FFFFFF" w:themeFill="background1"/>
            <w:noWrap/>
          </w:tcPr>
          <w:p w14:paraId="0C90B333"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15.00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26375A36"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15.00</w:t>
            </w:r>
          </w:p>
        </w:tc>
      </w:tr>
      <w:tr w:rsidR="00BA06B6" w:rsidRPr="00BA06B6" w14:paraId="5D3C1DBD" w14:textId="77777777" w:rsidTr="00B914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0D9668A9"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STD</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5E39D1A4"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3.63</w:t>
            </w:r>
          </w:p>
        </w:tc>
        <w:tc>
          <w:tcPr>
            <w:tcW w:w="0" w:type="dxa"/>
            <w:shd w:val="clear" w:color="auto" w:fill="FFFFFF" w:themeFill="background1"/>
            <w:noWrap/>
          </w:tcPr>
          <w:p w14:paraId="6B2C6DE5"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3.32</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2280EAEC"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3.33</w:t>
            </w:r>
          </w:p>
        </w:tc>
        <w:tc>
          <w:tcPr>
            <w:tcW w:w="0" w:type="dxa"/>
            <w:shd w:val="clear" w:color="auto" w:fill="FFFFFF" w:themeFill="background1"/>
            <w:noWrap/>
          </w:tcPr>
          <w:p w14:paraId="46C1159C"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3.41</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7866CC26"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3.31</w:t>
            </w:r>
          </w:p>
        </w:tc>
        <w:tc>
          <w:tcPr>
            <w:tcW w:w="0" w:type="dxa"/>
            <w:shd w:val="clear" w:color="auto" w:fill="FFFFFF" w:themeFill="background1"/>
            <w:noWrap/>
          </w:tcPr>
          <w:p w14:paraId="1AB2BCC7"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3.34</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5600D238"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4.03</w:t>
            </w:r>
          </w:p>
        </w:tc>
        <w:tc>
          <w:tcPr>
            <w:tcW w:w="0" w:type="dxa"/>
            <w:shd w:val="clear" w:color="auto" w:fill="FFFFFF" w:themeFill="background1"/>
            <w:noWrap/>
          </w:tcPr>
          <w:p w14:paraId="788D8376"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4.13</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67F92CE4"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4.04</w:t>
            </w:r>
          </w:p>
        </w:tc>
      </w:tr>
      <w:tr w:rsidR="00BA06B6" w:rsidRPr="00BA06B6" w14:paraId="08065B64" w14:textId="77777777" w:rsidTr="00B91469">
        <w:trPr>
          <w:trHeight w:val="2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664DBF9D"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Min</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4FBCCFB6"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1.00</w:t>
            </w:r>
          </w:p>
        </w:tc>
        <w:tc>
          <w:tcPr>
            <w:tcW w:w="0" w:type="dxa"/>
            <w:shd w:val="clear" w:color="auto" w:fill="FFFFFF" w:themeFill="background1"/>
            <w:noWrap/>
          </w:tcPr>
          <w:p w14:paraId="1979659E"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7.00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613C1279"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7.00</w:t>
            </w:r>
          </w:p>
        </w:tc>
        <w:tc>
          <w:tcPr>
            <w:tcW w:w="0" w:type="dxa"/>
            <w:shd w:val="clear" w:color="auto" w:fill="FFFFFF" w:themeFill="background1"/>
            <w:noWrap/>
          </w:tcPr>
          <w:p w14:paraId="589D8F03"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7.00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2F8444E0"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7.00</w:t>
            </w:r>
          </w:p>
        </w:tc>
        <w:tc>
          <w:tcPr>
            <w:tcW w:w="0" w:type="dxa"/>
            <w:shd w:val="clear" w:color="auto" w:fill="FFFFFF" w:themeFill="background1"/>
            <w:noWrap/>
          </w:tcPr>
          <w:p w14:paraId="0053169A"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7.00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0E96C187"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1.00</w:t>
            </w:r>
          </w:p>
        </w:tc>
        <w:tc>
          <w:tcPr>
            <w:tcW w:w="0" w:type="dxa"/>
            <w:shd w:val="clear" w:color="auto" w:fill="FFFFFF" w:themeFill="background1"/>
            <w:noWrap/>
          </w:tcPr>
          <w:p w14:paraId="488B18A2"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1.00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1B3CD6BA"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1.00</w:t>
            </w:r>
          </w:p>
        </w:tc>
      </w:tr>
      <w:tr w:rsidR="00BA06B6" w:rsidRPr="00BA06B6" w14:paraId="508C9697" w14:textId="77777777" w:rsidTr="00B9146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76ECB92E"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Max</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72892034"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19.00</w:t>
            </w:r>
          </w:p>
        </w:tc>
        <w:tc>
          <w:tcPr>
            <w:tcW w:w="0" w:type="dxa"/>
            <w:shd w:val="clear" w:color="auto" w:fill="FFFFFF" w:themeFill="background1"/>
            <w:noWrap/>
          </w:tcPr>
          <w:p w14:paraId="11A56CE5"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19.00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124F465D"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19.00</w:t>
            </w:r>
          </w:p>
        </w:tc>
        <w:tc>
          <w:tcPr>
            <w:tcW w:w="0" w:type="dxa"/>
            <w:shd w:val="clear" w:color="auto" w:fill="FFFFFF" w:themeFill="background1"/>
            <w:noWrap/>
          </w:tcPr>
          <w:p w14:paraId="064B27F8"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19.00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0C4901D4"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19.00</w:t>
            </w:r>
          </w:p>
        </w:tc>
        <w:tc>
          <w:tcPr>
            <w:tcW w:w="0" w:type="dxa"/>
            <w:shd w:val="clear" w:color="auto" w:fill="FFFFFF" w:themeFill="background1"/>
            <w:noWrap/>
          </w:tcPr>
          <w:p w14:paraId="67D7E659"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19.00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60ACD758"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19.00</w:t>
            </w:r>
          </w:p>
        </w:tc>
        <w:tc>
          <w:tcPr>
            <w:tcW w:w="0" w:type="dxa"/>
            <w:shd w:val="clear" w:color="auto" w:fill="FFFFFF" w:themeFill="background1"/>
            <w:noWrap/>
          </w:tcPr>
          <w:p w14:paraId="61CE4433"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19.00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411B54AF"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 xml:space="preserve">  19.00</w:t>
            </w:r>
          </w:p>
        </w:tc>
      </w:tr>
      <w:tr w:rsidR="00BA06B6" w:rsidRPr="00BA06B6" w14:paraId="5F4D8E70" w14:textId="77777777" w:rsidTr="00B91469">
        <w:trPr>
          <w:trHeight w:val="170"/>
        </w:trPr>
        <w:tc>
          <w:tcPr>
            <w:cnfStyle w:val="001000000000" w:firstRow="0" w:lastRow="0" w:firstColumn="1" w:lastColumn="0" w:oddVBand="0" w:evenVBand="0" w:oddHBand="0" w:evenHBand="0" w:firstRowFirstColumn="0" w:firstRowLastColumn="0" w:lastRowFirstColumn="0" w:lastRowLastColumn="0"/>
            <w:tcW w:w="0" w:type="dxa"/>
            <w:gridSpan w:val="9"/>
            <w:shd w:val="clear" w:color="auto" w:fill="FFFFFF" w:themeFill="background1"/>
            <w:noWrap/>
          </w:tcPr>
          <w:p w14:paraId="3C79F09A"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The un-weighted risk disclosures index (</w:t>
            </w:r>
            <w:r w:rsidRPr="00BA06B6">
              <w:rPr>
                <w:rFonts w:ascii="Times New Roman" w:eastAsia="SimSun" w:hAnsi="Times New Roman" w:cs="Times New Roman"/>
                <w:b w:val="0"/>
                <w:bCs w:val="0"/>
                <w:i/>
                <w:iCs/>
                <w:sz w:val="20"/>
                <w:szCs w:val="20"/>
                <w:lang w:val="en-US" w:eastAsia="en-GB"/>
              </w:rPr>
              <w:t>RDI</w:t>
            </w:r>
            <w:r w:rsidRPr="00BA06B6">
              <w:rPr>
                <w:rFonts w:ascii="Times New Roman" w:eastAsia="SimSun" w:hAnsi="Times New Roman" w:cs="Times New Roman"/>
                <w:b w:val="0"/>
                <w:bCs w:val="0"/>
                <w:sz w:val="20"/>
                <w:szCs w:val="20"/>
                <w:lang w:val="en-US" w:eastAsia="en-GB"/>
              </w:rPr>
              <w:t>) (%)</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2D10244E" w14:textId="77777777" w:rsidR="00AA068C" w:rsidRPr="00BA06B6" w:rsidRDefault="00AA068C" w:rsidP="00BC341D">
            <w:pPr>
              <w:tabs>
                <w:tab w:val="left" w:pos="851"/>
              </w:tabs>
              <w:jc w:val="both"/>
              <w:rPr>
                <w:rFonts w:ascii="Times New Roman" w:eastAsia="SimSun" w:hAnsi="Times New Roman" w:cs="Times New Roman"/>
                <w:i/>
                <w:iCs/>
                <w:sz w:val="20"/>
                <w:szCs w:val="20"/>
                <w:lang w:val="en-US" w:eastAsia="en-GB"/>
              </w:rPr>
            </w:pPr>
          </w:p>
        </w:tc>
      </w:tr>
      <w:tr w:rsidR="00BA06B6" w:rsidRPr="00BA06B6" w14:paraId="6A16023A" w14:textId="77777777" w:rsidTr="00B91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3D5E512E"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Mean</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665D1A2A"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58.58</w:t>
            </w:r>
          </w:p>
        </w:tc>
        <w:tc>
          <w:tcPr>
            <w:tcW w:w="0" w:type="dxa"/>
            <w:shd w:val="clear" w:color="auto" w:fill="FFFFFF" w:themeFill="background1"/>
            <w:noWrap/>
          </w:tcPr>
          <w:p w14:paraId="1CC1AFE7"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37.45</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4D85E0F2"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51.84</w:t>
            </w:r>
          </w:p>
        </w:tc>
        <w:tc>
          <w:tcPr>
            <w:tcW w:w="0" w:type="dxa"/>
            <w:shd w:val="clear" w:color="auto" w:fill="FFFFFF" w:themeFill="background1"/>
            <w:noWrap/>
          </w:tcPr>
          <w:p w14:paraId="24138E50"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56.82</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1D476A35"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59.83</w:t>
            </w:r>
          </w:p>
        </w:tc>
        <w:tc>
          <w:tcPr>
            <w:tcW w:w="0" w:type="dxa"/>
            <w:shd w:val="clear" w:color="auto" w:fill="FFFFFF" w:themeFill="background1"/>
            <w:noWrap/>
          </w:tcPr>
          <w:p w14:paraId="57C2303F"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63.79</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4FC1B52E"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64.11</w:t>
            </w:r>
          </w:p>
        </w:tc>
        <w:tc>
          <w:tcPr>
            <w:tcW w:w="0" w:type="dxa"/>
            <w:shd w:val="clear" w:color="auto" w:fill="FFFFFF" w:themeFill="background1"/>
            <w:noWrap/>
          </w:tcPr>
          <w:p w14:paraId="55508CD0"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65.11</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0E36DF02"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66.25</w:t>
            </w:r>
          </w:p>
        </w:tc>
      </w:tr>
      <w:tr w:rsidR="00BA06B6" w:rsidRPr="00BA06B6" w14:paraId="2E275886" w14:textId="77777777" w:rsidTr="00B91469">
        <w:trPr>
          <w:trHeight w:val="17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6960553E"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Median</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2FB31420"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62.50</w:t>
            </w:r>
          </w:p>
        </w:tc>
        <w:tc>
          <w:tcPr>
            <w:tcW w:w="0" w:type="dxa"/>
            <w:shd w:val="clear" w:color="auto" w:fill="FFFFFF" w:themeFill="background1"/>
            <w:noWrap/>
          </w:tcPr>
          <w:p w14:paraId="0417D8FC"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37.50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21EBE85B"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55.21</w:t>
            </w:r>
          </w:p>
        </w:tc>
        <w:tc>
          <w:tcPr>
            <w:tcW w:w="0" w:type="dxa"/>
            <w:shd w:val="clear" w:color="auto" w:fill="FFFFFF" w:themeFill="background1"/>
            <w:noWrap/>
          </w:tcPr>
          <w:p w14:paraId="723DB65C"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60.42</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4489D651"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63.54</w:t>
            </w:r>
          </w:p>
        </w:tc>
        <w:tc>
          <w:tcPr>
            <w:tcW w:w="0" w:type="dxa"/>
            <w:shd w:val="clear" w:color="auto" w:fill="FFFFFF" w:themeFill="background1"/>
            <w:noWrap/>
          </w:tcPr>
          <w:p w14:paraId="76EFB4AB"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65.63</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64F2FCC1"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65.63</w:t>
            </w:r>
          </w:p>
        </w:tc>
        <w:tc>
          <w:tcPr>
            <w:tcW w:w="0" w:type="dxa"/>
            <w:shd w:val="clear" w:color="auto" w:fill="FFFFFF" w:themeFill="background1"/>
            <w:noWrap/>
          </w:tcPr>
          <w:p w14:paraId="58D76309"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66.67</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59FF31D3"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67.71</w:t>
            </w:r>
          </w:p>
        </w:tc>
      </w:tr>
      <w:tr w:rsidR="00BA06B6" w:rsidRPr="00BA06B6" w14:paraId="510B5E84" w14:textId="77777777" w:rsidTr="00B91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367BE399"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STD</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49D73308"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15.96</w:t>
            </w:r>
          </w:p>
        </w:tc>
        <w:tc>
          <w:tcPr>
            <w:tcW w:w="0" w:type="dxa"/>
            <w:shd w:val="clear" w:color="auto" w:fill="FFFFFF" w:themeFill="background1"/>
            <w:noWrap/>
          </w:tcPr>
          <w:p w14:paraId="5FCD9A90"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14.15</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6DAF6C4A"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16.39</w:t>
            </w:r>
          </w:p>
        </w:tc>
        <w:tc>
          <w:tcPr>
            <w:tcW w:w="0" w:type="dxa"/>
            <w:shd w:val="clear" w:color="auto" w:fill="FFFFFF" w:themeFill="background1"/>
            <w:noWrap/>
          </w:tcPr>
          <w:p w14:paraId="7DDA34E3"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16.17</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372BD8C9"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16.03</w:t>
            </w:r>
          </w:p>
        </w:tc>
        <w:tc>
          <w:tcPr>
            <w:tcW w:w="0" w:type="dxa"/>
            <w:shd w:val="clear" w:color="auto" w:fill="FFFFFF" w:themeFill="background1"/>
            <w:noWrap/>
          </w:tcPr>
          <w:p w14:paraId="28285549"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10.88</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2E5CA930"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11.02</w:t>
            </w:r>
          </w:p>
        </w:tc>
        <w:tc>
          <w:tcPr>
            <w:tcW w:w="0" w:type="dxa"/>
            <w:shd w:val="clear" w:color="auto" w:fill="FFFFFF" w:themeFill="background1"/>
            <w:noWrap/>
          </w:tcPr>
          <w:p w14:paraId="33D35DD8"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11.14</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4EC40547"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10.05</w:t>
            </w:r>
          </w:p>
        </w:tc>
      </w:tr>
      <w:tr w:rsidR="00BA06B6" w:rsidRPr="00BA06B6" w14:paraId="78296E06" w14:textId="77777777" w:rsidTr="00B91469">
        <w:trPr>
          <w:trHeight w:val="17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3C35D31B"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Min</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77F094E3"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1.04</w:t>
            </w:r>
          </w:p>
        </w:tc>
        <w:tc>
          <w:tcPr>
            <w:tcW w:w="0" w:type="dxa"/>
            <w:shd w:val="clear" w:color="auto" w:fill="FFFFFF" w:themeFill="background1"/>
            <w:noWrap/>
          </w:tcPr>
          <w:p w14:paraId="638CBFC0"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6.25</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29A5092F"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6.25</w:t>
            </w:r>
          </w:p>
        </w:tc>
        <w:tc>
          <w:tcPr>
            <w:tcW w:w="0" w:type="dxa"/>
            <w:shd w:val="clear" w:color="auto" w:fill="FFFFFF" w:themeFill="background1"/>
            <w:noWrap/>
          </w:tcPr>
          <w:p w14:paraId="3B5E2126"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1.04</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252A76D0"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7.29</w:t>
            </w:r>
          </w:p>
        </w:tc>
        <w:tc>
          <w:tcPr>
            <w:tcW w:w="0" w:type="dxa"/>
            <w:shd w:val="clear" w:color="auto" w:fill="FFFFFF" w:themeFill="background1"/>
            <w:noWrap/>
          </w:tcPr>
          <w:p w14:paraId="691CD264"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26.04</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11C03573"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25.00</w:t>
            </w:r>
          </w:p>
        </w:tc>
        <w:tc>
          <w:tcPr>
            <w:tcW w:w="0" w:type="dxa"/>
            <w:shd w:val="clear" w:color="auto" w:fill="FFFFFF" w:themeFill="background1"/>
            <w:noWrap/>
          </w:tcPr>
          <w:p w14:paraId="15CF3E91"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19.79</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4AA00695"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19.79</w:t>
            </w:r>
          </w:p>
        </w:tc>
      </w:tr>
      <w:tr w:rsidR="00BA06B6" w:rsidRPr="00BA06B6" w14:paraId="4289F9FA" w14:textId="77777777" w:rsidTr="00B91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686ECB99"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Max</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7D858A50"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87.50</w:t>
            </w:r>
          </w:p>
        </w:tc>
        <w:tc>
          <w:tcPr>
            <w:tcW w:w="0" w:type="dxa"/>
            <w:shd w:val="clear" w:color="auto" w:fill="FFFFFF" w:themeFill="background1"/>
            <w:noWrap/>
          </w:tcPr>
          <w:p w14:paraId="0718282F"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80.21</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44CA5623"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83.33</w:t>
            </w:r>
          </w:p>
        </w:tc>
        <w:tc>
          <w:tcPr>
            <w:tcW w:w="0" w:type="dxa"/>
            <w:shd w:val="clear" w:color="auto" w:fill="FFFFFF" w:themeFill="background1"/>
            <w:noWrap/>
          </w:tcPr>
          <w:p w14:paraId="215745FF"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83.33</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2C2513D7"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83.33</w:t>
            </w:r>
          </w:p>
        </w:tc>
        <w:tc>
          <w:tcPr>
            <w:tcW w:w="0" w:type="dxa"/>
            <w:shd w:val="clear" w:color="auto" w:fill="FFFFFF" w:themeFill="background1"/>
            <w:noWrap/>
          </w:tcPr>
          <w:p w14:paraId="2576EE88"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83.33</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5EA99F90"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81.25</w:t>
            </w:r>
          </w:p>
        </w:tc>
        <w:tc>
          <w:tcPr>
            <w:tcW w:w="0" w:type="dxa"/>
            <w:shd w:val="clear" w:color="auto" w:fill="FFFFFF" w:themeFill="background1"/>
            <w:noWrap/>
          </w:tcPr>
          <w:p w14:paraId="2C5B2E15"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87.50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41039C24"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87.50</w:t>
            </w:r>
          </w:p>
        </w:tc>
      </w:tr>
      <w:tr w:rsidR="00BA06B6" w:rsidRPr="00BA06B6" w14:paraId="1D0262F3" w14:textId="77777777" w:rsidTr="00B91469">
        <w:trPr>
          <w:trHeight w:val="170"/>
        </w:trPr>
        <w:tc>
          <w:tcPr>
            <w:cnfStyle w:val="001000000000" w:firstRow="0" w:lastRow="0" w:firstColumn="1" w:lastColumn="0" w:oddVBand="0" w:evenVBand="0" w:oddHBand="0" w:evenHBand="0" w:firstRowFirstColumn="0" w:firstRowLastColumn="0" w:lastRowFirstColumn="0" w:lastRowLastColumn="0"/>
            <w:tcW w:w="0" w:type="dxa"/>
            <w:gridSpan w:val="9"/>
            <w:shd w:val="clear" w:color="auto" w:fill="FFFFFF" w:themeFill="background1"/>
            <w:noWrap/>
          </w:tcPr>
          <w:p w14:paraId="4247D10C"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The weighted risk disclosures index (</w:t>
            </w:r>
            <w:r w:rsidRPr="00BA06B6">
              <w:rPr>
                <w:rFonts w:ascii="Times New Roman" w:eastAsia="SimSun" w:hAnsi="Times New Roman" w:cs="Times New Roman"/>
                <w:b w:val="0"/>
                <w:bCs w:val="0"/>
                <w:i/>
                <w:iCs/>
                <w:sz w:val="20"/>
                <w:szCs w:val="20"/>
                <w:lang w:val="en-US" w:eastAsia="en-GB"/>
              </w:rPr>
              <w:t>W-RDI</w:t>
            </w:r>
            <w:r w:rsidRPr="00BA06B6">
              <w:rPr>
                <w:rFonts w:ascii="Times New Roman" w:eastAsia="SimSun" w:hAnsi="Times New Roman" w:cs="Times New Roman"/>
                <w:b w:val="0"/>
                <w:bCs w:val="0"/>
                <w:sz w:val="20"/>
                <w:szCs w:val="20"/>
                <w:lang w:val="en-US" w:eastAsia="en-GB"/>
              </w:rPr>
              <w:t>) (%)</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582BA268" w14:textId="77777777" w:rsidR="00AA068C" w:rsidRPr="00BA06B6" w:rsidRDefault="00AA068C" w:rsidP="00BC341D">
            <w:pPr>
              <w:tabs>
                <w:tab w:val="left" w:pos="851"/>
              </w:tabs>
              <w:jc w:val="both"/>
              <w:rPr>
                <w:rFonts w:ascii="Times New Roman" w:eastAsia="SimSun" w:hAnsi="Times New Roman" w:cs="Times New Roman"/>
                <w:i/>
                <w:iCs/>
                <w:sz w:val="20"/>
                <w:szCs w:val="20"/>
                <w:lang w:val="en-US" w:eastAsia="en-GB"/>
              </w:rPr>
            </w:pPr>
          </w:p>
        </w:tc>
      </w:tr>
      <w:tr w:rsidR="00BA06B6" w:rsidRPr="00BA06B6" w14:paraId="42368408" w14:textId="77777777" w:rsidTr="00B91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7F9ABEB8"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Mean</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6E938CC1"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41.64</w:t>
            </w:r>
          </w:p>
        </w:tc>
        <w:tc>
          <w:tcPr>
            <w:tcW w:w="0" w:type="dxa"/>
            <w:shd w:val="clear" w:color="auto" w:fill="FFFFFF" w:themeFill="background1"/>
            <w:noWrap/>
          </w:tcPr>
          <w:p w14:paraId="2D8BC851"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23.43</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66909D2C"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36.45</w:t>
            </w:r>
          </w:p>
        </w:tc>
        <w:tc>
          <w:tcPr>
            <w:tcW w:w="0" w:type="dxa"/>
            <w:shd w:val="clear" w:color="auto" w:fill="FFFFFF" w:themeFill="background1"/>
            <w:noWrap/>
          </w:tcPr>
          <w:p w14:paraId="54EA8157"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40.74</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4370D713"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42.74</w:t>
            </w:r>
          </w:p>
        </w:tc>
        <w:tc>
          <w:tcPr>
            <w:tcW w:w="0" w:type="dxa"/>
            <w:shd w:val="clear" w:color="auto" w:fill="FFFFFF" w:themeFill="background1"/>
            <w:noWrap/>
          </w:tcPr>
          <w:p w14:paraId="5AF7C007"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45.89</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6D8EBB5C"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46.15</w:t>
            </w:r>
          </w:p>
        </w:tc>
        <w:tc>
          <w:tcPr>
            <w:tcW w:w="0" w:type="dxa"/>
            <w:shd w:val="clear" w:color="auto" w:fill="FFFFFF" w:themeFill="background1"/>
            <w:noWrap/>
          </w:tcPr>
          <w:p w14:paraId="17B6AB11"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47.13</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55CD5B5B"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47.74</w:t>
            </w:r>
          </w:p>
        </w:tc>
      </w:tr>
      <w:tr w:rsidR="00BA06B6" w:rsidRPr="00BA06B6" w14:paraId="61003BBA" w14:textId="77777777" w:rsidTr="00B91469">
        <w:trPr>
          <w:trHeight w:val="17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4073F5CE"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Median</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3BA9C3F1"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44.79</w:t>
            </w:r>
          </w:p>
        </w:tc>
        <w:tc>
          <w:tcPr>
            <w:tcW w:w="0" w:type="dxa"/>
            <w:shd w:val="clear" w:color="auto" w:fill="FFFFFF" w:themeFill="background1"/>
            <w:noWrap/>
          </w:tcPr>
          <w:p w14:paraId="7ACEC1CC"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21.88</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68EDB9B9"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39.58</w:t>
            </w:r>
          </w:p>
        </w:tc>
        <w:tc>
          <w:tcPr>
            <w:tcW w:w="0" w:type="dxa"/>
            <w:shd w:val="clear" w:color="auto" w:fill="FFFFFF" w:themeFill="background1"/>
            <w:noWrap/>
          </w:tcPr>
          <w:p w14:paraId="02FAEFE9"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43.75</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6FD2813A"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45.57</w:t>
            </w:r>
          </w:p>
        </w:tc>
        <w:tc>
          <w:tcPr>
            <w:tcW w:w="0" w:type="dxa"/>
            <w:shd w:val="clear" w:color="auto" w:fill="FFFFFF" w:themeFill="background1"/>
            <w:noWrap/>
          </w:tcPr>
          <w:p w14:paraId="79B48821"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46.61</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1DD746B6"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47.92</w:t>
            </w:r>
          </w:p>
        </w:tc>
        <w:tc>
          <w:tcPr>
            <w:tcW w:w="0" w:type="dxa"/>
            <w:shd w:val="clear" w:color="auto" w:fill="FFFFFF" w:themeFill="background1"/>
            <w:noWrap/>
          </w:tcPr>
          <w:p w14:paraId="66C07D2C"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48.44</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018EDEA6"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48.44</w:t>
            </w:r>
          </w:p>
        </w:tc>
      </w:tr>
      <w:tr w:rsidR="00BA06B6" w:rsidRPr="00BA06B6" w14:paraId="3F215C1D" w14:textId="77777777" w:rsidTr="00B91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61003BF7"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STD</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61095F86"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12.58</w:t>
            </w:r>
          </w:p>
        </w:tc>
        <w:tc>
          <w:tcPr>
            <w:tcW w:w="0" w:type="dxa"/>
            <w:shd w:val="clear" w:color="auto" w:fill="FFFFFF" w:themeFill="background1"/>
            <w:noWrap/>
          </w:tcPr>
          <w:p w14:paraId="3FA28DFE"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10.53</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5A2E1BD8"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13.01</w:t>
            </w:r>
          </w:p>
        </w:tc>
        <w:tc>
          <w:tcPr>
            <w:tcW w:w="0" w:type="dxa"/>
            <w:shd w:val="clear" w:color="auto" w:fill="FFFFFF" w:themeFill="background1"/>
            <w:noWrap/>
          </w:tcPr>
          <w:p w14:paraId="35EF0DC1"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12.56</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2EEF6840"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12.84</w:t>
            </w:r>
          </w:p>
        </w:tc>
        <w:tc>
          <w:tcPr>
            <w:tcW w:w="0" w:type="dxa"/>
            <w:shd w:val="clear" w:color="auto" w:fill="FFFFFF" w:themeFill="background1"/>
            <w:noWrap/>
          </w:tcPr>
          <w:p w14:paraId="317F2F80"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7.91</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774E0994"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7.81</w:t>
            </w:r>
          </w:p>
        </w:tc>
        <w:tc>
          <w:tcPr>
            <w:tcW w:w="0" w:type="dxa"/>
            <w:shd w:val="clear" w:color="auto" w:fill="FFFFFF" w:themeFill="background1"/>
            <w:noWrap/>
          </w:tcPr>
          <w:p w14:paraId="07D268EE"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8.07</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2E10372C"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7.54</w:t>
            </w:r>
          </w:p>
        </w:tc>
      </w:tr>
      <w:tr w:rsidR="00BA06B6" w:rsidRPr="00BA06B6" w14:paraId="0F508CE6" w14:textId="77777777" w:rsidTr="00B91469">
        <w:trPr>
          <w:trHeight w:val="17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7DD7A929"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Min</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558187EC"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1.04</w:t>
            </w:r>
          </w:p>
        </w:tc>
        <w:tc>
          <w:tcPr>
            <w:tcW w:w="0" w:type="dxa"/>
            <w:shd w:val="clear" w:color="auto" w:fill="FFFFFF" w:themeFill="background1"/>
            <w:noWrap/>
          </w:tcPr>
          <w:p w14:paraId="654856A7"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3.65</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2331306B"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3.65</w:t>
            </w:r>
          </w:p>
        </w:tc>
        <w:tc>
          <w:tcPr>
            <w:tcW w:w="0" w:type="dxa"/>
            <w:shd w:val="clear" w:color="auto" w:fill="FFFFFF" w:themeFill="background1"/>
            <w:noWrap/>
          </w:tcPr>
          <w:p w14:paraId="311B33FE"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1.04</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7BA656CF"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3.65</w:t>
            </w:r>
          </w:p>
        </w:tc>
        <w:tc>
          <w:tcPr>
            <w:tcW w:w="0" w:type="dxa"/>
            <w:shd w:val="clear" w:color="auto" w:fill="FFFFFF" w:themeFill="background1"/>
            <w:noWrap/>
          </w:tcPr>
          <w:p w14:paraId="375D449A"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14.58</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101D9619"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14.06</w:t>
            </w:r>
          </w:p>
        </w:tc>
        <w:tc>
          <w:tcPr>
            <w:tcW w:w="0" w:type="dxa"/>
            <w:shd w:val="clear" w:color="auto" w:fill="FFFFFF" w:themeFill="background1"/>
            <w:noWrap/>
          </w:tcPr>
          <w:p w14:paraId="5A1401DD"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9.90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4C9871BF"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9.90</w:t>
            </w:r>
          </w:p>
        </w:tc>
      </w:tr>
      <w:tr w:rsidR="00BA06B6" w:rsidRPr="00BA06B6" w14:paraId="1A6283C9" w14:textId="77777777" w:rsidTr="00B91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203A053C"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Max</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6CE792AE"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70.31</w:t>
            </w:r>
          </w:p>
        </w:tc>
        <w:tc>
          <w:tcPr>
            <w:tcW w:w="0" w:type="dxa"/>
            <w:shd w:val="clear" w:color="auto" w:fill="FFFFFF" w:themeFill="background1"/>
            <w:noWrap/>
          </w:tcPr>
          <w:p w14:paraId="0AF30CC8"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55.21</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293E19F7"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66.67</w:t>
            </w:r>
          </w:p>
        </w:tc>
        <w:tc>
          <w:tcPr>
            <w:tcW w:w="0" w:type="dxa"/>
            <w:shd w:val="clear" w:color="auto" w:fill="FFFFFF" w:themeFill="background1"/>
            <w:noWrap/>
          </w:tcPr>
          <w:p w14:paraId="4E76F33E"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66.67</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445E7B8C"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67.71</w:t>
            </w:r>
          </w:p>
        </w:tc>
        <w:tc>
          <w:tcPr>
            <w:tcW w:w="0" w:type="dxa"/>
            <w:shd w:val="clear" w:color="auto" w:fill="FFFFFF" w:themeFill="background1"/>
            <w:noWrap/>
          </w:tcPr>
          <w:p w14:paraId="77B68485"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65.63</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3006DA47"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61.46</w:t>
            </w:r>
          </w:p>
        </w:tc>
        <w:tc>
          <w:tcPr>
            <w:tcW w:w="0" w:type="dxa"/>
            <w:shd w:val="clear" w:color="auto" w:fill="FFFFFF" w:themeFill="background1"/>
            <w:noWrap/>
          </w:tcPr>
          <w:p w14:paraId="11F0A84B"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70.31</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5874F832"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70.31</w:t>
            </w:r>
          </w:p>
        </w:tc>
      </w:tr>
      <w:tr w:rsidR="00BA06B6" w:rsidRPr="00BA06B6" w14:paraId="051FE927" w14:textId="77777777" w:rsidTr="00B91469">
        <w:trPr>
          <w:trHeight w:val="170"/>
        </w:trPr>
        <w:tc>
          <w:tcPr>
            <w:cnfStyle w:val="001000000000" w:firstRow="0" w:lastRow="0" w:firstColumn="1" w:lastColumn="0" w:oddVBand="0" w:evenVBand="0" w:oddHBand="0" w:evenHBand="0" w:firstRowFirstColumn="0" w:firstRowLastColumn="0" w:lastRowFirstColumn="0" w:lastRowLastColumn="0"/>
            <w:tcW w:w="0" w:type="dxa"/>
            <w:gridSpan w:val="9"/>
            <w:shd w:val="clear" w:color="auto" w:fill="FFFFFF" w:themeFill="background1"/>
            <w:noWrap/>
          </w:tcPr>
          <w:p w14:paraId="506685E4"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SSB index (%)</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082B6DCC" w14:textId="77777777" w:rsidR="00AA068C" w:rsidRPr="00BA06B6" w:rsidRDefault="00AA068C" w:rsidP="00BC341D">
            <w:pPr>
              <w:tabs>
                <w:tab w:val="left" w:pos="851"/>
              </w:tabs>
              <w:jc w:val="both"/>
              <w:rPr>
                <w:rFonts w:ascii="Times New Roman" w:eastAsia="SimSun" w:hAnsi="Times New Roman" w:cs="Times New Roman"/>
                <w:i/>
                <w:iCs/>
                <w:sz w:val="20"/>
                <w:szCs w:val="20"/>
                <w:lang w:val="en-US" w:eastAsia="en-GB"/>
              </w:rPr>
            </w:pPr>
          </w:p>
        </w:tc>
      </w:tr>
      <w:tr w:rsidR="00BA06B6" w:rsidRPr="00BA06B6" w14:paraId="136D0DAD" w14:textId="77777777" w:rsidTr="00B91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34403FEE"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Mean</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1FE1613C"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19.86</w:t>
            </w:r>
          </w:p>
        </w:tc>
        <w:tc>
          <w:tcPr>
            <w:tcW w:w="0" w:type="dxa"/>
            <w:shd w:val="clear" w:color="auto" w:fill="FFFFFF" w:themeFill="background1"/>
            <w:noWrap/>
          </w:tcPr>
          <w:p w14:paraId="245BF11F"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14.29</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763E002F"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16.71</w:t>
            </w:r>
          </w:p>
        </w:tc>
        <w:tc>
          <w:tcPr>
            <w:tcW w:w="0" w:type="dxa"/>
            <w:shd w:val="clear" w:color="auto" w:fill="FFFFFF" w:themeFill="background1"/>
            <w:noWrap/>
          </w:tcPr>
          <w:p w14:paraId="439A07AE"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17.86</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07257AC0"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21.57</w:t>
            </w:r>
          </w:p>
        </w:tc>
        <w:tc>
          <w:tcPr>
            <w:tcW w:w="0" w:type="dxa"/>
            <w:shd w:val="clear" w:color="auto" w:fill="FFFFFF" w:themeFill="background1"/>
            <w:noWrap/>
          </w:tcPr>
          <w:p w14:paraId="43E2D7BD"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21.57</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707B4C24"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20.71</w:t>
            </w:r>
          </w:p>
        </w:tc>
        <w:tc>
          <w:tcPr>
            <w:tcW w:w="0" w:type="dxa"/>
            <w:shd w:val="clear" w:color="auto" w:fill="FFFFFF" w:themeFill="background1"/>
            <w:noWrap/>
          </w:tcPr>
          <w:p w14:paraId="45250327"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21.57</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37F6D599"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23.86</w:t>
            </w:r>
          </w:p>
        </w:tc>
      </w:tr>
      <w:tr w:rsidR="00BA06B6" w:rsidRPr="00BA06B6" w14:paraId="14641C7B" w14:textId="77777777" w:rsidTr="00B91469">
        <w:trPr>
          <w:trHeight w:val="17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59B25713"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Median</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29C35AB5"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0.00</w:t>
            </w:r>
          </w:p>
        </w:tc>
        <w:tc>
          <w:tcPr>
            <w:tcW w:w="0" w:type="dxa"/>
            <w:shd w:val="clear" w:color="auto" w:fill="FFFFFF" w:themeFill="background1"/>
            <w:noWrap/>
          </w:tcPr>
          <w:p w14:paraId="467B8D52"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0.00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0CE96C24"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0.00</w:t>
            </w:r>
          </w:p>
        </w:tc>
        <w:tc>
          <w:tcPr>
            <w:tcW w:w="0" w:type="dxa"/>
            <w:shd w:val="clear" w:color="auto" w:fill="FFFFFF" w:themeFill="background1"/>
            <w:noWrap/>
          </w:tcPr>
          <w:p w14:paraId="71E66363"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0.00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2E7FC3A7"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0.00</w:t>
            </w:r>
          </w:p>
        </w:tc>
        <w:tc>
          <w:tcPr>
            <w:tcW w:w="0" w:type="dxa"/>
            <w:shd w:val="clear" w:color="auto" w:fill="FFFFFF" w:themeFill="background1"/>
            <w:noWrap/>
          </w:tcPr>
          <w:p w14:paraId="7681ACB7"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0.00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67CBDA85"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0.00</w:t>
            </w:r>
          </w:p>
        </w:tc>
        <w:tc>
          <w:tcPr>
            <w:tcW w:w="0" w:type="dxa"/>
            <w:shd w:val="clear" w:color="auto" w:fill="FFFFFF" w:themeFill="background1"/>
            <w:noWrap/>
          </w:tcPr>
          <w:p w14:paraId="128B0BD7"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0.00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7B5203AE"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0.00</w:t>
            </w:r>
          </w:p>
        </w:tc>
      </w:tr>
      <w:tr w:rsidR="00BA06B6" w:rsidRPr="00BA06B6" w14:paraId="665AD95D" w14:textId="77777777" w:rsidTr="00B91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5FA54E4F"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STD</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63BA0C4E"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27.29</w:t>
            </w:r>
          </w:p>
        </w:tc>
        <w:tc>
          <w:tcPr>
            <w:tcW w:w="0" w:type="dxa"/>
            <w:shd w:val="clear" w:color="auto" w:fill="FFFFFF" w:themeFill="background1"/>
            <w:noWrap/>
          </w:tcPr>
          <w:p w14:paraId="737703D8"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22.86</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37DB6ACF"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25.29</w:t>
            </w:r>
          </w:p>
        </w:tc>
        <w:tc>
          <w:tcPr>
            <w:tcW w:w="0" w:type="dxa"/>
            <w:shd w:val="clear" w:color="auto" w:fill="FFFFFF" w:themeFill="background1"/>
            <w:noWrap/>
          </w:tcPr>
          <w:p w14:paraId="779D4C0E"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25.86</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687BB284"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27.71</w:t>
            </w:r>
          </w:p>
        </w:tc>
        <w:tc>
          <w:tcPr>
            <w:tcW w:w="0" w:type="dxa"/>
            <w:shd w:val="clear" w:color="auto" w:fill="FFFFFF" w:themeFill="background1"/>
            <w:noWrap/>
          </w:tcPr>
          <w:p w14:paraId="6C7C4E7D"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28.00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77DBF7C2"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27.71</w:t>
            </w:r>
          </w:p>
        </w:tc>
        <w:tc>
          <w:tcPr>
            <w:tcW w:w="0" w:type="dxa"/>
            <w:shd w:val="clear" w:color="auto" w:fill="FFFFFF" w:themeFill="background1"/>
            <w:noWrap/>
          </w:tcPr>
          <w:p w14:paraId="4CBCD279"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28.71</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02E355AF"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30.29</w:t>
            </w:r>
          </w:p>
        </w:tc>
      </w:tr>
      <w:tr w:rsidR="00BA06B6" w:rsidRPr="00BA06B6" w14:paraId="039C18FC" w14:textId="77777777" w:rsidTr="00B91469">
        <w:trPr>
          <w:trHeight w:val="17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4651A6DE"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Min</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457B7A93"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0.00</w:t>
            </w:r>
          </w:p>
        </w:tc>
        <w:tc>
          <w:tcPr>
            <w:tcW w:w="0" w:type="dxa"/>
            <w:shd w:val="clear" w:color="auto" w:fill="FFFFFF" w:themeFill="background1"/>
            <w:noWrap/>
          </w:tcPr>
          <w:p w14:paraId="2D1A30C5"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0.00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60CDC776"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0.00</w:t>
            </w:r>
          </w:p>
        </w:tc>
        <w:tc>
          <w:tcPr>
            <w:tcW w:w="0" w:type="dxa"/>
            <w:shd w:val="clear" w:color="auto" w:fill="FFFFFF" w:themeFill="background1"/>
            <w:noWrap/>
          </w:tcPr>
          <w:p w14:paraId="5169E829"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0.00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66FC551E"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0.00</w:t>
            </w:r>
          </w:p>
        </w:tc>
        <w:tc>
          <w:tcPr>
            <w:tcW w:w="0" w:type="dxa"/>
            <w:shd w:val="clear" w:color="auto" w:fill="FFFFFF" w:themeFill="background1"/>
            <w:noWrap/>
          </w:tcPr>
          <w:p w14:paraId="795A5323"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0.00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noWrap/>
          </w:tcPr>
          <w:p w14:paraId="19344D7E"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0.00</w:t>
            </w:r>
          </w:p>
        </w:tc>
        <w:tc>
          <w:tcPr>
            <w:tcW w:w="0" w:type="dxa"/>
            <w:shd w:val="clear" w:color="auto" w:fill="FFFFFF" w:themeFill="background1"/>
            <w:noWrap/>
          </w:tcPr>
          <w:p w14:paraId="068DA448" w14:textId="77777777" w:rsidR="00AA068C" w:rsidRPr="00BA06B6" w:rsidRDefault="00AA068C" w:rsidP="00BC341D">
            <w:pPr>
              <w:tabs>
                <w:tab w:val="left" w:pos="851"/>
              </w:tabs>
              <w:jc w:val="right"/>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0.00</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FF" w:themeFill="background1"/>
          </w:tcPr>
          <w:p w14:paraId="02E418E7"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0.00</w:t>
            </w:r>
          </w:p>
        </w:tc>
      </w:tr>
      <w:tr w:rsidR="00BA06B6" w:rsidRPr="00BA06B6" w14:paraId="23275FAD" w14:textId="77777777" w:rsidTr="00B9146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666666" w:themeColor="text1" w:themeTint="99"/>
            </w:tcBorders>
            <w:shd w:val="clear" w:color="auto" w:fill="FFFFFF" w:themeFill="background1"/>
            <w:noWrap/>
          </w:tcPr>
          <w:p w14:paraId="16771E78"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en-GB"/>
              </w:rPr>
            </w:pPr>
            <w:r w:rsidRPr="00BA06B6">
              <w:rPr>
                <w:rFonts w:ascii="Times New Roman" w:eastAsia="SimSun" w:hAnsi="Times New Roman" w:cs="Times New Roman"/>
                <w:b w:val="0"/>
                <w:bCs w:val="0"/>
                <w:sz w:val="20"/>
                <w:szCs w:val="20"/>
                <w:lang w:val="en-US" w:eastAsia="en-GB"/>
              </w:rPr>
              <w:t>Max</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666666" w:themeColor="text1" w:themeTint="99"/>
            </w:tcBorders>
            <w:shd w:val="clear" w:color="auto" w:fill="FFFFFF" w:themeFill="background1"/>
            <w:noWrap/>
          </w:tcPr>
          <w:p w14:paraId="72D89E6C"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100.00</w:t>
            </w:r>
          </w:p>
        </w:tc>
        <w:tc>
          <w:tcPr>
            <w:tcW w:w="0" w:type="dxa"/>
            <w:tcBorders>
              <w:bottom w:val="single" w:sz="4" w:space="0" w:color="666666" w:themeColor="text1" w:themeTint="99"/>
            </w:tcBorders>
            <w:shd w:val="clear" w:color="auto" w:fill="FFFFFF" w:themeFill="background1"/>
            <w:noWrap/>
          </w:tcPr>
          <w:p w14:paraId="7B429911"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85.71</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666666" w:themeColor="text1" w:themeTint="99"/>
            </w:tcBorders>
            <w:shd w:val="clear" w:color="auto" w:fill="FFFFFF" w:themeFill="background1"/>
            <w:noWrap/>
          </w:tcPr>
          <w:p w14:paraId="44F72520"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100.00</w:t>
            </w:r>
          </w:p>
        </w:tc>
        <w:tc>
          <w:tcPr>
            <w:tcW w:w="0" w:type="dxa"/>
            <w:tcBorders>
              <w:bottom w:val="single" w:sz="4" w:space="0" w:color="666666" w:themeColor="text1" w:themeTint="99"/>
            </w:tcBorders>
            <w:shd w:val="clear" w:color="auto" w:fill="FFFFFF" w:themeFill="background1"/>
            <w:noWrap/>
          </w:tcPr>
          <w:p w14:paraId="58581185"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100.00</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666666" w:themeColor="text1" w:themeTint="99"/>
            </w:tcBorders>
            <w:shd w:val="clear" w:color="auto" w:fill="FFFFFF" w:themeFill="background1"/>
            <w:noWrap/>
          </w:tcPr>
          <w:p w14:paraId="45A4ED70"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100.00</w:t>
            </w:r>
          </w:p>
        </w:tc>
        <w:tc>
          <w:tcPr>
            <w:tcW w:w="0" w:type="dxa"/>
            <w:tcBorders>
              <w:bottom w:val="single" w:sz="4" w:space="0" w:color="666666" w:themeColor="text1" w:themeTint="99"/>
            </w:tcBorders>
            <w:shd w:val="clear" w:color="auto" w:fill="FFFFFF" w:themeFill="background1"/>
            <w:noWrap/>
          </w:tcPr>
          <w:p w14:paraId="6335BE86"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100.00</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666666" w:themeColor="text1" w:themeTint="99"/>
            </w:tcBorders>
            <w:shd w:val="clear" w:color="auto" w:fill="FFFFFF" w:themeFill="background1"/>
            <w:noWrap/>
          </w:tcPr>
          <w:p w14:paraId="1FDAF68B"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100.00</w:t>
            </w:r>
          </w:p>
        </w:tc>
        <w:tc>
          <w:tcPr>
            <w:tcW w:w="0" w:type="dxa"/>
            <w:tcBorders>
              <w:bottom w:val="single" w:sz="4" w:space="0" w:color="666666" w:themeColor="text1" w:themeTint="99"/>
            </w:tcBorders>
            <w:shd w:val="clear" w:color="auto" w:fill="FFFFFF" w:themeFill="background1"/>
            <w:noWrap/>
          </w:tcPr>
          <w:p w14:paraId="2E31007F" w14:textId="77777777" w:rsidR="00AA068C" w:rsidRPr="00BA06B6" w:rsidRDefault="00AA068C" w:rsidP="00BC341D">
            <w:pPr>
              <w:tabs>
                <w:tab w:val="left" w:pos="851"/>
              </w:tabs>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100.00</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666666" w:themeColor="text1" w:themeTint="99"/>
            </w:tcBorders>
            <w:shd w:val="clear" w:color="auto" w:fill="FFFFFF" w:themeFill="background1"/>
          </w:tcPr>
          <w:p w14:paraId="28ECE559" w14:textId="77777777" w:rsidR="00AA068C" w:rsidRPr="00BA06B6" w:rsidRDefault="00AA068C" w:rsidP="00BC341D">
            <w:pPr>
              <w:tabs>
                <w:tab w:val="left" w:pos="851"/>
              </w:tabs>
              <w:jc w:val="right"/>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zh-CN"/>
              </w:rPr>
              <w:t>100.00</w:t>
            </w:r>
          </w:p>
        </w:tc>
      </w:tr>
      <w:tr w:rsidR="00BA06B6" w:rsidRPr="00BA06B6" w14:paraId="2F2A3D68" w14:textId="77777777" w:rsidTr="00B91469">
        <w:trPr>
          <w:trHeight w:val="170"/>
        </w:trPr>
        <w:tc>
          <w:tcPr>
            <w:cnfStyle w:val="001000000000" w:firstRow="0" w:lastRow="0" w:firstColumn="1" w:lastColumn="0" w:oddVBand="0" w:evenVBand="0" w:oddHBand="0" w:evenHBand="0" w:firstRowFirstColumn="0" w:firstRowLastColumn="0" w:lastRowFirstColumn="0" w:lastRowLastColumn="0"/>
            <w:tcW w:w="0" w:type="dxa"/>
            <w:gridSpan w:val="10"/>
            <w:tcBorders>
              <w:bottom w:val="nil"/>
            </w:tcBorders>
            <w:shd w:val="clear" w:color="auto" w:fill="FFFFFF" w:themeFill="background1"/>
            <w:noWrap/>
          </w:tcPr>
          <w:p w14:paraId="388E293E" w14:textId="77777777" w:rsidR="00AA068C" w:rsidRPr="00BA06B6" w:rsidRDefault="00AA068C" w:rsidP="00BC341D">
            <w:pPr>
              <w:tabs>
                <w:tab w:val="left" w:pos="851"/>
              </w:tabs>
              <w:ind w:left="34"/>
              <w:jc w:val="both"/>
              <w:rPr>
                <w:rFonts w:ascii="Times New Roman" w:eastAsia="SimSun" w:hAnsi="Times New Roman" w:cs="Times New Roman"/>
                <w:b w:val="0"/>
                <w:bCs w:val="0"/>
                <w:sz w:val="20"/>
                <w:szCs w:val="20"/>
                <w:lang w:val="en-US" w:eastAsia="zh-CN"/>
              </w:rPr>
            </w:pPr>
            <w:r w:rsidRPr="00BA06B6">
              <w:rPr>
                <w:rFonts w:ascii="Times New Roman" w:eastAsia="Times New Roman" w:hAnsi="Times New Roman" w:cs="Times New Roman"/>
                <w:b w:val="0"/>
                <w:bCs w:val="0"/>
                <w:sz w:val="18"/>
                <w:szCs w:val="18"/>
                <w:lang w:eastAsia="en-GB"/>
              </w:rPr>
              <w:t xml:space="preserve">Notes: </w:t>
            </w:r>
            <w:r w:rsidRPr="00BA06B6">
              <w:rPr>
                <w:rFonts w:ascii="Times New Roman" w:eastAsia="Times New Roman" w:hAnsi="Times New Roman" w:cs="Times New Roman"/>
                <w:b w:val="0"/>
                <w:bCs w:val="0"/>
                <w:sz w:val="20"/>
                <w:szCs w:val="20"/>
                <w:lang w:eastAsia="en-GB"/>
              </w:rPr>
              <w:t xml:space="preserve">Our final sample covers 95 banks listed in 12 MENA stock exchanges as follows: </w:t>
            </w:r>
            <w:r w:rsidRPr="00BA06B6">
              <w:rPr>
                <w:rFonts w:ascii="Times New Roman" w:eastAsia="Times New Roman" w:hAnsi="Times New Roman" w:cs="Times New Roman"/>
                <w:b w:val="0"/>
                <w:bCs w:val="0"/>
                <w:iCs/>
                <w:sz w:val="20"/>
                <w:szCs w:val="20"/>
                <w:lang w:eastAsia="en-GB"/>
              </w:rPr>
              <w:t xml:space="preserve">Bahrain, Egypt, Jordan, Kuwait, Lebanon, Morocco, Oman, Qatar, Saudi Arabia, Syria, Tunisia and UAE. The final sample consists of 700 bank-year observations </w:t>
            </w:r>
            <w:r w:rsidRPr="00BA06B6">
              <w:rPr>
                <w:rFonts w:ascii="Times New Roman" w:eastAsia="Times New Roman" w:hAnsi="Times New Roman" w:cs="Times New Roman"/>
                <w:b w:val="0"/>
                <w:bCs w:val="0"/>
                <w:sz w:val="20"/>
                <w:szCs w:val="20"/>
                <w:lang w:eastAsia="en-GB"/>
              </w:rPr>
              <w:t xml:space="preserve">over eight fiscal years, from 2006 to 2013. </w:t>
            </w:r>
            <w:r w:rsidRPr="00BA06B6">
              <w:rPr>
                <w:rFonts w:ascii="Times New Roman" w:eastAsia="Times New Roman" w:hAnsi="Times New Roman" w:cs="Times New Roman"/>
                <w:b w:val="0"/>
                <w:bCs w:val="0"/>
                <w:sz w:val="18"/>
                <w:szCs w:val="18"/>
                <w:lang w:eastAsia="en-GB"/>
              </w:rPr>
              <w:t>This table reports descriptive statistics of Fitch long-term issuer default ratings (</w:t>
            </w:r>
            <w:r w:rsidRPr="00BA06B6">
              <w:rPr>
                <w:rFonts w:ascii="Times New Roman" w:eastAsia="Times New Roman" w:hAnsi="Times New Roman" w:cs="Times New Roman"/>
                <w:b w:val="0"/>
                <w:bCs w:val="0"/>
                <w:i/>
                <w:iCs/>
                <w:sz w:val="18"/>
                <w:szCs w:val="18"/>
                <w:lang w:eastAsia="en-GB"/>
              </w:rPr>
              <w:t>RATE</w:t>
            </w:r>
            <w:r w:rsidRPr="00BA06B6">
              <w:rPr>
                <w:rFonts w:ascii="Times New Roman" w:eastAsia="Times New Roman" w:hAnsi="Times New Roman" w:cs="Times New Roman"/>
                <w:b w:val="0"/>
                <w:bCs w:val="0"/>
                <w:sz w:val="18"/>
                <w:szCs w:val="18"/>
                <w:lang w:eastAsia="en-GB"/>
              </w:rPr>
              <w:t>), the levels of compliance with un-weighted (</w:t>
            </w:r>
            <w:r w:rsidRPr="00BA06B6">
              <w:rPr>
                <w:rFonts w:ascii="Times New Roman" w:eastAsia="Times New Roman" w:hAnsi="Times New Roman" w:cs="Times New Roman"/>
                <w:b w:val="0"/>
                <w:bCs w:val="0"/>
                <w:i/>
                <w:iCs/>
                <w:sz w:val="18"/>
                <w:szCs w:val="18"/>
                <w:lang w:eastAsia="en-GB"/>
              </w:rPr>
              <w:t>RDI</w:t>
            </w:r>
            <w:r w:rsidRPr="00BA06B6">
              <w:rPr>
                <w:rFonts w:ascii="Times New Roman" w:eastAsia="Times New Roman" w:hAnsi="Times New Roman" w:cs="Times New Roman"/>
                <w:b w:val="0"/>
                <w:bCs w:val="0"/>
                <w:sz w:val="18"/>
                <w:szCs w:val="18"/>
                <w:lang w:eastAsia="en-GB"/>
              </w:rPr>
              <w:t>) and weighted risk disclosures index (</w:t>
            </w:r>
            <w:r w:rsidRPr="00BA06B6">
              <w:rPr>
                <w:rFonts w:ascii="Times New Roman" w:eastAsia="Times New Roman" w:hAnsi="Times New Roman" w:cs="Times New Roman"/>
                <w:b w:val="0"/>
                <w:bCs w:val="0"/>
                <w:i/>
                <w:iCs/>
                <w:sz w:val="18"/>
                <w:szCs w:val="18"/>
                <w:lang w:eastAsia="en-GB"/>
              </w:rPr>
              <w:t>W-RDI</w:t>
            </w:r>
            <w:r w:rsidRPr="00BA06B6">
              <w:rPr>
                <w:rFonts w:ascii="Times New Roman" w:eastAsia="Times New Roman" w:hAnsi="Times New Roman" w:cs="Times New Roman"/>
                <w:b w:val="0"/>
                <w:bCs w:val="0"/>
                <w:sz w:val="18"/>
                <w:szCs w:val="18"/>
                <w:lang w:eastAsia="en-GB"/>
              </w:rPr>
              <w:t xml:space="preserve">) and </w:t>
            </w:r>
            <w:r w:rsidRPr="00BA06B6">
              <w:rPr>
                <w:rFonts w:ascii="Times New Roman" w:eastAsia="Times New Roman" w:hAnsi="Times New Roman" w:cs="Times New Roman"/>
                <w:b w:val="0"/>
                <w:bCs w:val="0"/>
                <w:i/>
                <w:iCs/>
                <w:sz w:val="18"/>
                <w:szCs w:val="18"/>
                <w:lang w:eastAsia="en-GB"/>
              </w:rPr>
              <w:t>Shariah</w:t>
            </w:r>
            <w:r w:rsidRPr="00BA06B6">
              <w:rPr>
                <w:rFonts w:ascii="Times New Roman" w:eastAsia="Times New Roman" w:hAnsi="Times New Roman" w:cs="Times New Roman"/>
                <w:b w:val="0"/>
                <w:bCs w:val="0"/>
                <w:sz w:val="18"/>
                <w:szCs w:val="18"/>
                <w:lang w:eastAsia="en-GB"/>
              </w:rPr>
              <w:t xml:space="preserve"> supervisory board index (</w:t>
            </w:r>
            <w:r w:rsidRPr="00BA06B6">
              <w:rPr>
                <w:rFonts w:ascii="Times New Roman" w:eastAsia="Times New Roman" w:hAnsi="Times New Roman" w:cs="Times New Roman"/>
                <w:b w:val="0"/>
                <w:bCs w:val="0"/>
                <w:i/>
                <w:iCs/>
                <w:sz w:val="18"/>
                <w:szCs w:val="18"/>
                <w:lang w:eastAsia="en-GB"/>
              </w:rPr>
              <w:t>SSB</w:t>
            </w:r>
            <w:r w:rsidRPr="00BA06B6">
              <w:rPr>
                <w:rFonts w:ascii="Times New Roman" w:eastAsia="Times New Roman" w:hAnsi="Times New Roman" w:cs="Times New Roman"/>
                <w:b w:val="0"/>
                <w:bCs w:val="0"/>
                <w:sz w:val="18"/>
                <w:szCs w:val="18"/>
                <w:lang w:eastAsia="en-GB"/>
              </w:rPr>
              <w:t>).</w:t>
            </w:r>
          </w:p>
          <w:p w14:paraId="40D10E9C" w14:textId="77777777" w:rsidR="00AA068C" w:rsidRPr="00BA06B6" w:rsidRDefault="00AA068C" w:rsidP="00BC341D">
            <w:pPr>
              <w:tabs>
                <w:tab w:val="left" w:pos="851"/>
              </w:tabs>
              <w:jc w:val="both"/>
              <w:rPr>
                <w:rFonts w:ascii="Times New Roman" w:eastAsia="SimSun" w:hAnsi="Times New Roman" w:cs="Times New Roman"/>
                <w:sz w:val="18"/>
                <w:szCs w:val="18"/>
                <w:lang w:val="en-US" w:eastAsia="zh-CN"/>
              </w:rPr>
            </w:pPr>
            <w:r w:rsidRPr="00BA06B6">
              <w:rPr>
                <w:rFonts w:ascii="Times New Roman" w:eastAsia="SimSun" w:hAnsi="Times New Roman" w:cs="Times New Roman"/>
                <w:sz w:val="18"/>
                <w:szCs w:val="18"/>
                <w:lang w:val="en-US" w:eastAsia="zh-CN"/>
              </w:rPr>
              <w:t xml:space="preserve"> </w:t>
            </w:r>
          </w:p>
        </w:tc>
      </w:tr>
    </w:tbl>
    <w:p w14:paraId="0282843E" w14:textId="77777777" w:rsidR="00AA068C" w:rsidRPr="00BA06B6" w:rsidRDefault="00AA068C" w:rsidP="00AA068C">
      <w:pPr>
        <w:tabs>
          <w:tab w:val="left" w:pos="851"/>
        </w:tabs>
        <w:spacing w:after="0" w:line="240" w:lineRule="auto"/>
        <w:ind w:left="851"/>
        <w:jc w:val="both"/>
        <w:rPr>
          <w:rFonts w:ascii="Times New Roman" w:eastAsia="SimSun" w:hAnsi="Times New Roman" w:cs="Times New Roman"/>
          <w:b/>
          <w:bCs/>
          <w:sz w:val="20"/>
          <w:szCs w:val="20"/>
          <w:lang w:val="en-US" w:eastAsia="zh-CN"/>
        </w:rPr>
      </w:pPr>
    </w:p>
    <w:p w14:paraId="6418009C" w14:textId="77777777" w:rsidR="00AA068C" w:rsidRPr="00BA06B6" w:rsidRDefault="00AA068C" w:rsidP="00AA068C">
      <w:pPr>
        <w:tabs>
          <w:tab w:val="left" w:pos="851"/>
        </w:tabs>
        <w:spacing w:after="200" w:line="276" w:lineRule="auto"/>
        <w:jc w:val="both"/>
        <w:rPr>
          <w:rFonts w:ascii="Times New Roman" w:eastAsia="SimSun" w:hAnsi="Times New Roman" w:cs="Times New Roman"/>
          <w:b/>
          <w:bCs/>
          <w:sz w:val="20"/>
          <w:szCs w:val="20"/>
          <w:lang w:val="en-US" w:eastAsia="zh-CN"/>
        </w:rPr>
      </w:pPr>
      <w:r w:rsidRPr="00BA06B6">
        <w:rPr>
          <w:rFonts w:ascii="Times New Roman" w:eastAsia="SimSun" w:hAnsi="Times New Roman" w:cs="Times New Roman"/>
          <w:b/>
          <w:bCs/>
          <w:sz w:val="20"/>
          <w:szCs w:val="20"/>
          <w:lang w:val="en-US" w:eastAsia="zh-CN"/>
        </w:rPr>
        <w:br w:type="page"/>
      </w:r>
    </w:p>
    <w:p w14:paraId="07DC4276" w14:textId="77777777" w:rsidR="00AA068C" w:rsidRPr="00BA06B6" w:rsidRDefault="00AA068C" w:rsidP="00AA068C">
      <w:pPr>
        <w:tabs>
          <w:tab w:val="left" w:pos="851"/>
        </w:tabs>
        <w:spacing w:after="0" w:line="276" w:lineRule="auto"/>
        <w:ind w:right="288"/>
        <w:jc w:val="both"/>
        <w:rPr>
          <w:rFonts w:ascii="Times New Roman" w:eastAsia="SimSun" w:hAnsi="Times New Roman" w:cs="Times New Roman"/>
          <w:sz w:val="20"/>
          <w:szCs w:val="20"/>
          <w:lang w:eastAsia="zh-CN"/>
        </w:rPr>
      </w:pPr>
      <w:r w:rsidRPr="00BA06B6">
        <w:rPr>
          <w:rFonts w:ascii="Times New Roman" w:eastAsia="SimSun" w:hAnsi="Times New Roman" w:cs="Times New Roman"/>
          <w:b/>
          <w:bCs/>
          <w:sz w:val="20"/>
          <w:szCs w:val="20"/>
          <w:lang w:eastAsia="zh-CN"/>
        </w:rPr>
        <w:lastRenderedPageBreak/>
        <w:t xml:space="preserve">TABLE 5   </w:t>
      </w:r>
      <w:r w:rsidRPr="00BA06B6">
        <w:rPr>
          <w:rFonts w:ascii="Times New Roman" w:eastAsia="SimSun" w:hAnsi="Times New Roman" w:cs="Times New Roman"/>
          <w:sz w:val="20"/>
          <w:szCs w:val="20"/>
          <w:lang w:eastAsia="zh-CN"/>
        </w:rPr>
        <w:t>Summary descriptive statistics of the independent and control variables for all 700 observations</w:t>
      </w:r>
    </w:p>
    <w:tbl>
      <w:tblPr>
        <w:tblStyle w:val="ListTable2"/>
        <w:tblW w:w="5000" w:type="pct"/>
        <w:shd w:val="clear" w:color="auto" w:fill="FFFFFF" w:themeFill="background1"/>
        <w:tblLook w:val="00A0" w:firstRow="1" w:lastRow="0" w:firstColumn="1" w:lastColumn="0" w:noHBand="0" w:noVBand="0"/>
      </w:tblPr>
      <w:tblGrid>
        <w:gridCol w:w="1515"/>
        <w:gridCol w:w="1459"/>
        <w:gridCol w:w="1459"/>
        <w:gridCol w:w="1465"/>
        <w:gridCol w:w="1548"/>
        <w:gridCol w:w="1580"/>
      </w:tblGrid>
      <w:tr w:rsidR="00BA06B6" w:rsidRPr="00BA06B6" w14:paraId="633BC09F" w14:textId="77777777" w:rsidTr="00B9146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27EE4E8F" w14:textId="77777777" w:rsidR="00AA068C" w:rsidRPr="00BA06B6" w:rsidRDefault="00AA068C" w:rsidP="00BC341D">
            <w:pPr>
              <w:tabs>
                <w:tab w:val="left" w:pos="851"/>
                <w:tab w:val="left" w:pos="1221"/>
                <w:tab w:val="right" w:pos="1799"/>
              </w:tabs>
              <w:jc w:val="both"/>
              <w:rPr>
                <w:rFonts w:ascii="Times New Roman" w:eastAsia="SimSun" w:hAnsi="Times New Roman" w:cs="Times New Roman"/>
                <w:sz w:val="2"/>
                <w:szCs w:val="2"/>
                <w:lang w:val="en-US" w:eastAsia="en-GB"/>
              </w:rPr>
            </w:pPr>
          </w:p>
        </w:tc>
        <w:tc>
          <w:tcPr>
            <w:cnfStyle w:val="000010000000" w:firstRow="0" w:lastRow="0" w:firstColumn="0" w:lastColumn="0" w:oddVBand="1" w:evenVBand="0" w:oddHBand="0" w:evenHBand="0" w:firstRowFirstColumn="0" w:firstRowLastColumn="0" w:lastRowFirstColumn="0" w:lastRowLastColumn="0"/>
            <w:tcW w:w="0" w:type="pct"/>
            <w:shd w:val="clear" w:color="auto" w:fill="FFFFFF" w:themeFill="background1"/>
            <w:noWrap/>
          </w:tcPr>
          <w:p w14:paraId="7C48856F" w14:textId="77777777" w:rsidR="00AA068C" w:rsidRPr="00BA06B6" w:rsidRDefault="00AA068C" w:rsidP="00BC341D">
            <w:pPr>
              <w:tabs>
                <w:tab w:val="center" w:pos="588"/>
                <w:tab w:val="left" w:pos="851"/>
                <w:tab w:val="right" w:pos="1177"/>
              </w:tabs>
              <w:jc w:val="both"/>
              <w:rPr>
                <w:rFonts w:ascii="Times New Roman" w:eastAsia="SimSun" w:hAnsi="Times New Roman" w:cs="Times New Roman"/>
                <w:sz w:val="2"/>
                <w:szCs w:val="2"/>
                <w:lang w:val="en-US" w:eastAsia="en-GB"/>
              </w:rPr>
            </w:pPr>
          </w:p>
        </w:tc>
        <w:tc>
          <w:tcPr>
            <w:tcW w:w="0" w:type="pct"/>
            <w:shd w:val="clear" w:color="auto" w:fill="FFFFFF" w:themeFill="background1"/>
            <w:noWrap/>
          </w:tcPr>
          <w:p w14:paraId="0533EA17" w14:textId="77777777" w:rsidR="00AA068C" w:rsidRPr="00BA06B6" w:rsidRDefault="00AA068C" w:rsidP="00BC341D">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2"/>
                <w:szCs w:val="2"/>
                <w:lang w:val="en-US" w:eastAsia="en-GB"/>
              </w:rPr>
            </w:pPr>
          </w:p>
        </w:tc>
        <w:tc>
          <w:tcPr>
            <w:cnfStyle w:val="000010000000" w:firstRow="0" w:lastRow="0" w:firstColumn="0" w:lastColumn="0" w:oddVBand="1" w:evenVBand="0" w:oddHBand="0" w:evenHBand="0" w:firstRowFirstColumn="0" w:firstRowLastColumn="0" w:lastRowFirstColumn="0" w:lastRowLastColumn="0"/>
            <w:tcW w:w="0" w:type="pct"/>
            <w:shd w:val="clear" w:color="auto" w:fill="FFFFFF" w:themeFill="background1"/>
            <w:noWrap/>
          </w:tcPr>
          <w:p w14:paraId="33A82416" w14:textId="77777777" w:rsidR="00AA068C" w:rsidRPr="00BA06B6" w:rsidRDefault="00AA068C" w:rsidP="00BC341D">
            <w:pPr>
              <w:tabs>
                <w:tab w:val="left" w:pos="851"/>
              </w:tabs>
              <w:jc w:val="both"/>
              <w:rPr>
                <w:rFonts w:ascii="Times New Roman" w:eastAsia="SimSun" w:hAnsi="Times New Roman" w:cs="Times New Roman"/>
                <w:sz w:val="2"/>
                <w:szCs w:val="2"/>
                <w:lang w:val="en-US" w:eastAsia="en-GB"/>
              </w:rPr>
            </w:pPr>
          </w:p>
        </w:tc>
        <w:tc>
          <w:tcPr>
            <w:tcW w:w="0" w:type="pct"/>
            <w:shd w:val="clear" w:color="auto" w:fill="FFFFFF" w:themeFill="background1"/>
            <w:noWrap/>
          </w:tcPr>
          <w:p w14:paraId="547D2E84" w14:textId="77777777" w:rsidR="00AA068C" w:rsidRPr="00BA06B6" w:rsidRDefault="00AA068C" w:rsidP="00BC341D">
            <w:pPr>
              <w:tabs>
                <w:tab w:val="left" w:pos="851"/>
              </w:tabs>
              <w:jc w:val="both"/>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2"/>
                <w:szCs w:val="2"/>
                <w:lang w:val="en-US" w:eastAsia="en-GB"/>
              </w:rPr>
            </w:pPr>
          </w:p>
        </w:tc>
        <w:tc>
          <w:tcPr>
            <w:cnfStyle w:val="000010000000" w:firstRow="0" w:lastRow="0" w:firstColumn="0" w:lastColumn="0" w:oddVBand="1" w:evenVBand="0" w:oddHBand="0" w:evenHBand="0" w:firstRowFirstColumn="0" w:firstRowLastColumn="0" w:lastRowFirstColumn="0" w:lastRowLastColumn="0"/>
            <w:tcW w:w="0" w:type="pct"/>
            <w:shd w:val="clear" w:color="auto" w:fill="FFFFFF" w:themeFill="background1"/>
            <w:noWrap/>
          </w:tcPr>
          <w:p w14:paraId="616E6594" w14:textId="77777777" w:rsidR="00AA068C" w:rsidRPr="00BA06B6" w:rsidRDefault="00AA068C" w:rsidP="00BC341D">
            <w:pPr>
              <w:tabs>
                <w:tab w:val="left" w:pos="851"/>
              </w:tabs>
              <w:jc w:val="both"/>
              <w:rPr>
                <w:rFonts w:ascii="Times New Roman" w:eastAsia="SimSun" w:hAnsi="Times New Roman" w:cs="Times New Roman"/>
                <w:sz w:val="2"/>
                <w:szCs w:val="2"/>
                <w:lang w:val="en-US" w:eastAsia="en-GB"/>
              </w:rPr>
            </w:pPr>
          </w:p>
        </w:tc>
      </w:tr>
      <w:tr w:rsidR="00BA06B6" w:rsidRPr="00BA06B6" w14:paraId="6BDB6DE4" w14:textId="77777777" w:rsidTr="00B91469">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6597625" w14:textId="77777777" w:rsidR="00AA068C" w:rsidRPr="00BA06B6" w:rsidRDefault="00AA068C" w:rsidP="00BC341D">
            <w:pPr>
              <w:tabs>
                <w:tab w:val="left" w:pos="851"/>
                <w:tab w:val="left" w:pos="1221"/>
                <w:tab w:val="right" w:pos="1799"/>
              </w:tabs>
              <w:jc w:val="both"/>
              <w:rPr>
                <w:rFonts w:ascii="Times New Roman" w:eastAsia="SimSun" w:hAnsi="Times New Roman" w:cs="Times New Roman"/>
                <w:sz w:val="20"/>
                <w:szCs w:val="20"/>
                <w:lang w:val="en-US" w:eastAsia="zh-CN"/>
              </w:rPr>
            </w:pPr>
            <w:r w:rsidRPr="00BA06B6">
              <w:rPr>
                <w:rFonts w:ascii="Times New Roman" w:eastAsia="SimSun" w:hAnsi="Times New Roman" w:cs="Times New Roman"/>
                <w:sz w:val="20"/>
                <w:szCs w:val="20"/>
                <w:lang w:val="en-US" w:eastAsia="en-GB"/>
              </w:rPr>
              <w:t>Variables</w:t>
            </w:r>
            <w:r w:rsidRPr="00BA06B6">
              <w:rPr>
                <w:rFonts w:ascii="Times New Roman" w:eastAsia="SimSun" w:hAnsi="Times New Roman" w:cs="Times New Roman"/>
                <w:sz w:val="20"/>
                <w:szCs w:val="20"/>
                <w:lang w:val="en-US" w:eastAsia="en-GB"/>
              </w:rPr>
              <w:tab/>
            </w:r>
            <w:r w:rsidRPr="00BA06B6">
              <w:rPr>
                <w:rFonts w:ascii="Times New Roman" w:eastAsia="SimSun" w:hAnsi="Times New Roman" w:cs="Times New Roman"/>
                <w:sz w:val="20"/>
                <w:szCs w:val="20"/>
                <w:lang w:val="en-US" w:eastAsia="en-GB"/>
              </w:rPr>
              <w:tab/>
            </w:r>
          </w:p>
        </w:tc>
        <w:tc>
          <w:tcPr>
            <w:cnfStyle w:val="000010000000" w:firstRow="0" w:lastRow="0" w:firstColumn="0" w:lastColumn="0" w:oddVBand="1" w:evenVBand="0" w:oddHBand="0" w:evenHBand="0" w:firstRowFirstColumn="0" w:firstRowLastColumn="0" w:lastRowFirstColumn="0" w:lastRowLastColumn="0"/>
            <w:tcW w:w="0" w:type="pct"/>
            <w:shd w:val="clear" w:color="auto" w:fill="FFFFFF" w:themeFill="background1"/>
            <w:noWrap/>
          </w:tcPr>
          <w:p w14:paraId="31162FE0" w14:textId="77777777" w:rsidR="00AA068C" w:rsidRPr="00BA06B6" w:rsidRDefault="00AA068C" w:rsidP="00BC341D">
            <w:pPr>
              <w:tabs>
                <w:tab w:val="center" w:pos="588"/>
                <w:tab w:val="left" w:pos="851"/>
                <w:tab w:val="right" w:pos="1177"/>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b/>
                <w:bCs/>
                <w:sz w:val="20"/>
                <w:szCs w:val="20"/>
                <w:lang w:val="en-US" w:eastAsia="en-GB"/>
              </w:rPr>
              <w:t>Mean</w:t>
            </w:r>
          </w:p>
        </w:tc>
        <w:tc>
          <w:tcPr>
            <w:tcW w:w="0" w:type="pct"/>
            <w:shd w:val="clear" w:color="auto" w:fill="FFFFFF" w:themeFill="background1"/>
            <w:noWrap/>
          </w:tcPr>
          <w:p w14:paraId="3B377453"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b/>
                <w:bCs/>
                <w:sz w:val="20"/>
                <w:szCs w:val="20"/>
                <w:lang w:val="en-US" w:eastAsia="en-GB"/>
              </w:rPr>
              <w:t>Median</w:t>
            </w:r>
          </w:p>
        </w:tc>
        <w:tc>
          <w:tcPr>
            <w:cnfStyle w:val="000010000000" w:firstRow="0" w:lastRow="0" w:firstColumn="0" w:lastColumn="0" w:oddVBand="1" w:evenVBand="0" w:oddHBand="0" w:evenHBand="0" w:firstRowFirstColumn="0" w:firstRowLastColumn="0" w:lastRowFirstColumn="0" w:lastRowLastColumn="0"/>
            <w:tcW w:w="0" w:type="pct"/>
            <w:shd w:val="clear" w:color="auto" w:fill="FFFFFF" w:themeFill="background1"/>
            <w:noWrap/>
          </w:tcPr>
          <w:p w14:paraId="597666B9" w14:textId="77777777" w:rsidR="00AA068C" w:rsidRPr="00BA06B6" w:rsidRDefault="00AA068C" w:rsidP="00BC341D">
            <w:pPr>
              <w:tabs>
                <w:tab w:val="left" w:pos="851"/>
              </w:tabs>
              <w:jc w:val="both"/>
              <w:rPr>
                <w:rFonts w:ascii="Times New Roman" w:eastAsia="SimSun" w:hAnsi="Times New Roman" w:cs="Times New Roman"/>
                <w:b/>
                <w:bCs/>
                <w:sz w:val="20"/>
                <w:szCs w:val="20"/>
                <w:lang w:val="en-US" w:eastAsia="en-GB"/>
              </w:rPr>
            </w:pPr>
            <w:r w:rsidRPr="00BA06B6">
              <w:rPr>
                <w:rFonts w:ascii="Times New Roman" w:eastAsia="SimSun" w:hAnsi="Times New Roman" w:cs="Times New Roman"/>
                <w:b/>
                <w:bCs/>
                <w:sz w:val="20"/>
                <w:szCs w:val="20"/>
                <w:lang w:val="en-US" w:eastAsia="en-GB"/>
              </w:rPr>
              <w:t>Std. Dev.</w:t>
            </w:r>
          </w:p>
        </w:tc>
        <w:tc>
          <w:tcPr>
            <w:tcW w:w="0" w:type="pct"/>
            <w:shd w:val="clear" w:color="auto" w:fill="FFFFFF" w:themeFill="background1"/>
            <w:noWrap/>
          </w:tcPr>
          <w:p w14:paraId="2E4FA77E"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b/>
                <w:bCs/>
                <w:sz w:val="20"/>
                <w:szCs w:val="20"/>
                <w:lang w:val="en-US" w:eastAsia="en-GB"/>
              </w:rPr>
              <w:t>Minimum</w:t>
            </w:r>
          </w:p>
        </w:tc>
        <w:tc>
          <w:tcPr>
            <w:cnfStyle w:val="000010000000" w:firstRow="0" w:lastRow="0" w:firstColumn="0" w:lastColumn="0" w:oddVBand="1" w:evenVBand="0" w:oddHBand="0" w:evenHBand="0" w:firstRowFirstColumn="0" w:firstRowLastColumn="0" w:lastRowFirstColumn="0" w:lastRowLastColumn="0"/>
            <w:tcW w:w="0" w:type="pct"/>
            <w:shd w:val="clear" w:color="auto" w:fill="FFFFFF" w:themeFill="background1"/>
            <w:noWrap/>
          </w:tcPr>
          <w:p w14:paraId="40D94FE9"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b/>
                <w:bCs/>
                <w:sz w:val="20"/>
                <w:szCs w:val="20"/>
                <w:lang w:val="en-US" w:eastAsia="en-GB"/>
              </w:rPr>
              <w:t>Maximum</w:t>
            </w:r>
          </w:p>
        </w:tc>
      </w:tr>
      <w:tr w:rsidR="00BA06B6" w:rsidRPr="00BA06B6" w14:paraId="7AAAF760" w14:textId="77777777" w:rsidTr="00B91469">
        <w:trPr>
          <w:trHeight w:val="120"/>
        </w:trPr>
        <w:tc>
          <w:tcPr>
            <w:cnfStyle w:val="001000000000" w:firstRow="0" w:lastRow="0" w:firstColumn="1" w:lastColumn="0" w:oddVBand="0" w:evenVBand="0" w:oddHBand="0" w:evenHBand="0" w:firstRowFirstColumn="0" w:firstRowLastColumn="0" w:lastRowFirstColumn="0" w:lastRowLastColumn="0"/>
            <w:tcW w:w="0" w:type="pct"/>
            <w:gridSpan w:val="6"/>
            <w:tcBorders>
              <w:bottom w:val="nil"/>
            </w:tcBorders>
            <w:shd w:val="clear" w:color="auto" w:fill="FFFFFF" w:themeFill="background1"/>
          </w:tcPr>
          <w:p w14:paraId="5C13B245" w14:textId="77777777" w:rsidR="00AA068C" w:rsidRPr="00BA06B6" w:rsidRDefault="00AA068C" w:rsidP="00BC341D">
            <w:pPr>
              <w:tabs>
                <w:tab w:val="left" w:pos="851"/>
              </w:tabs>
              <w:jc w:val="both"/>
              <w:rPr>
                <w:rFonts w:ascii="Times New Roman" w:eastAsia="SimSun" w:hAnsi="Times New Roman" w:cs="Times New Roman"/>
                <w:b w:val="0"/>
                <w:bCs w:val="0"/>
                <w:iCs/>
                <w:sz w:val="20"/>
                <w:szCs w:val="20"/>
                <w:lang w:val="en-US" w:eastAsia="en-GB"/>
              </w:rPr>
            </w:pPr>
            <w:r w:rsidRPr="00BA06B6">
              <w:rPr>
                <w:rFonts w:ascii="Times New Roman" w:eastAsia="SimSun" w:hAnsi="Times New Roman" w:cs="Times New Roman"/>
                <w:b w:val="0"/>
                <w:bCs w:val="0"/>
                <w:iCs/>
                <w:sz w:val="20"/>
                <w:szCs w:val="20"/>
                <w:lang w:val="en-US" w:eastAsia="zh-CN"/>
              </w:rPr>
              <w:t>Panel A: Corporate governance (CG)/ owne</w:t>
            </w:r>
            <w:r w:rsidR="00236344" w:rsidRPr="00BA06B6">
              <w:rPr>
                <w:rFonts w:ascii="Times New Roman" w:eastAsia="SimSun" w:hAnsi="Times New Roman" w:cs="Times New Roman"/>
                <w:b w:val="0"/>
                <w:bCs w:val="0"/>
                <w:iCs/>
                <w:sz w:val="20"/>
                <w:szCs w:val="20"/>
                <w:lang w:val="en-US" w:eastAsia="zh-CN"/>
              </w:rPr>
              <w:t>rship characteristics variables</w:t>
            </w:r>
          </w:p>
        </w:tc>
      </w:tr>
      <w:tr w:rsidR="00BA06B6" w:rsidRPr="00BA06B6" w14:paraId="3B92EF08" w14:textId="77777777" w:rsidTr="00B91469">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tcBorders>
            <w:shd w:val="clear" w:color="auto" w:fill="FFFFFF" w:themeFill="background1"/>
          </w:tcPr>
          <w:p w14:paraId="0BE116D0"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zh-CN"/>
              </w:rPr>
            </w:pPr>
            <w:r w:rsidRPr="00BA06B6">
              <w:rPr>
                <w:rFonts w:ascii="Times New Roman" w:eastAsia="SimSun" w:hAnsi="Times New Roman" w:cs="Times New Roman"/>
                <w:b w:val="0"/>
                <w:bCs w:val="0"/>
                <w:sz w:val="20"/>
                <w:szCs w:val="20"/>
                <w:lang w:val="en-US" w:eastAsia="zh-CN"/>
              </w:rPr>
              <w:t>BOWN (%)</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5534E3A2"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55.44</w:t>
            </w:r>
          </w:p>
        </w:tc>
        <w:tc>
          <w:tcPr>
            <w:tcW w:w="0" w:type="pct"/>
            <w:tcBorders>
              <w:top w:val="nil"/>
              <w:bottom w:val="nil"/>
            </w:tcBorders>
            <w:shd w:val="clear" w:color="auto" w:fill="FFFFFF" w:themeFill="background1"/>
            <w:noWrap/>
          </w:tcPr>
          <w:p w14:paraId="690D8EEC"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58.95</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4830E21B"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26.97</w:t>
            </w:r>
          </w:p>
        </w:tc>
        <w:tc>
          <w:tcPr>
            <w:tcW w:w="0" w:type="pct"/>
            <w:tcBorders>
              <w:top w:val="nil"/>
              <w:bottom w:val="nil"/>
            </w:tcBorders>
            <w:shd w:val="clear" w:color="auto" w:fill="FFFFFF" w:themeFill="background1"/>
            <w:noWrap/>
          </w:tcPr>
          <w:p w14:paraId="165EEEA4"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w:t>
            </w:r>
            <w:r w:rsidRPr="00BA06B6">
              <w:rPr>
                <w:rFonts w:ascii="Times New Roman" w:eastAsia="SimSun" w:hAnsi="Times New Roman" w:cs="Times New Roman"/>
                <w:sz w:val="20"/>
                <w:szCs w:val="20"/>
                <w:lang w:val="en-US" w:eastAsia="zh-CN"/>
              </w:rPr>
              <w:t>.00</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52F5D255"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100</w:t>
            </w:r>
            <w:r w:rsidRPr="00BA06B6">
              <w:rPr>
                <w:rFonts w:ascii="Times New Roman" w:eastAsia="SimSun" w:hAnsi="Times New Roman" w:cs="Times New Roman"/>
                <w:sz w:val="20"/>
                <w:szCs w:val="20"/>
                <w:lang w:val="en-US" w:eastAsia="zh-CN"/>
              </w:rPr>
              <w:t>.00</w:t>
            </w:r>
          </w:p>
        </w:tc>
      </w:tr>
      <w:tr w:rsidR="00BA06B6" w:rsidRPr="00BA06B6" w14:paraId="65077446" w14:textId="77777777" w:rsidTr="00B91469">
        <w:trPr>
          <w:trHeight w:val="95"/>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tcBorders>
            <w:shd w:val="clear" w:color="auto" w:fill="FFFFFF" w:themeFill="background1"/>
          </w:tcPr>
          <w:p w14:paraId="0EE8CBD1"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zh-CN"/>
              </w:rPr>
            </w:pPr>
            <w:r w:rsidRPr="00BA06B6">
              <w:rPr>
                <w:rFonts w:ascii="Times New Roman" w:eastAsia="SimSun" w:hAnsi="Times New Roman" w:cs="Times New Roman"/>
                <w:b w:val="0"/>
                <w:bCs w:val="0"/>
                <w:sz w:val="20"/>
                <w:szCs w:val="20"/>
                <w:lang w:val="en-US" w:eastAsia="zh-CN"/>
              </w:rPr>
              <w:t>GOWN (%)</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13DFD676"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16.40</w:t>
            </w:r>
          </w:p>
        </w:tc>
        <w:tc>
          <w:tcPr>
            <w:tcW w:w="0" w:type="pct"/>
            <w:tcBorders>
              <w:top w:val="nil"/>
              <w:bottom w:val="nil"/>
            </w:tcBorders>
            <w:shd w:val="clear" w:color="auto" w:fill="FFFFFF" w:themeFill="background1"/>
            <w:noWrap/>
          </w:tcPr>
          <w:p w14:paraId="0D3335ED"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8.70</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00A87C66"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21.19</w:t>
            </w:r>
          </w:p>
        </w:tc>
        <w:tc>
          <w:tcPr>
            <w:tcW w:w="0" w:type="pct"/>
            <w:tcBorders>
              <w:top w:val="nil"/>
              <w:bottom w:val="nil"/>
            </w:tcBorders>
            <w:shd w:val="clear" w:color="auto" w:fill="FFFFFF" w:themeFill="background1"/>
            <w:noWrap/>
          </w:tcPr>
          <w:p w14:paraId="5AB90A7A"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w:t>
            </w:r>
            <w:r w:rsidRPr="00BA06B6">
              <w:rPr>
                <w:rFonts w:ascii="Times New Roman" w:eastAsia="SimSun" w:hAnsi="Times New Roman" w:cs="Times New Roman"/>
                <w:sz w:val="20"/>
                <w:szCs w:val="20"/>
                <w:lang w:val="en-US" w:eastAsia="zh-CN"/>
              </w:rPr>
              <w:t>.00</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07D3D7B8"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89.06</w:t>
            </w:r>
          </w:p>
        </w:tc>
      </w:tr>
      <w:tr w:rsidR="00BA06B6" w:rsidRPr="00BA06B6" w14:paraId="64115CAD" w14:textId="77777777" w:rsidTr="00B91469">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tcBorders>
            <w:shd w:val="clear" w:color="auto" w:fill="FFFFFF" w:themeFill="background1"/>
          </w:tcPr>
          <w:p w14:paraId="6A0497BD"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zh-CN"/>
              </w:rPr>
            </w:pPr>
            <w:r w:rsidRPr="00BA06B6">
              <w:rPr>
                <w:rFonts w:ascii="Times New Roman" w:eastAsia="SimSun" w:hAnsi="Times New Roman" w:cs="Times New Roman"/>
                <w:b w:val="0"/>
                <w:bCs w:val="0"/>
                <w:sz w:val="20"/>
                <w:szCs w:val="20"/>
                <w:lang w:val="en-US" w:eastAsia="zh-CN"/>
              </w:rPr>
              <w:t>FOWN (%)</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4D3E2698"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21.94</w:t>
            </w:r>
          </w:p>
        </w:tc>
        <w:tc>
          <w:tcPr>
            <w:tcW w:w="0" w:type="pct"/>
            <w:tcBorders>
              <w:top w:val="nil"/>
              <w:bottom w:val="nil"/>
            </w:tcBorders>
            <w:shd w:val="clear" w:color="auto" w:fill="FFFFFF" w:themeFill="background1"/>
            <w:noWrap/>
          </w:tcPr>
          <w:p w14:paraId="645B7580"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7.50</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23B79900"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27.84</w:t>
            </w:r>
          </w:p>
        </w:tc>
        <w:tc>
          <w:tcPr>
            <w:tcW w:w="0" w:type="pct"/>
            <w:tcBorders>
              <w:top w:val="nil"/>
              <w:bottom w:val="nil"/>
            </w:tcBorders>
            <w:shd w:val="clear" w:color="auto" w:fill="FFFFFF" w:themeFill="background1"/>
            <w:noWrap/>
          </w:tcPr>
          <w:p w14:paraId="5575653F"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w:t>
            </w:r>
            <w:r w:rsidRPr="00BA06B6">
              <w:rPr>
                <w:rFonts w:ascii="Times New Roman" w:eastAsia="SimSun" w:hAnsi="Times New Roman" w:cs="Times New Roman"/>
                <w:sz w:val="20"/>
                <w:szCs w:val="20"/>
                <w:lang w:val="en-US" w:eastAsia="zh-CN"/>
              </w:rPr>
              <w:t>.00</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13BA1056"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98.50</w:t>
            </w:r>
          </w:p>
        </w:tc>
      </w:tr>
      <w:tr w:rsidR="00BA06B6" w:rsidRPr="00BA06B6" w14:paraId="662248B1" w14:textId="77777777" w:rsidTr="00B91469">
        <w:trPr>
          <w:trHeight w:val="95"/>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tcBorders>
            <w:shd w:val="clear" w:color="auto" w:fill="FFFFFF" w:themeFill="background1"/>
          </w:tcPr>
          <w:p w14:paraId="091D43D9"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zh-CN"/>
              </w:rPr>
            </w:pPr>
            <w:r w:rsidRPr="00BA06B6">
              <w:rPr>
                <w:rFonts w:ascii="Times New Roman" w:eastAsia="SimSun" w:hAnsi="Times New Roman" w:cs="Times New Roman"/>
                <w:b w:val="0"/>
                <w:bCs w:val="0"/>
                <w:sz w:val="20"/>
                <w:szCs w:val="20"/>
                <w:lang w:val="en-US" w:eastAsia="zh-CN"/>
              </w:rPr>
              <w:t>BS (number)</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42C09DFE"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9.50</w:t>
            </w:r>
          </w:p>
        </w:tc>
        <w:tc>
          <w:tcPr>
            <w:tcW w:w="0" w:type="pct"/>
            <w:tcBorders>
              <w:top w:val="nil"/>
              <w:bottom w:val="nil"/>
            </w:tcBorders>
            <w:shd w:val="clear" w:color="auto" w:fill="FFFFFF" w:themeFill="background1"/>
            <w:noWrap/>
          </w:tcPr>
          <w:p w14:paraId="727A0205"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9</w:t>
            </w:r>
            <w:r w:rsidRPr="00BA06B6">
              <w:rPr>
                <w:rFonts w:ascii="Times New Roman" w:eastAsia="SimSun" w:hAnsi="Times New Roman" w:cs="Times New Roman"/>
                <w:sz w:val="20"/>
                <w:szCs w:val="20"/>
                <w:lang w:val="en-US" w:eastAsia="zh-CN"/>
              </w:rPr>
              <w:t>.00</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4DAC7778"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1.91</w:t>
            </w:r>
          </w:p>
        </w:tc>
        <w:tc>
          <w:tcPr>
            <w:tcW w:w="0" w:type="pct"/>
            <w:tcBorders>
              <w:top w:val="nil"/>
              <w:bottom w:val="nil"/>
            </w:tcBorders>
            <w:shd w:val="clear" w:color="auto" w:fill="FFFFFF" w:themeFill="background1"/>
            <w:noWrap/>
          </w:tcPr>
          <w:p w14:paraId="6C7027F5"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5</w:t>
            </w:r>
            <w:r w:rsidRPr="00BA06B6">
              <w:rPr>
                <w:rFonts w:ascii="Times New Roman" w:eastAsia="SimSun" w:hAnsi="Times New Roman" w:cs="Times New Roman"/>
                <w:sz w:val="20"/>
                <w:szCs w:val="20"/>
                <w:lang w:val="en-US" w:eastAsia="zh-CN"/>
              </w:rPr>
              <w:t>.00</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25B9DB64"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15</w:t>
            </w:r>
            <w:r w:rsidRPr="00BA06B6">
              <w:rPr>
                <w:rFonts w:ascii="Times New Roman" w:eastAsia="SimSun" w:hAnsi="Times New Roman" w:cs="Times New Roman"/>
                <w:sz w:val="20"/>
                <w:szCs w:val="20"/>
                <w:lang w:val="en-US" w:eastAsia="zh-CN"/>
              </w:rPr>
              <w:t>.00</w:t>
            </w:r>
          </w:p>
        </w:tc>
      </w:tr>
      <w:tr w:rsidR="00BA06B6" w:rsidRPr="00BA06B6" w14:paraId="65361027" w14:textId="77777777" w:rsidTr="00B91469">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tcBorders>
            <w:shd w:val="clear" w:color="auto" w:fill="FFFFFF" w:themeFill="background1"/>
          </w:tcPr>
          <w:p w14:paraId="4C4BA570"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zh-CN"/>
              </w:rPr>
            </w:pPr>
            <w:r w:rsidRPr="00BA06B6">
              <w:rPr>
                <w:rFonts w:ascii="Times New Roman" w:eastAsia="SimSun" w:hAnsi="Times New Roman" w:cs="Times New Roman"/>
                <w:b w:val="0"/>
                <w:bCs w:val="0"/>
                <w:sz w:val="20"/>
                <w:szCs w:val="20"/>
                <w:lang w:val="en-US" w:eastAsia="zh-CN"/>
              </w:rPr>
              <w:t>DUAL (dummy)</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0D168C30"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0.19</w:t>
            </w:r>
          </w:p>
        </w:tc>
        <w:tc>
          <w:tcPr>
            <w:tcW w:w="0" w:type="pct"/>
            <w:tcBorders>
              <w:top w:val="nil"/>
              <w:bottom w:val="nil"/>
            </w:tcBorders>
            <w:shd w:val="clear" w:color="auto" w:fill="FFFFFF" w:themeFill="background1"/>
            <w:noWrap/>
          </w:tcPr>
          <w:p w14:paraId="350CC064"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w:t>
            </w:r>
            <w:r w:rsidRPr="00BA06B6">
              <w:rPr>
                <w:rFonts w:ascii="Times New Roman" w:eastAsia="SimSun" w:hAnsi="Times New Roman" w:cs="Times New Roman"/>
                <w:sz w:val="20"/>
                <w:szCs w:val="20"/>
                <w:lang w:val="en-US" w:eastAsia="zh-CN"/>
              </w:rPr>
              <w:t>.00</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453D8396"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0.60</w:t>
            </w:r>
          </w:p>
        </w:tc>
        <w:tc>
          <w:tcPr>
            <w:tcW w:w="0" w:type="pct"/>
            <w:tcBorders>
              <w:top w:val="nil"/>
              <w:bottom w:val="nil"/>
            </w:tcBorders>
            <w:shd w:val="clear" w:color="auto" w:fill="FFFFFF" w:themeFill="background1"/>
            <w:noWrap/>
          </w:tcPr>
          <w:p w14:paraId="63EDE15D"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w:t>
            </w:r>
            <w:r w:rsidRPr="00BA06B6">
              <w:rPr>
                <w:rFonts w:ascii="Times New Roman" w:eastAsia="SimSun" w:hAnsi="Times New Roman" w:cs="Times New Roman"/>
                <w:sz w:val="20"/>
                <w:szCs w:val="20"/>
                <w:lang w:val="en-US" w:eastAsia="zh-CN"/>
              </w:rPr>
              <w:t>.00</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37EB9EC0"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1</w:t>
            </w:r>
            <w:r w:rsidRPr="00BA06B6">
              <w:rPr>
                <w:rFonts w:ascii="Times New Roman" w:eastAsia="SimSun" w:hAnsi="Times New Roman" w:cs="Times New Roman"/>
                <w:sz w:val="20"/>
                <w:szCs w:val="20"/>
                <w:lang w:val="en-US" w:eastAsia="zh-CN"/>
              </w:rPr>
              <w:t>.00</w:t>
            </w:r>
          </w:p>
        </w:tc>
      </w:tr>
      <w:tr w:rsidR="00BA06B6" w:rsidRPr="00BA06B6" w14:paraId="253A79F4" w14:textId="77777777" w:rsidTr="00B91469">
        <w:trPr>
          <w:trHeight w:val="95"/>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tcBorders>
            <w:shd w:val="clear" w:color="auto" w:fill="FFFFFF" w:themeFill="background1"/>
          </w:tcPr>
          <w:p w14:paraId="6616914A"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zh-CN"/>
              </w:rPr>
            </w:pPr>
            <w:r w:rsidRPr="00BA06B6">
              <w:rPr>
                <w:rFonts w:ascii="Times New Roman" w:eastAsia="SimSun" w:hAnsi="Times New Roman" w:cs="Times New Roman"/>
                <w:b w:val="0"/>
                <w:bCs w:val="0"/>
                <w:sz w:val="20"/>
                <w:szCs w:val="20"/>
                <w:lang w:val="en-US" w:eastAsia="zh-CN"/>
              </w:rPr>
              <w:t>GDB (%)</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0AD0BE05"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0.02</w:t>
            </w:r>
          </w:p>
        </w:tc>
        <w:tc>
          <w:tcPr>
            <w:tcW w:w="0" w:type="pct"/>
            <w:tcBorders>
              <w:top w:val="nil"/>
              <w:bottom w:val="nil"/>
            </w:tcBorders>
            <w:shd w:val="clear" w:color="auto" w:fill="FFFFFF" w:themeFill="background1"/>
            <w:noWrap/>
          </w:tcPr>
          <w:p w14:paraId="05167C25"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w:t>
            </w:r>
            <w:r w:rsidRPr="00BA06B6">
              <w:rPr>
                <w:rFonts w:ascii="Times New Roman" w:eastAsia="SimSun" w:hAnsi="Times New Roman" w:cs="Times New Roman"/>
                <w:sz w:val="20"/>
                <w:szCs w:val="20"/>
                <w:lang w:val="en-US" w:eastAsia="zh-CN"/>
              </w:rPr>
              <w:t>.00</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4AA53F01"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0.06</w:t>
            </w:r>
          </w:p>
        </w:tc>
        <w:tc>
          <w:tcPr>
            <w:tcW w:w="0" w:type="pct"/>
            <w:tcBorders>
              <w:top w:val="nil"/>
              <w:bottom w:val="nil"/>
            </w:tcBorders>
            <w:shd w:val="clear" w:color="auto" w:fill="FFFFFF" w:themeFill="background1"/>
            <w:noWrap/>
          </w:tcPr>
          <w:p w14:paraId="406EDF9B"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w:t>
            </w:r>
            <w:r w:rsidRPr="00BA06B6">
              <w:rPr>
                <w:rFonts w:ascii="Times New Roman" w:eastAsia="SimSun" w:hAnsi="Times New Roman" w:cs="Times New Roman"/>
                <w:sz w:val="20"/>
                <w:szCs w:val="20"/>
                <w:lang w:val="en-US" w:eastAsia="zh-CN"/>
              </w:rPr>
              <w:t>.00</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788519C4"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0.27</w:t>
            </w:r>
          </w:p>
        </w:tc>
      </w:tr>
      <w:tr w:rsidR="00BA06B6" w:rsidRPr="00BA06B6" w14:paraId="6CDA285D" w14:textId="77777777" w:rsidTr="00B91469">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tcBorders>
            <w:shd w:val="clear" w:color="auto" w:fill="FFFFFF" w:themeFill="background1"/>
          </w:tcPr>
          <w:p w14:paraId="4F6541F5"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zh-CN"/>
              </w:rPr>
            </w:pPr>
            <w:r w:rsidRPr="00BA06B6">
              <w:rPr>
                <w:rFonts w:ascii="Times New Roman" w:eastAsia="SimSun" w:hAnsi="Times New Roman" w:cs="Times New Roman"/>
                <w:b w:val="0"/>
                <w:bCs w:val="0"/>
                <w:sz w:val="20"/>
                <w:szCs w:val="20"/>
                <w:lang w:val="en-US" w:eastAsia="zh-CN"/>
              </w:rPr>
              <w:t>BBID</w:t>
            </w:r>
            <w:r w:rsidRPr="00BA06B6">
              <w:rPr>
                <w:rFonts w:ascii="Times New Roman" w:eastAsia="SimSun" w:hAnsi="Times New Roman" w:cs="Times New Roman"/>
                <w:b w:val="0"/>
                <w:bCs w:val="0"/>
                <w:sz w:val="20"/>
                <w:szCs w:val="20"/>
                <w:vertAlign w:val="subscript"/>
                <w:lang w:val="en-US" w:eastAsia="zh-CN"/>
              </w:rPr>
              <w:t xml:space="preserve"> </w:t>
            </w:r>
            <w:r w:rsidRPr="00BA06B6">
              <w:rPr>
                <w:rFonts w:ascii="Times New Roman" w:eastAsia="SimSun" w:hAnsi="Times New Roman" w:cs="Times New Roman"/>
                <w:b w:val="0"/>
                <w:bCs w:val="0"/>
                <w:sz w:val="20"/>
                <w:szCs w:val="20"/>
                <w:lang w:val="en-US" w:eastAsia="zh-CN"/>
              </w:rPr>
              <w:t>(%)</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7AA0364E"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0.89</w:t>
            </w:r>
          </w:p>
        </w:tc>
        <w:tc>
          <w:tcPr>
            <w:tcW w:w="0" w:type="pct"/>
            <w:tcBorders>
              <w:top w:val="nil"/>
              <w:bottom w:val="nil"/>
            </w:tcBorders>
            <w:shd w:val="clear" w:color="auto" w:fill="FFFFFF" w:themeFill="background1"/>
            <w:noWrap/>
          </w:tcPr>
          <w:p w14:paraId="6F505A86"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0.91</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78ADC12F"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0.17</w:t>
            </w:r>
          </w:p>
        </w:tc>
        <w:tc>
          <w:tcPr>
            <w:tcW w:w="0" w:type="pct"/>
            <w:tcBorders>
              <w:top w:val="nil"/>
              <w:bottom w:val="nil"/>
            </w:tcBorders>
            <w:shd w:val="clear" w:color="auto" w:fill="FFFFFF" w:themeFill="background1"/>
            <w:noWrap/>
          </w:tcPr>
          <w:p w14:paraId="3CD927AD"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0.11</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71D3FE92"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1</w:t>
            </w:r>
            <w:r w:rsidRPr="00BA06B6">
              <w:rPr>
                <w:rFonts w:ascii="Times New Roman" w:eastAsia="SimSun" w:hAnsi="Times New Roman" w:cs="Times New Roman"/>
                <w:sz w:val="20"/>
                <w:szCs w:val="20"/>
                <w:lang w:val="en-US" w:eastAsia="zh-CN"/>
              </w:rPr>
              <w:t>.00</w:t>
            </w:r>
          </w:p>
        </w:tc>
      </w:tr>
      <w:tr w:rsidR="00BA06B6" w:rsidRPr="00BA06B6" w14:paraId="4F7E16BB" w14:textId="77777777" w:rsidTr="00B91469">
        <w:trPr>
          <w:trHeight w:val="197"/>
        </w:trPr>
        <w:tc>
          <w:tcPr>
            <w:cnfStyle w:val="001000000000" w:firstRow="0" w:lastRow="0" w:firstColumn="1" w:lastColumn="0" w:oddVBand="0" w:evenVBand="0" w:oddHBand="0" w:evenHBand="0" w:firstRowFirstColumn="0" w:firstRowLastColumn="0" w:lastRowFirstColumn="0" w:lastRowLastColumn="0"/>
            <w:tcW w:w="0" w:type="pct"/>
            <w:gridSpan w:val="6"/>
            <w:tcBorders>
              <w:top w:val="nil"/>
              <w:bottom w:val="nil"/>
            </w:tcBorders>
            <w:shd w:val="clear" w:color="auto" w:fill="FFFFFF" w:themeFill="background1"/>
          </w:tcPr>
          <w:p w14:paraId="084B6569" w14:textId="77777777" w:rsidR="00AA068C" w:rsidRPr="00BA06B6" w:rsidRDefault="00AA068C" w:rsidP="00BC341D">
            <w:pPr>
              <w:tabs>
                <w:tab w:val="left" w:pos="851"/>
              </w:tabs>
              <w:jc w:val="both"/>
              <w:rPr>
                <w:rFonts w:ascii="Times New Roman" w:eastAsia="SimSun" w:hAnsi="Times New Roman" w:cs="Times New Roman"/>
                <w:b w:val="0"/>
                <w:bCs w:val="0"/>
                <w:iCs/>
                <w:sz w:val="20"/>
                <w:szCs w:val="20"/>
                <w:lang w:eastAsia="en-GB"/>
              </w:rPr>
            </w:pPr>
            <w:r w:rsidRPr="00BA06B6">
              <w:rPr>
                <w:rFonts w:ascii="Times New Roman" w:eastAsia="SimSun" w:hAnsi="Times New Roman" w:cs="Times New Roman"/>
                <w:b w:val="0"/>
                <w:bCs w:val="0"/>
                <w:iCs/>
                <w:sz w:val="20"/>
                <w:szCs w:val="20"/>
                <w:lang w:val="en-US" w:eastAsia="en-GB"/>
              </w:rPr>
              <w:t>Panel B: Country level-governance and other control variables</w:t>
            </w:r>
          </w:p>
        </w:tc>
      </w:tr>
      <w:tr w:rsidR="00BA06B6" w:rsidRPr="00BA06B6" w14:paraId="5DC4C199" w14:textId="77777777" w:rsidTr="00B91469">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tcBorders>
            <w:shd w:val="clear" w:color="auto" w:fill="FFFFFF" w:themeFill="background1"/>
          </w:tcPr>
          <w:p w14:paraId="333AD681"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zh-CN"/>
              </w:rPr>
            </w:pPr>
            <w:r w:rsidRPr="00BA06B6">
              <w:rPr>
                <w:rFonts w:ascii="Times New Roman" w:eastAsia="SimSun" w:hAnsi="Times New Roman" w:cs="Times New Roman"/>
                <w:b w:val="0"/>
                <w:bCs w:val="0"/>
                <w:sz w:val="20"/>
                <w:szCs w:val="20"/>
                <w:lang w:val="en-US" w:eastAsia="zh-CN"/>
              </w:rPr>
              <w:t>LNTA (log)</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7343F325"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15.75</w:t>
            </w:r>
          </w:p>
        </w:tc>
        <w:tc>
          <w:tcPr>
            <w:tcW w:w="0" w:type="pct"/>
            <w:tcBorders>
              <w:top w:val="nil"/>
              <w:bottom w:val="nil"/>
            </w:tcBorders>
            <w:shd w:val="clear" w:color="auto" w:fill="FFFFFF" w:themeFill="background1"/>
            <w:noWrap/>
          </w:tcPr>
          <w:p w14:paraId="10D3BBF2"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15.75</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25DDDCCD"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1.55</w:t>
            </w:r>
          </w:p>
        </w:tc>
        <w:tc>
          <w:tcPr>
            <w:tcW w:w="0" w:type="pct"/>
            <w:tcBorders>
              <w:top w:val="nil"/>
              <w:bottom w:val="nil"/>
            </w:tcBorders>
            <w:shd w:val="clear" w:color="auto" w:fill="FFFFFF" w:themeFill="background1"/>
            <w:noWrap/>
          </w:tcPr>
          <w:p w14:paraId="4B6C6C8E"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3.73</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198D5363"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21.09</w:t>
            </w:r>
          </w:p>
        </w:tc>
      </w:tr>
      <w:tr w:rsidR="00BA06B6" w:rsidRPr="00BA06B6" w14:paraId="35C47141" w14:textId="77777777" w:rsidTr="00B91469">
        <w:trPr>
          <w:trHeight w:val="105"/>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tcBorders>
            <w:shd w:val="clear" w:color="auto" w:fill="FFFFFF" w:themeFill="background1"/>
          </w:tcPr>
          <w:p w14:paraId="6043F31B"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zh-CN"/>
              </w:rPr>
            </w:pPr>
            <w:r w:rsidRPr="00BA06B6">
              <w:rPr>
                <w:rFonts w:ascii="Times New Roman" w:eastAsia="SimSun" w:hAnsi="Times New Roman" w:cs="Times New Roman"/>
                <w:b w:val="0"/>
                <w:bCs w:val="0"/>
                <w:sz w:val="20"/>
                <w:szCs w:val="20"/>
                <w:lang w:val="en-US" w:eastAsia="zh-CN"/>
              </w:rPr>
              <w:t>ROAA (%)</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29D23B8F"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1.73</w:t>
            </w:r>
          </w:p>
        </w:tc>
        <w:tc>
          <w:tcPr>
            <w:tcW w:w="0" w:type="pct"/>
            <w:tcBorders>
              <w:top w:val="nil"/>
              <w:bottom w:val="nil"/>
            </w:tcBorders>
            <w:shd w:val="clear" w:color="auto" w:fill="FFFFFF" w:themeFill="background1"/>
            <w:noWrap/>
          </w:tcPr>
          <w:p w14:paraId="0143B43F"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1.64</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1D667974"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2.44</w:t>
            </w:r>
          </w:p>
        </w:tc>
        <w:tc>
          <w:tcPr>
            <w:tcW w:w="0" w:type="pct"/>
            <w:tcBorders>
              <w:top w:val="nil"/>
              <w:bottom w:val="nil"/>
            </w:tcBorders>
            <w:shd w:val="clear" w:color="auto" w:fill="FFFFFF" w:themeFill="background1"/>
            <w:noWrap/>
          </w:tcPr>
          <w:p w14:paraId="7F4E2331"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-26.27</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73A90226"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23.47</w:t>
            </w:r>
          </w:p>
        </w:tc>
      </w:tr>
      <w:tr w:rsidR="00BA06B6" w:rsidRPr="00BA06B6" w14:paraId="34BFB058" w14:textId="77777777" w:rsidTr="00B91469">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tcBorders>
            <w:shd w:val="clear" w:color="auto" w:fill="FFFFFF" w:themeFill="background1"/>
          </w:tcPr>
          <w:p w14:paraId="4C39916C"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zh-CN"/>
              </w:rPr>
            </w:pPr>
            <w:r w:rsidRPr="00BA06B6">
              <w:rPr>
                <w:rFonts w:ascii="Times New Roman" w:eastAsia="SimSun" w:hAnsi="Times New Roman" w:cs="Times New Roman"/>
                <w:b w:val="0"/>
                <w:bCs w:val="0"/>
                <w:sz w:val="20"/>
                <w:szCs w:val="20"/>
                <w:lang w:val="en-US" w:eastAsia="zh-CN"/>
              </w:rPr>
              <w:t>INCD (%)</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578CA8A9"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31.37</w:t>
            </w:r>
          </w:p>
        </w:tc>
        <w:tc>
          <w:tcPr>
            <w:tcW w:w="0" w:type="pct"/>
            <w:tcBorders>
              <w:top w:val="nil"/>
              <w:bottom w:val="nil"/>
            </w:tcBorders>
            <w:shd w:val="clear" w:color="auto" w:fill="FFFFFF" w:themeFill="background1"/>
            <w:noWrap/>
          </w:tcPr>
          <w:p w14:paraId="4A2F3FB9"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29.98</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11AC7E5E"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16.49</w:t>
            </w:r>
          </w:p>
        </w:tc>
        <w:tc>
          <w:tcPr>
            <w:tcW w:w="0" w:type="pct"/>
            <w:tcBorders>
              <w:top w:val="nil"/>
              <w:bottom w:val="nil"/>
            </w:tcBorders>
            <w:shd w:val="clear" w:color="auto" w:fill="FFFFFF" w:themeFill="background1"/>
            <w:noWrap/>
          </w:tcPr>
          <w:p w14:paraId="21788DAE"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-63.35</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28E00229"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180.83</w:t>
            </w:r>
          </w:p>
        </w:tc>
      </w:tr>
      <w:tr w:rsidR="00BA06B6" w:rsidRPr="00BA06B6" w14:paraId="7AD0C871" w14:textId="77777777" w:rsidTr="00B91469">
        <w:trPr>
          <w:trHeight w:val="110"/>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tcBorders>
            <w:shd w:val="clear" w:color="auto" w:fill="FFFFFF" w:themeFill="background1"/>
          </w:tcPr>
          <w:p w14:paraId="38DCE474"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zh-CN"/>
              </w:rPr>
            </w:pPr>
            <w:r w:rsidRPr="00BA06B6">
              <w:rPr>
                <w:rFonts w:ascii="Times New Roman" w:eastAsia="SimSun" w:hAnsi="Times New Roman" w:cs="Times New Roman"/>
                <w:b w:val="0"/>
                <w:bCs w:val="0"/>
                <w:sz w:val="20"/>
                <w:szCs w:val="20"/>
                <w:lang w:val="en-US" w:eastAsia="zh-CN"/>
              </w:rPr>
              <w:t>LIQ (%)</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0D3510BB"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59.05</w:t>
            </w:r>
          </w:p>
        </w:tc>
        <w:tc>
          <w:tcPr>
            <w:tcW w:w="0" w:type="pct"/>
            <w:tcBorders>
              <w:top w:val="nil"/>
              <w:bottom w:val="nil"/>
            </w:tcBorders>
            <w:shd w:val="clear" w:color="auto" w:fill="FFFFFF" w:themeFill="background1"/>
            <w:noWrap/>
          </w:tcPr>
          <w:p w14:paraId="47CFA090"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55.65</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034F8ADC"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155.10</w:t>
            </w:r>
          </w:p>
        </w:tc>
        <w:tc>
          <w:tcPr>
            <w:tcW w:w="0" w:type="pct"/>
            <w:tcBorders>
              <w:top w:val="nil"/>
              <w:bottom w:val="nil"/>
            </w:tcBorders>
            <w:shd w:val="clear" w:color="auto" w:fill="FFFFFF" w:themeFill="background1"/>
            <w:noWrap/>
          </w:tcPr>
          <w:p w14:paraId="1D8EC588"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w:t>
            </w:r>
            <w:r w:rsidRPr="00BA06B6">
              <w:rPr>
                <w:rFonts w:ascii="Times New Roman" w:eastAsia="SimSun" w:hAnsi="Times New Roman" w:cs="Times New Roman"/>
                <w:sz w:val="20"/>
                <w:szCs w:val="20"/>
                <w:lang w:val="en-US" w:eastAsia="zh-CN"/>
              </w:rPr>
              <w:t>.00</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093CC150"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82.01</w:t>
            </w:r>
          </w:p>
        </w:tc>
      </w:tr>
      <w:tr w:rsidR="00BA06B6" w:rsidRPr="00BA06B6" w14:paraId="5C2136D7" w14:textId="77777777" w:rsidTr="00B91469">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tcBorders>
            <w:shd w:val="clear" w:color="auto" w:fill="FFFFFF" w:themeFill="background1"/>
          </w:tcPr>
          <w:p w14:paraId="36A6819A"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zh-CN"/>
              </w:rPr>
            </w:pPr>
            <w:r w:rsidRPr="00BA06B6">
              <w:rPr>
                <w:rFonts w:ascii="Times New Roman" w:eastAsia="SimSun" w:hAnsi="Times New Roman" w:cs="Times New Roman"/>
                <w:b w:val="0"/>
                <w:bCs w:val="0"/>
                <w:sz w:val="20"/>
                <w:szCs w:val="20"/>
                <w:lang w:val="en-US" w:eastAsia="zh-CN"/>
              </w:rPr>
              <w:t>COST (%)</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2CC6AFD0"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42.46</w:t>
            </w:r>
          </w:p>
        </w:tc>
        <w:tc>
          <w:tcPr>
            <w:tcW w:w="0" w:type="pct"/>
            <w:tcBorders>
              <w:top w:val="nil"/>
              <w:bottom w:val="nil"/>
            </w:tcBorders>
            <w:shd w:val="clear" w:color="auto" w:fill="FFFFFF" w:themeFill="background1"/>
            <w:noWrap/>
          </w:tcPr>
          <w:p w14:paraId="5D53813F"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39.17</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6792410D"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26.50</w:t>
            </w:r>
          </w:p>
        </w:tc>
        <w:tc>
          <w:tcPr>
            <w:tcW w:w="0" w:type="pct"/>
            <w:tcBorders>
              <w:top w:val="nil"/>
              <w:bottom w:val="nil"/>
            </w:tcBorders>
            <w:shd w:val="clear" w:color="auto" w:fill="FFFFFF" w:themeFill="background1"/>
            <w:noWrap/>
          </w:tcPr>
          <w:p w14:paraId="70D67087"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3.99</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6DA7DEF4"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284.00</w:t>
            </w:r>
          </w:p>
        </w:tc>
      </w:tr>
      <w:tr w:rsidR="00BA06B6" w:rsidRPr="00BA06B6" w14:paraId="2047044E" w14:textId="77777777" w:rsidTr="00B91469">
        <w:trPr>
          <w:trHeight w:val="135"/>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tcBorders>
            <w:shd w:val="clear" w:color="auto" w:fill="FFFFFF" w:themeFill="background1"/>
          </w:tcPr>
          <w:p w14:paraId="0141CE38"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zh-CN"/>
              </w:rPr>
            </w:pPr>
            <w:r w:rsidRPr="00BA06B6">
              <w:rPr>
                <w:rFonts w:ascii="Times New Roman" w:eastAsia="SimSun" w:hAnsi="Times New Roman" w:cs="Times New Roman"/>
                <w:b w:val="0"/>
                <w:bCs w:val="0"/>
                <w:sz w:val="20"/>
                <w:szCs w:val="20"/>
                <w:lang w:val="en-US" w:eastAsia="zh-CN"/>
              </w:rPr>
              <w:t>CAP (%)</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5490F456"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20.42</w:t>
            </w:r>
          </w:p>
        </w:tc>
        <w:tc>
          <w:tcPr>
            <w:tcW w:w="0" w:type="pct"/>
            <w:tcBorders>
              <w:top w:val="nil"/>
              <w:bottom w:val="nil"/>
            </w:tcBorders>
            <w:shd w:val="clear" w:color="auto" w:fill="FFFFFF" w:themeFill="background1"/>
            <w:noWrap/>
          </w:tcPr>
          <w:p w14:paraId="57FA77B6"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17.40</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3ECF58B5"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14.62</w:t>
            </w:r>
          </w:p>
        </w:tc>
        <w:tc>
          <w:tcPr>
            <w:tcW w:w="0" w:type="pct"/>
            <w:tcBorders>
              <w:top w:val="nil"/>
              <w:bottom w:val="nil"/>
            </w:tcBorders>
            <w:shd w:val="clear" w:color="auto" w:fill="FFFFFF" w:themeFill="background1"/>
            <w:noWrap/>
          </w:tcPr>
          <w:p w14:paraId="338AFE8E"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9.26</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76546F84"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204.41</w:t>
            </w:r>
          </w:p>
        </w:tc>
      </w:tr>
      <w:tr w:rsidR="00BA06B6" w:rsidRPr="00BA06B6" w14:paraId="75A61A51" w14:textId="77777777" w:rsidTr="00B91469">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tcBorders>
            <w:shd w:val="clear" w:color="auto" w:fill="FFFFFF" w:themeFill="background1"/>
          </w:tcPr>
          <w:p w14:paraId="5F7CE6CC"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zh-CN"/>
              </w:rPr>
            </w:pPr>
            <w:r w:rsidRPr="00BA06B6">
              <w:rPr>
                <w:rFonts w:ascii="Times New Roman" w:eastAsia="SimSun" w:hAnsi="Times New Roman" w:cs="Times New Roman"/>
                <w:b w:val="0"/>
                <w:bCs w:val="0"/>
                <w:sz w:val="20"/>
                <w:szCs w:val="20"/>
                <w:lang w:val="en-US" w:eastAsia="zh-CN"/>
              </w:rPr>
              <w:t>V&amp;A  (number)</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55AEFE5E"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-0.96</w:t>
            </w:r>
          </w:p>
        </w:tc>
        <w:tc>
          <w:tcPr>
            <w:tcW w:w="0" w:type="pct"/>
            <w:tcBorders>
              <w:top w:val="nil"/>
              <w:bottom w:val="nil"/>
            </w:tcBorders>
            <w:shd w:val="clear" w:color="auto" w:fill="FFFFFF" w:themeFill="background1"/>
            <w:noWrap/>
          </w:tcPr>
          <w:p w14:paraId="35614952"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-0.91</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70469B37"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0.37</w:t>
            </w:r>
          </w:p>
        </w:tc>
        <w:tc>
          <w:tcPr>
            <w:tcW w:w="0" w:type="pct"/>
            <w:tcBorders>
              <w:top w:val="nil"/>
              <w:bottom w:val="nil"/>
            </w:tcBorders>
            <w:shd w:val="clear" w:color="auto" w:fill="FFFFFF" w:themeFill="background1"/>
            <w:noWrap/>
          </w:tcPr>
          <w:p w14:paraId="5FBD714F"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-1.86</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01B0C5EF"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-0.11</w:t>
            </w:r>
          </w:p>
        </w:tc>
      </w:tr>
      <w:tr w:rsidR="00BA06B6" w:rsidRPr="00BA06B6" w14:paraId="2859F235" w14:textId="77777777" w:rsidTr="00B91469">
        <w:trPr>
          <w:trHeight w:val="135"/>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tcBorders>
            <w:shd w:val="clear" w:color="auto" w:fill="FFFFFF" w:themeFill="background1"/>
          </w:tcPr>
          <w:p w14:paraId="004C93FC"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zh-CN"/>
              </w:rPr>
            </w:pPr>
            <w:r w:rsidRPr="00BA06B6">
              <w:rPr>
                <w:rFonts w:ascii="Times New Roman" w:eastAsia="SimSun" w:hAnsi="Times New Roman" w:cs="Times New Roman"/>
                <w:b w:val="0"/>
                <w:bCs w:val="0"/>
                <w:sz w:val="20"/>
                <w:szCs w:val="20"/>
                <w:lang w:val="en-US" w:eastAsia="zh-CN"/>
              </w:rPr>
              <w:t>RQ  (number)</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14D5ED03"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0.28</w:t>
            </w:r>
          </w:p>
        </w:tc>
        <w:tc>
          <w:tcPr>
            <w:tcW w:w="0" w:type="pct"/>
            <w:tcBorders>
              <w:top w:val="nil"/>
              <w:bottom w:val="nil"/>
            </w:tcBorders>
            <w:shd w:val="clear" w:color="auto" w:fill="FFFFFF" w:themeFill="background1"/>
            <w:noWrap/>
          </w:tcPr>
          <w:p w14:paraId="6DF243FC"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0.31</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02271617"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0.36</w:t>
            </w:r>
          </w:p>
        </w:tc>
        <w:tc>
          <w:tcPr>
            <w:tcW w:w="0" w:type="pct"/>
            <w:tcBorders>
              <w:top w:val="nil"/>
              <w:bottom w:val="nil"/>
            </w:tcBorders>
            <w:shd w:val="clear" w:color="auto" w:fill="FFFFFF" w:themeFill="background1"/>
            <w:noWrap/>
          </w:tcPr>
          <w:p w14:paraId="3087197E"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-0.95</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49E9C5E6"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0.80</w:t>
            </w:r>
          </w:p>
        </w:tc>
      </w:tr>
      <w:tr w:rsidR="00BA06B6" w:rsidRPr="00BA06B6" w14:paraId="23987178" w14:textId="77777777" w:rsidTr="00B91469">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tcBorders>
            <w:shd w:val="clear" w:color="auto" w:fill="FFFFFF" w:themeFill="background1"/>
          </w:tcPr>
          <w:p w14:paraId="1DAD9314"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zh-CN"/>
              </w:rPr>
            </w:pPr>
            <w:r w:rsidRPr="00BA06B6">
              <w:rPr>
                <w:rFonts w:ascii="Times New Roman" w:eastAsia="SimSun" w:hAnsi="Times New Roman" w:cs="Times New Roman"/>
                <w:b w:val="0"/>
                <w:bCs w:val="0"/>
                <w:sz w:val="20"/>
                <w:szCs w:val="20"/>
                <w:lang w:val="en-US" w:eastAsia="zh-CN"/>
              </w:rPr>
              <w:t>RL  (number)</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26F0261B"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0.30</w:t>
            </w:r>
          </w:p>
        </w:tc>
        <w:tc>
          <w:tcPr>
            <w:tcW w:w="0" w:type="pct"/>
            <w:tcBorders>
              <w:top w:val="nil"/>
              <w:bottom w:val="nil"/>
            </w:tcBorders>
            <w:shd w:val="clear" w:color="auto" w:fill="FFFFFF" w:themeFill="background1"/>
            <w:noWrap/>
          </w:tcPr>
          <w:p w14:paraId="65F2AA5B"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0.38</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297E4904"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0.41</w:t>
            </w:r>
          </w:p>
        </w:tc>
        <w:tc>
          <w:tcPr>
            <w:tcW w:w="0" w:type="pct"/>
            <w:tcBorders>
              <w:top w:val="nil"/>
              <w:bottom w:val="nil"/>
            </w:tcBorders>
            <w:shd w:val="clear" w:color="auto" w:fill="FFFFFF" w:themeFill="background1"/>
            <w:noWrap/>
          </w:tcPr>
          <w:p w14:paraId="6CC3DDC4"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-0.78</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311F94B3"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1.04</w:t>
            </w:r>
          </w:p>
        </w:tc>
      </w:tr>
      <w:tr w:rsidR="00BA06B6" w:rsidRPr="00BA06B6" w14:paraId="25C35901" w14:textId="77777777" w:rsidTr="00B91469">
        <w:trPr>
          <w:trHeight w:val="169"/>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tcBorders>
            <w:shd w:val="clear" w:color="auto" w:fill="FFFFFF" w:themeFill="background1"/>
          </w:tcPr>
          <w:p w14:paraId="2A45C54A"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zh-CN"/>
              </w:rPr>
            </w:pPr>
            <w:r w:rsidRPr="00BA06B6">
              <w:rPr>
                <w:rFonts w:ascii="Times New Roman" w:eastAsia="SimSun" w:hAnsi="Times New Roman" w:cs="Times New Roman"/>
                <w:b w:val="0"/>
                <w:bCs w:val="0"/>
                <w:sz w:val="20"/>
                <w:szCs w:val="20"/>
                <w:lang w:val="en-US" w:eastAsia="zh-CN"/>
              </w:rPr>
              <w:t>INFL (%)</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51AE604E"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5.30</w:t>
            </w:r>
          </w:p>
        </w:tc>
        <w:tc>
          <w:tcPr>
            <w:tcW w:w="0" w:type="pct"/>
            <w:tcBorders>
              <w:top w:val="nil"/>
              <w:bottom w:val="nil"/>
            </w:tcBorders>
            <w:shd w:val="clear" w:color="auto" w:fill="FFFFFF" w:themeFill="background1"/>
            <w:noWrap/>
          </w:tcPr>
          <w:p w14:paraId="29B1618F"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4.50</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14F880E5"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4.24</w:t>
            </w:r>
          </w:p>
        </w:tc>
        <w:tc>
          <w:tcPr>
            <w:tcW w:w="0" w:type="pct"/>
            <w:tcBorders>
              <w:top w:val="nil"/>
              <w:bottom w:val="nil"/>
            </w:tcBorders>
            <w:shd w:val="clear" w:color="auto" w:fill="FFFFFF" w:themeFill="background1"/>
            <w:noWrap/>
          </w:tcPr>
          <w:p w14:paraId="1C7591C8" w14:textId="77777777" w:rsidR="00AA068C" w:rsidRPr="00BA06B6" w:rsidRDefault="00AA068C" w:rsidP="00BC341D">
            <w:pPr>
              <w:tabs>
                <w:tab w:val="left" w:pos="851"/>
              </w:tabs>
              <w:jc w:val="both"/>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-4.90</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65666F29"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 xml:space="preserve">      15.10</w:t>
            </w:r>
          </w:p>
        </w:tc>
      </w:tr>
      <w:tr w:rsidR="00BA06B6" w:rsidRPr="00BA06B6" w14:paraId="241F6B85" w14:textId="77777777" w:rsidTr="00B9146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pct"/>
            <w:tcBorders>
              <w:top w:val="nil"/>
              <w:bottom w:val="nil"/>
            </w:tcBorders>
            <w:shd w:val="clear" w:color="auto" w:fill="FFFFFF" w:themeFill="background1"/>
          </w:tcPr>
          <w:p w14:paraId="523A3E6C"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zh-CN"/>
              </w:rPr>
            </w:pPr>
            <w:r w:rsidRPr="00BA06B6">
              <w:rPr>
                <w:rFonts w:ascii="Times New Roman" w:eastAsia="SimSun" w:hAnsi="Times New Roman" w:cs="Times New Roman"/>
                <w:b w:val="0"/>
                <w:bCs w:val="0"/>
                <w:sz w:val="20"/>
                <w:szCs w:val="20"/>
                <w:lang w:val="en-US" w:eastAsia="zh-CN"/>
              </w:rPr>
              <w:t>GDP (USD)</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1F79A4E1"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23961.70</w:t>
            </w:r>
          </w:p>
        </w:tc>
        <w:tc>
          <w:tcPr>
            <w:tcW w:w="0" w:type="pct"/>
            <w:tcBorders>
              <w:top w:val="nil"/>
              <w:bottom w:val="nil"/>
            </w:tcBorders>
            <w:shd w:val="clear" w:color="auto" w:fill="FFFFFF" w:themeFill="background1"/>
            <w:noWrap/>
          </w:tcPr>
          <w:p w14:paraId="18B717F1"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19288.75</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431E47FA"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23546.24</w:t>
            </w:r>
          </w:p>
        </w:tc>
        <w:tc>
          <w:tcPr>
            <w:tcW w:w="0" w:type="pct"/>
            <w:tcBorders>
              <w:top w:val="nil"/>
              <w:bottom w:val="nil"/>
            </w:tcBorders>
            <w:shd w:val="clear" w:color="auto" w:fill="FFFFFF" w:themeFill="background1"/>
            <w:noWrap/>
          </w:tcPr>
          <w:p w14:paraId="7BBC09F9" w14:textId="77777777" w:rsidR="00AA068C" w:rsidRPr="00BA06B6" w:rsidRDefault="00AA068C" w:rsidP="00BC341D">
            <w:pPr>
              <w:tabs>
                <w:tab w:val="left" w:pos="851"/>
              </w:tabs>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1472.6</w:t>
            </w:r>
          </w:p>
        </w:tc>
        <w:tc>
          <w:tcPr>
            <w:cnfStyle w:val="000010000000" w:firstRow="0" w:lastRow="0" w:firstColumn="0" w:lastColumn="0" w:oddVBand="1" w:evenVBand="0" w:oddHBand="0" w:evenHBand="0" w:firstRowFirstColumn="0" w:firstRowLastColumn="0" w:lastRowFirstColumn="0" w:lastRowLastColumn="0"/>
            <w:tcW w:w="0" w:type="pct"/>
            <w:tcBorders>
              <w:top w:val="nil"/>
              <w:bottom w:val="nil"/>
            </w:tcBorders>
            <w:shd w:val="clear" w:color="auto" w:fill="FFFFFF" w:themeFill="background1"/>
            <w:noWrap/>
          </w:tcPr>
          <w:p w14:paraId="77D79296" w14:textId="77777777" w:rsidR="00AA068C" w:rsidRPr="00BA06B6" w:rsidRDefault="00AA068C" w:rsidP="00BC341D">
            <w:pPr>
              <w:tabs>
                <w:tab w:val="left" w:pos="851"/>
              </w:tabs>
              <w:jc w:val="both"/>
              <w:rPr>
                <w:rFonts w:ascii="Times New Roman" w:eastAsia="SimSun" w:hAnsi="Times New Roman" w:cs="Times New Roman"/>
                <w:sz w:val="20"/>
                <w:szCs w:val="20"/>
                <w:lang w:val="en-US" w:eastAsia="en-GB"/>
              </w:rPr>
            </w:pPr>
            <w:r w:rsidRPr="00BA06B6">
              <w:rPr>
                <w:rFonts w:ascii="Times New Roman" w:eastAsia="SimSun" w:hAnsi="Times New Roman" w:cs="Times New Roman"/>
                <w:sz w:val="20"/>
                <w:szCs w:val="20"/>
                <w:lang w:val="en-US" w:eastAsia="en-GB"/>
              </w:rPr>
              <w:t>93714.10</w:t>
            </w:r>
          </w:p>
        </w:tc>
      </w:tr>
      <w:tr w:rsidR="00BA06B6" w:rsidRPr="00BA06B6" w14:paraId="35F10B3E" w14:textId="77777777" w:rsidTr="00B91469">
        <w:trPr>
          <w:trHeight w:val="240"/>
        </w:trPr>
        <w:tc>
          <w:tcPr>
            <w:cnfStyle w:val="001000000000" w:firstRow="0" w:lastRow="0" w:firstColumn="1" w:lastColumn="0" w:oddVBand="0" w:evenVBand="0" w:oddHBand="0" w:evenHBand="0" w:firstRowFirstColumn="0" w:firstRowLastColumn="0" w:lastRowFirstColumn="0" w:lastRowLastColumn="0"/>
            <w:tcW w:w="0" w:type="pct"/>
            <w:gridSpan w:val="6"/>
            <w:tcBorders>
              <w:top w:val="nil"/>
              <w:bottom w:val="nil"/>
            </w:tcBorders>
            <w:shd w:val="clear" w:color="auto" w:fill="FFFFFF" w:themeFill="background1"/>
          </w:tcPr>
          <w:p w14:paraId="646C9DDD" w14:textId="77777777" w:rsidR="00AA068C" w:rsidRPr="00BA06B6" w:rsidRDefault="00AA068C" w:rsidP="00BC341D">
            <w:pPr>
              <w:tabs>
                <w:tab w:val="left" w:pos="851"/>
              </w:tabs>
              <w:jc w:val="both"/>
              <w:rPr>
                <w:rFonts w:ascii="Times New Roman" w:eastAsia="SimSun" w:hAnsi="Times New Roman" w:cs="Times New Roman"/>
                <w:b w:val="0"/>
                <w:bCs w:val="0"/>
                <w:sz w:val="20"/>
                <w:szCs w:val="20"/>
                <w:lang w:val="en-US" w:eastAsia="zh-CN"/>
              </w:rPr>
            </w:pPr>
            <w:r w:rsidRPr="00BA06B6">
              <w:rPr>
                <w:rFonts w:ascii="Times New Roman" w:eastAsia="Times New Roman" w:hAnsi="Times New Roman" w:cs="Times New Roman"/>
                <w:b w:val="0"/>
                <w:bCs w:val="0"/>
                <w:sz w:val="18"/>
                <w:szCs w:val="18"/>
                <w:lang w:eastAsia="en-GB"/>
              </w:rPr>
              <w:t xml:space="preserve">Notes: </w:t>
            </w:r>
            <w:r w:rsidRPr="00BA06B6">
              <w:rPr>
                <w:rFonts w:ascii="Times New Roman" w:eastAsia="Times New Roman" w:hAnsi="Times New Roman" w:cs="Times New Roman"/>
                <w:b w:val="0"/>
                <w:bCs w:val="0"/>
                <w:sz w:val="20"/>
                <w:szCs w:val="20"/>
                <w:lang w:eastAsia="en-GB"/>
              </w:rPr>
              <w:t xml:space="preserve">Our final sample covers 95 banks listed in 12 MENA stock exchanges as follows: </w:t>
            </w:r>
            <w:r w:rsidRPr="00BA06B6">
              <w:rPr>
                <w:rFonts w:ascii="Times New Roman" w:eastAsia="Times New Roman" w:hAnsi="Times New Roman" w:cs="Times New Roman"/>
                <w:b w:val="0"/>
                <w:bCs w:val="0"/>
                <w:iCs/>
                <w:sz w:val="20"/>
                <w:szCs w:val="20"/>
                <w:lang w:eastAsia="en-GB"/>
              </w:rPr>
              <w:t xml:space="preserve">Bahrain, Egypt, Jordan, Kuwait, Lebanon, Morocco, Oman, Qatar, Saudi Arabia, Syria, Tunisia and UAE. The final sample consists of 700 bank-year observations </w:t>
            </w:r>
            <w:r w:rsidRPr="00BA06B6">
              <w:rPr>
                <w:rFonts w:ascii="Times New Roman" w:eastAsia="Times New Roman" w:hAnsi="Times New Roman" w:cs="Times New Roman"/>
                <w:b w:val="0"/>
                <w:bCs w:val="0"/>
                <w:sz w:val="20"/>
                <w:szCs w:val="20"/>
                <w:lang w:eastAsia="en-GB"/>
              </w:rPr>
              <w:t>over eight fiscal years, from 2006 to 2013.</w:t>
            </w:r>
            <w:r w:rsidRPr="00BA06B6">
              <w:rPr>
                <w:rFonts w:ascii="Times New Roman" w:eastAsia="SimSun" w:hAnsi="Times New Roman" w:cs="Times New Roman"/>
                <w:b w:val="0"/>
                <w:bCs w:val="0"/>
                <w:sz w:val="20"/>
                <w:szCs w:val="20"/>
                <w:lang w:val="en-US" w:eastAsia="zh-CN"/>
              </w:rPr>
              <w:t xml:space="preserve"> </w:t>
            </w:r>
            <w:r w:rsidRPr="00BA06B6">
              <w:rPr>
                <w:rFonts w:ascii="Times New Roman" w:eastAsia="Times New Roman" w:hAnsi="Times New Roman" w:cs="Times New Roman"/>
                <w:b w:val="0"/>
                <w:bCs w:val="0"/>
                <w:sz w:val="18"/>
                <w:szCs w:val="18"/>
                <w:lang w:eastAsia="en-GB"/>
              </w:rPr>
              <w:t>Variables are defined as follows: block ownership (</w:t>
            </w:r>
            <w:r w:rsidRPr="00BA06B6">
              <w:rPr>
                <w:rFonts w:ascii="Times New Roman" w:eastAsia="Times New Roman" w:hAnsi="Times New Roman" w:cs="Times New Roman"/>
                <w:b w:val="0"/>
                <w:bCs w:val="0"/>
                <w:i/>
                <w:iCs/>
                <w:sz w:val="18"/>
                <w:szCs w:val="18"/>
                <w:lang w:eastAsia="en-GB"/>
              </w:rPr>
              <w:t>BOWN</w:t>
            </w:r>
            <w:r w:rsidRPr="00BA06B6">
              <w:rPr>
                <w:rFonts w:ascii="Times New Roman" w:eastAsia="Times New Roman" w:hAnsi="Times New Roman" w:cs="Times New Roman"/>
                <w:b w:val="0"/>
                <w:bCs w:val="0"/>
                <w:sz w:val="18"/>
                <w:szCs w:val="18"/>
                <w:lang w:eastAsia="en-GB"/>
              </w:rPr>
              <w:t>), government ownership (</w:t>
            </w:r>
            <w:r w:rsidRPr="00BA06B6">
              <w:rPr>
                <w:rFonts w:ascii="Times New Roman" w:eastAsia="Times New Roman" w:hAnsi="Times New Roman" w:cs="Times New Roman"/>
                <w:b w:val="0"/>
                <w:bCs w:val="0"/>
                <w:i/>
                <w:iCs/>
                <w:sz w:val="18"/>
                <w:szCs w:val="18"/>
                <w:lang w:eastAsia="en-GB"/>
              </w:rPr>
              <w:t>GOWN</w:t>
            </w:r>
            <w:r w:rsidRPr="00BA06B6">
              <w:rPr>
                <w:rFonts w:ascii="Times New Roman" w:eastAsia="Times New Roman" w:hAnsi="Times New Roman" w:cs="Times New Roman"/>
                <w:b w:val="0"/>
                <w:bCs w:val="0"/>
                <w:sz w:val="18"/>
                <w:szCs w:val="18"/>
                <w:lang w:eastAsia="en-GB"/>
              </w:rPr>
              <w:t>), foreign ownership (</w:t>
            </w:r>
            <w:r w:rsidRPr="00BA06B6">
              <w:rPr>
                <w:rFonts w:ascii="Times New Roman" w:eastAsia="Times New Roman" w:hAnsi="Times New Roman" w:cs="Times New Roman"/>
                <w:b w:val="0"/>
                <w:bCs w:val="0"/>
                <w:i/>
                <w:iCs/>
                <w:sz w:val="18"/>
                <w:szCs w:val="18"/>
                <w:lang w:eastAsia="en-GB"/>
              </w:rPr>
              <w:t>FOWN</w:t>
            </w:r>
            <w:r w:rsidRPr="00BA06B6">
              <w:rPr>
                <w:rFonts w:ascii="Times New Roman" w:eastAsia="Times New Roman" w:hAnsi="Times New Roman" w:cs="Times New Roman"/>
                <w:b w:val="0"/>
                <w:bCs w:val="0"/>
                <w:sz w:val="18"/>
                <w:szCs w:val="18"/>
                <w:lang w:eastAsia="en-GB"/>
              </w:rPr>
              <w:t>), board size (</w:t>
            </w:r>
            <w:r w:rsidRPr="00BA06B6">
              <w:rPr>
                <w:rFonts w:ascii="Times New Roman" w:eastAsia="Times New Roman" w:hAnsi="Times New Roman" w:cs="Times New Roman"/>
                <w:b w:val="0"/>
                <w:bCs w:val="0"/>
                <w:i/>
                <w:iCs/>
                <w:sz w:val="18"/>
                <w:szCs w:val="18"/>
                <w:lang w:eastAsia="en-GB"/>
              </w:rPr>
              <w:t>BS</w:t>
            </w:r>
            <w:r w:rsidRPr="00BA06B6">
              <w:rPr>
                <w:rFonts w:ascii="Times New Roman" w:eastAsia="Times New Roman" w:hAnsi="Times New Roman" w:cs="Times New Roman"/>
                <w:b w:val="0"/>
                <w:bCs w:val="0"/>
                <w:sz w:val="18"/>
                <w:szCs w:val="18"/>
                <w:lang w:eastAsia="en-GB"/>
              </w:rPr>
              <w:t>), independent chairperson (</w:t>
            </w:r>
            <w:r w:rsidRPr="00BA06B6">
              <w:rPr>
                <w:rFonts w:ascii="Times New Roman" w:eastAsia="Times New Roman" w:hAnsi="Times New Roman" w:cs="Times New Roman"/>
                <w:b w:val="0"/>
                <w:bCs w:val="0"/>
                <w:i/>
                <w:iCs/>
                <w:sz w:val="18"/>
                <w:szCs w:val="18"/>
                <w:lang w:eastAsia="en-GB"/>
              </w:rPr>
              <w:t>DUAL</w:t>
            </w:r>
            <w:r w:rsidRPr="00BA06B6">
              <w:rPr>
                <w:rFonts w:ascii="Times New Roman" w:eastAsia="Times New Roman" w:hAnsi="Times New Roman" w:cs="Times New Roman"/>
                <w:b w:val="0"/>
                <w:bCs w:val="0"/>
                <w:sz w:val="18"/>
                <w:szCs w:val="18"/>
                <w:lang w:eastAsia="en-GB"/>
              </w:rPr>
              <w:t>), gender diversity (</w:t>
            </w:r>
            <w:r w:rsidRPr="00BA06B6">
              <w:rPr>
                <w:rFonts w:ascii="Times New Roman" w:eastAsia="Times New Roman" w:hAnsi="Times New Roman" w:cs="Times New Roman"/>
                <w:b w:val="0"/>
                <w:bCs w:val="0"/>
                <w:i/>
                <w:iCs/>
                <w:sz w:val="18"/>
                <w:szCs w:val="18"/>
                <w:lang w:eastAsia="en-GB"/>
              </w:rPr>
              <w:t>GDB</w:t>
            </w:r>
            <w:r w:rsidRPr="00BA06B6">
              <w:rPr>
                <w:rFonts w:ascii="Times New Roman" w:eastAsia="Times New Roman" w:hAnsi="Times New Roman" w:cs="Times New Roman"/>
                <w:b w:val="0"/>
                <w:bCs w:val="0"/>
                <w:sz w:val="18"/>
                <w:szCs w:val="18"/>
                <w:lang w:eastAsia="en-GB"/>
              </w:rPr>
              <w:t>), percentage of non-executives directors (</w:t>
            </w:r>
            <w:r w:rsidRPr="00BA06B6">
              <w:rPr>
                <w:rFonts w:ascii="Times New Roman" w:eastAsia="Times New Roman" w:hAnsi="Times New Roman" w:cs="Times New Roman"/>
                <w:b w:val="0"/>
                <w:bCs w:val="0"/>
                <w:i/>
                <w:iCs/>
                <w:sz w:val="18"/>
                <w:szCs w:val="18"/>
                <w:lang w:eastAsia="en-GB"/>
              </w:rPr>
              <w:t>BBID</w:t>
            </w:r>
            <w:r w:rsidRPr="00BA06B6">
              <w:rPr>
                <w:rFonts w:ascii="Times New Roman" w:eastAsia="Times New Roman" w:hAnsi="Times New Roman" w:cs="Times New Roman"/>
                <w:b w:val="0"/>
                <w:bCs w:val="0"/>
                <w:sz w:val="18"/>
                <w:szCs w:val="18"/>
                <w:lang w:eastAsia="en-GB"/>
              </w:rPr>
              <w:t>), voice and accountability (</w:t>
            </w:r>
            <w:r w:rsidRPr="00BA06B6">
              <w:rPr>
                <w:rFonts w:ascii="Times New Roman" w:eastAsia="Times New Roman" w:hAnsi="Times New Roman" w:cs="Times New Roman"/>
                <w:b w:val="0"/>
                <w:bCs w:val="0"/>
                <w:i/>
                <w:iCs/>
                <w:sz w:val="18"/>
                <w:szCs w:val="18"/>
                <w:lang w:eastAsia="en-GB"/>
              </w:rPr>
              <w:t>V&amp;A</w:t>
            </w:r>
            <w:r w:rsidRPr="00BA06B6">
              <w:rPr>
                <w:rFonts w:ascii="Times New Roman" w:eastAsia="Times New Roman" w:hAnsi="Times New Roman" w:cs="Times New Roman"/>
                <w:b w:val="0"/>
                <w:bCs w:val="0"/>
                <w:sz w:val="18"/>
                <w:szCs w:val="18"/>
                <w:lang w:eastAsia="en-GB"/>
              </w:rPr>
              <w:t>), regulatory quality (</w:t>
            </w:r>
            <w:r w:rsidRPr="00BA06B6">
              <w:rPr>
                <w:rFonts w:ascii="Times New Roman" w:eastAsia="Times New Roman" w:hAnsi="Times New Roman" w:cs="Times New Roman"/>
                <w:b w:val="0"/>
                <w:bCs w:val="0"/>
                <w:i/>
                <w:iCs/>
                <w:sz w:val="18"/>
                <w:szCs w:val="18"/>
                <w:lang w:eastAsia="en-GB"/>
              </w:rPr>
              <w:t>RQ</w:t>
            </w:r>
            <w:r w:rsidRPr="00BA06B6">
              <w:rPr>
                <w:rFonts w:ascii="Times New Roman" w:eastAsia="Times New Roman" w:hAnsi="Times New Roman" w:cs="Times New Roman"/>
                <w:b w:val="0"/>
                <w:bCs w:val="0"/>
                <w:sz w:val="18"/>
                <w:szCs w:val="18"/>
                <w:lang w:eastAsia="en-GB"/>
              </w:rPr>
              <w:t>), rule of low (</w:t>
            </w:r>
            <w:r w:rsidRPr="00BA06B6">
              <w:rPr>
                <w:rFonts w:ascii="Times New Roman" w:eastAsia="Times New Roman" w:hAnsi="Times New Roman" w:cs="Times New Roman"/>
                <w:b w:val="0"/>
                <w:bCs w:val="0"/>
                <w:i/>
                <w:iCs/>
                <w:sz w:val="18"/>
                <w:szCs w:val="18"/>
                <w:lang w:eastAsia="en-GB"/>
              </w:rPr>
              <w:t>RL</w:t>
            </w:r>
            <w:r w:rsidRPr="00BA06B6">
              <w:rPr>
                <w:rFonts w:ascii="Times New Roman" w:eastAsia="Times New Roman" w:hAnsi="Times New Roman" w:cs="Times New Roman"/>
                <w:b w:val="0"/>
                <w:bCs w:val="0"/>
                <w:sz w:val="18"/>
                <w:szCs w:val="18"/>
                <w:lang w:eastAsia="en-GB"/>
              </w:rPr>
              <w:t>), bank size (</w:t>
            </w:r>
            <w:r w:rsidRPr="00BA06B6">
              <w:rPr>
                <w:rFonts w:ascii="Times New Roman" w:eastAsia="Times New Roman" w:hAnsi="Times New Roman" w:cs="Times New Roman"/>
                <w:b w:val="0"/>
                <w:bCs w:val="0"/>
                <w:i/>
                <w:iCs/>
                <w:sz w:val="18"/>
                <w:szCs w:val="18"/>
                <w:lang w:eastAsia="en-GB"/>
              </w:rPr>
              <w:t>LNTA</w:t>
            </w:r>
            <w:r w:rsidRPr="00BA06B6">
              <w:rPr>
                <w:rFonts w:ascii="Times New Roman" w:eastAsia="Times New Roman" w:hAnsi="Times New Roman" w:cs="Times New Roman"/>
                <w:b w:val="0"/>
                <w:bCs w:val="0"/>
                <w:sz w:val="18"/>
                <w:szCs w:val="18"/>
                <w:lang w:eastAsia="en-GB"/>
              </w:rPr>
              <w:t>), performance (</w:t>
            </w:r>
            <w:r w:rsidRPr="00BA06B6">
              <w:rPr>
                <w:rFonts w:ascii="Times New Roman" w:eastAsia="Times New Roman" w:hAnsi="Times New Roman" w:cs="Times New Roman"/>
                <w:b w:val="0"/>
                <w:bCs w:val="0"/>
                <w:i/>
                <w:iCs/>
                <w:sz w:val="18"/>
                <w:szCs w:val="18"/>
                <w:lang w:eastAsia="en-GB"/>
              </w:rPr>
              <w:t>ROAA</w:t>
            </w:r>
            <w:r w:rsidRPr="00BA06B6">
              <w:rPr>
                <w:rFonts w:ascii="Times New Roman" w:eastAsia="Times New Roman" w:hAnsi="Times New Roman" w:cs="Times New Roman"/>
                <w:b w:val="0"/>
                <w:bCs w:val="0"/>
                <w:sz w:val="18"/>
                <w:szCs w:val="18"/>
                <w:lang w:eastAsia="en-GB"/>
              </w:rPr>
              <w:t>), liquidity (</w:t>
            </w:r>
            <w:r w:rsidRPr="00BA06B6">
              <w:rPr>
                <w:rFonts w:ascii="Times New Roman" w:eastAsia="Times New Roman" w:hAnsi="Times New Roman" w:cs="Times New Roman"/>
                <w:b w:val="0"/>
                <w:bCs w:val="0"/>
                <w:i/>
                <w:iCs/>
                <w:sz w:val="18"/>
                <w:szCs w:val="18"/>
                <w:lang w:eastAsia="en-GB"/>
              </w:rPr>
              <w:t>LIQ</w:t>
            </w:r>
            <w:r w:rsidRPr="00BA06B6">
              <w:rPr>
                <w:rFonts w:ascii="Times New Roman" w:eastAsia="Times New Roman" w:hAnsi="Times New Roman" w:cs="Times New Roman"/>
                <w:b w:val="0"/>
                <w:bCs w:val="0"/>
                <w:sz w:val="18"/>
                <w:szCs w:val="18"/>
                <w:lang w:eastAsia="en-GB"/>
              </w:rPr>
              <w:t>), income diversity (</w:t>
            </w:r>
            <w:r w:rsidRPr="00BA06B6">
              <w:rPr>
                <w:rFonts w:ascii="Times New Roman" w:eastAsia="Times New Roman" w:hAnsi="Times New Roman" w:cs="Times New Roman"/>
                <w:b w:val="0"/>
                <w:bCs w:val="0"/>
                <w:i/>
                <w:iCs/>
                <w:sz w:val="18"/>
                <w:szCs w:val="18"/>
                <w:lang w:eastAsia="en-GB"/>
              </w:rPr>
              <w:t>INCD</w:t>
            </w:r>
            <w:r w:rsidRPr="00BA06B6">
              <w:rPr>
                <w:rFonts w:ascii="Times New Roman" w:eastAsia="Times New Roman" w:hAnsi="Times New Roman" w:cs="Times New Roman"/>
                <w:b w:val="0"/>
                <w:bCs w:val="0"/>
                <w:sz w:val="18"/>
                <w:szCs w:val="18"/>
                <w:lang w:eastAsia="en-GB"/>
              </w:rPr>
              <w:t>), operational efficiency (</w:t>
            </w:r>
            <w:r w:rsidRPr="00BA06B6">
              <w:rPr>
                <w:rFonts w:ascii="Times New Roman" w:eastAsia="Times New Roman" w:hAnsi="Times New Roman" w:cs="Times New Roman"/>
                <w:b w:val="0"/>
                <w:bCs w:val="0"/>
                <w:i/>
                <w:iCs/>
                <w:sz w:val="18"/>
                <w:szCs w:val="18"/>
                <w:lang w:eastAsia="en-GB"/>
              </w:rPr>
              <w:t>COST</w:t>
            </w:r>
            <w:r w:rsidRPr="00BA06B6">
              <w:rPr>
                <w:rFonts w:ascii="Times New Roman" w:eastAsia="Times New Roman" w:hAnsi="Times New Roman" w:cs="Times New Roman"/>
                <w:b w:val="0"/>
                <w:bCs w:val="0"/>
                <w:sz w:val="18"/>
                <w:szCs w:val="18"/>
                <w:lang w:eastAsia="en-GB"/>
              </w:rPr>
              <w:t>), capital adequacy (</w:t>
            </w:r>
            <w:r w:rsidRPr="00BA06B6">
              <w:rPr>
                <w:rFonts w:ascii="Times New Roman" w:eastAsia="Times New Roman" w:hAnsi="Times New Roman" w:cs="Times New Roman"/>
                <w:b w:val="0"/>
                <w:bCs w:val="0"/>
                <w:i/>
                <w:iCs/>
                <w:sz w:val="18"/>
                <w:szCs w:val="18"/>
                <w:lang w:eastAsia="en-GB"/>
              </w:rPr>
              <w:t>CAP</w:t>
            </w:r>
            <w:r w:rsidRPr="00BA06B6">
              <w:rPr>
                <w:rFonts w:ascii="Times New Roman" w:eastAsia="Times New Roman" w:hAnsi="Times New Roman" w:cs="Times New Roman"/>
                <w:b w:val="0"/>
                <w:bCs w:val="0"/>
                <w:sz w:val="18"/>
                <w:szCs w:val="18"/>
                <w:lang w:eastAsia="en-GB"/>
              </w:rPr>
              <w:t>), inflation (</w:t>
            </w:r>
            <w:r w:rsidRPr="00BA06B6">
              <w:rPr>
                <w:rFonts w:ascii="Times New Roman" w:eastAsia="Times New Roman" w:hAnsi="Times New Roman" w:cs="Times New Roman"/>
                <w:b w:val="0"/>
                <w:bCs w:val="0"/>
                <w:i/>
                <w:iCs/>
                <w:sz w:val="18"/>
                <w:szCs w:val="18"/>
                <w:lang w:eastAsia="en-GB"/>
              </w:rPr>
              <w:t>INFL</w:t>
            </w:r>
            <w:r w:rsidRPr="00BA06B6">
              <w:rPr>
                <w:rFonts w:ascii="Times New Roman" w:eastAsia="Times New Roman" w:hAnsi="Times New Roman" w:cs="Times New Roman"/>
                <w:b w:val="0"/>
                <w:bCs w:val="0"/>
                <w:sz w:val="18"/>
                <w:szCs w:val="18"/>
                <w:lang w:eastAsia="en-GB"/>
              </w:rPr>
              <w:t>), and GDP per capita (</w:t>
            </w:r>
            <w:r w:rsidRPr="00BA06B6">
              <w:rPr>
                <w:rFonts w:ascii="Times New Roman" w:eastAsia="Times New Roman" w:hAnsi="Times New Roman" w:cs="Times New Roman"/>
                <w:b w:val="0"/>
                <w:bCs w:val="0"/>
                <w:i/>
                <w:iCs/>
                <w:sz w:val="18"/>
                <w:szCs w:val="18"/>
                <w:lang w:eastAsia="en-GB"/>
              </w:rPr>
              <w:t>GDP</w:t>
            </w:r>
            <w:r w:rsidRPr="00BA06B6">
              <w:rPr>
                <w:rFonts w:ascii="Times New Roman" w:eastAsia="Times New Roman" w:hAnsi="Times New Roman" w:cs="Times New Roman"/>
                <w:b w:val="0"/>
                <w:bCs w:val="0"/>
                <w:sz w:val="18"/>
                <w:szCs w:val="18"/>
                <w:lang w:eastAsia="en-GB"/>
              </w:rPr>
              <w:t xml:space="preserve">). Table 3 fully defines all the variables used. </w:t>
            </w:r>
          </w:p>
        </w:tc>
      </w:tr>
    </w:tbl>
    <w:p w14:paraId="7B4908D6" w14:textId="77777777" w:rsidR="00AA068C" w:rsidRPr="00BA06B6" w:rsidRDefault="00AA068C" w:rsidP="00AA068C">
      <w:pPr>
        <w:tabs>
          <w:tab w:val="left" w:pos="3330"/>
        </w:tabs>
      </w:pPr>
      <w:r w:rsidRPr="00BA06B6">
        <w:tab/>
      </w:r>
    </w:p>
    <w:p w14:paraId="3BE4E63D" w14:textId="77777777" w:rsidR="00AA068C" w:rsidRPr="00BA06B6" w:rsidRDefault="00AA068C" w:rsidP="00AA068C">
      <w:pPr>
        <w:sectPr w:rsidR="00AA068C" w:rsidRPr="00BA06B6">
          <w:pgSz w:w="11906" w:h="16838"/>
          <w:pgMar w:top="1440" w:right="1440" w:bottom="1440" w:left="1440" w:header="708" w:footer="708" w:gutter="0"/>
          <w:cols w:space="708"/>
          <w:docGrid w:linePitch="360"/>
        </w:sectPr>
      </w:pPr>
      <w:r w:rsidRPr="00BA06B6">
        <w:br w:type="page"/>
      </w:r>
    </w:p>
    <w:p w14:paraId="57618C99" w14:textId="77777777" w:rsidR="00AA068C" w:rsidRPr="00BA06B6" w:rsidRDefault="00AA068C" w:rsidP="00AA068C"/>
    <w:p w14:paraId="545BACA3" w14:textId="77777777" w:rsidR="00AA068C" w:rsidRPr="00BA06B6" w:rsidRDefault="00AA068C" w:rsidP="00AA068C">
      <w:pPr>
        <w:tabs>
          <w:tab w:val="left" w:pos="851"/>
        </w:tabs>
        <w:spacing w:after="0"/>
        <w:ind w:left="-851"/>
        <w:jc w:val="both"/>
        <w:rPr>
          <w:rFonts w:ascii="Times New Roman" w:eastAsia="SimSun" w:hAnsi="Times New Roman" w:cs="Times New Roman"/>
          <w:bCs/>
          <w:sz w:val="20"/>
          <w:szCs w:val="20"/>
          <w:lang w:eastAsia="zh-CN"/>
        </w:rPr>
      </w:pPr>
      <w:r w:rsidRPr="00BA06B6">
        <w:rPr>
          <w:rFonts w:ascii="Times New Roman" w:eastAsia="Times New Roman" w:hAnsi="Times New Roman" w:cs="Times New Roman"/>
          <w:b/>
          <w:bCs/>
          <w:sz w:val="20"/>
          <w:szCs w:val="20"/>
          <w:lang w:val="en-US" w:eastAsia="en-GB"/>
        </w:rPr>
        <w:t xml:space="preserve">TABLE </w:t>
      </w:r>
      <w:bookmarkStart w:id="151" w:name="Table6"/>
      <w:r w:rsidRPr="00BA06B6">
        <w:rPr>
          <w:rFonts w:ascii="Times New Roman" w:eastAsia="Times New Roman" w:hAnsi="Times New Roman" w:cs="Times New Roman"/>
          <w:b/>
          <w:bCs/>
          <w:sz w:val="20"/>
          <w:szCs w:val="20"/>
          <w:lang w:val="en-US" w:eastAsia="en-GB"/>
        </w:rPr>
        <w:t>6</w:t>
      </w:r>
      <w:bookmarkEnd w:id="151"/>
      <w:r w:rsidRPr="00BA06B6">
        <w:rPr>
          <w:rFonts w:ascii="Times New Roman" w:eastAsia="Times New Roman" w:hAnsi="Times New Roman" w:cs="Times New Roman"/>
          <w:b/>
          <w:bCs/>
          <w:sz w:val="16"/>
          <w:szCs w:val="16"/>
          <w:lang w:val="en-US" w:eastAsia="en-GB"/>
        </w:rPr>
        <w:t xml:space="preserve">   </w:t>
      </w:r>
      <w:r w:rsidRPr="00BA06B6">
        <w:rPr>
          <w:rFonts w:ascii="Times New Roman" w:eastAsia="SimSun" w:hAnsi="Times New Roman" w:cs="Times New Roman"/>
          <w:bCs/>
          <w:sz w:val="20"/>
          <w:szCs w:val="20"/>
          <w:lang w:val="en-US" w:eastAsia="zh-CN"/>
        </w:rPr>
        <w:t>Pearson’s and Spearman’s correlation matrices of the variables for all 700 observations</w:t>
      </w:r>
    </w:p>
    <w:tbl>
      <w:tblPr>
        <w:tblStyle w:val="TableGrid1110"/>
        <w:tblW w:w="14633" w:type="dxa"/>
        <w:jc w:val="center"/>
        <w:shd w:val="clear" w:color="auto" w:fill="FFFFFF" w:themeFill="background1"/>
        <w:tblLayout w:type="fixed"/>
        <w:tblCellMar>
          <w:left w:w="0" w:type="dxa"/>
          <w:right w:w="28" w:type="dxa"/>
        </w:tblCellMar>
        <w:tblLook w:val="04A0" w:firstRow="1" w:lastRow="0" w:firstColumn="1" w:lastColumn="0" w:noHBand="0" w:noVBand="1"/>
      </w:tblPr>
      <w:tblGrid>
        <w:gridCol w:w="880"/>
        <w:gridCol w:w="613"/>
        <w:gridCol w:w="609"/>
        <w:gridCol w:w="657"/>
        <w:gridCol w:w="657"/>
        <w:gridCol w:w="657"/>
        <w:gridCol w:w="657"/>
        <w:gridCol w:w="657"/>
        <w:gridCol w:w="657"/>
        <w:gridCol w:w="704"/>
        <w:gridCol w:w="704"/>
        <w:gridCol w:w="657"/>
        <w:gridCol w:w="657"/>
        <w:gridCol w:w="657"/>
        <w:gridCol w:w="657"/>
        <w:gridCol w:w="657"/>
        <w:gridCol w:w="657"/>
        <w:gridCol w:w="657"/>
        <w:gridCol w:w="657"/>
        <w:gridCol w:w="657"/>
        <w:gridCol w:w="657"/>
        <w:gridCol w:w="605"/>
        <w:gridCol w:w="6"/>
      </w:tblGrid>
      <w:tr w:rsidR="00BA06B6" w:rsidRPr="00BA06B6" w14:paraId="28AC7EA6" w14:textId="77777777" w:rsidTr="004137CB">
        <w:trPr>
          <w:trHeight w:val="20"/>
          <w:jc w:val="center"/>
        </w:trPr>
        <w:tc>
          <w:tcPr>
            <w:tcW w:w="880" w:type="dxa"/>
            <w:tcBorders>
              <w:top w:val="single" w:sz="12" w:space="0" w:color="auto"/>
              <w:left w:val="nil"/>
              <w:bottom w:val="nil"/>
              <w:right w:val="nil"/>
            </w:tcBorders>
            <w:shd w:val="clear" w:color="auto" w:fill="FFFFFF" w:themeFill="background1"/>
            <w:noWrap/>
            <w:vAlign w:val="center"/>
          </w:tcPr>
          <w:p w14:paraId="5BFAC7FF" w14:textId="77777777" w:rsidR="00AA068C" w:rsidRPr="00BA06B6" w:rsidRDefault="00AA068C" w:rsidP="00BC341D">
            <w:pPr>
              <w:tabs>
                <w:tab w:val="left" w:pos="851"/>
              </w:tabs>
              <w:jc w:val="both"/>
              <w:rPr>
                <w:sz w:val="2"/>
                <w:szCs w:val="2"/>
                <w:lang w:eastAsia="zh-CN"/>
              </w:rPr>
            </w:pPr>
          </w:p>
        </w:tc>
        <w:tc>
          <w:tcPr>
            <w:tcW w:w="613" w:type="dxa"/>
            <w:tcBorders>
              <w:top w:val="single" w:sz="12" w:space="0" w:color="auto"/>
              <w:left w:val="nil"/>
              <w:bottom w:val="nil"/>
              <w:right w:val="nil"/>
            </w:tcBorders>
            <w:shd w:val="clear" w:color="auto" w:fill="FFFFFF" w:themeFill="background1"/>
            <w:noWrap/>
            <w:vAlign w:val="center"/>
          </w:tcPr>
          <w:p w14:paraId="3ED77939" w14:textId="77777777" w:rsidR="00AA068C" w:rsidRPr="00BA06B6" w:rsidRDefault="00AA068C" w:rsidP="00BC341D">
            <w:pPr>
              <w:tabs>
                <w:tab w:val="left" w:pos="851"/>
              </w:tabs>
              <w:jc w:val="both"/>
              <w:rPr>
                <w:sz w:val="2"/>
                <w:szCs w:val="2"/>
                <w:lang w:eastAsia="zh-CN"/>
              </w:rPr>
            </w:pPr>
          </w:p>
        </w:tc>
        <w:tc>
          <w:tcPr>
            <w:tcW w:w="609" w:type="dxa"/>
            <w:tcBorders>
              <w:top w:val="single" w:sz="12" w:space="0" w:color="auto"/>
              <w:left w:val="nil"/>
              <w:bottom w:val="nil"/>
              <w:right w:val="nil"/>
            </w:tcBorders>
            <w:shd w:val="clear" w:color="auto" w:fill="FFFFFF" w:themeFill="background1"/>
            <w:noWrap/>
            <w:vAlign w:val="center"/>
          </w:tcPr>
          <w:p w14:paraId="6B5255A6" w14:textId="77777777" w:rsidR="00AA068C" w:rsidRPr="00BA06B6" w:rsidRDefault="00AA068C" w:rsidP="00BC341D">
            <w:pPr>
              <w:tabs>
                <w:tab w:val="left" w:pos="851"/>
              </w:tabs>
              <w:jc w:val="both"/>
              <w:rPr>
                <w:sz w:val="2"/>
                <w:szCs w:val="2"/>
                <w:lang w:eastAsia="zh-CN"/>
              </w:rPr>
            </w:pPr>
          </w:p>
        </w:tc>
        <w:tc>
          <w:tcPr>
            <w:tcW w:w="657" w:type="dxa"/>
            <w:tcBorders>
              <w:top w:val="single" w:sz="12" w:space="0" w:color="auto"/>
              <w:left w:val="nil"/>
              <w:bottom w:val="nil"/>
              <w:right w:val="nil"/>
            </w:tcBorders>
            <w:shd w:val="clear" w:color="auto" w:fill="FFFFFF" w:themeFill="background1"/>
            <w:noWrap/>
            <w:vAlign w:val="center"/>
          </w:tcPr>
          <w:p w14:paraId="50ACA841" w14:textId="77777777" w:rsidR="00AA068C" w:rsidRPr="00BA06B6" w:rsidRDefault="00AA068C" w:rsidP="00BC341D">
            <w:pPr>
              <w:tabs>
                <w:tab w:val="left" w:pos="851"/>
              </w:tabs>
              <w:jc w:val="both"/>
              <w:rPr>
                <w:sz w:val="2"/>
                <w:szCs w:val="2"/>
                <w:lang w:eastAsia="zh-CN"/>
              </w:rPr>
            </w:pPr>
          </w:p>
        </w:tc>
        <w:tc>
          <w:tcPr>
            <w:tcW w:w="657" w:type="dxa"/>
            <w:tcBorders>
              <w:top w:val="single" w:sz="12" w:space="0" w:color="auto"/>
              <w:left w:val="nil"/>
              <w:bottom w:val="nil"/>
              <w:right w:val="nil"/>
            </w:tcBorders>
            <w:shd w:val="clear" w:color="auto" w:fill="FFFFFF" w:themeFill="background1"/>
            <w:noWrap/>
            <w:vAlign w:val="center"/>
          </w:tcPr>
          <w:p w14:paraId="0ABFB5A2" w14:textId="77777777" w:rsidR="00AA068C" w:rsidRPr="00BA06B6" w:rsidRDefault="00AA068C" w:rsidP="00BC341D">
            <w:pPr>
              <w:tabs>
                <w:tab w:val="left" w:pos="851"/>
              </w:tabs>
              <w:jc w:val="both"/>
              <w:rPr>
                <w:sz w:val="2"/>
                <w:szCs w:val="2"/>
                <w:lang w:eastAsia="zh-CN"/>
              </w:rPr>
            </w:pPr>
          </w:p>
        </w:tc>
        <w:tc>
          <w:tcPr>
            <w:tcW w:w="657" w:type="dxa"/>
            <w:tcBorders>
              <w:top w:val="single" w:sz="12" w:space="0" w:color="auto"/>
              <w:left w:val="nil"/>
              <w:bottom w:val="nil"/>
              <w:right w:val="nil"/>
            </w:tcBorders>
            <w:shd w:val="clear" w:color="auto" w:fill="FFFFFF" w:themeFill="background1"/>
            <w:noWrap/>
            <w:vAlign w:val="center"/>
          </w:tcPr>
          <w:p w14:paraId="77A7D087" w14:textId="77777777" w:rsidR="00AA068C" w:rsidRPr="00BA06B6" w:rsidRDefault="00AA068C" w:rsidP="00BC341D">
            <w:pPr>
              <w:tabs>
                <w:tab w:val="left" w:pos="851"/>
              </w:tabs>
              <w:jc w:val="both"/>
              <w:rPr>
                <w:sz w:val="2"/>
                <w:szCs w:val="2"/>
                <w:lang w:eastAsia="zh-CN"/>
              </w:rPr>
            </w:pPr>
          </w:p>
        </w:tc>
        <w:tc>
          <w:tcPr>
            <w:tcW w:w="657" w:type="dxa"/>
            <w:tcBorders>
              <w:top w:val="single" w:sz="12" w:space="0" w:color="auto"/>
              <w:left w:val="nil"/>
              <w:bottom w:val="nil"/>
              <w:right w:val="nil"/>
            </w:tcBorders>
            <w:shd w:val="clear" w:color="auto" w:fill="FFFFFF" w:themeFill="background1"/>
            <w:noWrap/>
            <w:vAlign w:val="center"/>
          </w:tcPr>
          <w:p w14:paraId="7BF7D296" w14:textId="77777777" w:rsidR="00AA068C" w:rsidRPr="00BA06B6" w:rsidRDefault="00AA068C" w:rsidP="00BC341D">
            <w:pPr>
              <w:tabs>
                <w:tab w:val="left" w:pos="851"/>
              </w:tabs>
              <w:jc w:val="both"/>
              <w:rPr>
                <w:sz w:val="2"/>
                <w:szCs w:val="2"/>
                <w:lang w:eastAsia="zh-CN"/>
              </w:rPr>
            </w:pPr>
          </w:p>
        </w:tc>
        <w:tc>
          <w:tcPr>
            <w:tcW w:w="657" w:type="dxa"/>
            <w:tcBorders>
              <w:top w:val="single" w:sz="12" w:space="0" w:color="auto"/>
              <w:left w:val="nil"/>
              <w:bottom w:val="nil"/>
              <w:right w:val="nil"/>
            </w:tcBorders>
            <w:shd w:val="clear" w:color="auto" w:fill="FFFFFF" w:themeFill="background1"/>
            <w:noWrap/>
            <w:vAlign w:val="center"/>
          </w:tcPr>
          <w:p w14:paraId="6D56B4F5" w14:textId="77777777" w:rsidR="00AA068C" w:rsidRPr="00BA06B6" w:rsidRDefault="00AA068C" w:rsidP="00BC341D">
            <w:pPr>
              <w:tabs>
                <w:tab w:val="left" w:pos="851"/>
              </w:tabs>
              <w:jc w:val="both"/>
              <w:rPr>
                <w:sz w:val="2"/>
                <w:szCs w:val="2"/>
                <w:lang w:eastAsia="zh-CN"/>
              </w:rPr>
            </w:pPr>
          </w:p>
        </w:tc>
        <w:tc>
          <w:tcPr>
            <w:tcW w:w="657" w:type="dxa"/>
            <w:tcBorders>
              <w:top w:val="single" w:sz="12" w:space="0" w:color="auto"/>
              <w:left w:val="nil"/>
              <w:bottom w:val="nil"/>
              <w:right w:val="nil"/>
            </w:tcBorders>
            <w:shd w:val="clear" w:color="auto" w:fill="FFFFFF" w:themeFill="background1"/>
            <w:noWrap/>
            <w:vAlign w:val="center"/>
          </w:tcPr>
          <w:p w14:paraId="32690D92" w14:textId="77777777" w:rsidR="00AA068C" w:rsidRPr="00BA06B6" w:rsidRDefault="00AA068C" w:rsidP="00BC341D">
            <w:pPr>
              <w:tabs>
                <w:tab w:val="left" w:pos="851"/>
              </w:tabs>
              <w:jc w:val="both"/>
              <w:rPr>
                <w:sz w:val="2"/>
                <w:szCs w:val="2"/>
                <w:lang w:eastAsia="zh-CN"/>
              </w:rPr>
            </w:pPr>
          </w:p>
        </w:tc>
        <w:tc>
          <w:tcPr>
            <w:tcW w:w="704" w:type="dxa"/>
            <w:tcBorders>
              <w:top w:val="single" w:sz="12" w:space="0" w:color="auto"/>
              <w:left w:val="nil"/>
              <w:bottom w:val="nil"/>
              <w:right w:val="nil"/>
            </w:tcBorders>
            <w:shd w:val="clear" w:color="auto" w:fill="FFFFFF" w:themeFill="background1"/>
            <w:noWrap/>
            <w:vAlign w:val="center"/>
          </w:tcPr>
          <w:p w14:paraId="033A698B" w14:textId="77777777" w:rsidR="00AA068C" w:rsidRPr="00BA06B6" w:rsidRDefault="00AA068C" w:rsidP="00BC341D">
            <w:pPr>
              <w:tabs>
                <w:tab w:val="left" w:pos="851"/>
              </w:tabs>
              <w:jc w:val="both"/>
              <w:rPr>
                <w:sz w:val="2"/>
                <w:szCs w:val="2"/>
                <w:lang w:eastAsia="zh-CN"/>
              </w:rPr>
            </w:pPr>
          </w:p>
        </w:tc>
        <w:tc>
          <w:tcPr>
            <w:tcW w:w="704" w:type="dxa"/>
            <w:tcBorders>
              <w:top w:val="single" w:sz="12" w:space="0" w:color="auto"/>
              <w:left w:val="nil"/>
              <w:bottom w:val="nil"/>
              <w:right w:val="nil"/>
            </w:tcBorders>
            <w:shd w:val="clear" w:color="auto" w:fill="FFFFFF" w:themeFill="background1"/>
            <w:noWrap/>
            <w:vAlign w:val="center"/>
          </w:tcPr>
          <w:p w14:paraId="72EFA241" w14:textId="77777777" w:rsidR="00AA068C" w:rsidRPr="00BA06B6" w:rsidRDefault="00AA068C" w:rsidP="00BC341D">
            <w:pPr>
              <w:tabs>
                <w:tab w:val="left" w:pos="851"/>
              </w:tabs>
              <w:jc w:val="both"/>
              <w:rPr>
                <w:sz w:val="2"/>
                <w:szCs w:val="2"/>
                <w:lang w:eastAsia="zh-CN"/>
              </w:rPr>
            </w:pPr>
          </w:p>
        </w:tc>
        <w:tc>
          <w:tcPr>
            <w:tcW w:w="657" w:type="dxa"/>
            <w:tcBorders>
              <w:top w:val="single" w:sz="12" w:space="0" w:color="auto"/>
              <w:left w:val="nil"/>
              <w:bottom w:val="nil"/>
              <w:right w:val="nil"/>
            </w:tcBorders>
            <w:shd w:val="clear" w:color="auto" w:fill="FFFFFF" w:themeFill="background1"/>
            <w:noWrap/>
            <w:vAlign w:val="center"/>
          </w:tcPr>
          <w:p w14:paraId="6E30909F" w14:textId="77777777" w:rsidR="00AA068C" w:rsidRPr="00BA06B6" w:rsidRDefault="00AA068C" w:rsidP="00BC341D">
            <w:pPr>
              <w:tabs>
                <w:tab w:val="left" w:pos="851"/>
              </w:tabs>
              <w:jc w:val="both"/>
              <w:rPr>
                <w:sz w:val="2"/>
                <w:szCs w:val="2"/>
                <w:lang w:eastAsia="zh-CN"/>
              </w:rPr>
            </w:pPr>
          </w:p>
        </w:tc>
        <w:tc>
          <w:tcPr>
            <w:tcW w:w="657" w:type="dxa"/>
            <w:tcBorders>
              <w:top w:val="single" w:sz="12" w:space="0" w:color="auto"/>
              <w:left w:val="nil"/>
              <w:bottom w:val="nil"/>
              <w:right w:val="nil"/>
            </w:tcBorders>
            <w:shd w:val="clear" w:color="auto" w:fill="FFFFFF" w:themeFill="background1"/>
            <w:noWrap/>
            <w:vAlign w:val="center"/>
          </w:tcPr>
          <w:p w14:paraId="58292204" w14:textId="77777777" w:rsidR="00AA068C" w:rsidRPr="00BA06B6" w:rsidRDefault="00AA068C" w:rsidP="00BC341D">
            <w:pPr>
              <w:tabs>
                <w:tab w:val="left" w:pos="851"/>
              </w:tabs>
              <w:jc w:val="both"/>
              <w:rPr>
                <w:sz w:val="2"/>
                <w:szCs w:val="2"/>
                <w:lang w:eastAsia="zh-CN"/>
              </w:rPr>
            </w:pPr>
          </w:p>
        </w:tc>
        <w:tc>
          <w:tcPr>
            <w:tcW w:w="657" w:type="dxa"/>
            <w:tcBorders>
              <w:top w:val="single" w:sz="12" w:space="0" w:color="auto"/>
              <w:left w:val="nil"/>
              <w:bottom w:val="nil"/>
              <w:right w:val="nil"/>
            </w:tcBorders>
            <w:shd w:val="clear" w:color="auto" w:fill="FFFFFF" w:themeFill="background1"/>
            <w:noWrap/>
            <w:vAlign w:val="center"/>
          </w:tcPr>
          <w:p w14:paraId="3D0ACFD7" w14:textId="77777777" w:rsidR="00AA068C" w:rsidRPr="00BA06B6" w:rsidRDefault="00AA068C" w:rsidP="00BC341D">
            <w:pPr>
              <w:tabs>
                <w:tab w:val="left" w:pos="851"/>
              </w:tabs>
              <w:jc w:val="both"/>
              <w:rPr>
                <w:sz w:val="2"/>
                <w:szCs w:val="2"/>
                <w:lang w:eastAsia="zh-CN"/>
              </w:rPr>
            </w:pPr>
          </w:p>
        </w:tc>
        <w:tc>
          <w:tcPr>
            <w:tcW w:w="657" w:type="dxa"/>
            <w:tcBorders>
              <w:top w:val="single" w:sz="12" w:space="0" w:color="auto"/>
              <w:left w:val="nil"/>
              <w:bottom w:val="nil"/>
              <w:right w:val="nil"/>
            </w:tcBorders>
            <w:shd w:val="clear" w:color="auto" w:fill="FFFFFF" w:themeFill="background1"/>
            <w:noWrap/>
            <w:vAlign w:val="center"/>
          </w:tcPr>
          <w:p w14:paraId="62D44385" w14:textId="77777777" w:rsidR="00AA068C" w:rsidRPr="00BA06B6" w:rsidRDefault="00AA068C" w:rsidP="00BC341D">
            <w:pPr>
              <w:tabs>
                <w:tab w:val="left" w:pos="851"/>
              </w:tabs>
              <w:jc w:val="both"/>
              <w:rPr>
                <w:sz w:val="2"/>
                <w:szCs w:val="2"/>
                <w:lang w:eastAsia="zh-CN"/>
              </w:rPr>
            </w:pPr>
          </w:p>
        </w:tc>
        <w:tc>
          <w:tcPr>
            <w:tcW w:w="657" w:type="dxa"/>
            <w:tcBorders>
              <w:top w:val="single" w:sz="12" w:space="0" w:color="auto"/>
              <w:left w:val="nil"/>
              <w:bottom w:val="nil"/>
              <w:right w:val="nil"/>
            </w:tcBorders>
            <w:shd w:val="clear" w:color="auto" w:fill="FFFFFF" w:themeFill="background1"/>
            <w:noWrap/>
            <w:vAlign w:val="center"/>
          </w:tcPr>
          <w:p w14:paraId="042F2C0C" w14:textId="77777777" w:rsidR="00AA068C" w:rsidRPr="00BA06B6" w:rsidRDefault="00AA068C" w:rsidP="00BC341D">
            <w:pPr>
              <w:tabs>
                <w:tab w:val="left" w:pos="851"/>
              </w:tabs>
              <w:jc w:val="both"/>
              <w:rPr>
                <w:sz w:val="2"/>
                <w:szCs w:val="2"/>
                <w:lang w:eastAsia="zh-CN"/>
              </w:rPr>
            </w:pPr>
          </w:p>
        </w:tc>
        <w:tc>
          <w:tcPr>
            <w:tcW w:w="657" w:type="dxa"/>
            <w:tcBorders>
              <w:top w:val="single" w:sz="12" w:space="0" w:color="auto"/>
              <w:left w:val="nil"/>
              <w:bottom w:val="nil"/>
              <w:right w:val="nil"/>
            </w:tcBorders>
            <w:shd w:val="clear" w:color="auto" w:fill="FFFFFF" w:themeFill="background1"/>
            <w:noWrap/>
            <w:vAlign w:val="center"/>
          </w:tcPr>
          <w:p w14:paraId="20B97CF6" w14:textId="77777777" w:rsidR="00AA068C" w:rsidRPr="00BA06B6" w:rsidRDefault="00AA068C" w:rsidP="00BC341D">
            <w:pPr>
              <w:tabs>
                <w:tab w:val="left" w:pos="851"/>
              </w:tabs>
              <w:jc w:val="both"/>
              <w:rPr>
                <w:sz w:val="2"/>
                <w:szCs w:val="2"/>
                <w:lang w:eastAsia="zh-CN"/>
              </w:rPr>
            </w:pPr>
          </w:p>
        </w:tc>
        <w:tc>
          <w:tcPr>
            <w:tcW w:w="657" w:type="dxa"/>
            <w:tcBorders>
              <w:top w:val="single" w:sz="12" w:space="0" w:color="auto"/>
              <w:left w:val="nil"/>
              <w:bottom w:val="nil"/>
              <w:right w:val="nil"/>
            </w:tcBorders>
            <w:shd w:val="clear" w:color="auto" w:fill="FFFFFF" w:themeFill="background1"/>
            <w:noWrap/>
            <w:vAlign w:val="center"/>
          </w:tcPr>
          <w:p w14:paraId="06FBB07A" w14:textId="77777777" w:rsidR="00AA068C" w:rsidRPr="00BA06B6" w:rsidRDefault="00AA068C" w:rsidP="00BC341D">
            <w:pPr>
              <w:tabs>
                <w:tab w:val="left" w:pos="851"/>
              </w:tabs>
              <w:jc w:val="both"/>
              <w:rPr>
                <w:sz w:val="2"/>
                <w:szCs w:val="2"/>
                <w:lang w:eastAsia="zh-CN"/>
              </w:rPr>
            </w:pPr>
          </w:p>
        </w:tc>
        <w:tc>
          <w:tcPr>
            <w:tcW w:w="657" w:type="dxa"/>
            <w:tcBorders>
              <w:top w:val="single" w:sz="12" w:space="0" w:color="auto"/>
              <w:left w:val="nil"/>
              <w:bottom w:val="nil"/>
              <w:right w:val="nil"/>
            </w:tcBorders>
            <w:shd w:val="clear" w:color="auto" w:fill="FFFFFF" w:themeFill="background1"/>
            <w:noWrap/>
            <w:vAlign w:val="center"/>
          </w:tcPr>
          <w:p w14:paraId="00ADFA43" w14:textId="77777777" w:rsidR="00AA068C" w:rsidRPr="00BA06B6" w:rsidRDefault="00AA068C" w:rsidP="00BC341D">
            <w:pPr>
              <w:tabs>
                <w:tab w:val="left" w:pos="851"/>
              </w:tabs>
              <w:jc w:val="both"/>
              <w:rPr>
                <w:sz w:val="2"/>
                <w:szCs w:val="2"/>
                <w:lang w:eastAsia="zh-CN"/>
              </w:rPr>
            </w:pPr>
          </w:p>
        </w:tc>
        <w:tc>
          <w:tcPr>
            <w:tcW w:w="657" w:type="dxa"/>
            <w:tcBorders>
              <w:top w:val="single" w:sz="12" w:space="0" w:color="auto"/>
              <w:left w:val="nil"/>
              <w:bottom w:val="nil"/>
              <w:right w:val="nil"/>
            </w:tcBorders>
            <w:shd w:val="clear" w:color="auto" w:fill="FFFFFF" w:themeFill="background1"/>
            <w:noWrap/>
            <w:vAlign w:val="center"/>
          </w:tcPr>
          <w:p w14:paraId="2D6689D3" w14:textId="77777777" w:rsidR="00AA068C" w:rsidRPr="00BA06B6" w:rsidRDefault="00AA068C" w:rsidP="00BC341D">
            <w:pPr>
              <w:tabs>
                <w:tab w:val="left" w:pos="851"/>
              </w:tabs>
              <w:jc w:val="both"/>
              <w:rPr>
                <w:sz w:val="2"/>
                <w:szCs w:val="2"/>
                <w:lang w:eastAsia="zh-CN"/>
              </w:rPr>
            </w:pPr>
          </w:p>
        </w:tc>
        <w:tc>
          <w:tcPr>
            <w:tcW w:w="657" w:type="dxa"/>
            <w:tcBorders>
              <w:top w:val="single" w:sz="12" w:space="0" w:color="auto"/>
              <w:left w:val="nil"/>
              <w:bottom w:val="nil"/>
              <w:right w:val="nil"/>
            </w:tcBorders>
            <w:shd w:val="clear" w:color="auto" w:fill="FFFFFF" w:themeFill="background1"/>
            <w:noWrap/>
            <w:vAlign w:val="center"/>
          </w:tcPr>
          <w:p w14:paraId="51C220F2" w14:textId="77777777" w:rsidR="00AA068C" w:rsidRPr="00BA06B6" w:rsidRDefault="00AA068C" w:rsidP="00BC341D">
            <w:pPr>
              <w:tabs>
                <w:tab w:val="left" w:pos="851"/>
              </w:tabs>
              <w:jc w:val="both"/>
              <w:rPr>
                <w:sz w:val="2"/>
                <w:szCs w:val="2"/>
                <w:lang w:eastAsia="zh-CN"/>
              </w:rPr>
            </w:pPr>
          </w:p>
        </w:tc>
        <w:tc>
          <w:tcPr>
            <w:tcW w:w="611" w:type="dxa"/>
            <w:gridSpan w:val="2"/>
            <w:tcBorders>
              <w:top w:val="single" w:sz="12" w:space="0" w:color="auto"/>
              <w:left w:val="nil"/>
              <w:bottom w:val="nil"/>
              <w:right w:val="nil"/>
            </w:tcBorders>
            <w:shd w:val="clear" w:color="auto" w:fill="FFFFFF" w:themeFill="background1"/>
            <w:noWrap/>
            <w:vAlign w:val="center"/>
          </w:tcPr>
          <w:p w14:paraId="1F76B939" w14:textId="77777777" w:rsidR="00AA068C" w:rsidRPr="00BA06B6" w:rsidRDefault="00AA068C" w:rsidP="00BC341D">
            <w:pPr>
              <w:tabs>
                <w:tab w:val="left" w:pos="851"/>
              </w:tabs>
              <w:jc w:val="both"/>
              <w:rPr>
                <w:sz w:val="2"/>
                <w:szCs w:val="2"/>
                <w:lang w:eastAsia="zh-CN"/>
              </w:rPr>
            </w:pPr>
          </w:p>
        </w:tc>
      </w:tr>
      <w:tr w:rsidR="00BA06B6" w:rsidRPr="00BA06B6" w14:paraId="2D4BFB2A" w14:textId="77777777" w:rsidTr="004137CB">
        <w:trPr>
          <w:trHeight w:val="288"/>
          <w:jc w:val="center"/>
        </w:trPr>
        <w:tc>
          <w:tcPr>
            <w:tcW w:w="880" w:type="dxa"/>
            <w:tcBorders>
              <w:top w:val="nil"/>
              <w:left w:val="nil"/>
              <w:bottom w:val="single" w:sz="12" w:space="0" w:color="auto"/>
              <w:right w:val="nil"/>
            </w:tcBorders>
            <w:shd w:val="clear" w:color="auto" w:fill="FFFFFF" w:themeFill="background1"/>
            <w:noWrap/>
            <w:vAlign w:val="center"/>
            <w:hideMark/>
          </w:tcPr>
          <w:p w14:paraId="7C836FF5" w14:textId="77777777" w:rsidR="00AA068C" w:rsidRPr="00BA06B6" w:rsidRDefault="00AA068C" w:rsidP="00BC341D">
            <w:pPr>
              <w:tabs>
                <w:tab w:val="left" w:pos="851"/>
              </w:tabs>
              <w:jc w:val="both"/>
              <w:rPr>
                <w:b/>
                <w:bCs/>
                <w:lang w:eastAsia="zh-CN"/>
              </w:rPr>
            </w:pPr>
            <w:r w:rsidRPr="00BA06B6">
              <w:rPr>
                <w:b/>
                <w:bCs/>
                <w:lang w:eastAsia="zh-CN"/>
              </w:rPr>
              <w:t>Variables</w:t>
            </w:r>
          </w:p>
        </w:tc>
        <w:tc>
          <w:tcPr>
            <w:tcW w:w="613" w:type="dxa"/>
            <w:tcBorders>
              <w:top w:val="nil"/>
              <w:left w:val="nil"/>
              <w:bottom w:val="single" w:sz="12" w:space="0" w:color="auto"/>
              <w:right w:val="nil"/>
            </w:tcBorders>
            <w:shd w:val="clear" w:color="auto" w:fill="FFFFFF" w:themeFill="background1"/>
            <w:noWrap/>
            <w:vAlign w:val="center"/>
            <w:hideMark/>
          </w:tcPr>
          <w:p w14:paraId="596AF90C" w14:textId="77777777" w:rsidR="00AA068C" w:rsidRPr="00BA06B6" w:rsidRDefault="00AA068C" w:rsidP="00BC341D">
            <w:pPr>
              <w:tabs>
                <w:tab w:val="left" w:pos="851"/>
              </w:tabs>
              <w:jc w:val="both"/>
              <w:rPr>
                <w:b/>
                <w:bCs/>
                <w:lang w:eastAsia="zh-CN"/>
              </w:rPr>
            </w:pPr>
            <w:r w:rsidRPr="00BA06B6">
              <w:rPr>
                <w:b/>
                <w:bCs/>
                <w:lang w:eastAsia="zh-CN"/>
              </w:rPr>
              <w:t>RATE</w:t>
            </w:r>
          </w:p>
        </w:tc>
        <w:tc>
          <w:tcPr>
            <w:tcW w:w="609" w:type="dxa"/>
            <w:tcBorders>
              <w:top w:val="nil"/>
              <w:left w:val="nil"/>
              <w:bottom w:val="single" w:sz="12" w:space="0" w:color="auto"/>
              <w:right w:val="nil"/>
            </w:tcBorders>
            <w:shd w:val="clear" w:color="auto" w:fill="FFFFFF" w:themeFill="background1"/>
            <w:noWrap/>
            <w:vAlign w:val="center"/>
            <w:hideMark/>
          </w:tcPr>
          <w:p w14:paraId="77E122B0" w14:textId="77777777" w:rsidR="00AA068C" w:rsidRPr="00BA06B6" w:rsidRDefault="00AA068C" w:rsidP="00BC341D">
            <w:pPr>
              <w:tabs>
                <w:tab w:val="left" w:pos="851"/>
              </w:tabs>
              <w:jc w:val="both"/>
              <w:rPr>
                <w:b/>
                <w:bCs/>
                <w:lang w:eastAsia="zh-CN"/>
              </w:rPr>
            </w:pPr>
            <w:r w:rsidRPr="00BA06B6">
              <w:rPr>
                <w:b/>
                <w:bCs/>
                <w:lang w:eastAsia="zh-CN"/>
              </w:rPr>
              <w:t>RDI</w:t>
            </w:r>
          </w:p>
        </w:tc>
        <w:tc>
          <w:tcPr>
            <w:tcW w:w="657" w:type="dxa"/>
            <w:tcBorders>
              <w:top w:val="nil"/>
              <w:left w:val="nil"/>
              <w:bottom w:val="single" w:sz="12" w:space="0" w:color="auto"/>
              <w:right w:val="nil"/>
            </w:tcBorders>
            <w:shd w:val="clear" w:color="auto" w:fill="FFFFFF" w:themeFill="background1"/>
            <w:noWrap/>
            <w:vAlign w:val="center"/>
            <w:hideMark/>
          </w:tcPr>
          <w:p w14:paraId="12FCB845" w14:textId="77777777" w:rsidR="00AA068C" w:rsidRPr="00BA06B6" w:rsidRDefault="00AA068C" w:rsidP="00BC341D">
            <w:pPr>
              <w:tabs>
                <w:tab w:val="left" w:pos="851"/>
              </w:tabs>
              <w:jc w:val="both"/>
              <w:rPr>
                <w:b/>
                <w:bCs/>
                <w:lang w:eastAsia="zh-CN"/>
              </w:rPr>
            </w:pPr>
            <w:r w:rsidRPr="00BA06B6">
              <w:rPr>
                <w:b/>
                <w:bCs/>
                <w:lang w:eastAsia="zh-CN"/>
              </w:rPr>
              <w:t>LNTA</w:t>
            </w:r>
          </w:p>
        </w:tc>
        <w:tc>
          <w:tcPr>
            <w:tcW w:w="657" w:type="dxa"/>
            <w:tcBorders>
              <w:top w:val="nil"/>
              <w:left w:val="nil"/>
              <w:bottom w:val="single" w:sz="12" w:space="0" w:color="auto"/>
              <w:right w:val="nil"/>
            </w:tcBorders>
            <w:shd w:val="clear" w:color="auto" w:fill="FFFFFF" w:themeFill="background1"/>
            <w:noWrap/>
            <w:vAlign w:val="center"/>
            <w:hideMark/>
          </w:tcPr>
          <w:p w14:paraId="0435EC23" w14:textId="77777777" w:rsidR="00AA068C" w:rsidRPr="00BA06B6" w:rsidRDefault="00AA068C" w:rsidP="00BC341D">
            <w:pPr>
              <w:tabs>
                <w:tab w:val="left" w:pos="851"/>
              </w:tabs>
              <w:jc w:val="both"/>
              <w:rPr>
                <w:b/>
                <w:bCs/>
                <w:lang w:eastAsia="zh-CN"/>
              </w:rPr>
            </w:pPr>
            <w:r w:rsidRPr="00BA06B6">
              <w:rPr>
                <w:b/>
                <w:bCs/>
                <w:lang w:eastAsia="zh-CN"/>
              </w:rPr>
              <w:t>ROAA</w:t>
            </w:r>
          </w:p>
        </w:tc>
        <w:tc>
          <w:tcPr>
            <w:tcW w:w="657" w:type="dxa"/>
            <w:tcBorders>
              <w:top w:val="nil"/>
              <w:left w:val="nil"/>
              <w:bottom w:val="single" w:sz="12" w:space="0" w:color="auto"/>
              <w:right w:val="nil"/>
            </w:tcBorders>
            <w:shd w:val="clear" w:color="auto" w:fill="FFFFFF" w:themeFill="background1"/>
            <w:noWrap/>
            <w:vAlign w:val="center"/>
            <w:hideMark/>
          </w:tcPr>
          <w:p w14:paraId="23B0AF9E" w14:textId="77777777" w:rsidR="00AA068C" w:rsidRPr="00BA06B6" w:rsidRDefault="00AA068C" w:rsidP="00BC341D">
            <w:pPr>
              <w:tabs>
                <w:tab w:val="left" w:pos="851"/>
              </w:tabs>
              <w:jc w:val="both"/>
              <w:rPr>
                <w:b/>
                <w:bCs/>
                <w:lang w:eastAsia="zh-CN"/>
              </w:rPr>
            </w:pPr>
            <w:r w:rsidRPr="00BA06B6">
              <w:rPr>
                <w:b/>
                <w:bCs/>
                <w:lang w:eastAsia="zh-CN"/>
              </w:rPr>
              <w:t>INCD</w:t>
            </w:r>
          </w:p>
        </w:tc>
        <w:tc>
          <w:tcPr>
            <w:tcW w:w="657" w:type="dxa"/>
            <w:tcBorders>
              <w:top w:val="nil"/>
              <w:left w:val="nil"/>
              <w:bottom w:val="single" w:sz="12" w:space="0" w:color="auto"/>
              <w:right w:val="nil"/>
            </w:tcBorders>
            <w:shd w:val="clear" w:color="auto" w:fill="FFFFFF" w:themeFill="background1"/>
            <w:noWrap/>
            <w:vAlign w:val="center"/>
            <w:hideMark/>
          </w:tcPr>
          <w:p w14:paraId="4C4DFD04" w14:textId="77777777" w:rsidR="00AA068C" w:rsidRPr="00BA06B6" w:rsidRDefault="00AA068C" w:rsidP="00BC341D">
            <w:pPr>
              <w:tabs>
                <w:tab w:val="left" w:pos="851"/>
              </w:tabs>
              <w:jc w:val="both"/>
              <w:rPr>
                <w:b/>
                <w:bCs/>
                <w:lang w:eastAsia="zh-CN"/>
              </w:rPr>
            </w:pPr>
            <w:r w:rsidRPr="00BA06B6">
              <w:rPr>
                <w:b/>
                <w:bCs/>
                <w:lang w:eastAsia="zh-CN"/>
              </w:rPr>
              <w:t xml:space="preserve">  LIQ</w:t>
            </w:r>
          </w:p>
        </w:tc>
        <w:tc>
          <w:tcPr>
            <w:tcW w:w="657" w:type="dxa"/>
            <w:tcBorders>
              <w:top w:val="nil"/>
              <w:left w:val="nil"/>
              <w:bottom w:val="single" w:sz="12" w:space="0" w:color="auto"/>
              <w:right w:val="nil"/>
            </w:tcBorders>
            <w:shd w:val="clear" w:color="auto" w:fill="FFFFFF" w:themeFill="background1"/>
            <w:noWrap/>
            <w:vAlign w:val="center"/>
            <w:hideMark/>
          </w:tcPr>
          <w:p w14:paraId="66F05A44" w14:textId="77777777" w:rsidR="00AA068C" w:rsidRPr="00BA06B6" w:rsidRDefault="00AA068C" w:rsidP="00BC341D">
            <w:pPr>
              <w:tabs>
                <w:tab w:val="left" w:pos="851"/>
              </w:tabs>
              <w:jc w:val="both"/>
              <w:rPr>
                <w:b/>
                <w:bCs/>
                <w:lang w:eastAsia="zh-CN"/>
              </w:rPr>
            </w:pPr>
            <w:r w:rsidRPr="00BA06B6">
              <w:rPr>
                <w:b/>
                <w:bCs/>
                <w:lang w:eastAsia="zh-CN"/>
              </w:rPr>
              <w:t>COST</w:t>
            </w:r>
          </w:p>
        </w:tc>
        <w:tc>
          <w:tcPr>
            <w:tcW w:w="657" w:type="dxa"/>
            <w:tcBorders>
              <w:top w:val="nil"/>
              <w:left w:val="nil"/>
              <w:bottom w:val="single" w:sz="12" w:space="0" w:color="auto"/>
              <w:right w:val="nil"/>
            </w:tcBorders>
            <w:shd w:val="clear" w:color="auto" w:fill="FFFFFF" w:themeFill="background1"/>
            <w:noWrap/>
            <w:vAlign w:val="center"/>
            <w:hideMark/>
          </w:tcPr>
          <w:p w14:paraId="2DC3DE69" w14:textId="77777777" w:rsidR="00AA068C" w:rsidRPr="00BA06B6" w:rsidRDefault="00AA068C" w:rsidP="00BC341D">
            <w:pPr>
              <w:tabs>
                <w:tab w:val="left" w:pos="851"/>
              </w:tabs>
              <w:jc w:val="both"/>
              <w:rPr>
                <w:b/>
                <w:bCs/>
                <w:lang w:eastAsia="zh-CN"/>
              </w:rPr>
            </w:pPr>
            <w:r w:rsidRPr="00BA06B6">
              <w:rPr>
                <w:b/>
                <w:bCs/>
                <w:lang w:eastAsia="zh-CN"/>
              </w:rPr>
              <w:t>CAP</w:t>
            </w:r>
          </w:p>
        </w:tc>
        <w:tc>
          <w:tcPr>
            <w:tcW w:w="704" w:type="dxa"/>
            <w:tcBorders>
              <w:top w:val="nil"/>
              <w:left w:val="nil"/>
              <w:bottom w:val="single" w:sz="12" w:space="0" w:color="auto"/>
              <w:right w:val="nil"/>
            </w:tcBorders>
            <w:shd w:val="clear" w:color="auto" w:fill="FFFFFF" w:themeFill="background1"/>
            <w:noWrap/>
            <w:vAlign w:val="center"/>
            <w:hideMark/>
          </w:tcPr>
          <w:p w14:paraId="4E3837B6" w14:textId="77777777" w:rsidR="00AA068C" w:rsidRPr="00BA06B6" w:rsidRDefault="00AA068C" w:rsidP="00BC341D">
            <w:pPr>
              <w:tabs>
                <w:tab w:val="left" w:pos="851"/>
              </w:tabs>
              <w:jc w:val="both"/>
              <w:rPr>
                <w:b/>
                <w:bCs/>
                <w:lang w:eastAsia="zh-CN"/>
              </w:rPr>
            </w:pPr>
            <w:r w:rsidRPr="00BA06B6">
              <w:rPr>
                <w:b/>
                <w:bCs/>
                <w:lang w:eastAsia="zh-CN"/>
              </w:rPr>
              <w:t>BOWN</w:t>
            </w:r>
          </w:p>
        </w:tc>
        <w:tc>
          <w:tcPr>
            <w:tcW w:w="704" w:type="dxa"/>
            <w:tcBorders>
              <w:top w:val="nil"/>
              <w:left w:val="nil"/>
              <w:bottom w:val="single" w:sz="12" w:space="0" w:color="auto"/>
              <w:right w:val="nil"/>
            </w:tcBorders>
            <w:shd w:val="clear" w:color="auto" w:fill="FFFFFF" w:themeFill="background1"/>
            <w:noWrap/>
            <w:vAlign w:val="center"/>
            <w:hideMark/>
          </w:tcPr>
          <w:p w14:paraId="5DBE2B97" w14:textId="77777777" w:rsidR="00AA068C" w:rsidRPr="00BA06B6" w:rsidRDefault="00AA068C" w:rsidP="00BC341D">
            <w:pPr>
              <w:tabs>
                <w:tab w:val="left" w:pos="851"/>
              </w:tabs>
              <w:jc w:val="both"/>
              <w:rPr>
                <w:b/>
                <w:bCs/>
                <w:lang w:eastAsia="zh-CN"/>
              </w:rPr>
            </w:pPr>
            <w:r w:rsidRPr="00BA06B6">
              <w:rPr>
                <w:b/>
                <w:bCs/>
                <w:lang w:eastAsia="zh-CN"/>
              </w:rPr>
              <w:t>GOWN</w:t>
            </w:r>
          </w:p>
        </w:tc>
        <w:tc>
          <w:tcPr>
            <w:tcW w:w="657" w:type="dxa"/>
            <w:tcBorders>
              <w:top w:val="nil"/>
              <w:left w:val="nil"/>
              <w:bottom w:val="single" w:sz="12" w:space="0" w:color="auto"/>
              <w:right w:val="nil"/>
            </w:tcBorders>
            <w:shd w:val="clear" w:color="auto" w:fill="FFFFFF" w:themeFill="background1"/>
            <w:noWrap/>
            <w:vAlign w:val="center"/>
            <w:hideMark/>
          </w:tcPr>
          <w:p w14:paraId="639B1DF7" w14:textId="77777777" w:rsidR="00AA068C" w:rsidRPr="00BA06B6" w:rsidRDefault="00AA068C" w:rsidP="00BC341D">
            <w:pPr>
              <w:tabs>
                <w:tab w:val="left" w:pos="851"/>
              </w:tabs>
              <w:jc w:val="both"/>
              <w:rPr>
                <w:b/>
                <w:bCs/>
                <w:lang w:eastAsia="zh-CN"/>
              </w:rPr>
            </w:pPr>
            <w:r w:rsidRPr="00BA06B6">
              <w:rPr>
                <w:b/>
                <w:bCs/>
                <w:lang w:eastAsia="zh-CN"/>
              </w:rPr>
              <w:t>FOWN</w:t>
            </w:r>
          </w:p>
        </w:tc>
        <w:tc>
          <w:tcPr>
            <w:tcW w:w="657" w:type="dxa"/>
            <w:tcBorders>
              <w:top w:val="nil"/>
              <w:left w:val="nil"/>
              <w:bottom w:val="single" w:sz="12" w:space="0" w:color="auto"/>
              <w:right w:val="nil"/>
            </w:tcBorders>
            <w:shd w:val="clear" w:color="auto" w:fill="FFFFFF" w:themeFill="background1"/>
            <w:noWrap/>
            <w:vAlign w:val="center"/>
            <w:hideMark/>
          </w:tcPr>
          <w:p w14:paraId="50D96BF7" w14:textId="77777777" w:rsidR="00AA068C" w:rsidRPr="00BA06B6" w:rsidRDefault="00AA068C" w:rsidP="00BC341D">
            <w:pPr>
              <w:tabs>
                <w:tab w:val="left" w:pos="851"/>
              </w:tabs>
              <w:jc w:val="both"/>
              <w:rPr>
                <w:b/>
                <w:bCs/>
                <w:lang w:eastAsia="zh-CN"/>
              </w:rPr>
            </w:pPr>
            <w:r w:rsidRPr="00BA06B6">
              <w:rPr>
                <w:b/>
                <w:bCs/>
                <w:lang w:eastAsia="zh-CN"/>
              </w:rPr>
              <w:t xml:space="preserve"> BS</w:t>
            </w:r>
          </w:p>
        </w:tc>
        <w:tc>
          <w:tcPr>
            <w:tcW w:w="657" w:type="dxa"/>
            <w:tcBorders>
              <w:top w:val="nil"/>
              <w:left w:val="nil"/>
              <w:bottom w:val="single" w:sz="12" w:space="0" w:color="auto"/>
              <w:right w:val="nil"/>
            </w:tcBorders>
            <w:shd w:val="clear" w:color="auto" w:fill="FFFFFF" w:themeFill="background1"/>
            <w:noWrap/>
            <w:vAlign w:val="center"/>
            <w:hideMark/>
          </w:tcPr>
          <w:p w14:paraId="400FB766" w14:textId="77777777" w:rsidR="00AA068C" w:rsidRPr="00BA06B6" w:rsidRDefault="00AA068C" w:rsidP="00BC341D">
            <w:pPr>
              <w:tabs>
                <w:tab w:val="left" w:pos="851"/>
              </w:tabs>
              <w:jc w:val="both"/>
              <w:rPr>
                <w:b/>
                <w:bCs/>
                <w:lang w:eastAsia="zh-CN"/>
              </w:rPr>
            </w:pPr>
            <w:r w:rsidRPr="00BA06B6">
              <w:rPr>
                <w:b/>
                <w:bCs/>
                <w:lang w:eastAsia="zh-CN"/>
              </w:rPr>
              <w:t>DUAL</w:t>
            </w:r>
          </w:p>
        </w:tc>
        <w:tc>
          <w:tcPr>
            <w:tcW w:w="657" w:type="dxa"/>
            <w:tcBorders>
              <w:top w:val="nil"/>
              <w:left w:val="nil"/>
              <w:bottom w:val="single" w:sz="12" w:space="0" w:color="auto"/>
              <w:right w:val="nil"/>
            </w:tcBorders>
            <w:shd w:val="clear" w:color="auto" w:fill="FFFFFF" w:themeFill="background1"/>
            <w:noWrap/>
            <w:vAlign w:val="center"/>
            <w:hideMark/>
          </w:tcPr>
          <w:p w14:paraId="35FBA7A3" w14:textId="77777777" w:rsidR="00AA068C" w:rsidRPr="00BA06B6" w:rsidRDefault="00AA068C" w:rsidP="00BC341D">
            <w:pPr>
              <w:tabs>
                <w:tab w:val="left" w:pos="851"/>
              </w:tabs>
              <w:jc w:val="both"/>
              <w:rPr>
                <w:b/>
                <w:bCs/>
                <w:lang w:eastAsia="zh-CN"/>
              </w:rPr>
            </w:pPr>
            <w:r w:rsidRPr="00BA06B6">
              <w:rPr>
                <w:b/>
                <w:bCs/>
                <w:lang w:eastAsia="zh-CN"/>
              </w:rPr>
              <w:t>GDB</w:t>
            </w:r>
          </w:p>
        </w:tc>
        <w:tc>
          <w:tcPr>
            <w:tcW w:w="657" w:type="dxa"/>
            <w:tcBorders>
              <w:top w:val="nil"/>
              <w:left w:val="nil"/>
              <w:bottom w:val="single" w:sz="12" w:space="0" w:color="auto"/>
              <w:right w:val="nil"/>
            </w:tcBorders>
            <w:shd w:val="clear" w:color="auto" w:fill="FFFFFF" w:themeFill="background1"/>
            <w:noWrap/>
            <w:vAlign w:val="center"/>
            <w:hideMark/>
          </w:tcPr>
          <w:p w14:paraId="125ADB0E" w14:textId="77777777" w:rsidR="00AA068C" w:rsidRPr="00BA06B6" w:rsidRDefault="00AA068C" w:rsidP="00BC341D">
            <w:pPr>
              <w:tabs>
                <w:tab w:val="left" w:pos="851"/>
              </w:tabs>
              <w:jc w:val="both"/>
              <w:rPr>
                <w:b/>
                <w:bCs/>
                <w:lang w:eastAsia="zh-CN"/>
              </w:rPr>
            </w:pPr>
            <w:r w:rsidRPr="00BA06B6">
              <w:rPr>
                <w:b/>
                <w:bCs/>
                <w:lang w:eastAsia="zh-CN"/>
              </w:rPr>
              <w:t>BBID</w:t>
            </w:r>
          </w:p>
        </w:tc>
        <w:tc>
          <w:tcPr>
            <w:tcW w:w="657" w:type="dxa"/>
            <w:tcBorders>
              <w:top w:val="nil"/>
              <w:left w:val="nil"/>
              <w:bottom w:val="single" w:sz="12" w:space="0" w:color="auto"/>
              <w:right w:val="nil"/>
            </w:tcBorders>
            <w:shd w:val="clear" w:color="auto" w:fill="FFFFFF" w:themeFill="background1"/>
            <w:noWrap/>
            <w:vAlign w:val="center"/>
            <w:hideMark/>
          </w:tcPr>
          <w:p w14:paraId="42925C76" w14:textId="77777777" w:rsidR="00AA068C" w:rsidRPr="00BA06B6" w:rsidRDefault="00AA068C" w:rsidP="00BC341D">
            <w:pPr>
              <w:tabs>
                <w:tab w:val="left" w:pos="851"/>
              </w:tabs>
              <w:jc w:val="both"/>
              <w:rPr>
                <w:b/>
                <w:bCs/>
                <w:lang w:eastAsia="zh-CN"/>
              </w:rPr>
            </w:pPr>
            <w:r w:rsidRPr="00BA06B6">
              <w:rPr>
                <w:b/>
                <w:bCs/>
                <w:lang w:eastAsia="zh-CN"/>
              </w:rPr>
              <w:t>SSB</w:t>
            </w:r>
          </w:p>
        </w:tc>
        <w:tc>
          <w:tcPr>
            <w:tcW w:w="657" w:type="dxa"/>
            <w:tcBorders>
              <w:top w:val="nil"/>
              <w:left w:val="nil"/>
              <w:bottom w:val="single" w:sz="12" w:space="0" w:color="auto"/>
              <w:right w:val="nil"/>
            </w:tcBorders>
            <w:shd w:val="clear" w:color="auto" w:fill="FFFFFF" w:themeFill="background1"/>
            <w:noWrap/>
            <w:vAlign w:val="center"/>
            <w:hideMark/>
          </w:tcPr>
          <w:p w14:paraId="03F1F370" w14:textId="77777777" w:rsidR="00AA068C" w:rsidRPr="00BA06B6" w:rsidRDefault="00AA068C" w:rsidP="00BC341D">
            <w:pPr>
              <w:tabs>
                <w:tab w:val="left" w:pos="851"/>
              </w:tabs>
              <w:jc w:val="both"/>
              <w:rPr>
                <w:b/>
                <w:bCs/>
                <w:lang w:eastAsia="zh-CN"/>
              </w:rPr>
            </w:pPr>
            <w:r w:rsidRPr="00BA06B6">
              <w:rPr>
                <w:b/>
                <w:bCs/>
                <w:lang w:eastAsia="zh-CN"/>
              </w:rPr>
              <w:t>V&amp;A</w:t>
            </w:r>
          </w:p>
        </w:tc>
        <w:tc>
          <w:tcPr>
            <w:tcW w:w="657" w:type="dxa"/>
            <w:tcBorders>
              <w:top w:val="nil"/>
              <w:left w:val="nil"/>
              <w:bottom w:val="single" w:sz="12" w:space="0" w:color="auto"/>
              <w:right w:val="nil"/>
            </w:tcBorders>
            <w:shd w:val="clear" w:color="auto" w:fill="FFFFFF" w:themeFill="background1"/>
            <w:noWrap/>
            <w:vAlign w:val="center"/>
            <w:hideMark/>
          </w:tcPr>
          <w:p w14:paraId="7414B79F" w14:textId="77777777" w:rsidR="00AA068C" w:rsidRPr="00BA06B6" w:rsidRDefault="00AA068C" w:rsidP="00BC341D">
            <w:pPr>
              <w:tabs>
                <w:tab w:val="left" w:pos="851"/>
              </w:tabs>
              <w:jc w:val="both"/>
              <w:rPr>
                <w:b/>
                <w:bCs/>
                <w:lang w:eastAsia="zh-CN"/>
              </w:rPr>
            </w:pPr>
            <w:r w:rsidRPr="00BA06B6">
              <w:rPr>
                <w:b/>
                <w:bCs/>
                <w:lang w:eastAsia="zh-CN"/>
              </w:rPr>
              <w:t xml:space="preserve"> RQ</w:t>
            </w:r>
          </w:p>
        </w:tc>
        <w:tc>
          <w:tcPr>
            <w:tcW w:w="657" w:type="dxa"/>
            <w:tcBorders>
              <w:top w:val="nil"/>
              <w:left w:val="nil"/>
              <w:bottom w:val="single" w:sz="12" w:space="0" w:color="auto"/>
              <w:right w:val="nil"/>
            </w:tcBorders>
            <w:shd w:val="clear" w:color="auto" w:fill="FFFFFF" w:themeFill="background1"/>
            <w:noWrap/>
            <w:vAlign w:val="center"/>
            <w:hideMark/>
          </w:tcPr>
          <w:p w14:paraId="59D547D8" w14:textId="77777777" w:rsidR="00AA068C" w:rsidRPr="00BA06B6" w:rsidRDefault="00AA068C" w:rsidP="00BC341D">
            <w:pPr>
              <w:tabs>
                <w:tab w:val="left" w:pos="851"/>
              </w:tabs>
              <w:jc w:val="both"/>
              <w:rPr>
                <w:b/>
                <w:bCs/>
                <w:lang w:eastAsia="zh-CN"/>
              </w:rPr>
            </w:pPr>
            <w:r w:rsidRPr="00BA06B6">
              <w:rPr>
                <w:b/>
                <w:bCs/>
                <w:lang w:eastAsia="zh-CN"/>
              </w:rPr>
              <w:t xml:space="preserve"> RL</w:t>
            </w:r>
          </w:p>
        </w:tc>
        <w:tc>
          <w:tcPr>
            <w:tcW w:w="657" w:type="dxa"/>
            <w:tcBorders>
              <w:top w:val="nil"/>
              <w:left w:val="nil"/>
              <w:bottom w:val="single" w:sz="12" w:space="0" w:color="auto"/>
              <w:right w:val="nil"/>
            </w:tcBorders>
            <w:shd w:val="clear" w:color="auto" w:fill="FFFFFF" w:themeFill="background1"/>
            <w:noWrap/>
            <w:vAlign w:val="center"/>
            <w:hideMark/>
          </w:tcPr>
          <w:p w14:paraId="663217B0" w14:textId="77777777" w:rsidR="00AA068C" w:rsidRPr="00BA06B6" w:rsidRDefault="00AA068C" w:rsidP="00BC341D">
            <w:pPr>
              <w:tabs>
                <w:tab w:val="left" w:pos="851"/>
              </w:tabs>
              <w:jc w:val="both"/>
              <w:rPr>
                <w:b/>
                <w:bCs/>
                <w:lang w:eastAsia="zh-CN"/>
              </w:rPr>
            </w:pPr>
            <w:r w:rsidRPr="00BA06B6">
              <w:rPr>
                <w:b/>
                <w:bCs/>
                <w:lang w:eastAsia="zh-CN"/>
              </w:rPr>
              <w:t>INFL</w:t>
            </w:r>
          </w:p>
        </w:tc>
        <w:tc>
          <w:tcPr>
            <w:tcW w:w="611" w:type="dxa"/>
            <w:gridSpan w:val="2"/>
            <w:tcBorders>
              <w:top w:val="nil"/>
              <w:left w:val="nil"/>
              <w:bottom w:val="single" w:sz="12" w:space="0" w:color="auto"/>
              <w:right w:val="nil"/>
            </w:tcBorders>
            <w:shd w:val="clear" w:color="auto" w:fill="FFFFFF" w:themeFill="background1"/>
            <w:noWrap/>
            <w:vAlign w:val="center"/>
            <w:hideMark/>
          </w:tcPr>
          <w:p w14:paraId="2AC39C32" w14:textId="77777777" w:rsidR="00AA068C" w:rsidRPr="00BA06B6" w:rsidRDefault="00AA068C" w:rsidP="00BC341D">
            <w:pPr>
              <w:tabs>
                <w:tab w:val="left" w:pos="851"/>
              </w:tabs>
              <w:jc w:val="both"/>
              <w:rPr>
                <w:b/>
                <w:bCs/>
                <w:lang w:eastAsia="zh-CN"/>
              </w:rPr>
            </w:pPr>
            <w:r w:rsidRPr="00BA06B6">
              <w:rPr>
                <w:b/>
                <w:bCs/>
                <w:lang w:eastAsia="zh-CN"/>
              </w:rPr>
              <w:t>GDP</w:t>
            </w:r>
          </w:p>
        </w:tc>
      </w:tr>
      <w:tr w:rsidR="00BA06B6" w:rsidRPr="00BA06B6" w14:paraId="39759318" w14:textId="77777777" w:rsidTr="004137CB">
        <w:trPr>
          <w:trHeight w:val="288"/>
          <w:jc w:val="center"/>
        </w:trPr>
        <w:tc>
          <w:tcPr>
            <w:tcW w:w="880" w:type="dxa"/>
            <w:tcBorders>
              <w:top w:val="single" w:sz="12" w:space="0" w:color="auto"/>
              <w:left w:val="nil"/>
              <w:bottom w:val="nil"/>
              <w:right w:val="nil"/>
            </w:tcBorders>
            <w:shd w:val="clear" w:color="auto" w:fill="FFFFFF" w:themeFill="background1"/>
            <w:noWrap/>
            <w:vAlign w:val="center"/>
            <w:hideMark/>
          </w:tcPr>
          <w:p w14:paraId="56EF3B4B" w14:textId="77777777" w:rsidR="00AA068C" w:rsidRPr="00BA06B6" w:rsidRDefault="00AA068C" w:rsidP="00BC341D">
            <w:pPr>
              <w:tabs>
                <w:tab w:val="left" w:pos="851"/>
              </w:tabs>
              <w:jc w:val="both"/>
              <w:rPr>
                <w:lang w:eastAsia="zh-CN"/>
              </w:rPr>
            </w:pPr>
            <w:r w:rsidRPr="00BA06B6">
              <w:rPr>
                <w:lang w:eastAsia="zh-CN"/>
              </w:rPr>
              <w:t>RATE</w:t>
            </w:r>
          </w:p>
        </w:tc>
        <w:tc>
          <w:tcPr>
            <w:tcW w:w="613" w:type="dxa"/>
            <w:tcBorders>
              <w:top w:val="single" w:sz="12" w:space="0" w:color="auto"/>
              <w:left w:val="nil"/>
              <w:bottom w:val="nil"/>
              <w:right w:val="nil"/>
            </w:tcBorders>
            <w:shd w:val="clear" w:color="auto" w:fill="FFFFFF" w:themeFill="background1"/>
            <w:noWrap/>
            <w:vAlign w:val="center"/>
          </w:tcPr>
          <w:p w14:paraId="32C29F90" w14:textId="77777777" w:rsidR="00AA068C" w:rsidRPr="00BA06B6" w:rsidRDefault="00AA068C" w:rsidP="00BC341D">
            <w:pPr>
              <w:tabs>
                <w:tab w:val="left" w:pos="851"/>
              </w:tabs>
              <w:jc w:val="both"/>
              <w:rPr>
                <w:lang w:eastAsia="zh-CN"/>
              </w:rPr>
            </w:pPr>
          </w:p>
        </w:tc>
        <w:tc>
          <w:tcPr>
            <w:tcW w:w="609" w:type="dxa"/>
            <w:tcBorders>
              <w:top w:val="single" w:sz="12" w:space="0" w:color="auto"/>
              <w:left w:val="nil"/>
              <w:bottom w:val="nil"/>
              <w:right w:val="nil"/>
            </w:tcBorders>
            <w:shd w:val="clear" w:color="auto" w:fill="FFFFFF" w:themeFill="background1"/>
            <w:noWrap/>
            <w:vAlign w:val="center"/>
            <w:hideMark/>
          </w:tcPr>
          <w:p w14:paraId="6F701FB1" w14:textId="77777777" w:rsidR="00AA068C" w:rsidRPr="00BA06B6" w:rsidRDefault="00AA068C" w:rsidP="00BC341D">
            <w:pPr>
              <w:tabs>
                <w:tab w:val="left" w:pos="851"/>
              </w:tabs>
              <w:jc w:val="both"/>
              <w:rPr>
                <w:lang w:eastAsia="zh-CN"/>
              </w:rPr>
            </w:pPr>
            <w:r w:rsidRPr="00BA06B6">
              <w:rPr>
                <w:lang w:eastAsia="zh-CN"/>
              </w:rPr>
              <w:t xml:space="preserve"> 0.29</w:t>
            </w:r>
            <w:r w:rsidRPr="00BA06B6">
              <w:rPr>
                <w:vertAlign w:val="superscript"/>
                <w:lang w:eastAsia="zh-CN"/>
              </w:rPr>
              <w:t>**</w:t>
            </w:r>
          </w:p>
        </w:tc>
        <w:tc>
          <w:tcPr>
            <w:tcW w:w="657" w:type="dxa"/>
            <w:tcBorders>
              <w:top w:val="single" w:sz="12" w:space="0" w:color="auto"/>
              <w:left w:val="nil"/>
              <w:bottom w:val="nil"/>
              <w:right w:val="nil"/>
            </w:tcBorders>
            <w:shd w:val="clear" w:color="auto" w:fill="FFFFFF" w:themeFill="background1"/>
            <w:noWrap/>
            <w:vAlign w:val="center"/>
            <w:hideMark/>
          </w:tcPr>
          <w:p w14:paraId="3B7CB4F9" w14:textId="77777777" w:rsidR="00AA068C" w:rsidRPr="00BA06B6" w:rsidRDefault="00AA068C" w:rsidP="00BC341D">
            <w:pPr>
              <w:tabs>
                <w:tab w:val="left" w:pos="851"/>
              </w:tabs>
              <w:jc w:val="both"/>
              <w:rPr>
                <w:lang w:eastAsia="zh-CN"/>
              </w:rPr>
            </w:pPr>
            <w:r w:rsidRPr="00BA06B6">
              <w:rPr>
                <w:lang w:eastAsia="zh-CN"/>
              </w:rPr>
              <w:t xml:space="preserve"> 0.48</w:t>
            </w:r>
            <w:r w:rsidRPr="00BA06B6">
              <w:rPr>
                <w:vertAlign w:val="superscript"/>
                <w:lang w:eastAsia="zh-CN"/>
              </w:rPr>
              <w:t>**</w:t>
            </w:r>
          </w:p>
        </w:tc>
        <w:tc>
          <w:tcPr>
            <w:tcW w:w="657" w:type="dxa"/>
            <w:tcBorders>
              <w:top w:val="single" w:sz="12" w:space="0" w:color="auto"/>
              <w:left w:val="nil"/>
              <w:bottom w:val="nil"/>
              <w:right w:val="nil"/>
            </w:tcBorders>
            <w:shd w:val="clear" w:color="auto" w:fill="FFFFFF" w:themeFill="background1"/>
            <w:noWrap/>
            <w:vAlign w:val="center"/>
            <w:hideMark/>
          </w:tcPr>
          <w:p w14:paraId="3A378F0C" w14:textId="77777777" w:rsidR="00AA068C" w:rsidRPr="00BA06B6" w:rsidRDefault="00AA068C" w:rsidP="00BC341D">
            <w:pPr>
              <w:tabs>
                <w:tab w:val="left" w:pos="851"/>
              </w:tabs>
              <w:jc w:val="both"/>
              <w:rPr>
                <w:lang w:eastAsia="zh-CN"/>
              </w:rPr>
            </w:pPr>
            <w:r w:rsidRPr="00BA06B6">
              <w:rPr>
                <w:lang w:eastAsia="zh-CN"/>
              </w:rPr>
              <w:t xml:space="preserve"> 0.21</w:t>
            </w:r>
            <w:r w:rsidRPr="00BA06B6">
              <w:rPr>
                <w:vertAlign w:val="superscript"/>
                <w:lang w:eastAsia="zh-CN"/>
              </w:rPr>
              <w:t>**</w:t>
            </w:r>
          </w:p>
        </w:tc>
        <w:tc>
          <w:tcPr>
            <w:tcW w:w="657" w:type="dxa"/>
            <w:tcBorders>
              <w:top w:val="single" w:sz="12" w:space="0" w:color="auto"/>
              <w:left w:val="nil"/>
              <w:bottom w:val="nil"/>
              <w:right w:val="nil"/>
            </w:tcBorders>
            <w:shd w:val="clear" w:color="auto" w:fill="FFFFFF" w:themeFill="background1"/>
            <w:noWrap/>
            <w:vAlign w:val="center"/>
            <w:hideMark/>
          </w:tcPr>
          <w:p w14:paraId="007789FE" w14:textId="77777777" w:rsidR="00AA068C" w:rsidRPr="00BA06B6" w:rsidRDefault="00AA068C" w:rsidP="00BC341D">
            <w:pPr>
              <w:tabs>
                <w:tab w:val="left" w:pos="851"/>
              </w:tabs>
              <w:jc w:val="both"/>
              <w:rPr>
                <w:lang w:eastAsia="zh-CN"/>
              </w:rPr>
            </w:pPr>
            <w:r w:rsidRPr="00BA06B6">
              <w:rPr>
                <w:lang w:eastAsia="zh-CN"/>
              </w:rPr>
              <w:t>-0.02</w:t>
            </w:r>
          </w:p>
        </w:tc>
        <w:tc>
          <w:tcPr>
            <w:tcW w:w="657" w:type="dxa"/>
            <w:tcBorders>
              <w:top w:val="single" w:sz="12" w:space="0" w:color="auto"/>
              <w:left w:val="nil"/>
              <w:bottom w:val="nil"/>
              <w:right w:val="nil"/>
            </w:tcBorders>
            <w:shd w:val="clear" w:color="auto" w:fill="FFFFFF" w:themeFill="background1"/>
            <w:noWrap/>
            <w:vAlign w:val="center"/>
            <w:hideMark/>
          </w:tcPr>
          <w:p w14:paraId="04F58575" w14:textId="77777777" w:rsidR="00AA068C" w:rsidRPr="00BA06B6" w:rsidRDefault="00AA068C" w:rsidP="00BC341D">
            <w:pPr>
              <w:tabs>
                <w:tab w:val="left" w:pos="851"/>
              </w:tabs>
              <w:jc w:val="both"/>
              <w:rPr>
                <w:lang w:eastAsia="zh-CN"/>
              </w:rPr>
            </w:pPr>
            <w:r w:rsidRPr="00BA06B6">
              <w:rPr>
                <w:lang w:eastAsia="zh-CN"/>
              </w:rPr>
              <w:t xml:space="preserve"> 0.02</w:t>
            </w:r>
          </w:p>
        </w:tc>
        <w:tc>
          <w:tcPr>
            <w:tcW w:w="657" w:type="dxa"/>
            <w:tcBorders>
              <w:top w:val="single" w:sz="12" w:space="0" w:color="auto"/>
              <w:left w:val="nil"/>
              <w:bottom w:val="nil"/>
              <w:right w:val="nil"/>
            </w:tcBorders>
            <w:shd w:val="clear" w:color="auto" w:fill="FFFFFF" w:themeFill="background1"/>
            <w:noWrap/>
            <w:vAlign w:val="center"/>
            <w:hideMark/>
          </w:tcPr>
          <w:p w14:paraId="5A0D851D" w14:textId="77777777" w:rsidR="00AA068C" w:rsidRPr="00BA06B6" w:rsidRDefault="00AA068C" w:rsidP="00BC341D">
            <w:pPr>
              <w:tabs>
                <w:tab w:val="left" w:pos="851"/>
              </w:tabs>
              <w:jc w:val="both"/>
              <w:rPr>
                <w:lang w:eastAsia="zh-CN"/>
              </w:rPr>
            </w:pPr>
            <w:r w:rsidRPr="00BA06B6">
              <w:rPr>
                <w:lang w:eastAsia="zh-CN"/>
              </w:rPr>
              <w:t>-0.30</w:t>
            </w:r>
            <w:r w:rsidRPr="00BA06B6">
              <w:rPr>
                <w:vertAlign w:val="superscript"/>
                <w:lang w:eastAsia="zh-CN"/>
              </w:rPr>
              <w:t>**</w:t>
            </w:r>
          </w:p>
        </w:tc>
        <w:tc>
          <w:tcPr>
            <w:tcW w:w="657" w:type="dxa"/>
            <w:tcBorders>
              <w:top w:val="single" w:sz="12" w:space="0" w:color="auto"/>
              <w:left w:val="nil"/>
              <w:bottom w:val="nil"/>
              <w:right w:val="nil"/>
            </w:tcBorders>
            <w:shd w:val="clear" w:color="auto" w:fill="FFFFFF" w:themeFill="background1"/>
            <w:noWrap/>
            <w:vAlign w:val="center"/>
            <w:hideMark/>
          </w:tcPr>
          <w:p w14:paraId="53B883EE" w14:textId="77777777" w:rsidR="00AA068C" w:rsidRPr="00BA06B6" w:rsidRDefault="00AA068C" w:rsidP="00BC341D">
            <w:pPr>
              <w:tabs>
                <w:tab w:val="left" w:pos="851"/>
              </w:tabs>
              <w:jc w:val="both"/>
              <w:rPr>
                <w:lang w:eastAsia="zh-CN"/>
              </w:rPr>
            </w:pPr>
            <w:r w:rsidRPr="00BA06B6">
              <w:rPr>
                <w:lang w:eastAsia="zh-CN"/>
              </w:rPr>
              <w:t>-0.05</w:t>
            </w:r>
          </w:p>
        </w:tc>
        <w:tc>
          <w:tcPr>
            <w:tcW w:w="704" w:type="dxa"/>
            <w:tcBorders>
              <w:top w:val="single" w:sz="12" w:space="0" w:color="auto"/>
              <w:left w:val="nil"/>
              <w:bottom w:val="nil"/>
              <w:right w:val="nil"/>
            </w:tcBorders>
            <w:shd w:val="clear" w:color="auto" w:fill="FFFFFF" w:themeFill="background1"/>
            <w:noWrap/>
            <w:vAlign w:val="center"/>
            <w:hideMark/>
          </w:tcPr>
          <w:p w14:paraId="68AA2C9B" w14:textId="77777777" w:rsidR="00AA068C" w:rsidRPr="00BA06B6" w:rsidRDefault="00AA068C" w:rsidP="00BC341D">
            <w:pPr>
              <w:tabs>
                <w:tab w:val="left" w:pos="851"/>
              </w:tabs>
              <w:jc w:val="both"/>
              <w:rPr>
                <w:lang w:eastAsia="zh-CN"/>
              </w:rPr>
            </w:pPr>
            <w:r w:rsidRPr="00BA06B6">
              <w:rPr>
                <w:lang w:eastAsia="zh-CN"/>
              </w:rPr>
              <w:t>-0.33</w:t>
            </w:r>
            <w:r w:rsidRPr="00BA06B6">
              <w:rPr>
                <w:vertAlign w:val="superscript"/>
                <w:lang w:eastAsia="zh-CN"/>
              </w:rPr>
              <w:t>**</w:t>
            </w:r>
          </w:p>
        </w:tc>
        <w:tc>
          <w:tcPr>
            <w:tcW w:w="704" w:type="dxa"/>
            <w:tcBorders>
              <w:top w:val="single" w:sz="12" w:space="0" w:color="auto"/>
              <w:left w:val="nil"/>
              <w:bottom w:val="nil"/>
              <w:right w:val="nil"/>
            </w:tcBorders>
            <w:shd w:val="clear" w:color="auto" w:fill="FFFFFF" w:themeFill="background1"/>
            <w:noWrap/>
            <w:vAlign w:val="center"/>
            <w:hideMark/>
          </w:tcPr>
          <w:p w14:paraId="637E2CC5" w14:textId="77777777" w:rsidR="00AA068C" w:rsidRPr="00BA06B6" w:rsidRDefault="00AA068C" w:rsidP="00BC341D">
            <w:pPr>
              <w:tabs>
                <w:tab w:val="left" w:pos="851"/>
              </w:tabs>
              <w:jc w:val="both"/>
              <w:rPr>
                <w:lang w:eastAsia="zh-CN"/>
              </w:rPr>
            </w:pPr>
            <w:r w:rsidRPr="00BA06B6">
              <w:rPr>
                <w:lang w:eastAsia="zh-CN"/>
              </w:rPr>
              <w:t xml:space="preserve"> 0.41</w:t>
            </w:r>
            <w:r w:rsidRPr="00BA06B6">
              <w:rPr>
                <w:vertAlign w:val="superscript"/>
                <w:lang w:eastAsia="zh-CN"/>
              </w:rPr>
              <w:t>**</w:t>
            </w:r>
          </w:p>
        </w:tc>
        <w:tc>
          <w:tcPr>
            <w:tcW w:w="657" w:type="dxa"/>
            <w:tcBorders>
              <w:top w:val="single" w:sz="12" w:space="0" w:color="auto"/>
              <w:left w:val="nil"/>
              <w:bottom w:val="nil"/>
              <w:right w:val="nil"/>
            </w:tcBorders>
            <w:shd w:val="clear" w:color="auto" w:fill="FFFFFF" w:themeFill="background1"/>
            <w:noWrap/>
            <w:vAlign w:val="center"/>
            <w:hideMark/>
          </w:tcPr>
          <w:p w14:paraId="7A886212" w14:textId="77777777" w:rsidR="00AA068C" w:rsidRPr="00BA06B6" w:rsidRDefault="00AA068C" w:rsidP="00BC341D">
            <w:pPr>
              <w:tabs>
                <w:tab w:val="left" w:pos="851"/>
              </w:tabs>
              <w:jc w:val="both"/>
              <w:rPr>
                <w:lang w:eastAsia="zh-CN"/>
              </w:rPr>
            </w:pPr>
            <w:r w:rsidRPr="00BA06B6">
              <w:rPr>
                <w:lang w:eastAsia="zh-CN"/>
              </w:rPr>
              <w:t>-0.55</w:t>
            </w:r>
            <w:r w:rsidRPr="00BA06B6">
              <w:rPr>
                <w:vertAlign w:val="superscript"/>
                <w:lang w:eastAsia="zh-CN"/>
              </w:rPr>
              <w:t>**</w:t>
            </w:r>
          </w:p>
        </w:tc>
        <w:tc>
          <w:tcPr>
            <w:tcW w:w="657" w:type="dxa"/>
            <w:tcBorders>
              <w:top w:val="single" w:sz="12" w:space="0" w:color="auto"/>
              <w:left w:val="nil"/>
              <w:bottom w:val="nil"/>
              <w:right w:val="nil"/>
            </w:tcBorders>
            <w:shd w:val="clear" w:color="auto" w:fill="FFFFFF" w:themeFill="background1"/>
            <w:noWrap/>
            <w:vAlign w:val="center"/>
            <w:hideMark/>
          </w:tcPr>
          <w:p w14:paraId="5D274AF1" w14:textId="77777777" w:rsidR="00AA068C" w:rsidRPr="00BA06B6" w:rsidRDefault="00AA068C" w:rsidP="00BC341D">
            <w:pPr>
              <w:tabs>
                <w:tab w:val="left" w:pos="851"/>
              </w:tabs>
              <w:jc w:val="both"/>
              <w:rPr>
                <w:lang w:eastAsia="zh-CN"/>
              </w:rPr>
            </w:pPr>
            <w:r w:rsidRPr="00BA06B6">
              <w:rPr>
                <w:lang w:eastAsia="zh-CN"/>
              </w:rPr>
              <w:t>-0.24</w:t>
            </w:r>
            <w:r w:rsidRPr="00BA06B6">
              <w:rPr>
                <w:vertAlign w:val="superscript"/>
                <w:lang w:eastAsia="zh-CN"/>
              </w:rPr>
              <w:t>**</w:t>
            </w:r>
          </w:p>
        </w:tc>
        <w:tc>
          <w:tcPr>
            <w:tcW w:w="657" w:type="dxa"/>
            <w:tcBorders>
              <w:top w:val="single" w:sz="12" w:space="0" w:color="auto"/>
              <w:left w:val="nil"/>
              <w:bottom w:val="nil"/>
              <w:right w:val="nil"/>
            </w:tcBorders>
            <w:shd w:val="clear" w:color="auto" w:fill="FFFFFF" w:themeFill="background1"/>
            <w:noWrap/>
            <w:vAlign w:val="center"/>
            <w:hideMark/>
          </w:tcPr>
          <w:p w14:paraId="4772E9E0" w14:textId="77777777" w:rsidR="00AA068C" w:rsidRPr="00BA06B6" w:rsidRDefault="00AA068C" w:rsidP="00BC341D">
            <w:pPr>
              <w:tabs>
                <w:tab w:val="left" w:pos="851"/>
              </w:tabs>
              <w:jc w:val="both"/>
              <w:rPr>
                <w:lang w:eastAsia="zh-CN"/>
              </w:rPr>
            </w:pPr>
            <w:r w:rsidRPr="00BA06B6">
              <w:rPr>
                <w:lang w:eastAsia="zh-CN"/>
              </w:rPr>
              <w:t>-0.31</w:t>
            </w:r>
            <w:r w:rsidRPr="00BA06B6">
              <w:rPr>
                <w:vertAlign w:val="superscript"/>
                <w:lang w:eastAsia="zh-CN"/>
              </w:rPr>
              <w:t>**</w:t>
            </w:r>
          </w:p>
        </w:tc>
        <w:tc>
          <w:tcPr>
            <w:tcW w:w="657" w:type="dxa"/>
            <w:tcBorders>
              <w:top w:val="single" w:sz="12" w:space="0" w:color="auto"/>
              <w:left w:val="nil"/>
              <w:bottom w:val="nil"/>
              <w:right w:val="nil"/>
            </w:tcBorders>
            <w:shd w:val="clear" w:color="auto" w:fill="FFFFFF" w:themeFill="background1"/>
            <w:noWrap/>
            <w:vAlign w:val="center"/>
            <w:hideMark/>
          </w:tcPr>
          <w:p w14:paraId="1E83068D" w14:textId="77777777" w:rsidR="00AA068C" w:rsidRPr="00BA06B6" w:rsidRDefault="00AA068C" w:rsidP="00BC341D">
            <w:pPr>
              <w:tabs>
                <w:tab w:val="left" w:pos="851"/>
              </w:tabs>
              <w:jc w:val="both"/>
              <w:rPr>
                <w:lang w:eastAsia="zh-CN"/>
              </w:rPr>
            </w:pPr>
            <w:r w:rsidRPr="00BA06B6">
              <w:rPr>
                <w:lang w:eastAsia="zh-CN"/>
              </w:rPr>
              <w:t>-0.18</w:t>
            </w:r>
            <w:r w:rsidRPr="00BA06B6">
              <w:rPr>
                <w:vertAlign w:val="superscript"/>
                <w:lang w:eastAsia="zh-CN"/>
              </w:rPr>
              <w:t>**</w:t>
            </w:r>
          </w:p>
        </w:tc>
        <w:tc>
          <w:tcPr>
            <w:tcW w:w="657" w:type="dxa"/>
            <w:tcBorders>
              <w:top w:val="single" w:sz="12" w:space="0" w:color="auto"/>
              <w:left w:val="nil"/>
              <w:bottom w:val="nil"/>
              <w:right w:val="nil"/>
            </w:tcBorders>
            <w:shd w:val="clear" w:color="auto" w:fill="FFFFFF" w:themeFill="background1"/>
            <w:noWrap/>
            <w:vAlign w:val="center"/>
            <w:hideMark/>
          </w:tcPr>
          <w:p w14:paraId="239F1056" w14:textId="77777777" w:rsidR="00AA068C" w:rsidRPr="00BA06B6" w:rsidRDefault="00AA068C" w:rsidP="00BC341D">
            <w:pPr>
              <w:tabs>
                <w:tab w:val="left" w:pos="851"/>
              </w:tabs>
              <w:jc w:val="both"/>
              <w:rPr>
                <w:lang w:eastAsia="zh-CN"/>
              </w:rPr>
            </w:pPr>
            <w:r w:rsidRPr="00BA06B6">
              <w:rPr>
                <w:lang w:eastAsia="zh-CN"/>
              </w:rPr>
              <w:t xml:space="preserve"> 0.21</w:t>
            </w:r>
            <w:r w:rsidRPr="00BA06B6">
              <w:rPr>
                <w:vertAlign w:val="superscript"/>
                <w:lang w:eastAsia="zh-CN"/>
              </w:rPr>
              <w:t>**</w:t>
            </w:r>
          </w:p>
        </w:tc>
        <w:tc>
          <w:tcPr>
            <w:tcW w:w="657" w:type="dxa"/>
            <w:tcBorders>
              <w:top w:val="single" w:sz="12" w:space="0" w:color="auto"/>
              <w:left w:val="nil"/>
              <w:bottom w:val="nil"/>
              <w:right w:val="nil"/>
            </w:tcBorders>
            <w:shd w:val="clear" w:color="auto" w:fill="FFFFFF" w:themeFill="background1"/>
            <w:noWrap/>
            <w:vAlign w:val="center"/>
            <w:hideMark/>
          </w:tcPr>
          <w:p w14:paraId="2842872A" w14:textId="77777777" w:rsidR="00AA068C" w:rsidRPr="00BA06B6" w:rsidRDefault="00AA068C" w:rsidP="00BC341D">
            <w:pPr>
              <w:tabs>
                <w:tab w:val="left" w:pos="851"/>
              </w:tabs>
              <w:jc w:val="both"/>
              <w:rPr>
                <w:lang w:eastAsia="zh-CN"/>
              </w:rPr>
            </w:pPr>
            <w:r w:rsidRPr="00BA06B6">
              <w:rPr>
                <w:lang w:eastAsia="zh-CN"/>
              </w:rPr>
              <w:t xml:space="preserve"> 0.21</w:t>
            </w:r>
            <w:r w:rsidRPr="00BA06B6">
              <w:rPr>
                <w:vertAlign w:val="superscript"/>
                <w:lang w:eastAsia="zh-CN"/>
              </w:rPr>
              <w:t>**</w:t>
            </w:r>
          </w:p>
        </w:tc>
        <w:tc>
          <w:tcPr>
            <w:tcW w:w="657" w:type="dxa"/>
            <w:tcBorders>
              <w:top w:val="single" w:sz="12" w:space="0" w:color="auto"/>
              <w:left w:val="nil"/>
              <w:bottom w:val="nil"/>
              <w:right w:val="nil"/>
            </w:tcBorders>
            <w:shd w:val="clear" w:color="auto" w:fill="FFFFFF" w:themeFill="background1"/>
            <w:noWrap/>
            <w:vAlign w:val="center"/>
            <w:hideMark/>
          </w:tcPr>
          <w:p w14:paraId="1B481A85" w14:textId="77777777" w:rsidR="00AA068C" w:rsidRPr="00BA06B6" w:rsidRDefault="00AA068C" w:rsidP="00BC341D">
            <w:pPr>
              <w:tabs>
                <w:tab w:val="left" w:pos="851"/>
              </w:tabs>
              <w:jc w:val="both"/>
              <w:rPr>
                <w:lang w:eastAsia="zh-CN"/>
              </w:rPr>
            </w:pPr>
            <w:r w:rsidRPr="00BA06B6">
              <w:rPr>
                <w:lang w:eastAsia="zh-CN"/>
              </w:rPr>
              <w:t>-0.27</w:t>
            </w:r>
            <w:r w:rsidRPr="00BA06B6">
              <w:rPr>
                <w:vertAlign w:val="superscript"/>
                <w:lang w:eastAsia="zh-CN"/>
              </w:rPr>
              <w:t>**</w:t>
            </w:r>
          </w:p>
        </w:tc>
        <w:tc>
          <w:tcPr>
            <w:tcW w:w="657" w:type="dxa"/>
            <w:tcBorders>
              <w:top w:val="single" w:sz="12" w:space="0" w:color="auto"/>
              <w:left w:val="nil"/>
              <w:bottom w:val="nil"/>
              <w:right w:val="nil"/>
            </w:tcBorders>
            <w:shd w:val="clear" w:color="auto" w:fill="FFFFFF" w:themeFill="background1"/>
            <w:noWrap/>
            <w:vAlign w:val="center"/>
            <w:hideMark/>
          </w:tcPr>
          <w:p w14:paraId="382E2600" w14:textId="77777777" w:rsidR="00AA068C" w:rsidRPr="00BA06B6" w:rsidRDefault="00AA068C" w:rsidP="00BC341D">
            <w:pPr>
              <w:tabs>
                <w:tab w:val="left" w:pos="851"/>
              </w:tabs>
              <w:jc w:val="both"/>
              <w:rPr>
                <w:lang w:eastAsia="zh-CN"/>
              </w:rPr>
            </w:pPr>
            <w:r w:rsidRPr="00BA06B6">
              <w:rPr>
                <w:lang w:eastAsia="zh-CN"/>
              </w:rPr>
              <w:t xml:space="preserve"> 0.48</w:t>
            </w:r>
            <w:r w:rsidRPr="00BA06B6">
              <w:rPr>
                <w:vertAlign w:val="superscript"/>
                <w:lang w:eastAsia="zh-CN"/>
              </w:rPr>
              <w:t>**</w:t>
            </w:r>
          </w:p>
        </w:tc>
        <w:tc>
          <w:tcPr>
            <w:tcW w:w="657" w:type="dxa"/>
            <w:tcBorders>
              <w:top w:val="single" w:sz="12" w:space="0" w:color="auto"/>
              <w:left w:val="nil"/>
              <w:bottom w:val="nil"/>
              <w:right w:val="nil"/>
            </w:tcBorders>
            <w:shd w:val="clear" w:color="auto" w:fill="FFFFFF" w:themeFill="background1"/>
            <w:noWrap/>
            <w:vAlign w:val="center"/>
            <w:hideMark/>
          </w:tcPr>
          <w:p w14:paraId="5D74A4FE" w14:textId="77777777" w:rsidR="00AA068C" w:rsidRPr="00BA06B6" w:rsidRDefault="00AA068C" w:rsidP="00BC341D">
            <w:pPr>
              <w:tabs>
                <w:tab w:val="left" w:pos="851"/>
              </w:tabs>
              <w:jc w:val="both"/>
              <w:rPr>
                <w:lang w:eastAsia="zh-CN"/>
              </w:rPr>
            </w:pPr>
            <w:r w:rsidRPr="00BA06B6">
              <w:rPr>
                <w:lang w:eastAsia="zh-CN"/>
              </w:rPr>
              <w:t xml:space="preserve"> 0.67</w:t>
            </w:r>
            <w:r w:rsidRPr="00BA06B6">
              <w:rPr>
                <w:vertAlign w:val="superscript"/>
                <w:lang w:eastAsia="zh-CN"/>
              </w:rPr>
              <w:t>**</w:t>
            </w:r>
          </w:p>
        </w:tc>
        <w:tc>
          <w:tcPr>
            <w:tcW w:w="657" w:type="dxa"/>
            <w:tcBorders>
              <w:top w:val="single" w:sz="12" w:space="0" w:color="auto"/>
              <w:left w:val="nil"/>
              <w:bottom w:val="nil"/>
              <w:right w:val="nil"/>
            </w:tcBorders>
            <w:shd w:val="clear" w:color="auto" w:fill="FFFFFF" w:themeFill="background1"/>
            <w:noWrap/>
            <w:vAlign w:val="center"/>
            <w:hideMark/>
          </w:tcPr>
          <w:p w14:paraId="5EEA79B1" w14:textId="77777777" w:rsidR="00AA068C" w:rsidRPr="00BA06B6" w:rsidRDefault="00AA068C" w:rsidP="00BC341D">
            <w:pPr>
              <w:tabs>
                <w:tab w:val="left" w:pos="851"/>
              </w:tabs>
              <w:jc w:val="both"/>
              <w:rPr>
                <w:lang w:eastAsia="zh-CN"/>
              </w:rPr>
            </w:pPr>
            <w:r w:rsidRPr="00BA06B6">
              <w:rPr>
                <w:lang w:eastAsia="zh-CN"/>
              </w:rPr>
              <w:t>-0.22</w:t>
            </w:r>
            <w:r w:rsidRPr="00BA06B6">
              <w:rPr>
                <w:vertAlign w:val="superscript"/>
                <w:lang w:eastAsia="zh-CN"/>
              </w:rPr>
              <w:t>**</w:t>
            </w:r>
          </w:p>
        </w:tc>
        <w:tc>
          <w:tcPr>
            <w:tcW w:w="611" w:type="dxa"/>
            <w:gridSpan w:val="2"/>
            <w:tcBorders>
              <w:top w:val="single" w:sz="12" w:space="0" w:color="auto"/>
              <w:left w:val="nil"/>
              <w:bottom w:val="nil"/>
              <w:right w:val="nil"/>
            </w:tcBorders>
            <w:shd w:val="clear" w:color="auto" w:fill="FFFFFF" w:themeFill="background1"/>
            <w:noWrap/>
            <w:vAlign w:val="center"/>
            <w:hideMark/>
          </w:tcPr>
          <w:p w14:paraId="644B57D6" w14:textId="77777777" w:rsidR="00AA068C" w:rsidRPr="00BA06B6" w:rsidRDefault="00AA068C" w:rsidP="00BC341D">
            <w:pPr>
              <w:tabs>
                <w:tab w:val="left" w:pos="851"/>
              </w:tabs>
              <w:jc w:val="both"/>
              <w:rPr>
                <w:lang w:eastAsia="zh-CN"/>
              </w:rPr>
            </w:pPr>
            <w:r w:rsidRPr="00BA06B6">
              <w:rPr>
                <w:lang w:eastAsia="zh-CN"/>
              </w:rPr>
              <w:t xml:space="preserve"> 0.52</w:t>
            </w:r>
            <w:r w:rsidRPr="00BA06B6">
              <w:rPr>
                <w:vertAlign w:val="superscript"/>
                <w:lang w:eastAsia="zh-CN"/>
              </w:rPr>
              <w:t>**</w:t>
            </w:r>
          </w:p>
        </w:tc>
      </w:tr>
      <w:tr w:rsidR="00BA06B6" w:rsidRPr="00BA06B6" w14:paraId="1FFEE00B" w14:textId="77777777" w:rsidTr="004137CB">
        <w:trPr>
          <w:trHeight w:val="288"/>
          <w:jc w:val="center"/>
        </w:trPr>
        <w:tc>
          <w:tcPr>
            <w:tcW w:w="880" w:type="dxa"/>
            <w:tcBorders>
              <w:top w:val="nil"/>
              <w:left w:val="nil"/>
              <w:bottom w:val="nil"/>
              <w:right w:val="nil"/>
            </w:tcBorders>
            <w:shd w:val="clear" w:color="auto" w:fill="FFFFFF" w:themeFill="background1"/>
            <w:noWrap/>
            <w:vAlign w:val="center"/>
            <w:hideMark/>
          </w:tcPr>
          <w:p w14:paraId="6E98DE33" w14:textId="77777777" w:rsidR="00AA068C" w:rsidRPr="00BA06B6" w:rsidRDefault="00AA068C" w:rsidP="00BC341D">
            <w:pPr>
              <w:tabs>
                <w:tab w:val="left" w:pos="851"/>
              </w:tabs>
              <w:jc w:val="both"/>
              <w:rPr>
                <w:lang w:eastAsia="zh-CN"/>
              </w:rPr>
            </w:pPr>
            <w:r w:rsidRPr="00BA06B6">
              <w:rPr>
                <w:lang w:eastAsia="zh-CN"/>
              </w:rPr>
              <w:t>RDI</w:t>
            </w:r>
          </w:p>
        </w:tc>
        <w:tc>
          <w:tcPr>
            <w:tcW w:w="613" w:type="dxa"/>
            <w:tcBorders>
              <w:top w:val="nil"/>
              <w:left w:val="nil"/>
              <w:bottom w:val="nil"/>
              <w:right w:val="nil"/>
            </w:tcBorders>
            <w:shd w:val="clear" w:color="auto" w:fill="FFFFFF" w:themeFill="background1"/>
            <w:noWrap/>
            <w:vAlign w:val="center"/>
            <w:hideMark/>
          </w:tcPr>
          <w:p w14:paraId="79914C9A" w14:textId="77777777" w:rsidR="00AA068C" w:rsidRPr="00BA06B6" w:rsidRDefault="00AA068C" w:rsidP="00BC341D">
            <w:pPr>
              <w:tabs>
                <w:tab w:val="left" w:pos="851"/>
              </w:tabs>
              <w:jc w:val="both"/>
              <w:rPr>
                <w:lang w:eastAsia="zh-CN"/>
              </w:rPr>
            </w:pPr>
            <w:r w:rsidRPr="00BA06B6">
              <w:rPr>
                <w:lang w:eastAsia="zh-CN"/>
              </w:rPr>
              <w:t xml:space="preserve"> 0.31</w:t>
            </w:r>
            <w:r w:rsidRPr="00BA06B6">
              <w:rPr>
                <w:vertAlign w:val="superscript"/>
                <w:lang w:eastAsia="zh-CN"/>
              </w:rPr>
              <w:t>**</w:t>
            </w:r>
          </w:p>
        </w:tc>
        <w:tc>
          <w:tcPr>
            <w:tcW w:w="609" w:type="dxa"/>
            <w:tcBorders>
              <w:top w:val="nil"/>
              <w:left w:val="nil"/>
              <w:bottom w:val="nil"/>
              <w:right w:val="nil"/>
            </w:tcBorders>
            <w:shd w:val="clear" w:color="auto" w:fill="FFFFFF" w:themeFill="background1"/>
            <w:noWrap/>
            <w:vAlign w:val="center"/>
          </w:tcPr>
          <w:p w14:paraId="5634965F" w14:textId="77777777" w:rsidR="00AA068C" w:rsidRPr="00BA06B6" w:rsidRDefault="00AA068C" w:rsidP="00BC341D">
            <w:pPr>
              <w:tabs>
                <w:tab w:val="left" w:pos="851"/>
              </w:tabs>
              <w:jc w:val="both"/>
              <w:rPr>
                <w:lang w:eastAsia="zh-CN"/>
              </w:rPr>
            </w:pPr>
          </w:p>
        </w:tc>
        <w:tc>
          <w:tcPr>
            <w:tcW w:w="657" w:type="dxa"/>
            <w:tcBorders>
              <w:top w:val="nil"/>
              <w:left w:val="nil"/>
              <w:bottom w:val="nil"/>
              <w:right w:val="nil"/>
            </w:tcBorders>
            <w:shd w:val="clear" w:color="auto" w:fill="FFFFFF" w:themeFill="background1"/>
            <w:noWrap/>
            <w:vAlign w:val="center"/>
            <w:hideMark/>
          </w:tcPr>
          <w:p w14:paraId="3A79A00A" w14:textId="77777777" w:rsidR="00AA068C" w:rsidRPr="00BA06B6" w:rsidRDefault="00AA068C" w:rsidP="00BC341D">
            <w:pPr>
              <w:tabs>
                <w:tab w:val="left" w:pos="851"/>
              </w:tabs>
              <w:jc w:val="both"/>
              <w:rPr>
                <w:lang w:eastAsia="zh-CN"/>
              </w:rPr>
            </w:pPr>
            <w:r w:rsidRPr="00BA06B6">
              <w:rPr>
                <w:lang w:eastAsia="zh-CN"/>
              </w:rPr>
              <w:t xml:space="preserve"> 0.40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66FD7E31" w14:textId="77777777" w:rsidR="00AA068C" w:rsidRPr="00BA06B6" w:rsidRDefault="00AA068C" w:rsidP="00BC341D">
            <w:pPr>
              <w:tabs>
                <w:tab w:val="left" w:pos="851"/>
              </w:tabs>
              <w:jc w:val="both"/>
              <w:rPr>
                <w:lang w:eastAsia="zh-CN"/>
              </w:rPr>
            </w:pPr>
            <w:r w:rsidRPr="00BA06B6">
              <w:rPr>
                <w:lang w:eastAsia="zh-CN"/>
              </w:rPr>
              <w:t>-0.05</w:t>
            </w:r>
          </w:p>
        </w:tc>
        <w:tc>
          <w:tcPr>
            <w:tcW w:w="657" w:type="dxa"/>
            <w:tcBorders>
              <w:top w:val="nil"/>
              <w:left w:val="nil"/>
              <w:bottom w:val="nil"/>
              <w:right w:val="nil"/>
            </w:tcBorders>
            <w:shd w:val="clear" w:color="auto" w:fill="FFFFFF" w:themeFill="background1"/>
            <w:noWrap/>
            <w:vAlign w:val="center"/>
            <w:hideMark/>
          </w:tcPr>
          <w:p w14:paraId="25DF007C" w14:textId="77777777" w:rsidR="00AA068C" w:rsidRPr="00BA06B6" w:rsidRDefault="00AA068C" w:rsidP="00BC341D">
            <w:pPr>
              <w:tabs>
                <w:tab w:val="left" w:pos="851"/>
              </w:tabs>
              <w:jc w:val="both"/>
              <w:rPr>
                <w:lang w:eastAsia="zh-CN"/>
              </w:rPr>
            </w:pPr>
            <w:r w:rsidRPr="00BA06B6">
              <w:rPr>
                <w:lang w:eastAsia="zh-CN"/>
              </w:rPr>
              <w:t>-0.10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72250FD" w14:textId="77777777" w:rsidR="00AA068C" w:rsidRPr="00BA06B6" w:rsidRDefault="00AA068C" w:rsidP="00BC341D">
            <w:pPr>
              <w:tabs>
                <w:tab w:val="left" w:pos="851"/>
              </w:tabs>
              <w:jc w:val="both"/>
              <w:rPr>
                <w:lang w:eastAsia="zh-CN"/>
              </w:rPr>
            </w:pPr>
            <w:r w:rsidRPr="00BA06B6">
              <w:rPr>
                <w:lang w:eastAsia="zh-CN"/>
              </w:rPr>
              <w:t>-.08</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A89DFBC" w14:textId="77777777" w:rsidR="00AA068C" w:rsidRPr="00BA06B6" w:rsidRDefault="00AA068C" w:rsidP="00BC341D">
            <w:pPr>
              <w:tabs>
                <w:tab w:val="left" w:pos="851"/>
              </w:tabs>
              <w:jc w:val="both"/>
              <w:rPr>
                <w:lang w:eastAsia="zh-CN"/>
              </w:rPr>
            </w:pPr>
            <w:r w:rsidRPr="00BA06B6">
              <w:rPr>
                <w:lang w:eastAsia="zh-CN"/>
              </w:rPr>
              <w:t>-0.12</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165929CF" w14:textId="77777777" w:rsidR="00AA068C" w:rsidRPr="00BA06B6" w:rsidRDefault="00AA068C" w:rsidP="00BC341D">
            <w:pPr>
              <w:tabs>
                <w:tab w:val="left" w:pos="851"/>
              </w:tabs>
              <w:jc w:val="both"/>
              <w:rPr>
                <w:lang w:eastAsia="zh-CN"/>
              </w:rPr>
            </w:pPr>
            <w:r w:rsidRPr="00BA06B6">
              <w:rPr>
                <w:lang w:eastAsia="zh-CN"/>
              </w:rPr>
              <w:t>-0.18</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hideMark/>
          </w:tcPr>
          <w:p w14:paraId="75A59D13" w14:textId="77777777" w:rsidR="00AA068C" w:rsidRPr="00BA06B6" w:rsidRDefault="00AA068C" w:rsidP="00BC341D">
            <w:pPr>
              <w:tabs>
                <w:tab w:val="left" w:pos="851"/>
              </w:tabs>
              <w:jc w:val="both"/>
              <w:rPr>
                <w:lang w:eastAsia="zh-CN"/>
              </w:rPr>
            </w:pPr>
            <w:r w:rsidRPr="00BA06B6">
              <w:rPr>
                <w:lang w:eastAsia="zh-CN"/>
              </w:rPr>
              <w:t xml:space="preserve"> 0.00</w:t>
            </w:r>
          </w:p>
        </w:tc>
        <w:tc>
          <w:tcPr>
            <w:tcW w:w="704" w:type="dxa"/>
            <w:tcBorders>
              <w:top w:val="nil"/>
              <w:left w:val="nil"/>
              <w:bottom w:val="nil"/>
              <w:right w:val="nil"/>
            </w:tcBorders>
            <w:shd w:val="clear" w:color="auto" w:fill="FFFFFF" w:themeFill="background1"/>
            <w:noWrap/>
            <w:vAlign w:val="center"/>
            <w:hideMark/>
          </w:tcPr>
          <w:p w14:paraId="6D87C88D" w14:textId="77777777" w:rsidR="00AA068C" w:rsidRPr="00BA06B6" w:rsidRDefault="00AA068C" w:rsidP="00BC341D">
            <w:pPr>
              <w:tabs>
                <w:tab w:val="left" w:pos="851"/>
              </w:tabs>
              <w:jc w:val="both"/>
              <w:rPr>
                <w:lang w:eastAsia="zh-CN"/>
              </w:rPr>
            </w:pPr>
            <w:r w:rsidRPr="00BA06B6">
              <w:rPr>
                <w:lang w:eastAsia="zh-CN"/>
              </w:rPr>
              <w:t xml:space="preserve"> 0.25</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0D25C3BC" w14:textId="77777777" w:rsidR="00AA068C" w:rsidRPr="00BA06B6" w:rsidRDefault="00AA068C" w:rsidP="00BC341D">
            <w:pPr>
              <w:tabs>
                <w:tab w:val="left" w:pos="851"/>
              </w:tabs>
              <w:jc w:val="both"/>
              <w:rPr>
                <w:lang w:eastAsia="zh-CN"/>
              </w:rPr>
            </w:pPr>
            <w:r w:rsidRPr="00BA06B6">
              <w:rPr>
                <w:lang w:eastAsia="zh-CN"/>
              </w:rPr>
              <w:t>-0.15</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CD2B62B" w14:textId="77777777" w:rsidR="00AA068C" w:rsidRPr="00BA06B6" w:rsidRDefault="00AA068C" w:rsidP="00BC341D">
            <w:pPr>
              <w:tabs>
                <w:tab w:val="left" w:pos="851"/>
              </w:tabs>
              <w:jc w:val="both"/>
              <w:rPr>
                <w:lang w:eastAsia="zh-CN"/>
              </w:rPr>
            </w:pPr>
            <w:r w:rsidRPr="00BA06B6">
              <w:rPr>
                <w:lang w:eastAsia="zh-CN"/>
              </w:rPr>
              <w:t>-0.01</w:t>
            </w:r>
          </w:p>
        </w:tc>
        <w:tc>
          <w:tcPr>
            <w:tcW w:w="657" w:type="dxa"/>
            <w:tcBorders>
              <w:top w:val="nil"/>
              <w:left w:val="nil"/>
              <w:bottom w:val="nil"/>
              <w:right w:val="nil"/>
            </w:tcBorders>
            <w:shd w:val="clear" w:color="auto" w:fill="FFFFFF" w:themeFill="background1"/>
            <w:noWrap/>
            <w:vAlign w:val="center"/>
            <w:hideMark/>
          </w:tcPr>
          <w:p w14:paraId="3AA39CA3" w14:textId="77777777" w:rsidR="00AA068C" w:rsidRPr="00BA06B6" w:rsidRDefault="00AA068C" w:rsidP="00BC341D">
            <w:pPr>
              <w:tabs>
                <w:tab w:val="left" w:pos="851"/>
              </w:tabs>
              <w:jc w:val="both"/>
              <w:rPr>
                <w:lang w:eastAsia="zh-CN"/>
              </w:rPr>
            </w:pPr>
            <w:r w:rsidRPr="00BA06B6">
              <w:rPr>
                <w:lang w:eastAsia="zh-CN"/>
              </w:rPr>
              <w:t>-0.19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31BCED5C" w14:textId="77777777" w:rsidR="00AA068C" w:rsidRPr="00BA06B6" w:rsidRDefault="00AA068C" w:rsidP="00BC341D">
            <w:pPr>
              <w:tabs>
                <w:tab w:val="left" w:pos="851"/>
              </w:tabs>
              <w:jc w:val="both"/>
              <w:rPr>
                <w:lang w:eastAsia="zh-CN"/>
              </w:rPr>
            </w:pPr>
            <w:r w:rsidRPr="00BA06B6">
              <w:rPr>
                <w:lang w:eastAsia="zh-CN"/>
              </w:rPr>
              <w:t>-0.10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37EABB96" w14:textId="77777777" w:rsidR="00AA068C" w:rsidRPr="00BA06B6" w:rsidRDefault="00AA068C" w:rsidP="00BC341D">
            <w:pPr>
              <w:tabs>
                <w:tab w:val="left" w:pos="851"/>
              </w:tabs>
              <w:jc w:val="both"/>
              <w:rPr>
                <w:lang w:eastAsia="zh-CN"/>
              </w:rPr>
            </w:pPr>
            <w:r w:rsidRPr="00BA06B6">
              <w:rPr>
                <w:lang w:eastAsia="zh-CN"/>
              </w:rPr>
              <w:t xml:space="preserve"> 0.23</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32B492D" w14:textId="77777777" w:rsidR="00AA068C" w:rsidRPr="00BA06B6" w:rsidRDefault="00AA068C" w:rsidP="00BC341D">
            <w:pPr>
              <w:tabs>
                <w:tab w:val="left" w:pos="851"/>
              </w:tabs>
              <w:jc w:val="both"/>
              <w:rPr>
                <w:lang w:eastAsia="zh-CN"/>
              </w:rPr>
            </w:pPr>
            <w:r w:rsidRPr="00BA06B6">
              <w:rPr>
                <w:lang w:eastAsia="zh-CN"/>
              </w:rPr>
              <w:t xml:space="preserve"> 0.18</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6EA31B76" w14:textId="77777777" w:rsidR="00AA068C" w:rsidRPr="00BA06B6" w:rsidRDefault="00AA068C" w:rsidP="00BC341D">
            <w:pPr>
              <w:tabs>
                <w:tab w:val="left" w:pos="851"/>
              </w:tabs>
              <w:jc w:val="both"/>
              <w:rPr>
                <w:lang w:eastAsia="zh-CN"/>
              </w:rPr>
            </w:pPr>
            <w:r w:rsidRPr="00BA06B6">
              <w:rPr>
                <w:lang w:eastAsia="zh-CN"/>
              </w:rPr>
              <w:t>-0.03</w:t>
            </w:r>
          </w:p>
        </w:tc>
        <w:tc>
          <w:tcPr>
            <w:tcW w:w="657" w:type="dxa"/>
            <w:tcBorders>
              <w:top w:val="nil"/>
              <w:left w:val="nil"/>
              <w:bottom w:val="nil"/>
              <w:right w:val="nil"/>
            </w:tcBorders>
            <w:shd w:val="clear" w:color="auto" w:fill="FFFFFF" w:themeFill="background1"/>
            <w:noWrap/>
            <w:vAlign w:val="center"/>
            <w:hideMark/>
          </w:tcPr>
          <w:p w14:paraId="02616F17" w14:textId="77777777" w:rsidR="00AA068C" w:rsidRPr="00BA06B6" w:rsidRDefault="00AA068C" w:rsidP="00BC341D">
            <w:pPr>
              <w:tabs>
                <w:tab w:val="left" w:pos="851"/>
              </w:tabs>
              <w:jc w:val="both"/>
              <w:rPr>
                <w:lang w:eastAsia="zh-CN"/>
              </w:rPr>
            </w:pPr>
            <w:r w:rsidRPr="00BA06B6">
              <w:rPr>
                <w:lang w:eastAsia="zh-CN"/>
              </w:rPr>
              <w:t xml:space="preserve"> 0.26</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6EEF6426" w14:textId="77777777" w:rsidR="00AA068C" w:rsidRPr="00BA06B6" w:rsidRDefault="00AA068C" w:rsidP="00BC341D">
            <w:pPr>
              <w:tabs>
                <w:tab w:val="left" w:pos="851"/>
              </w:tabs>
              <w:jc w:val="both"/>
              <w:rPr>
                <w:lang w:eastAsia="zh-CN"/>
              </w:rPr>
            </w:pPr>
            <w:r w:rsidRPr="00BA06B6">
              <w:rPr>
                <w:lang w:eastAsia="zh-CN"/>
              </w:rPr>
              <w:t xml:space="preserve"> 0.24</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0E1F8BF" w14:textId="77777777" w:rsidR="00AA068C" w:rsidRPr="00BA06B6" w:rsidRDefault="00AA068C" w:rsidP="00BC341D">
            <w:pPr>
              <w:tabs>
                <w:tab w:val="left" w:pos="851"/>
              </w:tabs>
              <w:jc w:val="both"/>
              <w:rPr>
                <w:lang w:eastAsia="zh-CN"/>
              </w:rPr>
            </w:pPr>
            <w:r w:rsidRPr="00BA06B6">
              <w:rPr>
                <w:lang w:eastAsia="zh-CN"/>
              </w:rPr>
              <w:t>-0.42</w:t>
            </w:r>
            <w:r w:rsidRPr="00BA06B6">
              <w:rPr>
                <w:vertAlign w:val="superscript"/>
                <w:lang w:eastAsia="zh-CN"/>
              </w:rPr>
              <w:t>**</w:t>
            </w:r>
          </w:p>
        </w:tc>
        <w:tc>
          <w:tcPr>
            <w:tcW w:w="611" w:type="dxa"/>
            <w:gridSpan w:val="2"/>
            <w:tcBorders>
              <w:top w:val="nil"/>
              <w:left w:val="nil"/>
              <w:bottom w:val="nil"/>
              <w:right w:val="nil"/>
            </w:tcBorders>
            <w:shd w:val="clear" w:color="auto" w:fill="FFFFFF" w:themeFill="background1"/>
            <w:noWrap/>
            <w:vAlign w:val="center"/>
            <w:hideMark/>
          </w:tcPr>
          <w:p w14:paraId="28109A5E" w14:textId="77777777" w:rsidR="00AA068C" w:rsidRPr="00BA06B6" w:rsidRDefault="00AA068C" w:rsidP="00BC341D">
            <w:pPr>
              <w:tabs>
                <w:tab w:val="left" w:pos="851"/>
              </w:tabs>
              <w:jc w:val="both"/>
              <w:rPr>
                <w:lang w:eastAsia="zh-CN"/>
              </w:rPr>
            </w:pPr>
            <w:r w:rsidRPr="00BA06B6">
              <w:rPr>
                <w:lang w:eastAsia="zh-CN"/>
              </w:rPr>
              <w:t xml:space="preserve"> 0.12</w:t>
            </w:r>
            <w:r w:rsidRPr="00BA06B6">
              <w:rPr>
                <w:vertAlign w:val="superscript"/>
                <w:lang w:eastAsia="zh-CN"/>
              </w:rPr>
              <w:t>**</w:t>
            </w:r>
          </w:p>
        </w:tc>
      </w:tr>
      <w:tr w:rsidR="00BA06B6" w:rsidRPr="00BA06B6" w14:paraId="605C21FE" w14:textId="77777777" w:rsidTr="004137CB">
        <w:trPr>
          <w:trHeight w:val="288"/>
          <w:jc w:val="center"/>
        </w:trPr>
        <w:tc>
          <w:tcPr>
            <w:tcW w:w="880" w:type="dxa"/>
            <w:tcBorders>
              <w:top w:val="nil"/>
              <w:left w:val="nil"/>
              <w:bottom w:val="nil"/>
              <w:right w:val="nil"/>
            </w:tcBorders>
            <w:shd w:val="clear" w:color="auto" w:fill="FFFFFF" w:themeFill="background1"/>
            <w:noWrap/>
            <w:vAlign w:val="center"/>
            <w:hideMark/>
          </w:tcPr>
          <w:p w14:paraId="0FE5BBF3" w14:textId="77777777" w:rsidR="00AA068C" w:rsidRPr="00BA06B6" w:rsidRDefault="00AA068C" w:rsidP="00BC341D">
            <w:pPr>
              <w:tabs>
                <w:tab w:val="left" w:pos="851"/>
              </w:tabs>
              <w:jc w:val="both"/>
              <w:rPr>
                <w:lang w:eastAsia="zh-CN"/>
              </w:rPr>
            </w:pPr>
            <w:r w:rsidRPr="00BA06B6">
              <w:rPr>
                <w:lang w:eastAsia="zh-CN"/>
              </w:rPr>
              <w:t>LNTA</w:t>
            </w:r>
          </w:p>
        </w:tc>
        <w:tc>
          <w:tcPr>
            <w:tcW w:w="613" w:type="dxa"/>
            <w:tcBorders>
              <w:top w:val="nil"/>
              <w:left w:val="nil"/>
              <w:bottom w:val="nil"/>
              <w:right w:val="nil"/>
            </w:tcBorders>
            <w:shd w:val="clear" w:color="auto" w:fill="FFFFFF" w:themeFill="background1"/>
            <w:noWrap/>
            <w:vAlign w:val="center"/>
            <w:hideMark/>
          </w:tcPr>
          <w:p w14:paraId="7B68045C" w14:textId="77777777" w:rsidR="00AA068C" w:rsidRPr="00BA06B6" w:rsidRDefault="00AA068C" w:rsidP="00BC341D">
            <w:pPr>
              <w:tabs>
                <w:tab w:val="left" w:pos="851"/>
              </w:tabs>
              <w:jc w:val="both"/>
              <w:rPr>
                <w:lang w:eastAsia="zh-CN"/>
              </w:rPr>
            </w:pPr>
            <w:r w:rsidRPr="00BA06B6">
              <w:rPr>
                <w:lang w:eastAsia="zh-CN"/>
              </w:rPr>
              <w:t xml:space="preserve"> 0.66</w:t>
            </w:r>
            <w:r w:rsidRPr="00BA06B6">
              <w:rPr>
                <w:vertAlign w:val="superscript"/>
                <w:lang w:eastAsia="zh-CN"/>
              </w:rPr>
              <w:t>**</w:t>
            </w:r>
          </w:p>
        </w:tc>
        <w:tc>
          <w:tcPr>
            <w:tcW w:w="609" w:type="dxa"/>
            <w:tcBorders>
              <w:top w:val="nil"/>
              <w:left w:val="nil"/>
              <w:bottom w:val="nil"/>
              <w:right w:val="nil"/>
            </w:tcBorders>
            <w:shd w:val="clear" w:color="auto" w:fill="FFFFFF" w:themeFill="background1"/>
            <w:noWrap/>
            <w:vAlign w:val="center"/>
            <w:hideMark/>
          </w:tcPr>
          <w:p w14:paraId="607C2845" w14:textId="77777777" w:rsidR="00AA068C" w:rsidRPr="00BA06B6" w:rsidRDefault="00AA068C" w:rsidP="00BC341D">
            <w:pPr>
              <w:tabs>
                <w:tab w:val="left" w:pos="851"/>
              </w:tabs>
              <w:jc w:val="both"/>
              <w:rPr>
                <w:lang w:eastAsia="zh-CN"/>
              </w:rPr>
            </w:pPr>
            <w:r w:rsidRPr="00BA06B6">
              <w:rPr>
                <w:lang w:eastAsia="zh-CN"/>
              </w:rPr>
              <w:t xml:space="preserve"> 0.51</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tcPr>
          <w:p w14:paraId="1621B9CF" w14:textId="77777777" w:rsidR="00AA068C" w:rsidRPr="00BA06B6" w:rsidRDefault="00AA068C" w:rsidP="00BC341D">
            <w:pPr>
              <w:tabs>
                <w:tab w:val="left" w:pos="851"/>
              </w:tabs>
              <w:jc w:val="both"/>
              <w:rPr>
                <w:lang w:eastAsia="zh-CN"/>
              </w:rPr>
            </w:pPr>
          </w:p>
        </w:tc>
        <w:tc>
          <w:tcPr>
            <w:tcW w:w="657" w:type="dxa"/>
            <w:tcBorders>
              <w:top w:val="nil"/>
              <w:left w:val="nil"/>
              <w:bottom w:val="nil"/>
              <w:right w:val="nil"/>
            </w:tcBorders>
            <w:shd w:val="clear" w:color="auto" w:fill="FFFFFF" w:themeFill="background1"/>
            <w:noWrap/>
            <w:vAlign w:val="center"/>
            <w:hideMark/>
          </w:tcPr>
          <w:p w14:paraId="26E1EC67" w14:textId="77777777" w:rsidR="00AA068C" w:rsidRPr="00BA06B6" w:rsidRDefault="00AA068C" w:rsidP="00BC341D">
            <w:pPr>
              <w:tabs>
                <w:tab w:val="left" w:pos="851"/>
              </w:tabs>
              <w:jc w:val="both"/>
              <w:rPr>
                <w:lang w:eastAsia="zh-CN"/>
              </w:rPr>
            </w:pPr>
            <w:r w:rsidRPr="00BA06B6">
              <w:rPr>
                <w:lang w:eastAsia="zh-CN"/>
              </w:rPr>
              <w:t xml:space="preserve"> 0.02</w:t>
            </w:r>
          </w:p>
        </w:tc>
        <w:tc>
          <w:tcPr>
            <w:tcW w:w="657" w:type="dxa"/>
            <w:tcBorders>
              <w:top w:val="nil"/>
              <w:left w:val="nil"/>
              <w:bottom w:val="nil"/>
              <w:right w:val="nil"/>
            </w:tcBorders>
            <w:shd w:val="clear" w:color="auto" w:fill="FFFFFF" w:themeFill="background1"/>
            <w:noWrap/>
            <w:vAlign w:val="center"/>
            <w:hideMark/>
          </w:tcPr>
          <w:p w14:paraId="4436F9B8" w14:textId="77777777" w:rsidR="00AA068C" w:rsidRPr="00BA06B6" w:rsidRDefault="00AA068C" w:rsidP="00BC341D">
            <w:pPr>
              <w:tabs>
                <w:tab w:val="left" w:pos="851"/>
              </w:tabs>
              <w:jc w:val="both"/>
              <w:rPr>
                <w:lang w:eastAsia="zh-CN"/>
              </w:rPr>
            </w:pPr>
            <w:r w:rsidRPr="00BA06B6">
              <w:rPr>
                <w:lang w:eastAsia="zh-CN"/>
              </w:rPr>
              <w:t>-0.04</w:t>
            </w:r>
          </w:p>
        </w:tc>
        <w:tc>
          <w:tcPr>
            <w:tcW w:w="657" w:type="dxa"/>
            <w:tcBorders>
              <w:top w:val="nil"/>
              <w:left w:val="nil"/>
              <w:bottom w:val="nil"/>
              <w:right w:val="nil"/>
            </w:tcBorders>
            <w:shd w:val="clear" w:color="auto" w:fill="FFFFFF" w:themeFill="background1"/>
            <w:noWrap/>
            <w:vAlign w:val="center"/>
            <w:hideMark/>
          </w:tcPr>
          <w:p w14:paraId="0C16DA91" w14:textId="77777777" w:rsidR="00AA068C" w:rsidRPr="00BA06B6" w:rsidRDefault="00AA068C" w:rsidP="00BC341D">
            <w:pPr>
              <w:tabs>
                <w:tab w:val="left" w:pos="851"/>
              </w:tabs>
              <w:jc w:val="both"/>
              <w:rPr>
                <w:lang w:eastAsia="zh-CN"/>
              </w:rPr>
            </w:pPr>
            <w:r w:rsidRPr="00BA06B6">
              <w:rPr>
                <w:lang w:eastAsia="zh-CN"/>
              </w:rPr>
              <w:t>-0.01</w:t>
            </w:r>
          </w:p>
        </w:tc>
        <w:tc>
          <w:tcPr>
            <w:tcW w:w="657" w:type="dxa"/>
            <w:tcBorders>
              <w:top w:val="nil"/>
              <w:left w:val="nil"/>
              <w:bottom w:val="nil"/>
              <w:right w:val="nil"/>
            </w:tcBorders>
            <w:shd w:val="clear" w:color="auto" w:fill="FFFFFF" w:themeFill="background1"/>
            <w:noWrap/>
            <w:vAlign w:val="center"/>
            <w:hideMark/>
          </w:tcPr>
          <w:p w14:paraId="63CBB488" w14:textId="77777777" w:rsidR="00AA068C" w:rsidRPr="00BA06B6" w:rsidRDefault="00AA068C" w:rsidP="00BC341D">
            <w:pPr>
              <w:tabs>
                <w:tab w:val="left" w:pos="851"/>
              </w:tabs>
              <w:jc w:val="both"/>
              <w:rPr>
                <w:lang w:eastAsia="zh-CN"/>
              </w:rPr>
            </w:pPr>
            <w:r w:rsidRPr="00BA06B6">
              <w:rPr>
                <w:lang w:eastAsia="zh-CN"/>
              </w:rPr>
              <w:t>-0.23</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18D9A6AA" w14:textId="77777777" w:rsidR="00AA068C" w:rsidRPr="00BA06B6" w:rsidRDefault="00AA068C" w:rsidP="00BC341D">
            <w:pPr>
              <w:tabs>
                <w:tab w:val="left" w:pos="851"/>
              </w:tabs>
              <w:jc w:val="both"/>
              <w:rPr>
                <w:lang w:eastAsia="zh-CN"/>
              </w:rPr>
            </w:pPr>
            <w:r w:rsidRPr="00BA06B6">
              <w:rPr>
                <w:lang w:eastAsia="zh-CN"/>
              </w:rPr>
              <w:t>-0.13</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hideMark/>
          </w:tcPr>
          <w:p w14:paraId="70DB98C1" w14:textId="77777777" w:rsidR="00AA068C" w:rsidRPr="00BA06B6" w:rsidRDefault="00AA068C" w:rsidP="00BC341D">
            <w:pPr>
              <w:tabs>
                <w:tab w:val="left" w:pos="851"/>
              </w:tabs>
              <w:jc w:val="both"/>
              <w:rPr>
                <w:lang w:eastAsia="zh-CN"/>
              </w:rPr>
            </w:pPr>
            <w:r w:rsidRPr="00BA06B6">
              <w:rPr>
                <w:lang w:eastAsia="zh-CN"/>
              </w:rPr>
              <w:t>-0.07</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hideMark/>
          </w:tcPr>
          <w:p w14:paraId="33800B84" w14:textId="77777777" w:rsidR="00AA068C" w:rsidRPr="00BA06B6" w:rsidRDefault="00AA068C" w:rsidP="00BC341D">
            <w:pPr>
              <w:tabs>
                <w:tab w:val="left" w:pos="851"/>
              </w:tabs>
              <w:jc w:val="both"/>
              <w:rPr>
                <w:lang w:eastAsia="zh-CN"/>
              </w:rPr>
            </w:pPr>
            <w:r w:rsidRPr="00BA06B6">
              <w:rPr>
                <w:lang w:eastAsia="zh-CN"/>
              </w:rPr>
              <w:t xml:space="preserve"> 0.34</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24693E7" w14:textId="77777777" w:rsidR="00AA068C" w:rsidRPr="00BA06B6" w:rsidRDefault="00AA068C" w:rsidP="00BC341D">
            <w:pPr>
              <w:tabs>
                <w:tab w:val="left" w:pos="851"/>
              </w:tabs>
              <w:jc w:val="both"/>
              <w:rPr>
                <w:lang w:eastAsia="zh-CN"/>
              </w:rPr>
            </w:pPr>
            <w:r w:rsidRPr="00BA06B6">
              <w:rPr>
                <w:lang w:eastAsia="zh-CN"/>
              </w:rPr>
              <w:t>-0.21</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8A4F3A9" w14:textId="77777777" w:rsidR="00AA068C" w:rsidRPr="00BA06B6" w:rsidRDefault="00AA068C" w:rsidP="00BC341D">
            <w:pPr>
              <w:tabs>
                <w:tab w:val="left" w:pos="851"/>
              </w:tabs>
              <w:jc w:val="both"/>
              <w:rPr>
                <w:lang w:eastAsia="zh-CN"/>
              </w:rPr>
            </w:pPr>
            <w:r w:rsidRPr="00BA06B6">
              <w:rPr>
                <w:lang w:eastAsia="zh-CN"/>
              </w:rPr>
              <w:t xml:space="preserve"> 0.06</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6B248610" w14:textId="77777777" w:rsidR="00AA068C" w:rsidRPr="00BA06B6" w:rsidRDefault="00AA068C" w:rsidP="00BC341D">
            <w:pPr>
              <w:tabs>
                <w:tab w:val="left" w:pos="851"/>
              </w:tabs>
              <w:jc w:val="both"/>
              <w:rPr>
                <w:lang w:eastAsia="zh-CN"/>
              </w:rPr>
            </w:pPr>
            <w:r w:rsidRPr="00BA06B6">
              <w:rPr>
                <w:lang w:eastAsia="zh-CN"/>
              </w:rPr>
              <w:t>-0.02</w:t>
            </w:r>
          </w:p>
        </w:tc>
        <w:tc>
          <w:tcPr>
            <w:tcW w:w="657" w:type="dxa"/>
            <w:tcBorders>
              <w:top w:val="nil"/>
              <w:left w:val="nil"/>
              <w:bottom w:val="nil"/>
              <w:right w:val="nil"/>
            </w:tcBorders>
            <w:shd w:val="clear" w:color="auto" w:fill="FFFFFF" w:themeFill="background1"/>
            <w:noWrap/>
            <w:vAlign w:val="center"/>
            <w:hideMark/>
          </w:tcPr>
          <w:p w14:paraId="733814C3" w14:textId="77777777" w:rsidR="00AA068C" w:rsidRPr="00BA06B6" w:rsidRDefault="00AA068C" w:rsidP="00BC341D">
            <w:pPr>
              <w:tabs>
                <w:tab w:val="left" w:pos="851"/>
              </w:tabs>
              <w:jc w:val="both"/>
              <w:rPr>
                <w:lang w:eastAsia="zh-CN"/>
              </w:rPr>
            </w:pPr>
            <w:r w:rsidRPr="00BA06B6">
              <w:rPr>
                <w:lang w:eastAsia="zh-CN"/>
              </w:rPr>
              <w:t>-0.10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9816DE8" w14:textId="77777777" w:rsidR="00AA068C" w:rsidRPr="00BA06B6" w:rsidRDefault="00AA068C" w:rsidP="00BC341D">
            <w:pPr>
              <w:tabs>
                <w:tab w:val="left" w:pos="851"/>
              </w:tabs>
              <w:jc w:val="both"/>
              <w:rPr>
                <w:lang w:eastAsia="zh-CN"/>
              </w:rPr>
            </w:pPr>
            <w:r w:rsidRPr="00BA06B6">
              <w:rPr>
                <w:lang w:eastAsia="zh-CN"/>
              </w:rPr>
              <w:t xml:space="preserve"> 0.15</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05623ADF" w14:textId="77777777" w:rsidR="00AA068C" w:rsidRPr="00BA06B6" w:rsidRDefault="00AA068C" w:rsidP="00BC341D">
            <w:pPr>
              <w:tabs>
                <w:tab w:val="left" w:pos="851"/>
              </w:tabs>
              <w:jc w:val="both"/>
              <w:rPr>
                <w:lang w:eastAsia="zh-CN"/>
              </w:rPr>
            </w:pPr>
            <w:r w:rsidRPr="00BA06B6">
              <w:rPr>
                <w:lang w:eastAsia="zh-CN"/>
              </w:rPr>
              <w:t xml:space="preserve"> 0.11</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24792B78" w14:textId="77777777" w:rsidR="00AA068C" w:rsidRPr="00BA06B6" w:rsidRDefault="00AA068C" w:rsidP="00BC341D">
            <w:pPr>
              <w:tabs>
                <w:tab w:val="left" w:pos="851"/>
              </w:tabs>
              <w:jc w:val="both"/>
              <w:rPr>
                <w:lang w:eastAsia="zh-CN"/>
              </w:rPr>
            </w:pPr>
            <w:r w:rsidRPr="00BA06B6">
              <w:rPr>
                <w:lang w:eastAsia="zh-CN"/>
              </w:rPr>
              <w:t>-0.19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78565BF" w14:textId="77777777" w:rsidR="00AA068C" w:rsidRPr="00BA06B6" w:rsidRDefault="00AA068C" w:rsidP="00BC341D">
            <w:pPr>
              <w:tabs>
                <w:tab w:val="left" w:pos="851"/>
              </w:tabs>
              <w:jc w:val="both"/>
              <w:rPr>
                <w:lang w:eastAsia="zh-CN"/>
              </w:rPr>
            </w:pPr>
            <w:r w:rsidRPr="00BA06B6">
              <w:rPr>
                <w:lang w:eastAsia="zh-CN"/>
              </w:rPr>
              <w:t xml:space="preserve"> 0.05</w:t>
            </w:r>
          </w:p>
        </w:tc>
        <w:tc>
          <w:tcPr>
            <w:tcW w:w="657" w:type="dxa"/>
            <w:tcBorders>
              <w:top w:val="nil"/>
              <w:left w:val="nil"/>
              <w:bottom w:val="nil"/>
              <w:right w:val="nil"/>
            </w:tcBorders>
            <w:shd w:val="clear" w:color="auto" w:fill="FFFFFF" w:themeFill="background1"/>
            <w:noWrap/>
            <w:vAlign w:val="center"/>
            <w:hideMark/>
          </w:tcPr>
          <w:p w14:paraId="339D3158" w14:textId="77777777" w:rsidR="00AA068C" w:rsidRPr="00BA06B6" w:rsidRDefault="00AA068C" w:rsidP="00BC341D">
            <w:pPr>
              <w:tabs>
                <w:tab w:val="left" w:pos="851"/>
              </w:tabs>
              <w:jc w:val="both"/>
              <w:rPr>
                <w:lang w:eastAsia="zh-CN"/>
              </w:rPr>
            </w:pPr>
            <w:r w:rsidRPr="00BA06B6">
              <w:rPr>
                <w:lang w:eastAsia="zh-CN"/>
              </w:rPr>
              <w:t xml:space="preserve"> 0.09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307AD875" w14:textId="77777777" w:rsidR="00AA068C" w:rsidRPr="00BA06B6" w:rsidRDefault="00AA068C" w:rsidP="00BC341D">
            <w:pPr>
              <w:tabs>
                <w:tab w:val="left" w:pos="851"/>
              </w:tabs>
              <w:jc w:val="both"/>
              <w:rPr>
                <w:lang w:eastAsia="zh-CN"/>
              </w:rPr>
            </w:pPr>
            <w:r w:rsidRPr="00BA06B6">
              <w:rPr>
                <w:lang w:eastAsia="zh-CN"/>
              </w:rPr>
              <w:t>-0.20</w:t>
            </w:r>
            <w:r w:rsidRPr="00BA06B6">
              <w:rPr>
                <w:vertAlign w:val="superscript"/>
                <w:lang w:eastAsia="zh-CN"/>
              </w:rPr>
              <w:t>**</w:t>
            </w:r>
          </w:p>
        </w:tc>
        <w:tc>
          <w:tcPr>
            <w:tcW w:w="611" w:type="dxa"/>
            <w:gridSpan w:val="2"/>
            <w:tcBorders>
              <w:top w:val="nil"/>
              <w:left w:val="nil"/>
              <w:bottom w:val="nil"/>
              <w:right w:val="nil"/>
            </w:tcBorders>
            <w:shd w:val="clear" w:color="auto" w:fill="FFFFFF" w:themeFill="background1"/>
            <w:noWrap/>
            <w:vAlign w:val="center"/>
            <w:hideMark/>
          </w:tcPr>
          <w:p w14:paraId="73CED206" w14:textId="77777777" w:rsidR="00AA068C" w:rsidRPr="00BA06B6" w:rsidRDefault="00AA068C" w:rsidP="00BC341D">
            <w:pPr>
              <w:tabs>
                <w:tab w:val="left" w:pos="851"/>
              </w:tabs>
              <w:jc w:val="both"/>
              <w:rPr>
                <w:lang w:eastAsia="zh-CN"/>
              </w:rPr>
            </w:pPr>
            <w:r w:rsidRPr="00BA06B6">
              <w:rPr>
                <w:lang w:eastAsia="zh-CN"/>
              </w:rPr>
              <w:t xml:space="preserve"> 0.18</w:t>
            </w:r>
            <w:r w:rsidRPr="00BA06B6">
              <w:rPr>
                <w:vertAlign w:val="superscript"/>
                <w:lang w:eastAsia="zh-CN"/>
              </w:rPr>
              <w:t>**</w:t>
            </w:r>
          </w:p>
        </w:tc>
      </w:tr>
      <w:tr w:rsidR="00BA06B6" w:rsidRPr="00BA06B6" w14:paraId="48824E15" w14:textId="77777777" w:rsidTr="004137CB">
        <w:trPr>
          <w:trHeight w:val="288"/>
          <w:jc w:val="center"/>
        </w:trPr>
        <w:tc>
          <w:tcPr>
            <w:tcW w:w="880" w:type="dxa"/>
            <w:tcBorders>
              <w:top w:val="nil"/>
              <w:left w:val="nil"/>
              <w:bottom w:val="nil"/>
              <w:right w:val="nil"/>
            </w:tcBorders>
            <w:shd w:val="clear" w:color="auto" w:fill="FFFFFF" w:themeFill="background1"/>
            <w:noWrap/>
            <w:vAlign w:val="center"/>
            <w:hideMark/>
          </w:tcPr>
          <w:p w14:paraId="49910A2E" w14:textId="77777777" w:rsidR="00AA068C" w:rsidRPr="00BA06B6" w:rsidRDefault="00AA068C" w:rsidP="00BC341D">
            <w:pPr>
              <w:tabs>
                <w:tab w:val="left" w:pos="851"/>
              </w:tabs>
              <w:jc w:val="both"/>
              <w:rPr>
                <w:lang w:eastAsia="zh-CN"/>
              </w:rPr>
            </w:pPr>
            <w:r w:rsidRPr="00BA06B6">
              <w:rPr>
                <w:lang w:eastAsia="zh-CN"/>
              </w:rPr>
              <w:t>ROAA</w:t>
            </w:r>
          </w:p>
        </w:tc>
        <w:tc>
          <w:tcPr>
            <w:tcW w:w="613" w:type="dxa"/>
            <w:tcBorders>
              <w:top w:val="nil"/>
              <w:left w:val="nil"/>
              <w:bottom w:val="nil"/>
              <w:right w:val="nil"/>
            </w:tcBorders>
            <w:shd w:val="clear" w:color="auto" w:fill="FFFFFF" w:themeFill="background1"/>
            <w:noWrap/>
            <w:vAlign w:val="center"/>
            <w:hideMark/>
          </w:tcPr>
          <w:p w14:paraId="5C4058AE" w14:textId="77777777" w:rsidR="00AA068C" w:rsidRPr="00BA06B6" w:rsidRDefault="00AA068C" w:rsidP="00BC341D">
            <w:pPr>
              <w:tabs>
                <w:tab w:val="left" w:pos="851"/>
              </w:tabs>
              <w:jc w:val="both"/>
              <w:rPr>
                <w:lang w:eastAsia="zh-CN"/>
              </w:rPr>
            </w:pPr>
            <w:r w:rsidRPr="00BA06B6">
              <w:rPr>
                <w:lang w:eastAsia="zh-CN"/>
              </w:rPr>
              <w:t xml:space="preserve"> 0.31</w:t>
            </w:r>
            <w:r w:rsidRPr="00BA06B6">
              <w:rPr>
                <w:vertAlign w:val="superscript"/>
                <w:lang w:eastAsia="zh-CN"/>
              </w:rPr>
              <w:t>**</w:t>
            </w:r>
          </w:p>
        </w:tc>
        <w:tc>
          <w:tcPr>
            <w:tcW w:w="609" w:type="dxa"/>
            <w:tcBorders>
              <w:top w:val="nil"/>
              <w:left w:val="nil"/>
              <w:bottom w:val="nil"/>
              <w:right w:val="nil"/>
            </w:tcBorders>
            <w:shd w:val="clear" w:color="auto" w:fill="FFFFFF" w:themeFill="background1"/>
            <w:noWrap/>
            <w:vAlign w:val="center"/>
            <w:hideMark/>
          </w:tcPr>
          <w:p w14:paraId="2B97007A" w14:textId="77777777" w:rsidR="00AA068C" w:rsidRPr="00BA06B6" w:rsidRDefault="00AA068C" w:rsidP="00BC341D">
            <w:pPr>
              <w:tabs>
                <w:tab w:val="left" w:pos="851"/>
              </w:tabs>
              <w:jc w:val="both"/>
              <w:rPr>
                <w:lang w:eastAsia="zh-CN"/>
              </w:rPr>
            </w:pPr>
            <w:r w:rsidRPr="00BA06B6">
              <w:rPr>
                <w:lang w:eastAsia="zh-CN"/>
              </w:rPr>
              <w:t>-0.04</w:t>
            </w:r>
          </w:p>
        </w:tc>
        <w:tc>
          <w:tcPr>
            <w:tcW w:w="657" w:type="dxa"/>
            <w:tcBorders>
              <w:top w:val="nil"/>
              <w:left w:val="nil"/>
              <w:bottom w:val="nil"/>
              <w:right w:val="nil"/>
            </w:tcBorders>
            <w:shd w:val="clear" w:color="auto" w:fill="FFFFFF" w:themeFill="background1"/>
            <w:noWrap/>
            <w:vAlign w:val="center"/>
            <w:hideMark/>
          </w:tcPr>
          <w:p w14:paraId="5AFA060F" w14:textId="77777777" w:rsidR="00AA068C" w:rsidRPr="00BA06B6" w:rsidRDefault="00AA068C" w:rsidP="00BC341D">
            <w:pPr>
              <w:tabs>
                <w:tab w:val="left" w:pos="851"/>
              </w:tabs>
              <w:jc w:val="both"/>
              <w:rPr>
                <w:lang w:eastAsia="zh-CN"/>
              </w:rPr>
            </w:pPr>
            <w:r w:rsidRPr="00BA06B6">
              <w:rPr>
                <w:lang w:eastAsia="zh-CN"/>
              </w:rPr>
              <w:t xml:space="preserve"> 0.12</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tcPr>
          <w:p w14:paraId="44C76110" w14:textId="77777777" w:rsidR="00AA068C" w:rsidRPr="00BA06B6" w:rsidRDefault="00AA068C" w:rsidP="00BC341D">
            <w:pPr>
              <w:tabs>
                <w:tab w:val="left" w:pos="851"/>
              </w:tabs>
              <w:jc w:val="both"/>
              <w:rPr>
                <w:lang w:eastAsia="zh-CN"/>
              </w:rPr>
            </w:pPr>
          </w:p>
        </w:tc>
        <w:tc>
          <w:tcPr>
            <w:tcW w:w="657" w:type="dxa"/>
            <w:tcBorders>
              <w:top w:val="nil"/>
              <w:left w:val="nil"/>
              <w:bottom w:val="nil"/>
              <w:right w:val="nil"/>
            </w:tcBorders>
            <w:shd w:val="clear" w:color="auto" w:fill="FFFFFF" w:themeFill="background1"/>
            <w:noWrap/>
            <w:vAlign w:val="center"/>
            <w:hideMark/>
          </w:tcPr>
          <w:p w14:paraId="2FE38711" w14:textId="77777777" w:rsidR="00AA068C" w:rsidRPr="00BA06B6" w:rsidRDefault="00AA068C" w:rsidP="00BC341D">
            <w:pPr>
              <w:tabs>
                <w:tab w:val="left" w:pos="851"/>
              </w:tabs>
              <w:jc w:val="both"/>
              <w:rPr>
                <w:lang w:eastAsia="zh-CN"/>
              </w:rPr>
            </w:pPr>
            <w:r w:rsidRPr="00BA06B6">
              <w:rPr>
                <w:lang w:eastAsia="zh-CN"/>
              </w:rPr>
              <w:t xml:space="preserve"> 0.21</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6C1725D" w14:textId="77777777" w:rsidR="00AA068C" w:rsidRPr="00BA06B6" w:rsidRDefault="00AA068C" w:rsidP="00BC341D">
            <w:pPr>
              <w:tabs>
                <w:tab w:val="left" w:pos="851"/>
              </w:tabs>
              <w:jc w:val="both"/>
              <w:rPr>
                <w:lang w:eastAsia="zh-CN"/>
              </w:rPr>
            </w:pPr>
            <w:r w:rsidRPr="00BA06B6">
              <w:rPr>
                <w:lang w:eastAsia="zh-CN"/>
              </w:rPr>
              <w:t xml:space="preserve"> 0.00</w:t>
            </w:r>
          </w:p>
        </w:tc>
        <w:tc>
          <w:tcPr>
            <w:tcW w:w="657" w:type="dxa"/>
            <w:tcBorders>
              <w:top w:val="nil"/>
              <w:left w:val="nil"/>
              <w:bottom w:val="nil"/>
              <w:right w:val="nil"/>
            </w:tcBorders>
            <w:shd w:val="clear" w:color="auto" w:fill="FFFFFF" w:themeFill="background1"/>
            <w:noWrap/>
            <w:vAlign w:val="center"/>
            <w:hideMark/>
          </w:tcPr>
          <w:p w14:paraId="064D35CD" w14:textId="77777777" w:rsidR="00AA068C" w:rsidRPr="00BA06B6" w:rsidRDefault="00AA068C" w:rsidP="00BC341D">
            <w:pPr>
              <w:tabs>
                <w:tab w:val="left" w:pos="851"/>
              </w:tabs>
              <w:jc w:val="both"/>
              <w:rPr>
                <w:lang w:eastAsia="zh-CN"/>
              </w:rPr>
            </w:pPr>
            <w:r w:rsidRPr="00BA06B6">
              <w:rPr>
                <w:lang w:eastAsia="zh-CN"/>
              </w:rPr>
              <w:t>-0.44</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B15AF0C" w14:textId="77777777" w:rsidR="00AA068C" w:rsidRPr="00BA06B6" w:rsidRDefault="00AA068C" w:rsidP="00BC341D">
            <w:pPr>
              <w:tabs>
                <w:tab w:val="left" w:pos="851"/>
              </w:tabs>
              <w:jc w:val="both"/>
              <w:rPr>
                <w:lang w:eastAsia="zh-CN"/>
              </w:rPr>
            </w:pPr>
            <w:r w:rsidRPr="00BA06B6">
              <w:rPr>
                <w:lang w:eastAsia="zh-CN"/>
              </w:rPr>
              <w:t xml:space="preserve"> 0.14</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hideMark/>
          </w:tcPr>
          <w:p w14:paraId="69E93453" w14:textId="77777777" w:rsidR="00AA068C" w:rsidRPr="00BA06B6" w:rsidRDefault="00AA068C" w:rsidP="00BC341D">
            <w:pPr>
              <w:tabs>
                <w:tab w:val="left" w:pos="851"/>
              </w:tabs>
              <w:jc w:val="both"/>
              <w:rPr>
                <w:lang w:eastAsia="zh-CN"/>
              </w:rPr>
            </w:pPr>
            <w:r w:rsidRPr="00BA06B6">
              <w:rPr>
                <w:lang w:eastAsia="zh-CN"/>
              </w:rPr>
              <w:t>-0.15</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hideMark/>
          </w:tcPr>
          <w:p w14:paraId="3289539B" w14:textId="77777777" w:rsidR="00AA068C" w:rsidRPr="00BA06B6" w:rsidRDefault="00AA068C" w:rsidP="00BC341D">
            <w:pPr>
              <w:tabs>
                <w:tab w:val="left" w:pos="851"/>
              </w:tabs>
              <w:jc w:val="both"/>
              <w:rPr>
                <w:lang w:eastAsia="zh-CN"/>
              </w:rPr>
            </w:pPr>
            <w:r w:rsidRPr="00BA06B6">
              <w:rPr>
                <w:lang w:eastAsia="zh-CN"/>
              </w:rPr>
              <w:t xml:space="preserve"> 0.05</w:t>
            </w:r>
          </w:p>
        </w:tc>
        <w:tc>
          <w:tcPr>
            <w:tcW w:w="657" w:type="dxa"/>
            <w:tcBorders>
              <w:top w:val="nil"/>
              <w:left w:val="nil"/>
              <w:bottom w:val="nil"/>
              <w:right w:val="nil"/>
            </w:tcBorders>
            <w:shd w:val="clear" w:color="auto" w:fill="FFFFFF" w:themeFill="background1"/>
            <w:noWrap/>
            <w:vAlign w:val="center"/>
            <w:hideMark/>
          </w:tcPr>
          <w:p w14:paraId="59593A06" w14:textId="77777777" w:rsidR="00AA068C" w:rsidRPr="00BA06B6" w:rsidRDefault="00AA068C" w:rsidP="00BC341D">
            <w:pPr>
              <w:tabs>
                <w:tab w:val="left" w:pos="851"/>
              </w:tabs>
              <w:jc w:val="both"/>
              <w:rPr>
                <w:lang w:eastAsia="zh-CN"/>
              </w:rPr>
            </w:pPr>
            <w:r w:rsidRPr="00BA06B6">
              <w:rPr>
                <w:lang w:eastAsia="zh-CN"/>
              </w:rPr>
              <w:t>-0.16</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F13D46A" w14:textId="77777777" w:rsidR="00AA068C" w:rsidRPr="00BA06B6" w:rsidRDefault="00AA068C" w:rsidP="00BC341D">
            <w:pPr>
              <w:tabs>
                <w:tab w:val="left" w:pos="851"/>
              </w:tabs>
              <w:jc w:val="both"/>
              <w:rPr>
                <w:lang w:eastAsia="zh-CN"/>
              </w:rPr>
            </w:pPr>
            <w:r w:rsidRPr="00BA06B6">
              <w:rPr>
                <w:lang w:eastAsia="zh-CN"/>
              </w:rPr>
              <w:t>-0.06</w:t>
            </w:r>
          </w:p>
        </w:tc>
        <w:tc>
          <w:tcPr>
            <w:tcW w:w="657" w:type="dxa"/>
            <w:tcBorders>
              <w:top w:val="nil"/>
              <w:left w:val="nil"/>
              <w:bottom w:val="nil"/>
              <w:right w:val="nil"/>
            </w:tcBorders>
            <w:shd w:val="clear" w:color="auto" w:fill="FFFFFF" w:themeFill="background1"/>
            <w:noWrap/>
            <w:vAlign w:val="center"/>
            <w:hideMark/>
          </w:tcPr>
          <w:p w14:paraId="46C8D75A" w14:textId="77777777" w:rsidR="00AA068C" w:rsidRPr="00BA06B6" w:rsidRDefault="00AA068C" w:rsidP="00BC341D">
            <w:pPr>
              <w:tabs>
                <w:tab w:val="left" w:pos="851"/>
              </w:tabs>
              <w:jc w:val="both"/>
              <w:rPr>
                <w:lang w:eastAsia="zh-CN"/>
              </w:rPr>
            </w:pPr>
            <w:r w:rsidRPr="00BA06B6">
              <w:rPr>
                <w:lang w:eastAsia="zh-CN"/>
              </w:rPr>
              <w:t>-0.04</w:t>
            </w:r>
          </w:p>
        </w:tc>
        <w:tc>
          <w:tcPr>
            <w:tcW w:w="657" w:type="dxa"/>
            <w:tcBorders>
              <w:top w:val="nil"/>
              <w:left w:val="nil"/>
              <w:bottom w:val="nil"/>
              <w:right w:val="nil"/>
            </w:tcBorders>
            <w:shd w:val="clear" w:color="auto" w:fill="FFFFFF" w:themeFill="background1"/>
            <w:noWrap/>
            <w:vAlign w:val="center"/>
            <w:hideMark/>
          </w:tcPr>
          <w:p w14:paraId="21FA604E" w14:textId="77777777" w:rsidR="00AA068C" w:rsidRPr="00BA06B6" w:rsidRDefault="00AA068C" w:rsidP="00BC341D">
            <w:pPr>
              <w:tabs>
                <w:tab w:val="left" w:pos="851"/>
              </w:tabs>
              <w:jc w:val="both"/>
              <w:rPr>
                <w:lang w:eastAsia="zh-CN"/>
              </w:rPr>
            </w:pPr>
            <w:r w:rsidRPr="00BA06B6">
              <w:rPr>
                <w:lang w:eastAsia="zh-CN"/>
              </w:rPr>
              <w:t>-0.07</w:t>
            </w:r>
          </w:p>
        </w:tc>
        <w:tc>
          <w:tcPr>
            <w:tcW w:w="657" w:type="dxa"/>
            <w:tcBorders>
              <w:top w:val="nil"/>
              <w:left w:val="nil"/>
              <w:bottom w:val="nil"/>
              <w:right w:val="nil"/>
            </w:tcBorders>
            <w:shd w:val="clear" w:color="auto" w:fill="FFFFFF" w:themeFill="background1"/>
            <w:noWrap/>
            <w:vAlign w:val="center"/>
            <w:hideMark/>
          </w:tcPr>
          <w:p w14:paraId="1D4D4430" w14:textId="77777777" w:rsidR="00AA068C" w:rsidRPr="00BA06B6" w:rsidRDefault="00AA068C" w:rsidP="00BC341D">
            <w:pPr>
              <w:tabs>
                <w:tab w:val="left" w:pos="851"/>
              </w:tabs>
              <w:jc w:val="both"/>
              <w:rPr>
                <w:lang w:eastAsia="zh-CN"/>
              </w:rPr>
            </w:pPr>
            <w:r w:rsidRPr="00BA06B6">
              <w:rPr>
                <w:lang w:eastAsia="zh-CN"/>
              </w:rPr>
              <w:t>-0.01</w:t>
            </w:r>
          </w:p>
        </w:tc>
        <w:tc>
          <w:tcPr>
            <w:tcW w:w="657" w:type="dxa"/>
            <w:tcBorders>
              <w:top w:val="nil"/>
              <w:left w:val="nil"/>
              <w:bottom w:val="nil"/>
              <w:right w:val="nil"/>
            </w:tcBorders>
            <w:shd w:val="clear" w:color="auto" w:fill="FFFFFF" w:themeFill="background1"/>
            <w:noWrap/>
            <w:vAlign w:val="center"/>
            <w:hideMark/>
          </w:tcPr>
          <w:p w14:paraId="383DB397" w14:textId="77777777" w:rsidR="00AA068C" w:rsidRPr="00BA06B6" w:rsidRDefault="00AA068C" w:rsidP="00BC341D">
            <w:pPr>
              <w:tabs>
                <w:tab w:val="left" w:pos="851"/>
              </w:tabs>
              <w:jc w:val="both"/>
              <w:rPr>
                <w:lang w:eastAsia="zh-CN"/>
              </w:rPr>
            </w:pPr>
            <w:r w:rsidRPr="00BA06B6">
              <w:rPr>
                <w:lang w:eastAsia="zh-CN"/>
              </w:rPr>
              <w:t>-0.04</w:t>
            </w:r>
          </w:p>
        </w:tc>
        <w:tc>
          <w:tcPr>
            <w:tcW w:w="657" w:type="dxa"/>
            <w:tcBorders>
              <w:top w:val="nil"/>
              <w:left w:val="nil"/>
              <w:bottom w:val="nil"/>
              <w:right w:val="nil"/>
            </w:tcBorders>
            <w:shd w:val="clear" w:color="auto" w:fill="FFFFFF" w:themeFill="background1"/>
            <w:noWrap/>
            <w:vAlign w:val="center"/>
            <w:hideMark/>
          </w:tcPr>
          <w:p w14:paraId="321F6CA4" w14:textId="77777777" w:rsidR="00AA068C" w:rsidRPr="00BA06B6" w:rsidRDefault="00AA068C" w:rsidP="00BC341D">
            <w:pPr>
              <w:tabs>
                <w:tab w:val="left" w:pos="851"/>
              </w:tabs>
              <w:jc w:val="both"/>
              <w:rPr>
                <w:lang w:eastAsia="zh-CN"/>
              </w:rPr>
            </w:pPr>
            <w:r w:rsidRPr="00BA06B6">
              <w:rPr>
                <w:lang w:eastAsia="zh-CN"/>
              </w:rPr>
              <w:t>-0.06</w:t>
            </w:r>
          </w:p>
        </w:tc>
        <w:tc>
          <w:tcPr>
            <w:tcW w:w="657" w:type="dxa"/>
            <w:tcBorders>
              <w:top w:val="nil"/>
              <w:left w:val="nil"/>
              <w:bottom w:val="nil"/>
              <w:right w:val="nil"/>
            </w:tcBorders>
            <w:shd w:val="clear" w:color="auto" w:fill="FFFFFF" w:themeFill="background1"/>
            <w:noWrap/>
            <w:vAlign w:val="center"/>
            <w:hideMark/>
          </w:tcPr>
          <w:p w14:paraId="7A979FAC" w14:textId="77777777" w:rsidR="00AA068C" w:rsidRPr="00BA06B6" w:rsidRDefault="00AA068C" w:rsidP="00BC341D">
            <w:pPr>
              <w:tabs>
                <w:tab w:val="left" w:pos="851"/>
              </w:tabs>
              <w:jc w:val="both"/>
              <w:rPr>
                <w:lang w:eastAsia="zh-CN"/>
              </w:rPr>
            </w:pPr>
            <w:r w:rsidRPr="00BA06B6">
              <w:rPr>
                <w:lang w:eastAsia="zh-CN"/>
              </w:rPr>
              <w:t xml:space="preserve"> 0.17</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25D5905B" w14:textId="77777777" w:rsidR="00AA068C" w:rsidRPr="00BA06B6" w:rsidRDefault="00AA068C" w:rsidP="00BC341D">
            <w:pPr>
              <w:tabs>
                <w:tab w:val="left" w:pos="851"/>
              </w:tabs>
              <w:jc w:val="both"/>
              <w:rPr>
                <w:lang w:eastAsia="zh-CN"/>
              </w:rPr>
            </w:pPr>
            <w:r w:rsidRPr="00BA06B6">
              <w:rPr>
                <w:lang w:eastAsia="zh-CN"/>
              </w:rPr>
              <w:t xml:space="preserve"> 0.17</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0D0FCB1A" w14:textId="77777777" w:rsidR="00AA068C" w:rsidRPr="00BA06B6" w:rsidRDefault="00AA068C" w:rsidP="00BC341D">
            <w:pPr>
              <w:tabs>
                <w:tab w:val="left" w:pos="851"/>
              </w:tabs>
              <w:jc w:val="both"/>
              <w:rPr>
                <w:lang w:eastAsia="zh-CN"/>
              </w:rPr>
            </w:pPr>
            <w:r w:rsidRPr="00BA06B6">
              <w:rPr>
                <w:lang w:eastAsia="zh-CN"/>
              </w:rPr>
              <w:t xml:space="preserve"> 0.01</w:t>
            </w:r>
          </w:p>
        </w:tc>
        <w:tc>
          <w:tcPr>
            <w:tcW w:w="611" w:type="dxa"/>
            <w:gridSpan w:val="2"/>
            <w:tcBorders>
              <w:top w:val="nil"/>
              <w:left w:val="nil"/>
              <w:bottom w:val="nil"/>
              <w:right w:val="nil"/>
            </w:tcBorders>
            <w:shd w:val="clear" w:color="auto" w:fill="FFFFFF" w:themeFill="background1"/>
            <w:noWrap/>
            <w:vAlign w:val="center"/>
            <w:hideMark/>
          </w:tcPr>
          <w:p w14:paraId="31EF6855" w14:textId="77777777" w:rsidR="00AA068C" w:rsidRPr="00BA06B6" w:rsidRDefault="00AA068C" w:rsidP="00BC341D">
            <w:pPr>
              <w:tabs>
                <w:tab w:val="left" w:pos="851"/>
              </w:tabs>
              <w:jc w:val="both"/>
              <w:rPr>
                <w:lang w:eastAsia="zh-CN"/>
              </w:rPr>
            </w:pPr>
            <w:r w:rsidRPr="00BA06B6">
              <w:rPr>
                <w:lang w:eastAsia="zh-CN"/>
              </w:rPr>
              <w:t xml:space="preserve"> 0.15</w:t>
            </w:r>
            <w:r w:rsidRPr="00BA06B6">
              <w:rPr>
                <w:vertAlign w:val="superscript"/>
                <w:lang w:eastAsia="zh-CN"/>
              </w:rPr>
              <w:t>**</w:t>
            </w:r>
          </w:p>
        </w:tc>
      </w:tr>
      <w:tr w:rsidR="00BA06B6" w:rsidRPr="00BA06B6" w14:paraId="07767A21" w14:textId="77777777" w:rsidTr="004137CB">
        <w:trPr>
          <w:trHeight w:val="288"/>
          <w:jc w:val="center"/>
        </w:trPr>
        <w:tc>
          <w:tcPr>
            <w:tcW w:w="880" w:type="dxa"/>
            <w:tcBorders>
              <w:top w:val="nil"/>
              <w:left w:val="nil"/>
              <w:bottom w:val="nil"/>
              <w:right w:val="nil"/>
            </w:tcBorders>
            <w:shd w:val="clear" w:color="auto" w:fill="FFFFFF" w:themeFill="background1"/>
            <w:noWrap/>
            <w:vAlign w:val="center"/>
            <w:hideMark/>
          </w:tcPr>
          <w:p w14:paraId="49FA673A" w14:textId="77777777" w:rsidR="00AA068C" w:rsidRPr="00BA06B6" w:rsidRDefault="00AA068C" w:rsidP="00BC341D">
            <w:pPr>
              <w:tabs>
                <w:tab w:val="left" w:pos="851"/>
              </w:tabs>
              <w:jc w:val="both"/>
              <w:rPr>
                <w:lang w:eastAsia="zh-CN"/>
              </w:rPr>
            </w:pPr>
            <w:r w:rsidRPr="00BA06B6">
              <w:rPr>
                <w:lang w:eastAsia="zh-CN"/>
              </w:rPr>
              <w:t>INCD</w:t>
            </w:r>
          </w:p>
        </w:tc>
        <w:tc>
          <w:tcPr>
            <w:tcW w:w="613" w:type="dxa"/>
            <w:tcBorders>
              <w:top w:val="nil"/>
              <w:left w:val="nil"/>
              <w:bottom w:val="nil"/>
              <w:right w:val="nil"/>
            </w:tcBorders>
            <w:shd w:val="clear" w:color="auto" w:fill="FFFFFF" w:themeFill="background1"/>
            <w:noWrap/>
            <w:vAlign w:val="center"/>
            <w:hideMark/>
          </w:tcPr>
          <w:p w14:paraId="2656EF9E" w14:textId="77777777" w:rsidR="00AA068C" w:rsidRPr="00BA06B6" w:rsidRDefault="00AA068C" w:rsidP="00BC341D">
            <w:pPr>
              <w:tabs>
                <w:tab w:val="left" w:pos="851"/>
              </w:tabs>
              <w:jc w:val="both"/>
              <w:rPr>
                <w:lang w:eastAsia="zh-CN"/>
              </w:rPr>
            </w:pPr>
            <w:r w:rsidRPr="00BA06B6">
              <w:rPr>
                <w:lang w:eastAsia="zh-CN"/>
              </w:rPr>
              <w:t xml:space="preserve"> 0.06</w:t>
            </w:r>
          </w:p>
        </w:tc>
        <w:tc>
          <w:tcPr>
            <w:tcW w:w="609" w:type="dxa"/>
            <w:tcBorders>
              <w:top w:val="nil"/>
              <w:left w:val="nil"/>
              <w:bottom w:val="nil"/>
              <w:right w:val="nil"/>
            </w:tcBorders>
            <w:shd w:val="clear" w:color="auto" w:fill="FFFFFF" w:themeFill="background1"/>
            <w:noWrap/>
            <w:vAlign w:val="center"/>
            <w:hideMark/>
          </w:tcPr>
          <w:p w14:paraId="7033482D" w14:textId="77777777" w:rsidR="00AA068C" w:rsidRPr="00BA06B6" w:rsidRDefault="00AA068C" w:rsidP="00BC341D">
            <w:pPr>
              <w:tabs>
                <w:tab w:val="left" w:pos="851"/>
              </w:tabs>
              <w:jc w:val="both"/>
              <w:rPr>
                <w:lang w:eastAsia="zh-CN"/>
              </w:rPr>
            </w:pPr>
            <w:r w:rsidRPr="00BA06B6">
              <w:rPr>
                <w:lang w:eastAsia="zh-CN"/>
              </w:rPr>
              <w:t>-0.08</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A64E6FF" w14:textId="77777777" w:rsidR="00AA068C" w:rsidRPr="00BA06B6" w:rsidRDefault="00AA068C" w:rsidP="00BC341D">
            <w:pPr>
              <w:tabs>
                <w:tab w:val="left" w:pos="851"/>
              </w:tabs>
              <w:jc w:val="both"/>
              <w:rPr>
                <w:lang w:eastAsia="zh-CN"/>
              </w:rPr>
            </w:pPr>
            <w:r w:rsidRPr="00BA06B6">
              <w:rPr>
                <w:lang w:eastAsia="zh-CN"/>
              </w:rPr>
              <w:t xml:space="preserve"> 0.07</w:t>
            </w:r>
          </w:p>
        </w:tc>
        <w:tc>
          <w:tcPr>
            <w:tcW w:w="657" w:type="dxa"/>
            <w:tcBorders>
              <w:top w:val="nil"/>
              <w:left w:val="nil"/>
              <w:bottom w:val="nil"/>
              <w:right w:val="nil"/>
            </w:tcBorders>
            <w:shd w:val="clear" w:color="auto" w:fill="FFFFFF" w:themeFill="background1"/>
            <w:noWrap/>
            <w:vAlign w:val="center"/>
            <w:hideMark/>
          </w:tcPr>
          <w:p w14:paraId="0BFEC032" w14:textId="77777777" w:rsidR="00AA068C" w:rsidRPr="00BA06B6" w:rsidRDefault="00AA068C" w:rsidP="00BC341D">
            <w:pPr>
              <w:tabs>
                <w:tab w:val="left" w:pos="851"/>
              </w:tabs>
              <w:jc w:val="both"/>
              <w:rPr>
                <w:lang w:eastAsia="zh-CN"/>
              </w:rPr>
            </w:pPr>
            <w:r w:rsidRPr="00BA06B6">
              <w:rPr>
                <w:lang w:eastAsia="zh-CN"/>
              </w:rPr>
              <w:t xml:space="preserve"> 0.08</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tcPr>
          <w:p w14:paraId="472005DF" w14:textId="77777777" w:rsidR="00AA068C" w:rsidRPr="00BA06B6" w:rsidRDefault="00AA068C" w:rsidP="00BC341D">
            <w:pPr>
              <w:tabs>
                <w:tab w:val="left" w:pos="851"/>
              </w:tabs>
              <w:jc w:val="both"/>
              <w:rPr>
                <w:lang w:eastAsia="zh-CN"/>
              </w:rPr>
            </w:pPr>
          </w:p>
        </w:tc>
        <w:tc>
          <w:tcPr>
            <w:tcW w:w="657" w:type="dxa"/>
            <w:tcBorders>
              <w:top w:val="nil"/>
              <w:left w:val="nil"/>
              <w:bottom w:val="nil"/>
              <w:right w:val="nil"/>
            </w:tcBorders>
            <w:shd w:val="clear" w:color="auto" w:fill="FFFFFF" w:themeFill="background1"/>
            <w:noWrap/>
            <w:vAlign w:val="center"/>
            <w:hideMark/>
          </w:tcPr>
          <w:p w14:paraId="328E0F55" w14:textId="77777777" w:rsidR="00AA068C" w:rsidRPr="00BA06B6" w:rsidRDefault="00AA068C" w:rsidP="00BC341D">
            <w:pPr>
              <w:tabs>
                <w:tab w:val="left" w:pos="851"/>
              </w:tabs>
              <w:jc w:val="both"/>
              <w:rPr>
                <w:lang w:eastAsia="zh-CN"/>
              </w:rPr>
            </w:pPr>
            <w:r w:rsidRPr="00BA06B6">
              <w:rPr>
                <w:lang w:eastAsia="zh-CN"/>
              </w:rPr>
              <w:t>-0.02</w:t>
            </w:r>
          </w:p>
        </w:tc>
        <w:tc>
          <w:tcPr>
            <w:tcW w:w="657" w:type="dxa"/>
            <w:tcBorders>
              <w:top w:val="nil"/>
              <w:left w:val="nil"/>
              <w:bottom w:val="nil"/>
              <w:right w:val="nil"/>
            </w:tcBorders>
            <w:shd w:val="clear" w:color="auto" w:fill="FFFFFF" w:themeFill="background1"/>
            <w:noWrap/>
            <w:vAlign w:val="center"/>
            <w:hideMark/>
          </w:tcPr>
          <w:p w14:paraId="0EEF091F" w14:textId="77777777" w:rsidR="00AA068C" w:rsidRPr="00BA06B6" w:rsidRDefault="00AA068C" w:rsidP="00BC341D">
            <w:pPr>
              <w:tabs>
                <w:tab w:val="left" w:pos="851"/>
              </w:tabs>
              <w:jc w:val="both"/>
              <w:rPr>
                <w:lang w:eastAsia="zh-CN"/>
              </w:rPr>
            </w:pPr>
            <w:r w:rsidRPr="00BA06B6">
              <w:rPr>
                <w:lang w:eastAsia="zh-CN"/>
              </w:rPr>
              <w:t xml:space="preserve"> 0.11</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033DAA8E" w14:textId="77777777" w:rsidR="00AA068C" w:rsidRPr="00BA06B6" w:rsidRDefault="00AA068C" w:rsidP="00BC341D">
            <w:pPr>
              <w:tabs>
                <w:tab w:val="left" w:pos="851"/>
              </w:tabs>
              <w:jc w:val="both"/>
              <w:rPr>
                <w:lang w:eastAsia="zh-CN"/>
              </w:rPr>
            </w:pPr>
            <w:r w:rsidRPr="00BA06B6">
              <w:rPr>
                <w:lang w:eastAsia="zh-CN"/>
              </w:rPr>
              <w:t xml:space="preserve"> 0.02</w:t>
            </w:r>
          </w:p>
        </w:tc>
        <w:tc>
          <w:tcPr>
            <w:tcW w:w="704" w:type="dxa"/>
            <w:tcBorders>
              <w:top w:val="nil"/>
              <w:left w:val="nil"/>
              <w:bottom w:val="nil"/>
              <w:right w:val="nil"/>
            </w:tcBorders>
            <w:shd w:val="clear" w:color="auto" w:fill="FFFFFF" w:themeFill="background1"/>
            <w:noWrap/>
            <w:vAlign w:val="center"/>
            <w:hideMark/>
          </w:tcPr>
          <w:p w14:paraId="6FC4B737" w14:textId="77777777" w:rsidR="00AA068C" w:rsidRPr="00BA06B6" w:rsidRDefault="00AA068C" w:rsidP="00BC341D">
            <w:pPr>
              <w:tabs>
                <w:tab w:val="left" w:pos="851"/>
              </w:tabs>
              <w:jc w:val="both"/>
              <w:rPr>
                <w:lang w:eastAsia="zh-CN"/>
              </w:rPr>
            </w:pPr>
            <w:r w:rsidRPr="00BA06B6">
              <w:rPr>
                <w:lang w:eastAsia="zh-CN"/>
              </w:rPr>
              <w:t>-0.05</w:t>
            </w:r>
          </w:p>
        </w:tc>
        <w:tc>
          <w:tcPr>
            <w:tcW w:w="704" w:type="dxa"/>
            <w:tcBorders>
              <w:top w:val="nil"/>
              <w:left w:val="nil"/>
              <w:bottom w:val="nil"/>
              <w:right w:val="nil"/>
            </w:tcBorders>
            <w:shd w:val="clear" w:color="auto" w:fill="FFFFFF" w:themeFill="background1"/>
            <w:noWrap/>
            <w:vAlign w:val="center"/>
            <w:hideMark/>
          </w:tcPr>
          <w:p w14:paraId="68B5AA92" w14:textId="77777777" w:rsidR="00AA068C" w:rsidRPr="00BA06B6" w:rsidRDefault="00AA068C" w:rsidP="00BC341D">
            <w:pPr>
              <w:tabs>
                <w:tab w:val="left" w:pos="851"/>
              </w:tabs>
              <w:jc w:val="both"/>
              <w:rPr>
                <w:lang w:eastAsia="zh-CN"/>
              </w:rPr>
            </w:pPr>
            <w:r w:rsidRPr="00BA06B6">
              <w:rPr>
                <w:lang w:eastAsia="zh-CN"/>
              </w:rPr>
              <w:t>-0.04</w:t>
            </w:r>
          </w:p>
        </w:tc>
        <w:tc>
          <w:tcPr>
            <w:tcW w:w="657" w:type="dxa"/>
            <w:tcBorders>
              <w:top w:val="nil"/>
              <w:left w:val="nil"/>
              <w:bottom w:val="nil"/>
              <w:right w:val="nil"/>
            </w:tcBorders>
            <w:shd w:val="clear" w:color="auto" w:fill="FFFFFF" w:themeFill="background1"/>
            <w:noWrap/>
            <w:vAlign w:val="center"/>
            <w:hideMark/>
          </w:tcPr>
          <w:p w14:paraId="1C5DA20C" w14:textId="77777777" w:rsidR="00AA068C" w:rsidRPr="00BA06B6" w:rsidRDefault="00AA068C" w:rsidP="00BC341D">
            <w:pPr>
              <w:tabs>
                <w:tab w:val="left" w:pos="851"/>
              </w:tabs>
              <w:jc w:val="both"/>
              <w:rPr>
                <w:lang w:eastAsia="zh-CN"/>
              </w:rPr>
            </w:pPr>
            <w:r w:rsidRPr="00BA06B6">
              <w:rPr>
                <w:lang w:eastAsia="zh-CN"/>
              </w:rPr>
              <w:t xml:space="preserve"> 0.00</w:t>
            </w:r>
          </w:p>
        </w:tc>
        <w:tc>
          <w:tcPr>
            <w:tcW w:w="657" w:type="dxa"/>
            <w:tcBorders>
              <w:top w:val="nil"/>
              <w:left w:val="nil"/>
              <w:bottom w:val="nil"/>
              <w:right w:val="nil"/>
            </w:tcBorders>
            <w:shd w:val="clear" w:color="auto" w:fill="FFFFFF" w:themeFill="background1"/>
            <w:noWrap/>
            <w:vAlign w:val="center"/>
            <w:hideMark/>
          </w:tcPr>
          <w:p w14:paraId="4F1E5544" w14:textId="77777777" w:rsidR="00AA068C" w:rsidRPr="00BA06B6" w:rsidRDefault="00AA068C" w:rsidP="00BC341D">
            <w:pPr>
              <w:tabs>
                <w:tab w:val="left" w:pos="851"/>
              </w:tabs>
              <w:jc w:val="both"/>
              <w:rPr>
                <w:lang w:eastAsia="zh-CN"/>
              </w:rPr>
            </w:pPr>
            <w:r w:rsidRPr="00BA06B6">
              <w:rPr>
                <w:lang w:eastAsia="zh-CN"/>
              </w:rPr>
              <w:t>-0.09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9B9E04D" w14:textId="77777777" w:rsidR="00AA068C" w:rsidRPr="00BA06B6" w:rsidRDefault="00AA068C" w:rsidP="00BC341D">
            <w:pPr>
              <w:tabs>
                <w:tab w:val="left" w:pos="851"/>
              </w:tabs>
              <w:jc w:val="both"/>
              <w:rPr>
                <w:lang w:eastAsia="zh-CN"/>
              </w:rPr>
            </w:pPr>
            <w:r w:rsidRPr="00BA06B6">
              <w:rPr>
                <w:lang w:eastAsia="zh-CN"/>
              </w:rPr>
              <w:t xml:space="preserve"> 0.00</w:t>
            </w:r>
          </w:p>
        </w:tc>
        <w:tc>
          <w:tcPr>
            <w:tcW w:w="657" w:type="dxa"/>
            <w:tcBorders>
              <w:top w:val="nil"/>
              <w:left w:val="nil"/>
              <w:bottom w:val="nil"/>
              <w:right w:val="nil"/>
            </w:tcBorders>
            <w:shd w:val="clear" w:color="auto" w:fill="FFFFFF" w:themeFill="background1"/>
            <w:noWrap/>
            <w:vAlign w:val="center"/>
            <w:hideMark/>
          </w:tcPr>
          <w:p w14:paraId="4ADED891" w14:textId="77777777" w:rsidR="00AA068C" w:rsidRPr="00BA06B6" w:rsidRDefault="00AA068C" w:rsidP="00BC341D">
            <w:pPr>
              <w:tabs>
                <w:tab w:val="left" w:pos="851"/>
              </w:tabs>
              <w:jc w:val="both"/>
              <w:rPr>
                <w:lang w:eastAsia="zh-CN"/>
              </w:rPr>
            </w:pPr>
            <w:r w:rsidRPr="00BA06B6">
              <w:rPr>
                <w:lang w:eastAsia="zh-CN"/>
              </w:rPr>
              <w:t xml:space="preserve"> 0.04</w:t>
            </w:r>
          </w:p>
        </w:tc>
        <w:tc>
          <w:tcPr>
            <w:tcW w:w="657" w:type="dxa"/>
            <w:tcBorders>
              <w:top w:val="nil"/>
              <w:left w:val="nil"/>
              <w:bottom w:val="nil"/>
              <w:right w:val="nil"/>
            </w:tcBorders>
            <w:shd w:val="clear" w:color="auto" w:fill="FFFFFF" w:themeFill="background1"/>
            <w:noWrap/>
            <w:vAlign w:val="center"/>
            <w:hideMark/>
          </w:tcPr>
          <w:p w14:paraId="62271069" w14:textId="77777777" w:rsidR="00AA068C" w:rsidRPr="00BA06B6" w:rsidRDefault="00AA068C" w:rsidP="00BC341D">
            <w:pPr>
              <w:tabs>
                <w:tab w:val="left" w:pos="851"/>
              </w:tabs>
              <w:jc w:val="both"/>
              <w:rPr>
                <w:lang w:eastAsia="zh-CN"/>
              </w:rPr>
            </w:pPr>
            <w:r w:rsidRPr="00BA06B6">
              <w:rPr>
                <w:lang w:eastAsia="zh-CN"/>
              </w:rPr>
              <w:t>-0.01</w:t>
            </w:r>
          </w:p>
        </w:tc>
        <w:tc>
          <w:tcPr>
            <w:tcW w:w="657" w:type="dxa"/>
            <w:tcBorders>
              <w:top w:val="nil"/>
              <w:left w:val="nil"/>
              <w:bottom w:val="nil"/>
              <w:right w:val="nil"/>
            </w:tcBorders>
            <w:shd w:val="clear" w:color="auto" w:fill="FFFFFF" w:themeFill="background1"/>
            <w:noWrap/>
            <w:vAlign w:val="center"/>
            <w:hideMark/>
          </w:tcPr>
          <w:p w14:paraId="0FAD6EE7" w14:textId="77777777" w:rsidR="00AA068C" w:rsidRPr="00BA06B6" w:rsidRDefault="00AA068C" w:rsidP="00BC341D">
            <w:pPr>
              <w:tabs>
                <w:tab w:val="left" w:pos="851"/>
              </w:tabs>
              <w:jc w:val="both"/>
              <w:rPr>
                <w:lang w:eastAsia="zh-CN"/>
              </w:rPr>
            </w:pPr>
            <w:r w:rsidRPr="00BA06B6">
              <w:rPr>
                <w:lang w:eastAsia="zh-CN"/>
              </w:rPr>
              <w:t xml:space="preserve"> 0.16</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0B8456D5" w14:textId="77777777" w:rsidR="00AA068C" w:rsidRPr="00BA06B6" w:rsidRDefault="00AA068C" w:rsidP="00BC341D">
            <w:pPr>
              <w:tabs>
                <w:tab w:val="left" w:pos="851"/>
              </w:tabs>
              <w:jc w:val="both"/>
              <w:rPr>
                <w:lang w:eastAsia="zh-CN"/>
              </w:rPr>
            </w:pPr>
            <w:r w:rsidRPr="00BA06B6">
              <w:rPr>
                <w:lang w:eastAsia="zh-CN"/>
              </w:rPr>
              <w:t>-0.05</w:t>
            </w:r>
          </w:p>
        </w:tc>
        <w:tc>
          <w:tcPr>
            <w:tcW w:w="657" w:type="dxa"/>
            <w:tcBorders>
              <w:top w:val="nil"/>
              <w:left w:val="nil"/>
              <w:bottom w:val="nil"/>
              <w:right w:val="nil"/>
            </w:tcBorders>
            <w:shd w:val="clear" w:color="auto" w:fill="FFFFFF" w:themeFill="background1"/>
            <w:noWrap/>
            <w:vAlign w:val="center"/>
            <w:hideMark/>
          </w:tcPr>
          <w:p w14:paraId="6F03E4B8" w14:textId="77777777" w:rsidR="00AA068C" w:rsidRPr="00BA06B6" w:rsidRDefault="00AA068C" w:rsidP="00BC341D">
            <w:pPr>
              <w:tabs>
                <w:tab w:val="left" w:pos="851"/>
              </w:tabs>
              <w:jc w:val="both"/>
              <w:rPr>
                <w:lang w:eastAsia="zh-CN"/>
              </w:rPr>
            </w:pPr>
            <w:r w:rsidRPr="00BA06B6">
              <w:rPr>
                <w:lang w:eastAsia="zh-CN"/>
              </w:rPr>
              <w:t xml:space="preserve"> 0.10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036A61A8" w14:textId="77777777" w:rsidR="00AA068C" w:rsidRPr="00BA06B6" w:rsidRDefault="00AA068C" w:rsidP="00BC341D">
            <w:pPr>
              <w:tabs>
                <w:tab w:val="left" w:pos="851"/>
              </w:tabs>
              <w:jc w:val="both"/>
              <w:rPr>
                <w:lang w:eastAsia="zh-CN"/>
              </w:rPr>
            </w:pPr>
            <w:r w:rsidRPr="00BA06B6">
              <w:rPr>
                <w:lang w:eastAsia="zh-CN"/>
              </w:rPr>
              <w:t>-0.02</w:t>
            </w:r>
          </w:p>
        </w:tc>
        <w:tc>
          <w:tcPr>
            <w:tcW w:w="657" w:type="dxa"/>
            <w:tcBorders>
              <w:top w:val="nil"/>
              <w:left w:val="nil"/>
              <w:bottom w:val="nil"/>
              <w:right w:val="nil"/>
            </w:tcBorders>
            <w:shd w:val="clear" w:color="auto" w:fill="FFFFFF" w:themeFill="background1"/>
            <w:noWrap/>
            <w:vAlign w:val="center"/>
            <w:hideMark/>
          </w:tcPr>
          <w:p w14:paraId="2331126B" w14:textId="77777777" w:rsidR="00AA068C" w:rsidRPr="00BA06B6" w:rsidRDefault="00AA068C" w:rsidP="00BC341D">
            <w:pPr>
              <w:tabs>
                <w:tab w:val="left" w:pos="851"/>
              </w:tabs>
              <w:jc w:val="both"/>
              <w:rPr>
                <w:lang w:eastAsia="zh-CN"/>
              </w:rPr>
            </w:pPr>
            <w:r w:rsidRPr="00BA06B6">
              <w:rPr>
                <w:lang w:eastAsia="zh-CN"/>
              </w:rPr>
              <w:t xml:space="preserve"> 0.06</w:t>
            </w:r>
            <w:r w:rsidRPr="00BA06B6">
              <w:rPr>
                <w:vertAlign w:val="superscript"/>
                <w:lang w:eastAsia="zh-CN"/>
              </w:rPr>
              <w:t>**</w:t>
            </w:r>
          </w:p>
        </w:tc>
        <w:tc>
          <w:tcPr>
            <w:tcW w:w="611" w:type="dxa"/>
            <w:gridSpan w:val="2"/>
            <w:tcBorders>
              <w:top w:val="nil"/>
              <w:left w:val="nil"/>
              <w:bottom w:val="nil"/>
              <w:right w:val="nil"/>
            </w:tcBorders>
            <w:shd w:val="clear" w:color="auto" w:fill="FFFFFF" w:themeFill="background1"/>
            <w:noWrap/>
            <w:vAlign w:val="center"/>
            <w:hideMark/>
          </w:tcPr>
          <w:p w14:paraId="2C9C690A" w14:textId="77777777" w:rsidR="00AA068C" w:rsidRPr="00BA06B6" w:rsidRDefault="00AA068C" w:rsidP="00BC341D">
            <w:pPr>
              <w:tabs>
                <w:tab w:val="left" w:pos="851"/>
              </w:tabs>
              <w:jc w:val="both"/>
              <w:rPr>
                <w:lang w:eastAsia="zh-CN"/>
              </w:rPr>
            </w:pPr>
            <w:r w:rsidRPr="00BA06B6">
              <w:rPr>
                <w:lang w:eastAsia="zh-CN"/>
              </w:rPr>
              <w:t xml:space="preserve"> 0.01</w:t>
            </w:r>
          </w:p>
        </w:tc>
      </w:tr>
      <w:tr w:rsidR="00BA06B6" w:rsidRPr="00BA06B6" w14:paraId="79D74463" w14:textId="77777777" w:rsidTr="004137CB">
        <w:trPr>
          <w:trHeight w:val="288"/>
          <w:jc w:val="center"/>
        </w:trPr>
        <w:tc>
          <w:tcPr>
            <w:tcW w:w="880" w:type="dxa"/>
            <w:tcBorders>
              <w:top w:val="nil"/>
              <w:left w:val="nil"/>
              <w:bottom w:val="nil"/>
              <w:right w:val="nil"/>
            </w:tcBorders>
            <w:shd w:val="clear" w:color="auto" w:fill="FFFFFF" w:themeFill="background1"/>
            <w:noWrap/>
            <w:vAlign w:val="center"/>
            <w:hideMark/>
          </w:tcPr>
          <w:p w14:paraId="67380121" w14:textId="77777777" w:rsidR="00AA068C" w:rsidRPr="00BA06B6" w:rsidRDefault="00AA068C" w:rsidP="00BC341D">
            <w:pPr>
              <w:tabs>
                <w:tab w:val="left" w:pos="851"/>
              </w:tabs>
              <w:jc w:val="both"/>
              <w:rPr>
                <w:lang w:eastAsia="zh-CN"/>
              </w:rPr>
            </w:pPr>
            <w:r w:rsidRPr="00BA06B6">
              <w:rPr>
                <w:lang w:eastAsia="zh-CN"/>
              </w:rPr>
              <w:t>LIQ</w:t>
            </w:r>
          </w:p>
        </w:tc>
        <w:tc>
          <w:tcPr>
            <w:tcW w:w="613" w:type="dxa"/>
            <w:tcBorders>
              <w:top w:val="nil"/>
              <w:left w:val="nil"/>
              <w:bottom w:val="nil"/>
              <w:right w:val="nil"/>
            </w:tcBorders>
            <w:shd w:val="clear" w:color="auto" w:fill="FFFFFF" w:themeFill="background1"/>
            <w:noWrap/>
            <w:vAlign w:val="center"/>
            <w:hideMark/>
          </w:tcPr>
          <w:p w14:paraId="6A903138" w14:textId="77777777" w:rsidR="00AA068C" w:rsidRPr="00BA06B6" w:rsidRDefault="00AA068C" w:rsidP="00BC341D">
            <w:pPr>
              <w:tabs>
                <w:tab w:val="left" w:pos="851"/>
              </w:tabs>
              <w:jc w:val="both"/>
              <w:rPr>
                <w:lang w:eastAsia="zh-CN"/>
              </w:rPr>
            </w:pPr>
            <w:r w:rsidRPr="00BA06B6">
              <w:rPr>
                <w:lang w:eastAsia="zh-CN"/>
              </w:rPr>
              <w:t xml:space="preserve"> 0.56</w:t>
            </w:r>
            <w:r w:rsidRPr="00BA06B6">
              <w:rPr>
                <w:vertAlign w:val="superscript"/>
                <w:lang w:eastAsia="zh-CN"/>
              </w:rPr>
              <w:t>**</w:t>
            </w:r>
          </w:p>
        </w:tc>
        <w:tc>
          <w:tcPr>
            <w:tcW w:w="609" w:type="dxa"/>
            <w:tcBorders>
              <w:top w:val="nil"/>
              <w:left w:val="nil"/>
              <w:bottom w:val="nil"/>
              <w:right w:val="nil"/>
            </w:tcBorders>
            <w:shd w:val="clear" w:color="auto" w:fill="FFFFFF" w:themeFill="background1"/>
            <w:noWrap/>
            <w:vAlign w:val="center"/>
            <w:hideMark/>
          </w:tcPr>
          <w:p w14:paraId="38BD1034" w14:textId="77777777" w:rsidR="00AA068C" w:rsidRPr="00BA06B6" w:rsidRDefault="00AA068C" w:rsidP="00BC341D">
            <w:pPr>
              <w:tabs>
                <w:tab w:val="left" w:pos="851"/>
              </w:tabs>
              <w:jc w:val="both"/>
              <w:rPr>
                <w:lang w:eastAsia="zh-CN"/>
              </w:rPr>
            </w:pPr>
            <w:r w:rsidRPr="00BA06B6">
              <w:rPr>
                <w:lang w:eastAsia="zh-CN"/>
              </w:rPr>
              <w:t xml:space="preserve"> 0.27</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8237315" w14:textId="77777777" w:rsidR="00AA068C" w:rsidRPr="00BA06B6" w:rsidRDefault="00AA068C" w:rsidP="00BC341D">
            <w:pPr>
              <w:tabs>
                <w:tab w:val="left" w:pos="851"/>
              </w:tabs>
              <w:jc w:val="both"/>
              <w:rPr>
                <w:lang w:eastAsia="zh-CN"/>
              </w:rPr>
            </w:pPr>
            <w:r w:rsidRPr="00BA06B6">
              <w:rPr>
                <w:lang w:eastAsia="zh-CN"/>
              </w:rPr>
              <w:t xml:space="preserve"> 0.25</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1302BE74" w14:textId="77777777" w:rsidR="00AA068C" w:rsidRPr="00BA06B6" w:rsidRDefault="00AA068C" w:rsidP="00BC341D">
            <w:pPr>
              <w:tabs>
                <w:tab w:val="left" w:pos="851"/>
              </w:tabs>
              <w:jc w:val="both"/>
              <w:rPr>
                <w:lang w:eastAsia="zh-CN"/>
              </w:rPr>
            </w:pPr>
            <w:r w:rsidRPr="00BA06B6">
              <w:rPr>
                <w:lang w:eastAsia="zh-CN"/>
              </w:rPr>
              <w:t xml:space="preserve"> 0.25</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6B51291A" w14:textId="77777777" w:rsidR="00AA068C" w:rsidRPr="00BA06B6" w:rsidRDefault="00AA068C" w:rsidP="00BC341D">
            <w:pPr>
              <w:tabs>
                <w:tab w:val="left" w:pos="851"/>
              </w:tabs>
              <w:jc w:val="both"/>
              <w:rPr>
                <w:lang w:eastAsia="zh-CN"/>
              </w:rPr>
            </w:pPr>
            <w:r w:rsidRPr="00BA06B6">
              <w:rPr>
                <w:lang w:eastAsia="zh-CN"/>
              </w:rPr>
              <w:t>-0.13</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tcPr>
          <w:p w14:paraId="23A2B6CB" w14:textId="77777777" w:rsidR="00AA068C" w:rsidRPr="00BA06B6" w:rsidRDefault="00AA068C" w:rsidP="00BC341D">
            <w:pPr>
              <w:tabs>
                <w:tab w:val="left" w:pos="851"/>
              </w:tabs>
              <w:jc w:val="both"/>
              <w:rPr>
                <w:lang w:eastAsia="zh-CN"/>
              </w:rPr>
            </w:pPr>
          </w:p>
        </w:tc>
        <w:tc>
          <w:tcPr>
            <w:tcW w:w="657" w:type="dxa"/>
            <w:tcBorders>
              <w:top w:val="nil"/>
              <w:left w:val="nil"/>
              <w:bottom w:val="nil"/>
              <w:right w:val="nil"/>
            </w:tcBorders>
            <w:shd w:val="clear" w:color="auto" w:fill="FFFFFF" w:themeFill="background1"/>
            <w:noWrap/>
            <w:vAlign w:val="center"/>
            <w:hideMark/>
          </w:tcPr>
          <w:p w14:paraId="344B5666" w14:textId="77777777" w:rsidR="00AA068C" w:rsidRPr="00BA06B6" w:rsidRDefault="00AA068C" w:rsidP="00BC341D">
            <w:pPr>
              <w:tabs>
                <w:tab w:val="left" w:pos="851"/>
              </w:tabs>
              <w:jc w:val="both"/>
              <w:rPr>
                <w:lang w:eastAsia="zh-CN"/>
              </w:rPr>
            </w:pPr>
            <w:r w:rsidRPr="00BA06B6">
              <w:rPr>
                <w:lang w:eastAsia="zh-CN"/>
              </w:rPr>
              <w:t>-0.03</w:t>
            </w:r>
          </w:p>
        </w:tc>
        <w:tc>
          <w:tcPr>
            <w:tcW w:w="657" w:type="dxa"/>
            <w:tcBorders>
              <w:top w:val="nil"/>
              <w:left w:val="nil"/>
              <w:bottom w:val="nil"/>
              <w:right w:val="nil"/>
            </w:tcBorders>
            <w:shd w:val="clear" w:color="auto" w:fill="FFFFFF" w:themeFill="background1"/>
            <w:noWrap/>
            <w:vAlign w:val="center"/>
            <w:hideMark/>
          </w:tcPr>
          <w:p w14:paraId="493E59ED" w14:textId="77777777" w:rsidR="00AA068C" w:rsidRPr="00BA06B6" w:rsidRDefault="00AA068C" w:rsidP="00BC341D">
            <w:pPr>
              <w:tabs>
                <w:tab w:val="left" w:pos="851"/>
              </w:tabs>
              <w:jc w:val="both"/>
              <w:rPr>
                <w:lang w:eastAsia="zh-CN"/>
              </w:rPr>
            </w:pPr>
            <w:r w:rsidRPr="00BA06B6">
              <w:rPr>
                <w:lang w:eastAsia="zh-CN"/>
              </w:rPr>
              <w:t>-0.03</w:t>
            </w:r>
          </w:p>
        </w:tc>
        <w:tc>
          <w:tcPr>
            <w:tcW w:w="704" w:type="dxa"/>
            <w:tcBorders>
              <w:top w:val="nil"/>
              <w:left w:val="nil"/>
              <w:bottom w:val="nil"/>
              <w:right w:val="nil"/>
            </w:tcBorders>
            <w:shd w:val="clear" w:color="auto" w:fill="FFFFFF" w:themeFill="background1"/>
            <w:noWrap/>
            <w:vAlign w:val="center"/>
            <w:hideMark/>
          </w:tcPr>
          <w:p w14:paraId="780CAEE3" w14:textId="77777777" w:rsidR="00AA068C" w:rsidRPr="00BA06B6" w:rsidRDefault="00AA068C" w:rsidP="00BC341D">
            <w:pPr>
              <w:tabs>
                <w:tab w:val="left" w:pos="851"/>
              </w:tabs>
              <w:jc w:val="both"/>
              <w:rPr>
                <w:lang w:eastAsia="zh-CN"/>
              </w:rPr>
            </w:pPr>
            <w:r w:rsidRPr="00BA06B6">
              <w:rPr>
                <w:lang w:eastAsia="zh-CN"/>
              </w:rPr>
              <w:t>-0.01</w:t>
            </w:r>
          </w:p>
        </w:tc>
        <w:tc>
          <w:tcPr>
            <w:tcW w:w="704" w:type="dxa"/>
            <w:tcBorders>
              <w:top w:val="nil"/>
              <w:left w:val="nil"/>
              <w:bottom w:val="nil"/>
              <w:right w:val="nil"/>
            </w:tcBorders>
            <w:shd w:val="clear" w:color="auto" w:fill="FFFFFF" w:themeFill="background1"/>
            <w:noWrap/>
            <w:vAlign w:val="center"/>
            <w:hideMark/>
          </w:tcPr>
          <w:p w14:paraId="199E39D8" w14:textId="77777777" w:rsidR="00AA068C" w:rsidRPr="00BA06B6" w:rsidRDefault="00AA068C" w:rsidP="00BC341D">
            <w:pPr>
              <w:tabs>
                <w:tab w:val="left" w:pos="851"/>
              </w:tabs>
              <w:jc w:val="both"/>
              <w:rPr>
                <w:lang w:eastAsia="zh-CN"/>
              </w:rPr>
            </w:pPr>
            <w:r w:rsidRPr="00BA06B6">
              <w:rPr>
                <w:lang w:eastAsia="zh-CN"/>
              </w:rPr>
              <w:t xml:space="preserve"> 0.00</w:t>
            </w:r>
          </w:p>
        </w:tc>
        <w:tc>
          <w:tcPr>
            <w:tcW w:w="657" w:type="dxa"/>
            <w:tcBorders>
              <w:top w:val="nil"/>
              <w:left w:val="nil"/>
              <w:bottom w:val="nil"/>
              <w:right w:val="nil"/>
            </w:tcBorders>
            <w:shd w:val="clear" w:color="auto" w:fill="FFFFFF" w:themeFill="background1"/>
            <w:noWrap/>
            <w:vAlign w:val="center"/>
            <w:hideMark/>
          </w:tcPr>
          <w:p w14:paraId="661DE537" w14:textId="77777777" w:rsidR="00AA068C" w:rsidRPr="00BA06B6" w:rsidRDefault="00AA068C" w:rsidP="00BC341D">
            <w:pPr>
              <w:tabs>
                <w:tab w:val="left" w:pos="851"/>
              </w:tabs>
              <w:jc w:val="both"/>
              <w:rPr>
                <w:lang w:eastAsia="zh-CN"/>
              </w:rPr>
            </w:pPr>
            <w:r w:rsidRPr="00BA06B6">
              <w:rPr>
                <w:lang w:eastAsia="zh-CN"/>
              </w:rPr>
              <w:t xml:space="preserve"> 0.01</w:t>
            </w:r>
          </w:p>
        </w:tc>
        <w:tc>
          <w:tcPr>
            <w:tcW w:w="657" w:type="dxa"/>
            <w:tcBorders>
              <w:top w:val="nil"/>
              <w:left w:val="nil"/>
              <w:bottom w:val="nil"/>
              <w:right w:val="nil"/>
            </w:tcBorders>
            <w:shd w:val="clear" w:color="auto" w:fill="FFFFFF" w:themeFill="background1"/>
            <w:noWrap/>
            <w:vAlign w:val="center"/>
            <w:hideMark/>
          </w:tcPr>
          <w:p w14:paraId="23EF4F57" w14:textId="77777777" w:rsidR="00AA068C" w:rsidRPr="00BA06B6" w:rsidRDefault="00AA068C" w:rsidP="00BC341D">
            <w:pPr>
              <w:tabs>
                <w:tab w:val="left" w:pos="851"/>
              </w:tabs>
              <w:jc w:val="both"/>
              <w:rPr>
                <w:lang w:eastAsia="zh-CN"/>
              </w:rPr>
            </w:pPr>
            <w:r w:rsidRPr="00BA06B6">
              <w:rPr>
                <w:lang w:eastAsia="zh-CN"/>
              </w:rPr>
              <w:t xml:space="preserve"> 0.01</w:t>
            </w:r>
          </w:p>
        </w:tc>
        <w:tc>
          <w:tcPr>
            <w:tcW w:w="657" w:type="dxa"/>
            <w:tcBorders>
              <w:top w:val="nil"/>
              <w:left w:val="nil"/>
              <w:bottom w:val="nil"/>
              <w:right w:val="nil"/>
            </w:tcBorders>
            <w:shd w:val="clear" w:color="auto" w:fill="FFFFFF" w:themeFill="background1"/>
            <w:noWrap/>
            <w:vAlign w:val="center"/>
            <w:hideMark/>
          </w:tcPr>
          <w:p w14:paraId="2EC386B6" w14:textId="77777777" w:rsidR="00AA068C" w:rsidRPr="00BA06B6" w:rsidRDefault="00AA068C" w:rsidP="00BC341D">
            <w:pPr>
              <w:tabs>
                <w:tab w:val="left" w:pos="851"/>
              </w:tabs>
              <w:jc w:val="both"/>
              <w:rPr>
                <w:lang w:eastAsia="zh-CN"/>
              </w:rPr>
            </w:pPr>
            <w:r w:rsidRPr="00BA06B6">
              <w:rPr>
                <w:lang w:eastAsia="zh-CN"/>
              </w:rPr>
              <w:t>-0.04</w:t>
            </w:r>
          </w:p>
        </w:tc>
        <w:tc>
          <w:tcPr>
            <w:tcW w:w="657" w:type="dxa"/>
            <w:tcBorders>
              <w:top w:val="nil"/>
              <w:left w:val="nil"/>
              <w:bottom w:val="nil"/>
              <w:right w:val="nil"/>
            </w:tcBorders>
            <w:shd w:val="clear" w:color="auto" w:fill="FFFFFF" w:themeFill="background1"/>
            <w:noWrap/>
            <w:vAlign w:val="center"/>
            <w:hideMark/>
          </w:tcPr>
          <w:p w14:paraId="1E13C03F" w14:textId="77777777" w:rsidR="00AA068C" w:rsidRPr="00BA06B6" w:rsidRDefault="00AA068C" w:rsidP="00BC341D">
            <w:pPr>
              <w:tabs>
                <w:tab w:val="left" w:pos="851"/>
              </w:tabs>
              <w:jc w:val="both"/>
              <w:rPr>
                <w:lang w:eastAsia="zh-CN"/>
              </w:rPr>
            </w:pPr>
            <w:r w:rsidRPr="00BA06B6">
              <w:rPr>
                <w:lang w:eastAsia="zh-CN"/>
              </w:rPr>
              <w:t>-0.03</w:t>
            </w:r>
          </w:p>
        </w:tc>
        <w:tc>
          <w:tcPr>
            <w:tcW w:w="657" w:type="dxa"/>
            <w:tcBorders>
              <w:top w:val="nil"/>
              <w:left w:val="nil"/>
              <w:bottom w:val="nil"/>
              <w:right w:val="nil"/>
            </w:tcBorders>
            <w:shd w:val="clear" w:color="auto" w:fill="FFFFFF" w:themeFill="background1"/>
            <w:noWrap/>
            <w:vAlign w:val="center"/>
            <w:hideMark/>
          </w:tcPr>
          <w:p w14:paraId="76C2F957" w14:textId="77777777" w:rsidR="00AA068C" w:rsidRPr="00BA06B6" w:rsidRDefault="00AA068C" w:rsidP="00BC341D">
            <w:pPr>
              <w:tabs>
                <w:tab w:val="left" w:pos="851"/>
              </w:tabs>
              <w:jc w:val="both"/>
              <w:rPr>
                <w:lang w:eastAsia="zh-CN"/>
              </w:rPr>
            </w:pPr>
            <w:r w:rsidRPr="00BA06B6">
              <w:rPr>
                <w:lang w:eastAsia="zh-CN"/>
              </w:rPr>
              <w:t xml:space="preserve"> 0.05</w:t>
            </w:r>
          </w:p>
        </w:tc>
        <w:tc>
          <w:tcPr>
            <w:tcW w:w="657" w:type="dxa"/>
            <w:tcBorders>
              <w:top w:val="nil"/>
              <w:left w:val="nil"/>
              <w:bottom w:val="nil"/>
              <w:right w:val="nil"/>
            </w:tcBorders>
            <w:shd w:val="clear" w:color="auto" w:fill="FFFFFF" w:themeFill="background1"/>
            <w:noWrap/>
            <w:vAlign w:val="center"/>
            <w:hideMark/>
          </w:tcPr>
          <w:p w14:paraId="30E4713F" w14:textId="77777777" w:rsidR="00AA068C" w:rsidRPr="00BA06B6" w:rsidRDefault="00AA068C" w:rsidP="00BC341D">
            <w:pPr>
              <w:tabs>
                <w:tab w:val="left" w:pos="851"/>
              </w:tabs>
              <w:jc w:val="both"/>
              <w:rPr>
                <w:lang w:eastAsia="zh-CN"/>
              </w:rPr>
            </w:pPr>
            <w:r w:rsidRPr="00BA06B6">
              <w:rPr>
                <w:lang w:eastAsia="zh-CN"/>
              </w:rPr>
              <w:t>-0.01</w:t>
            </w:r>
          </w:p>
        </w:tc>
        <w:tc>
          <w:tcPr>
            <w:tcW w:w="657" w:type="dxa"/>
            <w:tcBorders>
              <w:top w:val="nil"/>
              <w:left w:val="nil"/>
              <w:bottom w:val="nil"/>
              <w:right w:val="nil"/>
            </w:tcBorders>
            <w:shd w:val="clear" w:color="auto" w:fill="FFFFFF" w:themeFill="background1"/>
            <w:noWrap/>
            <w:vAlign w:val="center"/>
            <w:hideMark/>
          </w:tcPr>
          <w:p w14:paraId="46D9546E" w14:textId="77777777" w:rsidR="00AA068C" w:rsidRPr="00BA06B6" w:rsidRDefault="00AA068C" w:rsidP="00BC341D">
            <w:pPr>
              <w:tabs>
                <w:tab w:val="left" w:pos="851"/>
              </w:tabs>
              <w:jc w:val="both"/>
              <w:rPr>
                <w:lang w:eastAsia="zh-CN"/>
              </w:rPr>
            </w:pPr>
            <w:r w:rsidRPr="00BA06B6">
              <w:rPr>
                <w:lang w:eastAsia="zh-CN"/>
              </w:rPr>
              <w:t xml:space="preserve"> 0.01</w:t>
            </w:r>
          </w:p>
        </w:tc>
        <w:tc>
          <w:tcPr>
            <w:tcW w:w="657" w:type="dxa"/>
            <w:tcBorders>
              <w:top w:val="nil"/>
              <w:left w:val="nil"/>
              <w:bottom w:val="nil"/>
              <w:right w:val="nil"/>
            </w:tcBorders>
            <w:shd w:val="clear" w:color="auto" w:fill="FFFFFF" w:themeFill="background1"/>
            <w:noWrap/>
            <w:vAlign w:val="center"/>
            <w:hideMark/>
          </w:tcPr>
          <w:p w14:paraId="1A88D1EF" w14:textId="77777777" w:rsidR="00AA068C" w:rsidRPr="00BA06B6" w:rsidRDefault="00AA068C" w:rsidP="00BC341D">
            <w:pPr>
              <w:tabs>
                <w:tab w:val="left" w:pos="851"/>
              </w:tabs>
              <w:jc w:val="both"/>
              <w:rPr>
                <w:lang w:eastAsia="zh-CN"/>
              </w:rPr>
            </w:pPr>
            <w:r w:rsidRPr="00BA06B6">
              <w:rPr>
                <w:lang w:eastAsia="zh-CN"/>
              </w:rPr>
              <w:t xml:space="preserve"> 0.05</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0DEA8CBA" w14:textId="77777777" w:rsidR="00AA068C" w:rsidRPr="00BA06B6" w:rsidRDefault="00AA068C" w:rsidP="00BC341D">
            <w:pPr>
              <w:tabs>
                <w:tab w:val="left" w:pos="851"/>
              </w:tabs>
              <w:jc w:val="both"/>
              <w:rPr>
                <w:lang w:eastAsia="zh-CN"/>
              </w:rPr>
            </w:pPr>
            <w:r w:rsidRPr="00BA06B6">
              <w:rPr>
                <w:lang w:eastAsia="zh-CN"/>
              </w:rPr>
              <w:t xml:space="preserve"> 0.06</w:t>
            </w:r>
          </w:p>
        </w:tc>
        <w:tc>
          <w:tcPr>
            <w:tcW w:w="657" w:type="dxa"/>
            <w:tcBorders>
              <w:top w:val="nil"/>
              <w:left w:val="nil"/>
              <w:bottom w:val="nil"/>
              <w:right w:val="nil"/>
            </w:tcBorders>
            <w:shd w:val="clear" w:color="auto" w:fill="FFFFFF" w:themeFill="background1"/>
            <w:noWrap/>
            <w:vAlign w:val="center"/>
            <w:hideMark/>
          </w:tcPr>
          <w:p w14:paraId="7A25794F" w14:textId="77777777" w:rsidR="00AA068C" w:rsidRPr="00BA06B6" w:rsidRDefault="00AA068C" w:rsidP="00BC341D">
            <w:pPr>
              <w:tabs>
                <w:tab w:val="left" w:pos="851"/>
              </w:tabs>
              <w:jc w:val="both"/>
              <w:rPr>
                <w:lang w:eastAsia="zh-CN"/>
              </w:rPr>
            </w:pPr>
            <w:r w:rsidRPr="00BA06B6">
              <w:rPr>
                <w:lang w:eastAsia="zh-CN"/>
              </w:rPr>
              <w:t xml:space="preserve"> 0.00</w:t>
            </w:r>
          </w:p>
        </w:tc>
        <w:tc>
          <w:tcPr>
            <w:tcW w:w="611" w:type="dxa"/>
            <w:gridSpan w:val="2"/>
            <w:tcBorders>
              <w:top w:val="nil"/>
              <w:left w:val="nil"/>
              <w:bottom w:val="nil"/>
              <w:right w:val="nil"/>
            </w:tcBorders>
            <w:shd w:val="clear" w:color="auto" w:fill="FFFFFF" w:themeFill="background1"/>
            <w:noWrap/>
            <w:vAlign w:val="center"/>
            <w:hideMark/>
          </w:tcPr>
          <w:p w14:paraId="0AABBF51" w14:textId="77777777" w:rsidR="00AA068C" w:rsidRPr="00BA06B6" w:rsidRDefault="00AA068C" w:rsidP="00BC341D">
            <w:pPr>
              <w:tabs>
                <w:tab w:val="left" w:pos="851"/>
              </w:tabs>
              <w:jc w:val="both"/>
              <w:rPr>
                <w:lang w:eastAsia="zh-CN"/>
              </w:rPr>
            </w:pPr>
            <w:r w:rsidRPr="00BA06B6">
              <w:rPr>
                <w:lang w:eastAsia="zh-CN"/>
              </w:rPr>
              <w:t xml:space="preserve"> 0.00</w:t>
            </w:r>
          </w:p>
        </w:tc>
      </w:tr>
      <w:tr w:rsidR="00BA06B6" w:rsidRPr="00BA06B6" w14:paraId="5A207854" w14:textId="77777777" w:rsidTr="004137CB">
        <w:trPr>
          <w:trHeight w:val="288"/>
          <w:jc w:val="center"/>
        </w:trPr>
        <w:tc>
          <w:tcPr>
            <w:tcW w:w="880" w:type="dxa"/>
            <w:tcBorders>
              <w:top w:val="nil"/>
              <w:left w:val="nil"/>
              <w:bottom w:val="nil"/>
              <w:right w:val="nil"/>
            </w:tcBorders>
            <w:shd w:val="clear" w:color="auto" w:fill="FFFFFF" w:themeFill="background1"/>
            <w:noWrap/>
            <w:vAlign w:val="center"/>
            <w:hideMark/>
          </w:tcPr>
          <w:p w14:paraId="5267927C" w14:textId="77777777" w:rsidR="00AA068C" w:rsidRPr="00BA06B6" w:rsidRDefault="00AA068C" w:rsidP="00BC341D">
            <w:pPr>
              <w:tabs>
                <w:tab w:val="left" w:pos="851"/>
              </w:tabs>
              <w:jc w:val="both"/>
              <w:rPr>
                <w:lang w:eastAsia="zh-CN"/>
              </w:rPr>
            </w:pPr>
            <w:r w:rsidRPr="00BA06B6">
              <w:rPr>
                <w:lang w:eastAsia="zh-CN"/>
              </w:rPr>
              <w:t>COST</w:t>
            </w:r>
          </w:p>
        </w:tc>
        <w:tc>
          <w:tcPr>
            <w:tcW w:w="613" w:type="dxa"/>
            <w:tcBorders>
              <w:top w:val="nil"/>
              <w:left w:val="nil"/>
              <w:bottom w:val="nil"/>
              <w:right w:val="nil"/>
            </w:tcBorders>
            <w:shd w:val="clear" w:color="auto" w:fill="FFFFFF" w:themeFill="background1"/>
            <w:noWrap/>
            <w:vAlign w:val="center"/>
            <w:hideMark/>
          </w:tcPr>
          <w:p w14:paraId="6A6B7716" w14:textId="77777777" w:rsidR="00AA068C" w:rsidRPr="00BA06B6" w:rsidRDefault="00AA068C" w:rsidP="00BC341D">
            <w:pPr>
              <w:tabs>
                <w:tab w:val="left" w:pos="851"/>
              </w:tabs>
              <w:jc w:val="both"/>
              <w:rPr>
                <w:lang w:eastAsia="zh-CN"/>
              </w:rPr>
            </w:pPr>
            <w:r w:rsidRPr="00BA06B6">
              <w:rPr>
                <w:lang w:eastAsia="zh-CN"/>
              </w:rPr>
              <w:t>-0.52</w:t>
            </w:r>
            <w:r w:rsidRPr="00BA06B6">
              <w:rPr>
                <w:vertAlign w:val="superscript"/>
                <w:lang w:eastAsia="zh-CN"/>
              </w:rPr>
              <w:t>**</w:t>
            </w:r>
          </w:p>
        </w:tc>
        <w:tc>
          <w:tcPr>
            <w:tcW w:w="609" w:type="dxa"/>
            <w:tcBorders>
              <w:top w:val="nil"/>
              <w:left w:val="nil"/>
              <w:bottom w:val="nil"/>
              <w:right w:val="nil"/>
            </w:tcBorders>
            <w:shd w:val="clear" w:color="auto" w:fill="FFFFFF" w:themeFill="background1"/>
            <w:noWrap/>
            <w:vAlign w:val="center"/>
            <w:hideMark/>
          </w:tcPr>
          <w:p w14:paraId="37C4713E" w14:textId="77777777" w:rsidR="00AA068C" w:rsidRPr="00BA06B6" w:rsidRDefault="00AA068C" w:rsidP="00BC341D">
            <w:pPr>
              <w:tabs>
                <w:tab w:val="left" w:pos="851"/>
              </w:tabs>
              <w:jc w:val="both"/>
              <w:rPr>
                <w:lang w:eastAsia="zh-CN"/>
              </w:rPr>
            </w:pPr>
            <w:r w:rsidRPr="00BA06B6">
              <w:rPr>
                <w:lang w:eastAsia="zh-CN"/>
              </w:rPr>
              <w:t>-0.15</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063920BB" w14:textId="77777777" w:rsidR="00AA068C" w:rsidRPr="00BA06B6" w:rsidRDefault="00AA068C" w:rsidP="00BC341D">
            <w:pPr>
              <w:tabs>
                <w:tab w:val="left" w:pos="851"/>
              </w:tabs>
              <w:jc w:val="both"/>
              <w:rPr>
                <w:lang w:eastAsia="zh-CN"/>
              </w:rPr>
            </w:pPr>
            <w:r w:rsidRPr="00BA06B6">
              <w:rPr>
                <w:lang w:eastAsia="zh-CN"/>
              </w:rPr>
              <w:t>-0.39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8A96B2B" w14:textId="77777777" w:rsidR="00AA068C" w:rsidRPr="00BA06B6" w:rsidRDefault="00AA068C" w:rsidP="00BC341D">
            <w:pPr>
              <w:tabs>
                <w:tab w:val="left" w:pos="851"/>
              </w:tabs>
              <w:jc w:val="both"/>
              <w:rPr>
                <w:lang w:eastAsia="zh-CN"/>
              </w:rPr>
            </w:pPr>
            <w:r w:rsidRPr="00BA06B6">
              <w:rPr>
                <w:lang w:eastAsia="zh-CN"/>
              </w:rPr>
              <w:t>-0.62</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681242A" w14:textId="77777777" w:rsidR="00AA068C" w:rsidRPr="00BA06B6" w:rsidRDefault="00AA068C" w:rsidP="00BC341D">
            <w:pPr>
              <w:tabs>
                <w:tab w:val="left" w:pos="851"/>
              </w:tabs>
              <w:jc w:val="both"/>
              <w:rPr>
                <w:lang w:eastAsia="zh-CN"/>
              </w:rPr>
            </w:pPr>
            <w:r w:rsidRPr="00BA06B6">
              <w:rPr>
                <w:lang w:eastAsia="zh-CN"/>
              </w:rPr>
              <w:t>-0.07</w:t>
            </w:r>
          </w:p>
        </w:tc>
        <w:tc>
          <w:tcPr>
            <w:tcW w:w="657" w:type="dxa"/>
            <w:tcBorders>
              <w:top w:val="nil"/>
              <w:left w:val="nil"/>
              <w:bottom w:val="nil"/>
              <w:right w:val="nil"/>
            </w:tcBorders>
            <w:shd w:val="clear" w:color="auto" w:fill="FFFFFF" w:themeFill="background1"/>
            <w:noWrap/>
            <w:vAlign w:val="center"/>
            <w:hideMark/>
          </w:tcPr>
          <w:p w14:paraId="53554D67" w14:textId="77777777" w:rsidR="00AA068C" w:rsidRPr="00BA06B6" w:rsidRDefault="00AA068C" w:rsidP="00BC341D">
            <w:pPr>
              <w:tabs>
                <w:tab w:val="left" w:pos="851"/>
              </w:tabs>
              <w:jc w:val="both"/>
              <w:rPr>
                <w:lang w:eastAsia="zh-CN"/>
              </w:rPr>
            </w:pPr>
            <w:r w:rsidRPr="00BA06B6">
              <w:rPr>
                <w:lang w:eastAsia="zh-CN"/>
              </w:rPr>
              <w:t>-0.35</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tcPr>
          <w:p w14:paraId="0A8742DC" w14:textId="77777777" w:rsidR="00AA068C" w:rsidRPr="00BA06B6" w:rsidRDefault="00AA068C" w:rsidP="00BC341D">
            <w:pPr>
              <w:tabs>
                <w:tab w:val="left" w:pos="851"/>
              </w:tabs>
              <w:jc w:val="both"/>
              <w:rPr>
                <w:lang w:eastAsia="zh-CN"/>
              </w:rPr>
            </w:pPr>
          </w:p>
        </w:tc>
        <w:tc>
          <w:tcPr>
            <w:tcW w:w="657" w:type="dxa"/>
            <w:tcBorders>
              <w:top w:val="nil"/>
              <w:left w:val="nil"/>
              <w:bottom w:val="nil"/>
              <w:right w:val="nil"/>
            </w:tcBorders>
            <w:shd w:val="clear" w:color="auto" w:fill="FFFFFF" w:themeFill="background1"/>
            <w:noWrap/>
            <w:vAlign w:val="center"/>
            <w:hideMark/>
          </w:tcPr>
          <w:p w14:paraId="021CAE9E" w14:textId="77777777" w:rsidR="00AA068C" w:rsidRPr="00BA06B6" w:rsidRDefault="00AA068C" w:rsidP="00BC341D">
            <w:pPr>
              <w:tabs>
                <w:tab w:val="left" w:pos="851"/>
              </w:tabs>
              <w:jc w:val="both"/>
              <w:rPr>
                <w:lang w:eastAsia="zh-CN"/>
              </w:rPr>
            </w:pPr>
            <w:r w:rsidRPr="00BA06B6">
              <w:rPr>
                <w:lang w:eastAsia="zh-CN"/>
              </w:rPr>
              <w:t xml:space="preserve"> 0.22</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hideMark/>
          </w:tcPr>
          <w:p w14:paraId="21639BD2" w14:textId="77777777" w:rsidR="00AA068C" w:rsidRPr="00BA06B6" w:rsidRDefault="00AA068C" w:rsidP="00BC341D">
            <w:pPr>
              <w:tabs>
                <w:tab w:val="left" w:pos="851"/>
              </w:tabs>
              <w:jc w:val="both"/>
              <w:rPr>
                <w:lang w:eastAsia="zh-CN"/>
              </w:rPr>
            </w:pPr>
            <w:r w:rsidRPr="00BA06B6">
              <w:rPr>
                <w:lang w:eastAsia="zh-CN"/>
              </w:rPr>
              <w:t xml:space="preserve"> 0.15</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hideMark/>
          </w:tcPr>
          <w:p w14:paraId="055D9885" w14:textId="77777777" w:rsidR="00AA068C" w:rsidRPr="00BA06B6" w:rsidRDefault="00AA068C" w:rsidP="00BC341D">
            <w:pPr>
              <w:tabs>
                <w:tab w:val="left" w:pos="851"/>
              </w:tabs>
              <w:jc w:val="both"/>
              <w:rPr>
                <w:lang w:eastAsia="zh-CN"/>
              </w:rPr>
            </w:pPr>
            <w:r w:rsidRPr="00BA06B6">
              <w:rPr>
                <w:lang w:eastAsia="zh-CN"/>
              </w:rPr>
              <w:t>-0.13</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2B0C688" w14:textId="77777777" w:rsidR="00AA068C" w:rsidRPr="00BA06B6" w:rsidRDefault="00AA068C" w:rsidP="00BC341D">
            <w:pPr>
              <w:tabs>
                <w:tab w:val="left" w:pos="851"/>
              </w:tabs>
              <w:jc w:val="both"/>
              <w:rPr>
                <w:lang w:eastAsia="zh-CN"/>
              </w:rPr>
            </w:pPr>
            <w:r w:rsidRPr="00BA06B6">
              <w:rPr>
                <w:lang w:eastAsia="zh-CN"/>
              </w:rPr>
              <w:t xml:space="preserve"> 0.17</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02BD53A9" w14:textId="77777777" w:rsidR="00AA068C" w:rsidRPr="00BA06B6" w:rsidRDefault="00AA068C" w:rsidP="00BC341D">
            <w:pPr>
              <w:tabs>
                <w:tab w:val="left" w:pos="851"/>
              </w:tabs>
              <w:jc w:val="both"/>
              <w:rPr>
                <w:lang w:eastAsia="zh-CN"/>
              </w:rPr>
            </w:pPr>
            <w:r w:rsidRPr="00BA06B6">
              <w:rPr>
                <w:lang w:eastAsia="zh-CN"/>
              </w:rPr>
              <w:t>-0.03</w:t>
            </w:r>
          </w:p>
        </w:tc>
        <w:tc>
          <w:tcPr>
            <w:tcW w:w="657" w:type="dxa"/>
            <w:tcBorders>
              <w:top w:val="nil"/>
              <w:left w:val="nil"/>
              <w:bottom w:val="nil"/>
              <w:right w:val="nil"/>
            </w:tcBorders>
            <w:shd w:val="clear" w:color="auto" w:fill="FFFFFF" w:themeFill="background1"/>
            <w:noWrap/>
            <w:vAlign w:val="center"/>
            <w:hideMark/>
          </w:tcPr>
          <w:p w14:paraId="343F1E70" w14:textId="77777777" w:rsidR="00AA068C" w:rsidRPr="00BA06B6" w:rsidRDefault="00AA068C" w:rsidP="00BC341D">
            <w:pPr>
              <w:tabs>
                <w:tab w:val="left" w:pos="851"/>
              </w:tabs>
              <w:jc w:val="both"/>
              <w:rPr>
                <w:lang w:eastAsia="zh-CN"/>
              </w:rPr>
            </w:pPr>
            <w:r w:rsidRPr="00BA06B6">
              <w:rPr>
                <w:lang w:eastAsia="zh-CN"/>
              </w:rPr>
              <w:t xml:space="preserve"> 0.07</w:t>
            </w:r>
          </w:p>
        </w:tc>
        <w:tc>
          <w:tcPr>
            <w:tcW w:w="657" w:type="dxa"/>
            <w:tcBorders>
              <w:top w:val="nil"/>
              <w:left w:val="nil"/>
              <w:bottom w:val="nil"/>
              <w:right w:val="nil"/>
            </w:tcBorders>
            <w:shd w:val="clear" w:color="auto" w:fill="FFFFFF" w:themeFill="background1"/>
            <w:noWrap/>
            <w:vAlign w:val="center"/>
            <w:hideMark/>
          </w:tcPr>
          <w:p w14:paraId="747F7053" w14:textId="77777777" w:rsidR="00AA068C" w:rsidRPr="00BA06B6" w:rsidRDefault="00AA068C" w:rsidP="00BC341D">
            <w:pPr>
              <w:tabs>
                <w:tab w:val="left" w:pos="851"/>
              </w:tabs>
              <w:jc w:val="both"/>
              <w:rPr>
                <w:lang w:eastAsia="zh-CN"/>
              </w:rPr>
            </w:pPr>
            <w:r w:rsidRPr="00BA06B6">
              <w:rPr>
                <w:lang w:eastAsia="zh-CN"/>
              </w:rPr>
              <w:t xml:space="preserve"> 0.17</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805157D" w14:textId="77777777" w:rsidR="00AA068C" w:rsidRPr="00BA06B6" w:rsidRDefault="00AA068C" w:rsidP="00BC341D">
            <w:pPr>
              <w:tabs>
                <w:tab w:val="left" w:pos="851"/>
              </w:tabs>
              <w:jc w:val="both"/>
              <w:rPr>
                <w:lang w:eastAsia="zh-CN"/>
              </w:rPr>
            </w:pPr>
            <w:r w:rsidRPr="00BA06B6">
              <w:rPr>
                <w:lang w:eastAsia="zh-CN"/>
              </w:rPr>
              <w:t>-0.04</w:t>
            </w:r>
          </w:p>
        </w:tc>
        <w:tc>
          <w:tcPr>
            <w:tcW w:w="657" w:type="dxa"/>
            <w:tcBorders>
              <w:top w:val="nil"/>
              <w:left w:val="nil"/>
              <w:bottom w:val="nil"/>
              <w:right w:val="nil"/>
            </w:tcBorders>
            <w:shd w:val="clear" w:color="auto" w:fill="FFFFFF" w:themeFill="background1"/>
            <w:noWrap/>
            <w:vAlign w:val="center"/>
            <w:hideMark/>
          </w:tcPr>
          <w:p w14:paraId="561647A2" w14:textId="77777777" w:rsidR="00AA068C" w:rsidRPr="00BA06B6" w:rsidRDefault="00AA068C" w:rsidP="00BC341D">
            <w:pPr>
              <w:tabs>
                <w:tab w:val="left" w:pos="851"/>
              </w:tabs>
              <w:jc w:val="both"/>
              <w:rPr>
                <w:lang w:eastAsia="zh-CN"/>
              </w:rPr>
            </w:pPr>
            <w:r w:rsidRPr="00BA06B6">
              <w:rPr>
                <w:lang w:eastAsia="zh-CN"/>
              </w:rPr>
              <w:t xml:space="preserve"> 0.07</w:t>
            </w:r>
          </w:p>
        </w:tc>
        <w:tc>
          <w:tcPr>
            <w:tcW w:w="657" w:type="dxa"/>
            <w:tcBorders>
              <w:top w:val="nil"/>
              <w:left w:val="nil"/>
              <w:bottom w:val="nil"/>
              <w:right w:val="nil"/>
            </w:tcBorders>
            <w:shd w:val="clear" w:color="auto" w:fill="FFFFFF" w:themeFill="background1"/>
            <w:noWrap/>
            <w:vAlign w:val="center"/>
            <w:hideMark/>
          </w:tcPr>
          <w:p w14:paraId="2FC6E8EB" w14:textId="77777777" w:rsidR="00AA068C" w:rsidRPr="00BA06B6" w:rsidRDefault="00AA068C" w:rsidP="00BC341D">
            <w:pPr>
              <w:tabs>
                <w:tab w:val="left" w:pos="851"/>
              </w:tabs>
              <w:jc w:val="both"/>
              <w:rPr>
                <w:lang w:eastAsia="zh-CN"/>
              </w:rPr>
            </w:pPr>
            <w:r w:rsidRPr="00BA06B6">
              <w:rPr>
                <w:lang w:eastAsia="zh-CN"/>
              </w:rPr>
              <w:t xml:space="preserve"> 0.07</w:t>
            </w:r>
          </w:p>
        </w:tc>
        <w:tc>
          <w:tcPr>
            <w:tcW w:w="657" w:type="dxa"/>
            <w:tcBorders>
              <w:top w:val="nil"/>
              <w:left w:val="nil"/>
              <w:bottom w:val="nil"/>
              <w:right w:val="nil"/>
            </w:tcBorders>
            <w:shd w:val="clear" w:color="auto" w:fill="FFFFFF" w:themeFill="background1"/>
            <w:noWrap/>
            <w:vAlign w:val="center"/>
            <w:hideMark/>
          </w:tcPr>
          <w:p w14:paraId="7CE25BC1" w14:textId="77777777" w:rsidR="00AA068C" w:rsidRPr="00BA06B6" w:rsidRDefault="00AA068C" w:rsidP="00BC341D">
            <w:pPr>
              <w:tabs>
                <w:tab w:val="left" w:pos="851"/>
              </w:tabs>
              <w:jc w:val="both"/>
              <w:rPr>
                <w:lang w:eastAsia="zh-CN"/>
              </w:rPr>
            </w:pPr>
            <w:r w:rsidRPr="00BA06B6">
              <w:rPr>
                <w:lang w:eastAsia="zh-CN"/>
              </w:rPr>
              <w:t>-0.12</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12E6F9E5" w14:textId="77777777" w:rsidR="00AA068C" w:rsidRPr="00BA06B6" w:rsidRDefault="00AA068C" w:rsidP="00BC341D">
            <w:pPr>
              <w:tabs>
                <w:tab w:val="left" w:pos="851"/>
              </w:tabs>
              <w:jc w:val="both"/>
              <w:rPr>
                <w:lang w:eastAsia="zh-CN"/>
              </w:rPr>
            </w:pPr>
            <w:r w:rsidRPr="00BA06B6">
              <w:rPr>
                <w:lang w:eastAsia="zh-CN"/>
              </w:rPr>
              <w:t>-0.19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20D868E" w14:textId="77777777" w:rsidR="00AA068C" w:rsidRPr="00BA06B6" w:rsidRDefault="00AA068C" w:rsidP="00BC341D">
            <w:pPr>
              <w:tabs>
                <w:tab w:val="left" w:pos="851"/>
              </w:tabs>
              <w:jc w:val="both"/>
              <w:rPr>
                <w:lang w:eastAsia="zh-CN"/>
              </w:rPr>
            </w:pPr>
            <w:r w:rsidRPr="00BA06B6">
              <w:rPr>
                <w:lang w:eastAsia="zh-CN"/>
              </w:rPr>
              <w:t xml:space="preserve"> 0.07</w:t>
            </w:r>
          </w:p>
        </w:tc>
        <w:tc>
          <w:tcPr>
            <w:tcW w:w="611" w:type="dxa"/>
            <w:gridSpan w:val="2"/>
            <w:tcBorders>
              <w:top w:val="nil"/>
              <w:left w:val="nil"/>
              <w:bottom w:val="nil"/>
              <w:right w:val="nil"/>
            </w:tcBorders>
            <w:shd w:val="clear" w:color="auto" w:fill="FFFFFF" w:themeFill="background1"/>
            <w:noWrap/>
            <w:vAlign w:val="center"/>
            <w:hideMark/>
          </w:tcPr>
          <w:p w14:paraId="1BEFD08D" w14:textId="77777777" w:rsidR="00AA068C" w:rsidRPr="00BA06B6" w:rsidRDefault="00AA068C" w:rsidP="00BC341D">
            <w:pPr>
              <w:tabs>
                <w:tab w:val="left" w:pos="851"/>
              </w:tabs>
              <w:jc w:val="both"/>
              <w:rPr>
                <w:lang w:eastAsia="zh-CN"/>
              </w:rPr>
            </w:pPr>
            <w:r w:rsidRPr="00BA06B6">
              <w:rPr>
                <w:lang w:eastAsia="zh-CN"/>
              </w:rPr>
              <w:t>-0.26</w:t>
            </w:r>
            <w:r w:rsidRPr="00BA06B6">
              <w:rPr>
                <w:vertAlign w:val="superscript"/>
                <w:lang w:eastAsia="zh-CN"/>
              </w:rPr>
              <w:t>**</w:t>
            </w:r>
          </w:p>
        </w:tc>
      </w:tr>
      <w:tr w:rsidR="00BA06B6" w:rsidRPr="00BA06B6" w14:paraId="506FB45C" w14:textId="77777777" w:rsidTr="004137CB">
        <w:trPr>
          <w:trHeight w:val="288"/>
          <w:jc w:val="center"/>
        </w:trPr>
        <w:tc>
          <w:tcPr>
            <w:tcW w:w="880" w:type="dxa"/>
            <w:tcBorders>
              <w:top w:val="nil"/>
              <w:left w:val="nil"/>
              <w:bottom w:val="nil"/>
              <w:right w:val="nil"/>
            </w:tcBorders>
            <w:shd w:val="clear" w:color="auto" w:fill="FFFFFF" w:themeFill="background1"/>
            <w:noWrap/>
            <w:vAlign w:val="center"/>
            <w:hideMark/>
          </w:tcPr>
          <w:p w14:paraId="2AB516D1" w14:textId="77777777" w:rsidR="00AA068C" w:rsidRPr="00BA06B6" w:rsidRDefault="00AA068C" w:rsidP="00BC341D">
            <w:pPr>
              <w:tabs>
                <w:tab w:val="left" w:pos="851"/>
              </w:tabs>
              <w:jc w:val="both"/>
              <w:rPr>
                <w:lang w:eastAsia="zh-CN"/>
              </w:rPr>
            </w:pPr>
            <w:r w:rsidRPr="00BA06B6">
              <w:rPr>
                <w:lang w:eastAsia="zh-CN"/>
              </w:rPr>
              <w:t>CAP</w:t>
            </w:r>
          </w:p>
        </w:tc>
        <w:tc>
          <w:tcPr>
            <w:tcW w:w="613" w:type="dxa"/>
            <w:tcBorders>
              <w:top w:val="nil"/>
              <w:left w:val="nil"/>
              <w:bottom w:val="nil"/>
              <w:right w:val="nil"/>
            </w:tcBorders>
            <w:shd w:val="clear" w:color="auto" w:fill="FFFFFF" w:themeFill="background1"/>
            <w:noWrap/>
            <w:vAlign w:val="center"/>
            <w:hideMark/>
          </w:tcPr>
          <w:p w14:paraId="003923C6" w14:textId="77777777" w:rsidR="00AA068C" w:rsidRPr="00BA06B6" w:rsidRDefault="00AA068C" w:rsidP="00BC341D">
            <w:pPr>
              <w:tabs>
                <w:tab w:val="left" w:pos="851"/>
              </w:tabs>
              <w:jc w:val="both"/>
              <w:rPr>
                <w:lang w:eastAsia="zh-CN"/>
              </w:rPr>
            </w:pPr>
            <w:r w:rsidRPr="00BA06B6">
              <w:rPr>
                <w:lang w:eastAsia="zh-CN"/>
              </w:rPr>
              <w:t xml:space="preserve"> 0.03</w:t>
            </w:r>
          </w:p>
        </w:tc>
        <w:tc>
          <w:tcPr>
            <w:tcW w:w="609" w:type="dxa"/>
            <w:tcBorders>
              <w:top w:val="nil"/>
              <w:left w:val="nil"/>
              <w:bottom w:val="nil"/>
              <w:right w:val="nil"/>
            </w:tcBorders>
            <w:shd w:val="clear" w:color="auto" w:fill="FFFFFF" w:themeFill="background1"/>
            <w:noWrap/>
            <w:vAlign w:val="center"/>
            <w:hideMark/>
          </w:tcPr>
          <w:p w14:paraId="2B1E2039" w14:textId="77777777" w:rsidR="00AA068C" w:rsidRPr="00BA06B6" w:rsidRDefault="00AA068C" w:rsidP="00BC341D">
            <w:pPr>
              <w:tabs>
                <w:tab w:val="left" w:pos="851"/>
              </w:tabs>
              <w:jc w:val="both"/>
              <w:rPr>
                <w:lang w:eastAsia="zh-CN"/>
              </w:rPr>
            </w:pPr>
            <w:r w:rsidRPr="00BA06B6">
              <w:rPr>
                <w:lang w:eastAsia="zh-CN"/>
              </w:rPr>
              <w:t>-0.14</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3DC6F483" w14:textId="77777777" w:rsidR="00AA068C" w:rsidRPr="00BA06B6" w:rsidRDefault="00AA068C" w:rsidP="00BC341D">
            <w:pPr>
              <w:tabs>
                <w:tab w:val="left" w:pos="851"/>
              </w:tabs>
              <w:jc w:val="both"/>
              <w:rPr>
                <w:lang w:eastAsia="zh-CN"/>
              </w:rPr>
            </w:pPr>
            <w:r w:rsidRPr="00BA06B6">
              <w:rPr>
                <w:lang w:eastAsia="zh-CN"/>
              </w:rPr>
              <w:t>-0.11</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149F2A99" w14:textId="77777777" w:rsidR="00AA068C" w:rsidRPr="00BA06B6" w:rsidRDefault="00AA068C" w:rsidP="00BC341D">
            <w:pPr>
              <w:tabs>
                <w:tab w:val="left" w:pos="851"/>
              </w:tabs>
              <w:jc w:val="both"/>
              <w:rPr>
                <w:lang w:eastAsia="zh-CN"/>
              </w:rPr>
            </w:pPr>
            <w:r w:rsidRPr="00BA06B6">
              <w:rPr>
                <w:lang w:eastAsia="zh-CN"/>
              </w:rPr>
              <w:t xml:space="preserve"> 0.20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3931DD5D" w14:textId="77777777" w:rsidR="00AA068C" w:rsidRPr="00BA06B6" w:rsidRDefault="00AA068C" w:rsidP="00BC341D">
            <w:pPr>
              <w:tabs>
                <w:tab w:val="left" w:pos="851"/>
              </w:tabs>
              <w:jc w:val="both"/>
              <w:rPr>
                <w:lang w:eastAsia="zh-CN"/>
              </w:rPr>
            </w:pPr>
            <w:r w:rsidRPr="00BA06B6">
              <w:rPr>
                <w:lang w:eastAsia="zh-CN"/>
              </w:rPr>
              <w:t>-0.14</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90611F3" w14:textId="77777777" w:rsidR="00AA068C" w:rsidRPr="00BA06B6" w:rsidRDefault="00AA068C" w:rsidP="00BC341D">
            <w:pPr>
              <w:tabs>
                <w:tab w:val="left" w:pos="851"/>
              </w:tabs>
              <w:jc w:val="both"/>
              <w:rPr>
                <w:lang w:eastAsia="zh-CN"/>
              </w:rPr>
            </w:pPr>
            <w:r w:rsidRPr="00BA06B6">
              <w:rPr>
                <w:lang w:eastAsia="zh-CN"/>
              </w:rPr>
              <w:t>-0.01</w:t>
            </w:r>
          </w:p>
        </w:tc>
        <w:tc>
          <w:tcPr>
            <w:tcW w:w="657" w:type="dxa"/>
            <w:tcBorders>
              <w:top w:val="nil"/>
              <w:left w:val="nil"/>
              <w:bottom w:val="nil"/>
              <w:right w:val="nil"/>
            </w:tcBorders>
            <w:shd w:val="clear" w:color="auto" w:fill="FFFFFF" w:themeFill="background1"/>
            <w:noWrap/>
            <w:vAlign w:val="center"/>
            <w:hideMark/>
          </w:tcPr>
          <w:p w14:paraId="08EB76F7" w14:textId="77777777" w:rsidR="00AA068C" w:rsidRPr="00BA06B6" w:rsidRDefault="00AA068C" w:rsidP="00BC341D">
            <w:pPr>
              <w:tabs>
                <w:tab w:val="left" w:pos="851"/>
              </w:tabs>
              <w:jc w:val="both"/>
              <w:rPr>
                <w:lang w:eastAsia="zh-CN"/>
              </w:rPr>
            </w:pPr>
            <w:r w:rsidRPr="00BA06B6">
              <w:rPr>
                <w:lang w:eastAsia="zh-CN"/>
              </w:rPr>
              <w:t>-0.13</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tcPr>
          <w:p w14:paraId="4C3F937C" w14:textId="77777777" w:rsidR="00AA068C" w:rsidRPr="00BA06B6" w:rsidRDefault="00AA068C" w:rsidP="00BC341D">
            <w:pPr>
              <w:tabs>
                <w:tab w:val="left" w:pos="851"/>
              </w:tabs>
              <w:jc w:val="both"/>
              <w:rPr>
                <w:lang w:eastAsia="zh-CN"/>
              </w:rPr>
            </w:pPr>
          </w:p>
        </w:tc>
        <w:tc>
          <w:tcPr>
            <w:tcW w:w="704" w:type="dxa"/>
            <w:tcBorders>
              <w:top w:val="nil"/>
              <w:left w:val="nil"/>
              <w:bottom w:val="nil"/>
              <w:right w:val="nil"/>
            </w:tcBorders>
            <w:shd w:val="clear" w:color="auto" w:fill="FFFFFF" w:themeFill="background1"/>
            <w:noWrap/>
            <w:vAlign w:val="center"/>
            <w:hideMark/>
          </w:tcPr>
          <w:p w14:paraId="3E09C6E7" w14:textId="77777777" w:rsidR="00AA068C" w:rsidRPr="00BA06B6" w:rsidRDefault="00AA068C" w:rsidP="00BC341D">
            <w:pPr>
              <w:tabs>
                <w:tab w:val="left" w:pos="851"/>
              </w:tabs>
              <w:jc w:val="both"/>
              <w:rPr>
                <w:lang w:eastAsia="zh-CN"/>
              </w:rPr>
            </w:pPr>
            <w:r w:rsidRPr="00BA06B6">
              <w:rPr>
                <w:lang w:eastAsia="zh-CN"/>
              </w:rPr>
              <w:t>-0.10</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hideMark/>
          </w:tcPr>
          <w:p w14:paraId="18205101" w14:textId="77777777" w:rsidR="00AA068C" w:rsidRPr="00BA06B6" w:rsidRDefault="00AA068C" w:rsidP="00BC341D">
            <w:pPr>
              <w:tabs>
                <w:tab w:val="left" w:pos="851"/>
              </w:tabs>
              <w:jc w:val="both"/>
              <w:rPr>
                <w:lang w:eastAsia="zh-CN"/>
              </w:rPr>
            </w:pPr>
            <w:r w:rsidRPr="00BA06B6">
              <w:rPr>
                <w:lang w:eastAsia="zh-CN"/>
              </w:rPr>
              <w:t xml:space="preserve"> 0.01</w:t>
            </w:r>
          </w:p>
        </w:tc>
        <w:tc>
          <w:tcPr>
            <w:tcW w:w="657" w:type="dxa"/>
            <w:tcBorders>
              <w:top w:val="nil"/>
              <w:left w:val="nil"/>
              <w:bottom w:val="nil"/>
              <w:right w:val="nil"/>
            </w:tcBorders>
            <w:shd w:val="clear" w:color="auto" w:fill="FFFFFF" w:themeFill="background1"/>
            <w:noWrap/>
            <w:vAlign w:val="center"/>
            <w:hideMark/>
          </w:tcPr>
          <w:p w14:paraId="2AD058F9" w14:textId="77777777" w:rsidR="00AA068C" w:rsidRPr="00BA06B6" w:rsidRDefault="00AA068C" w:rsidP="00BC341D">
            <w:pPr>
              <w:tabs>
                <w:tab w:val="left" w:pos="851"/>
              </w:tabs>
              <w:jc w:val="both"/>
              <w:rPr>
                <w:lang w:eastAsia="zh-CN"/>
              </w:rPr>
            </w:pPr>
            <w:r w:rsidRPr="00BA06B6">
              <w:rPr>
                <w:lang w:eastAsia="zh-CN"/>
              </w:rPr>
              <w:t>-0.07</w:t>
            </w:r>
          </w:p>
        </w:tc>
        <w:tc>
          <w:tcPr>
            <w:tcW w:w="657" w:type="dxa"/>
            <w:tcBorders>
              <w:top w:val="nil"/>
              <w:left w:val="nil"/>
              <w:bottom w:val="nil"/>
              <w:right w:val="nil"/>
            </w:tcBorders>
            <w:shd w:val="clear" w:color="auto" w:fill="FFFFFF" w:themeFill="background1"/>
            <w:noWrap/>
            <w:vAlign w:val="center"/>
            <w:hideMark/>
          </w:tcPr>
          <w:p w14:paraId="15F2187C" w14:textId="77777777" w:rsidR="00AA068C" w:rsidRPr="00BA06B6" w:rsidRDefault="00AA068C" w:rsidP="00BC341D">
            <w:pPr>
              <w:tabs>
                <w:tab w:val="left" w:pos="851"/>
              </w:tabs>
              <w:jc w:val="both"/>
              <w:rPr>
                <w:lang w:eastAsia="zh-CN"/>
              </w:rPr>
            </w:pPr>
            <w:r w:rsidRPr="00BA06B6">
              <w:rPr>
                <w:lang w:eastAsia="zh-CN"/>
              </w:rPr>
              <w:t>-0.17</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03A2003A" w14:textId="77777777" w:rsidR="00AA068C" w:rsidRPr="00BA06B6" w:rsidRDefault="00AA068C" w:rsidP="00BC341D">
            <w:pPr>
              <w:tabs>
                <w:tab w:val="left" w:pos="851"/>
              </w:tabs>
              <w:jc w:val="both"/>
              <w:rPr>
                <w:lang w:eastAsia="zh-CN"/>
              </w:rPr>
            </w:pPr>
            <w:r w:rsidRPr="00BA06B6">
              <w:rPr>
                <w:lang w:eastAsia="zh-CN"/>
              </w:rPr>
              <w:t>-0.00</w:t>
            </w:r>
          </w:p>
        </w:tc>
        <w:tc>
          <w:tcPr>
            <w:tcW w:w="657" w:type="dxa"/>
            <w:tcBorders>
              <w:top w:val="nil"/>
              <w:left w:val="nil"/>
              <w:bottom w:val="nil"/>
              <w:right w:val="nil"/>
            </w:tcBorders>
            <w:shd w:val="clear" w:color="auto" w:fill="FFFFFF" w:themeFill="background1"/>
            <w:noWrap/>
            <w:vAlign w:val="center"/>
            <w:hideMark/>
          </w:tcPr>
          <w:p w14:paraId="78EF66DE" w14:textId="77777777" w:rsidR="00AA068C" w:rsidRPr="00BA06B6" w:rsidRDefault="00AA068C" w:rsidP="00BC341D">
            <w:pPr>
              <w:tabs>
                <w:tab w:val="left" w:pos="851"/>
              </w:tabs>
              <w:jc w:val="both"/>
              <w:rPr>
                <w:lang w:eastAsia="zh-CN"/>
              </w:rPr>
            </w:pPr>
            <w:r w:rsidRPr="00BA06B6">
              <w:rPr>
                <w:lang w:eastAsia="zh-CN"/>
              </w:rPr>
              <w:t>-0.07</w:t>
            </w:r>
          </w:p>
        </w:tc>
        <w:tc>
          <w:tcPr>
            <w:tcW w:w="657" w:type="dxa"/>
            <w:tcBorders>
              <w:top w:val="nil"/>
              <w:left w:val="nil"/>
              <w:bottom w:val="nil"/>
              <w:right w:val="nil"/>
            </w:tcBorders>
            <w:shd w:val="clear" w:color="auto" w:fill="FFFFFF" w:themeFill="background1"/>
            <w:noWrap/>
            <w:vAlign w:val="center"/>
            <w:hideMark/>
          </w:tcPr>
          <w:p w14:paraId="134A3C86" w14:textId="77777777" w:rsidR="00AA068C" w:rsidRPr="00BA06B6" w:rsidRDefault="00AA068C" w:rsidP="00BC341D">
            <w:pPr>
              <w:tabs>
                <w:tab w:val="left" w:pos="851"/>
              </w:tabs>
              <w:jc w:val="both"/>
              <w:rPr>
                <w:lang w:eastAsia="zh-CN"/>
              </w:rPr>
            </w:pPr>
            <w:r w:rsidRPr="00BA06B6">
              <w:rPr>
                <w:lang w:eastAsia="zh-CN"/>
              </w:rPr>
              <w:t>-0.17</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2200AD7C" w14:textId="77777777" w:rsidR="00AA068C" w:rsidRPr="00BA06B6" w:rsidRDefault="00AA068C" w:rsidP="00BC341D">
            <w:pPr>
              <w:tabs>
                <w:tab w:val="left" w:pos="851"/>
              </w:tabs>
              <w:jc w:val="both"/>
              <w:rPr>
                <w:lang w:eastAsia="zh-CN"/>
              </w:rPr>
            </w:pPr>
            <w:r w:rsidRPr="00BA06B6">
              <w:rPr>
                <w:lang w:eastAsia="zh-CN"/>
              </w:rPr>
              <w:t xml:space="preserve"> 0.09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0F0C287F" w14:textId="77777777" w:rsidR="00AA068C" w:rsidRPr="00BA06B6" w:rsidRDefault="00AA068C" w:rsidP="00BC341D">
            <w:pPr>
              <w:tabs>
                <w:tab w:val="left" w:pos="851"/>
              </w:tabs>
              <w:jc w:val="both"/>
              <w:rPr>
                <w:lang w:eastAsia="zh-CN"/>
              </w:rPr>
            </w:pPr>
            <w:r w:rsidRPr="00BA06B6">
              <w:rPr>
                <w:lang w:eastAsia="zh-CN"/>
              </w:rPr>
              <w:t>-0.01</w:t>
            </w:r>
          </w:p>
        </w:tc>
        <w:tc>
          <w:tcPr>
            <w:tcW w:w="657" w:type="dxa"/>
            <w:tcBorders>
              <w:top w:val="nil"/>
              <w:left w:val="nil"/>
              <w:bottom w:val="nil"/>
              <w:right w:val="nil"/>
            </w:tcBorders>
            <w:shd w:val="clear" w:color="auto" w:fill="FFFFFF" w:themeFill="background1"/>
            <w:noWrap/>
            <w:vAlign w:val="center"/>
            <w:hideMark/>
          </w:tcPr>
          <w:p w14:paraId="607A3753" w14:textId="77777777" w:rsidR="00AA068C" w:rsidRPr="00BA06B6" w:rsidRDefault="00AA068C" w:rsidP="00BC341D">
            <w:pPr>
              <w:tabs>
                <w:tab w:val="left" w:pos="851"/>
              </w:tabs>
              <w:jc w:val="both"/>
              <w:rPr>
                <w:lang w:eastAsia="zh-CN"/>
              </w:rPr>
            </w:pPr>
            <w:r w:rsidRPr="00BA06B6">
              <w:rPr>
                <w:lang w:eastAsia="zh-CN"/>
              </w:rPr>
              <w:t xml:space="preserve"> 0.04</w:t>
            </w:r>
          </w:p>
        </w:tc>
        <w:tc>
          <w:tcPr>
            <w:tcW w:w="657" w:type="dxa"/>
            <w:tcBorders>
              <w:top w:val="nil"/>
              <w:left w:val="nil"/>
              <w:bottom w:val="nil"/>
              <w:right w:val="nil"/>
            </w:tcBorders>
            <w:shd w:val="clear" w:color="auto" w:fill="FFFFFF" w:themeFill="background1"/>
            <w:noWrap/>
            <w:vAlign w:val="center"/>
            <w:hideMark/>
          </w:tcPr>
          <w:p w14:paraId="4BA944EB" w14:textId="77777777" w:rsidR="00AA068C" w:rsidRPr="00BA06B6" w:rsidRDefault="00AA068C" w:rsidP="00BC341D">
            <w:pPr>
              <w:tabs>
                <w:tab w:val="left" w:pos="851"/>
              </w:tabs>
              <w:jc w:val="both"/>
              <w:rPr>
                <w:lang w:eastAsia="zh-CN"/>
              </w:rPr>
            </w:pPr>
            <w:r w:rsidRPr="00BA06B6">
              <w:rPr>
                <w:lang w:eastAsia="zh-CN"/>
              </w:rPr>
              <w:t xml:space="preserve"> 0.06</w:t>
            </w:r>
          </w:p>
        </w:tc>
        <w:tc>
          <w:tcPr>
            <w:tcW w:w="657" w:type="dxa"/>
            <w:tcBorders>
              <w:top w:val="nil"/>
              <w:left w:val="nil"/>
              <w:bottom w:val="nil"/>
              <w:right w:val="nil"/>
            </w:tcBorders>
            <w:shd w:val="clear" w:color="auto" w:fill="FFFFFF" w:themeFill="background1"/>
            <w:noWrap/>
            <w:vAlign w:val="center"/>
            <w:hideMark/>
          </w:tcPr>
          <w:p w14:paraId="37C5B613" w14:textId="77777777" w:rsidR="00AA068C" w:rsidRPr="00BA06B6" w:rsidRDefault="00AA068C" w:rsidP="00BC341D">
            <w:pPr>
              <w:tabs>
                <w:tab w:val="left" w:pos="851"/>
              </w:tabs>
              <w:jc w:val="both"/>
              <w:rPr>
                <w:lang w:eastAsia="zh-CN"/>
              </w:rPr>
            </w:pPr>
            <w:r w:rsidRPr="00BA06B6">
              <w:rPr>
                <w:lang w:eastAsia="zh-CN"/>
              </w:rPr>
              <w:t>-0.06</w:t>
            </w:r>
          </w:p>
        </w:tc>
        <w:tc>
          <w:tcPr>
            <w:tcW w:w="611" w:type="dxa"/>
            <w:gridSpan w:val="2"/>
            <w:tcBorders>
              <w:top w:val="nil"/>
              <w:left w:val="nil"/>
              <w:bottom w:val="nil"/>
              <w:right w:val="nil"/>
            </w:tcBorders>
            <w:shd w:val="clear" w:color="auto" w:fill="FFFFFF" w:themeFill="background1"/>
            <w:noWrap/>
            <w:vAlign w:val="center"/>
            <w:hideMark/>
          </w:tcPr>
          <w:p w14:paraId="36E6D46A" w14:textId="77777777" w:rsidR="00AA068C" w:rsidRPr="00BA06B6" w:rsidRDefault="00AA068C" w:rsidP="00BC341D">
            <w:pPr>
              <w:tabs>
                <w:tab w:val="left" w:pos="851"/>
              </w:tabs>
              <w:jc w:val="both"/>
              <w:rPr>
                <w:lang w:eastAsia="zh-CN"/>
              </w:rPr>
            </w:pPr>
            <w:r w:rsidRPr="00BA06B6">
              <w:rPr>
                <w:lang w:eastAsia="zh-CN"/>
              </w:rPr>
              <w:t>-0.01</w:t>
            </w:r>
          </w:p>
        </w:tc>
      </w:tr>
      <w:tr w:rsidR="00BA06B6" w:rsidRPr="00BA06B6" w14:paraId="7A367015" w14:textId="77777777" w:rsidTr="004137CB">
        <w:trPr>
          <w:trHeight w:val="288"/>
          <w:jc w:val="center"/>
        </w:trPr>
        <w:tc>
          <w:tcPr>
            <w:tcW w:w="880" w:type="dxa"/>
            <w:tcBorders>
              <w:top w:val="nil"/>
              <w:left w:val="nil"/>
              <w:bottom w:val="nil"/>
              <w:right w:val="nil"/>
            </w:tcBorders>
            <w:shd w:val="clear" w:color="auto" w:fill="FFFFFF" w:themeFill="background1"/>
            <w:noWrap/>
            <w:vAlign w:val="center"/>
            <w:hideMark/>
          </w:tcPr>
          <w:p w14:paraId="6866FCB2" w14:textId="77777777" w:rsidR="00AA068C" w:rsidRPr="00BA06B6" w:rsidRDefault="00AA068C" w:rsidP="00BC341D">
            <w:pPr>
              <w:tabs>
                <w:tab w:val="left" w:pos="851"/>
              </w:tabs>
              <w:jc w:val="both"/>
              <w:rPr>
                <w:lang w:eastAsia="zh-CN"/>
              </w:rPr>
            </w:pPr>
            <w:r w:rsidRPr="00BA06B6">
              <w:rPr>
                <w:lang w:eastAsia="zh-CN"/>
              </w:rPr>
              <w:t>BOWN</w:t>
            </w:r>
          </w:p>
        </w:tc>
        <w:tc>
          <w:tcPr>
            <w:tcW w:w="613" w:type="dxa"/>
            <w:tcBorders>
              <w:top w:val="nil"/>
              <w:left w:val="nil"/>
              <w:bottom w:val="nil"/>
              <w:right w:val="nil"/>
            </w:tcBorders>
            <w:shd w:val="clear" w:color="auto" w:fill="FFFFFF" w:themeFill="background1"/>
            <w:noWrap/>
            <w:vAlign w:val="center"/>
            <w:hideMark/>
          </w:tcPr>
          <w:p w14:paraId="51F9193F" w14:textId="77777777" w:rsidR="00AA068C" w:rsidRPr="00BA06B6" w:rsidRDefault="00AA068C" w:rsidP="00BC341D">
            <w:pPr>
              <w:tabs>
                <w:tab w:val="left" w:pos="851"/>
              </w:tabs>
              <w:jc w:val="both"/>
              <w:rPr>
                <w:lang w:eastAsia="zh-CN"/>
              </w:rPr>
            </w:pPr>
            <w:r w:rsidRPr="00BA06B6">
              <w:rPr>
                <w:lang w:eastAsia="zh-CN"/>
              </w:rPr>
              <w:t>-0.31</w:t>
            </w:r>
            <w:r w:rsidRPr="00BA06B6">
              <w:rPr>
                <w:vertAlign w:val="superscript"/>
                <w:lang w:eastAsia="zh-CN"/>
              </w:rPr>
              <w:t>**</w:t>
            </w:r>
          </w:p>
        </w:tc>
        <w:tc>
          <w:tcPr>
            <w:tcW w:w="609" w:type="dxa"/>
            <w:tcBorders>
              <w:top w:val="nil"/>
              <w:left w:val="nil"/>
              <w:bottom w:val="nil"/>
              <w:right w:val="nil"/>
            </w:tcBorders>
            <w:shd w:val="clear" w:color="auto" w:fill="FFFFFF" w:themeFill="background1"/>
            <w:noWrap/>
            <w:vAlign w:val="center"/>
            <w:hideMark/>
          </w:tcPr>
          <w:p w14:paraId="5C4A64E5" w14:textId="77777777" w:rsidR="00AA068C" w:rsidRPr="00BA06B6" w:rsidRDefault="00AA068C" w:rsidP="00BC341D">
            <w:pPr>
              <w:tabs>
                <w:tab w:val="left" w:pos="851"/>
              </w:tabs>
              <w:jc w:val="both"/>
              <w:rPr>
                <w:lang w:eastAsia="zh-CN"/>
              </w:rPr>
            </w:pPr>
            <w:r w:rsidRPr="00BA06B6">
              <w:rPr>
                <w:lang w:eastAsia="zh-CN"/>
              </w:rPr>
              <w:t xml:space="preserve"> 0.03</w:t>
            </w:r>
          </w:p>
        </w:tc>
        <w:tc>
          <w:tcPr>
            <w:tcW w:w="657" w:type="dxa"/>
            <w:tcBorders>
              <w:top w:val="nil"/>
              <w:left w:val="nil"/>
              <w:bottom w:val="nil"/>
              <w:right w:val="nil"/>
            </w:tcBorders>
            <w:shd w:val="clear" w:color="auto" w:fill="FFFFFF" w:themeFill="background1"/>
            <w:noWrap/>
            <w:vAlign w:val="center"/>
            <w:hideMark/>
          </w:tcPr>
          <w:p w14:paraId="2D0D8B52" w14:textId="77777777" w:rsidR="00AA068C" w:rsidRPr="00BA06B6" w:rsidRDefault="00AA068C" w:rsidP="00BC341D">
            <w:pPr>
              <w:tabs>
                <w:tab w:val="left" w:pos="851"/>
              </w:tabs>
              <w:jc w:val="both"/>
              <w:rPr>
                <w:lang w:eastAsia="zh-CN"/>
              </w:rPr>
            </w:pPr>
            <w:r w:rsidRPr="00BA06B6">
              <w:rPr>
                <w:lang w:eastAsia="zh-CN"/>
              </w:rPr>
              <w:t>-0.12</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BA6925E" w14:textId="77777777" w:rsidR="00AA068C" w:rsidRPr="00BA06B6" w:rsidRDefault="00AA068C" w:rsidP="00BC341D">
            <w:pPr>
              <w:tabs>
                <w:tab w:val="left" w:pos="851"/>
              </w:tabs>
              <w:jc w:val="both"/>
              <w:rPr>
                <w:lang w:eastAsia="zh-CN"/>
              </w:rPr>
            </w:pPr>
            <w:r w:rsidRPr="00BA06B6">
              <w:rPr>
                <w:lang w:eastAsia="zh-CN"/>
              </w:rPr>
              <w:t>-0.29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04A0839" w14:textId="77777777" w:rsidR="00AA068C" w:rsidRPr="00BA06B6" w:rsidRDefault="00AA068C" w:rsidP="00BC341D">
            <w:pPr>
              <w:tabs>
                <w:tab w:val="left" w:pos="851"/>
              </w:tabs>
              <w:jc w:val="both"/>
              <w:rPr>
                <w:lang w:eastAsia="zh-CN"/>
              </w:rPr>
            </w:pPr>
            <w:r w:rsidRPr="00BA06B6">
              <w:rPr>
                <w:lang w:eastAsia="zh-CN"/>
              </w:rPr>
              <w:t xml:space="preserve"> 0.00</w:t>
            </w:r>
          </w:p>
        </w:tc>
        <w:tc>
          <w:tcPr>
            <w:tcW w:w="657" w:type="dxa"/>
            <w:tcBorders>
              <w:top w:val="nil"/>
              <w:left w:val="nil"/>
              <w:bottom w:val="nil"/>
              <w:right w:val="nil"/>
            </w:tcBorders>
            <w:shd w:val="clear" w:color="auto" w:fill="FFFFFF" w:themeFill="background1"/>
            <w:noWrap/>
            <w:vAlign w:val="center"/>
            <w:hideMark/>
          </w:tcPr>
          <w:p w14:paraId="732A5815" w14:textId="77777777" w:rsidR="00AA068C" w:rsidRPr="00BA06B6" w:rsidRDefault="00AA068C" w:rsidP="00BC341D">
            <w:pPr>
              <w:tabs>
                <w:tab w:val="left" w:pos="851"/>
              </w:tabs>
              <w:jc w:val="both"/>
              <w:rPr>
                <w:lang w:eastAsia="zh-CN"/>
              </w:rPr>
            </w:pPr>
            <w:r w:rsidRPr="00BA06B6">
              <w:rPr>
                <w:lang w:eastAsia="zh-CN"/>
              </w:rPr>
              <w:t>-0.15</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3A82149E" w14:textId="77777777" w:rsidR="00AA068C" w:rsidRPr="00BA06B6" w:rsidRDefault="00AA068C" w:rsidP="00BC341D">
            <w:pPr>
              <w:tabs>
                <w:tab w:val="left" w:pos="851"/>
              </w:tabs>
              <w:jc w:val="both"/>
              <w:rPr>
                <w:lang w:eastAsia="zh-CN"/>
              </w:rPr>
            </w:pPr>
            <w:r w:rsidRPr="00BA06B6">
              <w:rPr>
                <w:lang w:eastAsia="zh-CN"/>
              </w:rPr>
              <w:t xml:space="preserve"> 0.28</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2B5DB5F6" w14:textId="77777777" w:rsidR="00AA068C" w:rsidRPr="00BA06B6" w:rsidRDefault="00AA068C" w:rsidP="00BC341D">
            <w:pPr>
              <w:tabs>
                <w:tab w:val="left" w:pos="851"/>
              </w:tabs>
              <w:jc w:val="both"/>
              <w:rPr>
                <w:lang w:eastAsia="zh-CN"/>
              </w:rPr>
            </w:pPr>
            <w:r w:rsidRPr="00BA06B6">
              <w:rPr>
                <w:lang w:eastAsia="zh-CN"/>
              </w:rPr>
              <w:t>-0.09</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tcPr>
          <w:p w14:paraId="451A5990" w14:textId="77777777" w:rsidR="00AA068C" w:rsidRPr="00BA06B6" w:rsidRDefault="00AA068C" w:rsidP="00BC341D">
            <w:pPr>
              <w:tabs>
                <w:tab w:val="left" w:pos="851"/>
              </w:tabs>
              <w:jc w:val="both"/>
              <w:rPr>
                <w:lang w:eastAsia="zh-CN"/>
              </w:rPr>
            </w:pPr>
          </w:p>
        </w:tc>
        <w:tc>
          <w:tcPr>
            <w:tcW w:w="704" w:type="dxa"/>
            <w:tcBorders>
              <w:top w:val="nil"/>
              <w:left w:val="nil"/>
              <w:bottom w:val="nil"/>
              <w:right w:val="nil"/>
            </w:tcBorders>
            <w:shd w:val="clear" w:color="auto" w:fill="FFFFFF" w:themeFill="background1"/>
            <w:noWrap/>
            <w:vAlign w:val="center"/>
            <w:hideMark/>
          </w:tcPr>
          <w:p w14:paraId="1EEAAFD3" w14:textId="77777777" w:rsidR="00AA068C" w:rsidRPr="00BA06B6" w:rsidRDefault="00AA068C" w:rsidP="00BC341D">
            <w:pPr>
              <w:tabs>
                <w:tab w:val="left" w:pos="851"/>
              </w:tabs>
              <w:jc w:val="both"/>
              <w:rPr>
                <w:lang w:eastAsia="zh-CN"/>
              </w:rPr>
            </w:pPr>
            <w:r w:rsidRPr="00BA06B6">
              <w:rPr>
                <w:lang w:eastAsia="zh-CN"/>
              </w:rPr>
              <w:t xml:space="preserve"> 0.15</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2C67E235" w14:textId="77777777" w:rsidR="00AA068C" w:rsidRPr="00BA06B6" w:rsidRDefault="00AA068C" w:rsidP="00BC341D">
            <w:pPr>
              <w:tabs>
                <w:tab w:val="left" w:pos="851"/>
              </w:tabs>
              <w:jc w:val="both"/>
              <w:rPr>
                <w:lang w:eastAsia="zh-CN"/>
              </w:rPr>
            </w:pPr>
            <w:r w:rsidRPr="00BA06B6">
              <w:rPr>
                <w:lang w:eastAsia="zh-CN"/>
              </w:rPr>
              <w:t xml:space="preserve"> 0.54</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285DD9B5" w14:textId="77777777" w:rsidR="00AA068C" w:rsidRPr="00BA06B6" w:rsidRDefault="00AA068C" w:rsidP="00BC341D">
            <w:pPr>
              <w:tabs>
                <w:tab w:val="left" w:pos="851"/>
              </w:tabs>
              <w:jc w:val="both"/>
              <w:rPr>
                <w:lang w:eastAsia="zh-CN"/>
              </w:rPr>
            </w:pPr>
            <w:r w:rsidRPr="00BA06B6">
              <w:rPr>
                <w:lang w:eastAsia="zh-CN"/>
              </w:rPr>
              <w:t xml:space="preserve"> 0.19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3375AF0D" w14:textId="77777777" w:rsidR="00AA068C" w:rsidRPr="00BA06B6" w:rsidRDefault="00AA068C" w:rsidP="00BC341D">
            <w:pPr>
              <w:tabs>
                <w:tab w:val="left" w:pos="851"/>
              </w:tabs>
              <w:jc w:val="both"/>
              <w:rPr>
                <w:lang w:eastAsia="zh-CN"/>
              </w:rPr>
            </w:pPr>
            <w:r w:rsidRPr="00BA06B6">
              <w:rPr>
                <w:lang w:eastAsia="zh-CN"/>
              </w:rPr>
              <w:t xml:space="preserve"> 0.03</w:t>
            </w:r>
          </w:p>
        </w:tc>
        <w:tc>
          <w:tcPr>
            <w:tcW w:w="657" w:type="dxa"/>
            <w:tcBorders>
              <w:top w:val="nil"/>
              <w:left w:val="nil"/>
              <w:bottom w:val="nil"/>
              <w:right w:val="nil"/>
            </w:tcBorders>
            <w:shd w:val="clear" w:color="auto" w:fill="FFFFFF" w:themeFill="background1"/>
            <w:noWrap/>
            <w:vAlign w:val="center"/>
            <w:hideMark/>
          </w:tcPr>
          <w:p w14:paraId="44C94556" w14:textId="77777777" w:rsidR="00AA068C" w:rsidRPr="00BA06B6" w:rsidRDefault="00AA068C" w:rsidP="00BC341D">
            <w:pPr>
              <w:tabs>
                <w:tab w:val="left" w:pos="851"/>
              </w:tabs>
              <w:jc w:val="both"/>
              <w:rPr>
                <w:lang w:eastAsia="zh-CN"/>
              </w:rPr>
            </w:pPr>
            <w:r w:rsidRPr="00BA06B6">
              <w:rPr>
                <w:lang w:eastAsia="zh-CN"/>
              </w:rPr>
              <w:t xml:space="preserve"> 0.05</w:t>
            </w:r>
          </w:p>
        </w:tc>
        <w:tc>
          <w:tcPr>
            <w:tcW w:w="657" w:type="dxa"/>
            <w:tcBorders>
              <w:top w:val="nil"/>
              <w:left w:val="nil"/>
              <w:bottom w:val="nil"/>
              <w:right w:val="nil"/>
            </w:tcBorders>
            <w:shd w:val="clear" w:color="auto" w:fill="FFFFFF" w:themeFill="background1"/>
            <w:noWrap/>
            <w:vAlign w:val="center"/>
            <w:hideMark/>
          </w:tcPr>
          <w:p w14:paraId="7875D63F" w14:textId="77777777" w:rsidR="00AA068C" w:rsidRPr="00BA06B6" w:rsidRDefault="00AA068C" w:rsidP="00BC341D">
            <w:pPr>
              <w:tabs>
                <w:tab w:val="left" w:pos="851"/>
              </w:tabs>
              <w:jc w:val="both"/>
              <w:rPr>
                <w:lang w:eastAsia="zh-CN"/>
              </w:rPr>
            </w:pPr>
            <w:r w:rsidRPr="00BA06B6">
              <w:rPr>
                <w:lang w:eastAsia="zh-CN"/>
              </w:rPr>
              <w:t>-0.04</w:t>
            </w:r>
          </w:p>
        </w:tc>
        <w:tc>
          <w:tcPr>
            <w:tcW w:w="657" w:type="dxa"/>
            <w:tcBorders>
              <w:top w:val="nil"/>
              <w:left w:val="nil"/>
              <w:bottom w:val="nil"/>
              <w:right w:val="nil"/>
            </w:tcBorders>
            <w:shd w:val="clear" w:color="auto" w:fill="FFFFFF" w:themeFill="background1"/>
            <w:noWrap/>
            <w:vAlign w:val="center"/>
            <w:hideMark/>
          </w:tcPr>
          <w:p w14:paraId="5BA91F34" w14:textId="77777777" w:rsidR="00AA068C" w:rsidRPr="00BA06B6" w:rsidRDefault="00AA068C" w:rsidP="00BC341D">
            <w:pPr>
              <w:tabs>
                <w:tab w:val="left" w:pos="851"/>
              </w:tabs>
              <w:jc w:val="both"/>
              <w:rPr>
                <w:lang w:eastAsia="zh-CN"/>
              </w:rPr>
            </w:pPr>
            <w:r w:rsidRPr="00BA06B6">
              <w:rPr>
                <w:lang w:eastAsia="zh-CN"/>
              </w:rPr>
              <w:t>-0.06</w:t>
            </w:r>
          </w:p>
        </w:tc>
        <w:tc>
          <w:tcPr>
            <w:tcW w:w="657" w:type="dxa"/>
            <w:tcBorders>
              <w:top w:val="nil"/>
              <w:left w:val="nil"/>
              <w:bottom w:val="nil"/>
              <w:right w:val="nil"/>
            </w:tcBorders>
            <w:shd w:val="clear" w:color="auto" w:fill="FFFFFF" w:themeFill="background1"/>
            <w:noWrap/>
            <w:vAlign w:val="center"/>
            <w:hideMark/>
          </w:tcPr>
          <w:p w14:paraId="021EF286" w14:textId="77777777" w:rsidR="00AA068C" w:rsidRPr="00BA06B6" w:rsidRDefault="00AA068C" w:rsidP="00BC341D">
            <w:pPr>
              <w:tabs>
                <w:tab w:val="left" w:pos="851"/>
              </w:tabs>
              <w:jc w:val="both"/>
              <w:rPr>
                <w:lang w:eastAsia="zh-CN"/>
              </w:rPr>
            </w:pPr>
            <w:r w:rsidRPr="00BA06B6">
              <w:rPr>
                <w:lang w:eastAsia="zh-CN"/>
              </w:rPr>
              <w:t>-0.03</w:t>
            </w:r>
          </w:p>
        </w:tc>
        <w:tc>
          <w:tcPr>
            <w:tcW w:w="657" w:type="dxa"/>
            <w:tcBorders>
              <w:top w:val="nil"/>
              <w:left w:val="nil"/>
              <w:bottom w:val="nil"/>
              <w:right w:val="nil"/>
            </w:tcBorders>
            <w:shd w:val="clear" w:color="auto" w:fill="FFFFFF" w:themeFill="background1"/>
            <w:noWrap/>
            <w:vAlign w:val="center"/>
            <w:hideMark/>
          </w:tcPr>
          <w:p w14:paraId="784AAFFB" w14:textId="77777777" w:rsidR="00AA068C" w:rsidRPr="00BA06B6" w:rsidRDefault="00AA068C" w:rsidP="00BC341D">
            <w:pPr>
              <w:tabs>
                <w:tab w:val="left" w:pos="851"/>
              </w:tabs>
              <w:jc w:val="both"/>
              <w:rPr>
                <w:lang w:eastAsia="zh-CN"/>
              </w:rPr>
            </w:pPr>
            <w:r w:rsidRPr="00BA06B6">
              <w:rPr>
                <w:lang w:eastAsia="zh-CN"/>
              </w:rPr>
              <w:t>-0.27</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644E1DF4" w14:textId="77777777" w:rsidR="00AA068C" w:rsidRPr="00BA06B6" w:rsidRDefault="00AA068C" w:rsidP="00BC341D">
            <w:pPr>
              <w:tabs>
                <w:tab w:val="left" w:pos="851"/>
              </w:tabs>
              <w:jc w:val="both"/>
              <w:rPr>
                <w:lang w:eastAsia="zh-CN"/>
              </w:rPr>
            </w:pPr>
            <w:r w:rsidRPr="00BA06B6">
              <w:rPr>
                <w:lang w:eastAsia="zh-CN"/>
              </w:rPr>
              <w:t>-0.36</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23E00E75" w14:textId="77777777" w:rsidR="00AA068C" w:rsidRPr="00BA06B6" w:rsidRDefault="00AA068C" w:rsidP="00BC341D">
            <w:pPr>
              <w:tabs>
                <w:tab w:val="left" w:pos="851"/>
              </w:tabs>
              <w:jc w:val="both"/>
              <w:rPr>
                <w:lang w:eastAsia="zh-CN"/>
              </w:rPr>
            </w:pPr>
            <w:r w:rsidRPr="00BA06B6">
              <w:rPr>
                <w:lang w:eastAsia="zh-CN"/>
              </w:rPr>
              <w:t xml:space="preserve"> 0.02</w:t>
            </w:r>
          </w:p>
        </w:tc>
        <w:tc>
          <w:tcPr>
            <w:tcW w:w="611" w:type="dxa"/>
            <w:gridSpan w:val="2"/>
            <w:tcBorders>
              <w:top w:val="nil"/>
              <w:left w:val="nil"/>
              <w:bottom w:val="nil"/>
              <w:right w:val="nil"/>
            </w:tcBorders>
            <w:shd w:val="clear" w:color="auto" w:fill="FFFFFF" w:themeFill="background1"/>
            <w:noWrap/>
            <w:vAlign w:val="center"/>
            <w:hideMark/>
          </w:tcPr>
          <w:p w14:paraId="659758CC" w14:textId="77777777" w:rsidR="00AA068C" w:rsidRPr="00BA06B6" w:rsidRDefault="00AA068C" w:rsidP="00BC341D">
            <w:pPr>
              <w:tabs>
                <w:tab w:val="left" w:pos="851"/>
              </w:tabs>
              <w:jc w:val="both"/>
              <w:rPr>
                <w:lang w:eastAsia="zh-CN"/>
              </w:rPr>
            </w:pPr>
            <w:r w:rsidRPr="00BA06B6">
              <w:rPr>
                <w:lang w:eastAsia="zh-CN"/>
              </w:rPr>
              <w:t>-0.40</w:t>
            </w:r>
            <w:r w:rsidRPr="00BA06B6">
              <w:rPr>
                <w:vertAlign w:val="superscript"/>
                <w:lang w:eastAsia="zh-CN"/>
              </w:rPr>
              <w:t>**</w:t>
            </w:r>
          </w:p>
        </w:tc>
      </w:tr>
      <w:tr w:rsidR="00BA06B6" w:rsidRPr="00BA06B6" w14:paraId="0FDC4CC6" w14:textId="77777777" w:rsidTr="004137CB">
        <w:trPr>
          <w:trHeight w:val="288"/>
          <w:jc w:val="center"/>
        </w:trPr>
        <w:tc>
          <w:tcPr>
            <w:tcW w:w="880" w:type="dxa"/>
            <w:tcBorders>
              <w:top w:val="nil"/>
              <w:left w:val="nil"/>
              <w:bottom w:val="nil"/>
              <w:right w:val="nil"/>
            </w:tcBorders>
            <w:shd w:val="clear" w:color="auto" w:fill="FFFFFF" w:themeFill="background1"/>
            <w:noWrap/>
            <w:vAlign w:val="center"/>
            <w:hideMark/>
          </w:tcPr>
          <w:p w14:paraId="1576DE00" w14:textId="77777777" w:rsidR="00AA068C" w:rsidRPr="00BA06B6" w:rsidRDefault="00AA068C" w:rsidP="00BC341D">
            <w:pPr>
              <w:tabs>
                <w:tab w:val="left" w:pos="851"/>
              </w:tabs>
              <w:jc w:val="both"/>
              <w:rPr>
                <w:lang w:eastAsia="zh-CN"/>
              </w:rPr>
            </w:pPr>
            <w:r w:rsidRPr="00BA06B6">
              <w:rPr>
                <w:lang w:eastAsia="zh-CN"/>
              </w:rPr>
              <w:t>GOWN</w:t>
            </w:r>
          </w:p>
        </w:tc>
        <w:tc>
          <w:tcPr>
            <w:tcW w:w="613" w:type="dxa"/>
            <w:tcBorders>
              <w:top w:val="nil"/>
              <w:left w:val="nil"/>
              <w:bottom w:val="nil"/>
              <w:right w:val="nil"/>
            </w:tcBorders>
            <w:shd w:val="clear" w:color="auto" w:fill="FFFFFF" w:themeFill="background1"/>
            <w:noWrap/>
            <w:vAlign w:val="center"/>
            <w:hideMark/>
          </w:tcPr>
          <w:p w14:paraId="0C2F6FF5" w14:textId="77777777" w:rsidR="00AA068C" w:rsidRPr="00BA06B6" w:rsidRDefault="00AA068C" w:rsidP="00BC341D">
            <w:pPr>
              <w:tabs>
                <w:tab w:val="left" w:pos="851"/>
              </w:tabs>
              <w:jc w:val="both"/>
              <w:rPr>
                <w:lang w:eastAsia="zh-CN"/>
              </w:rPr>
            </w:pPr>
            <w:r w:rsidRPr="00BA06B6">
              <w:rPr>
                <w:lang w:eastAsia="zh-CN"/>
              </w:rPr>
              <w:t xml:space="preserve"> 0.42</w:t>
            </w:r>
            <w:r w:rsidRPr="00BA06B6">
              <w:rPr>
                <w:vertAlign w:val="superscript"/>
                <w:lang w:eastAsia="zh-CN"/>
              </w:rPr>
              <w:t>**</w:t>
            </w:r>
          </w:p>
        </w:tc>
        <w:tc>
          <w:tcPr>
            <w:tcW w:w="609" w:type="dxa"/>
            <w:tcBorders>
              <w:top w:val="nil"/>
              <w:left w:val="nil"/>
              <w:bottom w:val="nil"/>
              <w:right w:val="nil"/>
            </w:tcBorders>
            <w:shd w:val="clear" w:color="auto" w:fill="FFFFFF" w:themeFill="background1"/>
            <w:noWrap/>
            <w:vAlign w:val="center"/>
            <w:hideMark/>
          </w:tcPr>
          <w:p w14:paraId="12E6C833" w14:textId="77777777" w:rsidR="00AA068C" w:rsidRPr="00BA06B6" w:rsidRDefault="00AA068C" w:rsidP="00BC341D">
            <w:pPr>
              <w:tabs>
                <w:tab w:val="left" w:pos="851"/>
              </w:tabs>
              <w:jc w:val="both"/>
              <w:rPr>
                <w:lang w:eastAsia="zh-CN"/>
              </w:rPr>
            </w:pPr>
            <w:r w:rsidRPr="00BA06B6">
              <w:rPr>
                <w:lang w:eastAsia="zh-CN"/>
              </w:rPr>
              <w:t xml:space="preserve"> 0.26</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3A9AF6DD" w14:textId="77777777" w:rsidR="00AA068C" w:rsidRPr="00BA06B6" w:rsidRDefault="00AA068C" w:rsidP="00BC341D">
            <w:pPr>
              <w:tabs>
                <w:tab w:val="left" w:pos="851"/>
              </w:tabs>
              <w:jc w:val="both"/>
              <w:rPr>
                <w:lang w:eastAsia="zh-CN"/>
              </w:rPr>
            </w:pPr>
            <w:r w:rsidRPr="00BA06B6">
              <w:rPr>
                <w:lang w:eastAsia="zh-CN"/>
              </w:rPr>
              <w:t xml:space="preserve"> 0.36</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65FD47D0" w14:textId="77777777" w:rsidR="00AA068C" w:rsidRPr="00BA06B6" w:rsidRDefault="00AA068C" w:rsidP="00BC341D">
            <w:pPr>
              <w:tabs>
                <w:tab w:val="left" w:pos="851"/>
              </w:tabs>
              <w:jc w:val="both"/>
              <w:rPr>
                <w:lang w:eastAsia="zh-CN"/>
              </w:rPr>
            </w:pPr>
            <w:r w:rsidRPr="00BA06B6">
              <w:rPr>
                <w:lang w:eastAsia="zh-CN"/>
              </w:rPr>
              <w:t xml:space="preserve"> 0.15</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0B8D400" w14:textId="77777777" w:rsidR="00AA068C" w:rsidRPr="00BA06B6" w:rsidRDefault="00AA068C" w:rsidP="00BC341D">
            <w:pPr>
              <w:tabs>
                <w:tab w:val="left" w:pos="851"/>
              </w:tabs>
              <w:jc w:val="both"/>
              <w:rPr>
                <w:lang w:eastAsia="zh-CN"/>
              </w:rPr>
            </w:pPr>
            <w:r w:rsidRPr="00BA06B6">
              <w:rPr>
                <w:lang w:eastAsia="zh-CN"/>
              </w:rPr>
              <w:t>-0.09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0DA9CAE3" w14:textId="77777777" w:rsidR="00AA068C" w:rsidRPr="00BA06B6" w:rsidRDefault="00AA068C" w:rsidP="00BC341D">
            <w:pPr>
              <w:tabs>
                <w:tab w:val="left" w:pos="851"/>
              </w:tabs>
              <w:jc w:val="both"/>
              <w:rPr>
                <w:lang w:eastAsia="zh-CN"/>
              </w:rPr>
            </w:pPr>
            <w:r w:rsidRPr="00BA06B6">
              <w:rPr>
                <w:lang w:eastAsia="zh-CN"/>
              </w:rPr>
              <w:t xml:space="preserve"> 0.33</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5D9137F" w14:textId="77777777" w:rsidR="00AA068C" w:rsidRPr="00BA06B6" w:rsidRDefault="00AA068C" w:rsidP="00BC341D">
            <w:pPr>
              <w:tabs>
                <w:tab w:val="left" w:pos="851"/>
              </w:tabs>
              <w:jc w:val="both"/>
              <w:rPr>
                <w:lang w:eastAsia="zh-CN"/>
              </w:rPr>
            </w:pPr>
            <w:r w:rsidRPr="00BA06B6">
              <w:rPr>
                <w:lang w:eastAsia="zh-CN"/>
              </w:rPr>
              <w:t>-0.20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33CDCF59" w14:textId="77777777" w:rsidR="00AA068C" w:rsidRPr="00BA06B6" w:rsidRDefault="00AA068C" w:rsidP="00BC341D">
            <w:pPr>
              <w:tabs>
                <w:tab w:val="left" w:pos="851"/>
              </w:tabs>
              <w:jc w:val="both"/>
              <w:rPr>
                <w:lang w:eastAsia="zh-CN"/>
              </w:rPr>
            </w:pPr>
            <w:r w:rsidRPr="00BA06B6">
              <w:rPr>
                <w:lang w:eastAsia="zh-CN"/>
              </w:rPr>
              <w:t xml:space="preserve"> 0.12</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hideMark/>
          </w:tcPr>
          <w:p w14:paraId="7998457F" w14:textId="77777777" w:rsidR="00AA068C" w:rsidRPr="00BA06B6" w:rsidRDefault="00AA068C" w:rsidP="00BC341D">
            <w:pPr>
              <w:tabs>
                <w:tab w:val="left" w:pos="851"/>
              </w:tabs>
              <w:jc w:val="both"/>
              <w:rPr>
                <w:lang w:eastAsia="zh-CN"/>
              </w:rPr>
            </w:pPr>
            <w:r w:rsidRPr="00BA06B6">
              <w:rPr>
                <w:lang w:eastAsia="zh-CN"/>
              </w:rPr>
              <w:t xml:space="preserve"> 0.07</w:t>
            </w:r>
          </w:p>
        </w:tc>
        <w:tc>
          <w:tcPr>
            <w:tcW w:w="704" w:type="dxa"/>
            <w:tcBorders>
              <w:top w:val="nil"/>
              <w:left w:val="nil"/>
              <w:bottom w:val="nil"/>
              <w:right w:val="nil"/>
            </w:tcBorders>
            <w:shd w:val="clear" w:color="auto" w:fill="FFFFFF" w:themeFill="background1"/>
            <w:noWrap/>
            <w:vAlign w:val="center"/>
          </w:tcPr>
          <w:p w14:paraId="61AF13DE" w14:textId="77777777" w:rsidR="00AA068C" w:rsidRPr="00BA06B6" w:rsidRDefault="00AA068C" w:rsidP="00BC341D">
            <w:pPr>
              <w:tabs>
                <w:tab w:val="left" w:pos="851"/>
              </w:tabs>
              <w:jc w:val="both"/>
              <w:rPr>
                <w:lang w:eastAsia="zh-CN"/>
              </w:rPr>
            </w:pPr>
          </w:p>
        </w:tc>
        <w:tc>
          <w:tcPr>
            <w:tcW w:w="657" w:type="dxa"/>
            <w:tcBorders>
              <w:top w:val="nil"/>
              <w:left w:val="nil"/>
              <w:bottom w:val="nil"/>
              <w:right w:val="nil"/>
            </w:tcBorders>
            <w:shd w:val="clear" w:color="auto" w:fill="FFFFFF" w:themeFill="background1"/>
            <w:noWrap/>
            <w:vAlign w:val="center"/>
            <w:hideMark/>
          </w:tcPr>
          <w:p w14:paraId="149A19DF" w14:textId="77777777" w:rsidR="00AA068C" w:rsidRPr="00BA06B6" w:rsidRDefault="00AA068C" w:rsidP="00BC341D">
            <w:pPr>
              <w:tabs>
                <w:tab w:val="left" w:pos="851"/>
              </w:tabs>
              <w:jc w:val="both"/>
              <w:rPr>
                <w:lang w:eastAsia="zh-CN"/>
              </w:rPr>
            </w:pPr>
            <w:r w:rsidRPr="00BA06B6">
              <w:rPr>
                <w:lang w:eastAsia="zh-CN"/>
              </w:rPr>
              <w:t>-0.24</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6DF3AE7" w14:textId="77777777" w:rsidR="00AA068C" w:rsidRPr="00BA06B6" w:rsidRDefault="00AA068C" w:rsidP="00BC341D">
            <w:pPr>
              <w:tabs>
                <w:tab w:val="left" w:pos="851"/>
              </w:tabs>
              <w:jc w:val="both"/>
              <w:rPr>
                <w:lang w:eastAsia="zh-CN"/>
              </w:rPr>
            </w:pPr>
            <w:r w:rsidRPr="00BA06B6">
              <w:rPr>
                <w:lang w:eastAsia="zh-CN"/>
              </w:rPr>
              <w:t>-0.02</w:t>
            </w:r>
          </w:p>
        </w:tc>
        <w:tc>
          <w:tcPr>
            <w:tcW w:w="657" w:type="dxa"/>
            <w:tcBorders>
              <w:top w:val="nil"/>
              <w:left w:val="nil"/>
              <w:bottom w:val="nil"/>
              <w:right w:val="nil"/>
            </w:tcBorders>
            <w:shd w:val="clear" w:color="auto" w:fill="FFFFFF" w:themeFill="background1"/>
            <w:noWrap/>
            <w:vAlign w:val="center"/>
            <w:hideMark/>
          </w:tcPr>
          <w:p w14:paraId="6CE3A747" w14:textId="77777777" w:rsidR="00AA068C" w:rsidRPr="00BA06B6" w:rsidRDefault="00AA068C" w:rsidP="00BC341D">
            <w:pPr>
              <w:tabs>
                <w:tab w:val="left" w:pos="851"/>
              </w:tabs>
              <w:jc w:val="both"/>
              <w:rPr>
                <w:lang w:eastAsia="zh-CN"/>
              </w:rPr>
            </w:pPr>
            <w:r w:rsidRPr="00BA06B6">
              <w:rPr>
                <w:lang w:eastAsia="zh-CN"/>
              </w:rPr>
              <w:t>-0.18</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4953644" w14:textId="77777777" w:rsidR="00AA068C" w:rsidRPr="00BA06B6" w:rsidRDefault="00AA068C" w:rsidP="00BC341D">
            <w:pPr>
              <w:tabs>
                <w:tab w:val="left" w:pos="851"/>
              </w:tabs>
              <w:jc w:val="both"/>
              <w:rPr>
                <w:lang w:eastAsia="zh-CN"/>
              </w:rPr>
            </w:pPr>
            <w:r w:rsidRPr="00BA06B6">
              <w:rPr>
                <w:lang w:eastAsia="zh-CN"/>
              </w:rPr>
              <w:t>-0.20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1B4FC910" w14:textId="77777777" w:rsidR="00AA068C" w:rsidRPr="00BA06B6" w:rsidRDefault="00AA068C" w:rsidP="00BC341D">
            <w:pPr>
              <w:tabs>
                <w:tab w:val="left" w:pos="851"/>
              </w:tabs>
              <w:jc w:val="both"/>
              <w:rPr>
                <w:lang w:eastAsia="zh-CN"/>
              </w:rPr>
            </w:pPr>
            <w:r w:rsidRPr="00BA06B6">
              <w:rPr>
                <w:lang w:eastAsia="zh-CN"/>
              </w:rPr>
              <w:t xml:space="preserve"> 0.12</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EE1361D" w14:textId="77777777" w:rsidR="00AA068C" w:rsidRPr="00BA06B6" w:rsidRDefault="00AA068C" w:rsidP="00BC341D">
            <w:pPr>
              <w:tabs>
                <w:tab w:val="left" w:pos="851"/>
              </w:tabs>
              <w:jc w:val="both"/>
              <w:rPr>
                <w:lang w:eastAsia="zh-CN"/>
              </w:rPr>
            </w:pPr>
            <w:r w:rsidRPr="00BA06B6">
              <w:rPr>
                <w:lang w:eastAsia="zh-CN"/>
              </w:rPr>
              <w:t xml:space="preserve"> 0.07</w:t>
            </w:r>
          </w:p>
        </w:tc>
        <w:tc>
          <w:tcPr>
            <w:tcW w:w="657" w:type="dxa"/>
            <w:tcBorders>
              <w:top w:val="nil"/>
              <w:left w:val="nil"/>
              <w:bottom w:val="nil"/>
              <w:right w:val="nil"/>
            </w:tcBorders>
            <w:shd w:val="clear" w:color="auto" w:fill="FFFFFF" w:themeFill="background1"/>
            <w:noWrap/>
            <w:vAlign w:val="center"/>
            <w:hideMark/>
          </w:tcPr>
          <w:p w14:paraId="00E5E56F" w14:textId="77777777" w:rsidR="00AA068C" w:rsidRPr="00BA06B6" w:rsidRDefault="00AA068C" w:rsidP="00BC341D">
            <w:pPr>
              <w:tabs>
                <w:tab w:val="left" w:pos="851"/>
              </w:tabs>
              <w:jc w:val="both"/>
              <w:rPr>
                <w:lang w:eastAsia="zh-CN"/>
              </w:rPr>
            </w:pPr>
            <w:r w:rsidRPr="00BA06B6">
              <w:rPr>
                <w:lang w:eastAsia="zh-CN"/>
              </w:rPr>
              <w:t>-0.23</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0E9F8036" w14:textId="77777777" w:rsidR="00AA068C" w:rsidRPr="00BA06B6" w:rsidRDefault="00AA068C" w:rsidP="00BC341D">
            <w:pPr>
              <w:tabs>
                <w:tab w:val="left" w:pos="851"/>
              </w:tabs>
              <w:jc w:val="both"/>
              <w:rPr>
                <w:lang w:eastAsia="zh-CN"/>
              </w:rPr>
            </w:pPr>
            <w:r w:rsidRPr="00BA06B6">
              <w:rPr>
                <w:lang w:eastAsia="zh-CN"/>
              </w:rPr>
              <w:t xml:space="preserve"> 0.31</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18064387" w14:textId="77777777" w:rsidR="00AA068C" w:rsidRPr="00BA06B6" w:rsidRDefault="00AA068C" w:rsidP="00BC341D">
            <w:pPr>
              <w:tabs>
                <w:tab w:val="left" w:pos="851"/>
              </w:tabs>
              <w:jc w:val="both"/>
              <w:rPr>
                <w:lang w:eastAsia="zh-CN"/>
              </w:rPr>
            </w:pPr>
            <w:r w:rsidRPr="00BA06B6">
              <w:rPr>
                <w:lang w:eastAsia="zh-CN"/>
              </w:rPr>
              <w:t xml:space="preserve"> 0.26</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35961F4" w14:textId="77777777" w:rsidR="00AA068C" w:rsidRPr="00BA06B6" w:rsidRDefault="00AA068C" w:rsidP="00BC341D">
            <w:pPr>
              <w:tabs>
                <w:tab w:val="left" w:pos="851"/>
              </w:tabs>
              <w:jc w:val="both"/>
              <w:rPr>
                <w:lang w:eastAsia="zh-CN"/>
              </w:rPr>
            </w:pPr>
            <w:r w:rsidRPr="00BA06B6">
              <w:rPr>
                <w:lang w:eastAsia="zh-CN"/>
              </w:rPr>
              <w:t>-0.16</w:t>
            </w:r>
            <w:r w:rsidRPr="00BA06B6">
              <w:rPr>
                <w:vertAlign w:val="superscript"/>
                <w:lang w:eastAsia="zh-CN"/>
              </w:rPr>
              <w:t>**</w:t>
            </w:r>
          </w:p>
        </w:tc>
        <w:tc>
          <w:tcPr>
            <w:tcW w:w="611" w:type="dxa"/>
            <w:gridSpan w:val="2"/>
            <w:tcBorders>
              <w:top w:val="nil"/>
              <w:left w:val="nil"/>
              <w:bottom w:val="nil"/>
              <w:right w:val="nil"/>
            </w:tcBorders>
            <w:shd w:val="clear" w:color="auto" w:fill="FFFFFF" w:themeFill="background1"/>
            <w:noWrap/>
            <w:vAlign w:val="center"/>
            <w:hideMark/>
          </w:tcPr>
          <w:p w14:paraId="570FAFE8" w14:textId="77777777" w:rsidR="00AA068C" w:rsidRPr="00BA06B6" w:rsidRDefault="00AA068C" w:rsidP="00BC341D">
            <w:pPr>
              <w:tabs>
                <w:tab w:val="left" w:pos="851"/>
              </w:tabs>
              <w:jc w:val="both"/>
              <w:rPr>
                <w:lang w:eastAsia="zh-CN"/>
              </w:rPr>
            </w:pPr>
            <w:r w:rsidRPr="00BA06B6">
              <w:rPr>
                <w:lang w:eastAsia="zh-CN"/>
              </w:rPr>
              <w:t xml:space="preserve"> 0.12</w:t>
            </w:r>
            <w:r w:rsidRPr="00BA06B6">
              <w:rPr>
                <w:vertAlign w:val="superscript"/>
                <w:lang w:eastAsia="zh-CN"/>
              </w:rPr>
              <w:t>**</w:t>
            </w:r>
          </w:p>
        </w:tc>
      </w:tr>
      <w:tr w:rsidR="00BA06B6" w:rsidRPr="00BA06B6" w14:paraId="4C199368" w14:textId="77777777" w:rsidTr="004137CB">
        <w:trPr>
          <w:trHeight w:val="288"/>
          <w:jc w:val="center"/>
        </w:trPr>
        <w:tc>
          <w:tcPr>
            <w:tcW w:w="880" w:type="dxa"/>
            <w:tcBorders>
              <w:top w:val="nil"/>
              <w:left w:val="nil"/>
              <w:bottom w:val="nil"/>
              <w:right w:val="nil"/>
            </w:tcBorders>
            <w:shd w:val="clear" w:color="auto" w:fill="FFFFFF" w:themeFill="background1"/>
            <w:noWrap/>
            <w:vAlign w:val="center"/>
            <w:hideMark/>
          </w:tcPr>
          <w:p w14:paraId="1179F437" w14:textId="77777777" w:rsidR="00AA068C" w:rsidRPr="00BA06B6" w:rsidRDefault="00AA068C" w:rsidP="00BC341D">
            <w:pPr>
              <w:tabs>
                <w:tab w:val="left" w:pos="851"/>
              </w:tabs>
              <w:jc w:val="both"/>
              <w:rPr>
                <w:lang w:eastAsia="zh-CN"/>
              </w:rPr>
            </w:pPr>
            <w:r w:rsidRPr="00BA06B6">
              <w:rPr>
                <w:lang w:eastAsia="zh-CN"/>
              </w:rPr>
              <w:t>FOWN</w:t>
            </w:r>
          </w:p>
        </w:tc>
        <w:tc>
          <w:tcPr>
            <w:tcW w:w="613" w:type="dxa"/>
            <w:tcBorders>
              <w:top w:val="nil"/>
              <w:left w:val="nil"/>
              <w:bottom w:val="nil"/>
              <w:right w:val="nil"/>
            </w:tcBorders>
            <w:shd w:val="clear" w:color="auto" w:fill="FFFFFF" w:themeFill="background1"/>
            <w:noWrap/>
            <w:vAlign w:val="center"/>
            <w:hideMark/>
          </w:tcPr>
          <w:p w14:paraId="0E9AA2DF" w14:textId="77777777" w:rsidR="00AA068C" w:rsidRPr="00BA06B6" w:rsidRDefault="00AA068C" w:rsidP="00BC341D">
            <w:pPr>
              <w:tabs>
                <w:tab w:val="left" w:pos="851"/>
              </w:tabs>
              <w:jc w:val="both"/>
              <w:rPr>
                <w:lang w:eastAsia="zh-CN"/>
              </w:rPr>
            </w:pPr>
            <w:r w:rsidRPr="00BA06B6">
              <w:rPr>
                <w:lang w:eastAsia="zh-CN"/>
              </w:rPr>
              <w:t>-0.60</w:t>
            </w:r>
            <w:r w:rsidRPr="00BA06B6">
              <w:rPr>
                <w:vertAlign w:val="superscript"/>
                <w:lang w:eastAsia="zh-CN"/>
              </w:rPr>
              <w:t>**</w:t>
            </w:r>
          </w:p>
        </w:tc>
        <w:tc>
          <w:tcPr>
            <w:tcW w:w="609" w:type="dxa"/>
            <w:tcBorders>
              <w:top w:val="nil"/>
              <w:left w:val="nil"/>
              <w:bottom w:val="nil"/>
              <w:right w:val="nil"/>
            </w:tcBorders>
            <w:shd w:val="clear" w:color="auto" w:fill="FFFFFF" w:themeFill="background1"/>
            <w:noWrap/>
            <w:vAlign w:val="center"/>
            <w:hideMark/>
          </w:tcPr>
          <w:p w14:paraId="5D670406" w14:textId="77777777" w:rsidR="00AA068C" w:rsidRPr="00BA06B6" w:rsidRDefault="00AA068C" w:rsidP="00BC341D">
            <w:pPr>
              <w:tabs>
                <w:tab w:val="left" w:pos="851"/>
              </w:tabs>
              <w:jc w:val="both"/>
              <w:rPr>
                <w:lang w:eastAsia="zh-CN"/>
              </w:rPr>
            </w:pPr>
            <w:r w:rsidRPr="00BA06B6">
              <w:rPr>
                <w:lang w:eastAsia="zh-CN"/>
              </w:rPr>
              <w:t>-0.07</w:t>
            </w:r>
          </w:p>
        </w:tc>
        <w:tc>
          <w:tcPr>
            <w:tcW w:w="657" w:type="dxa"/>
            <w:tcBorders>
              <w:top w:val="nil"/>
              <w:left w:val="nil"/>
              <w:bottom w:val="nil"/>
              <w:right w:val="nil"/>
            </w:tcBorders>
            <w:shd w:val="clear" w:color="auto" w:fill="FFFFFF" w:themeFill="background1"/>
            <w:noWrap/>
            <w:vAlign w:val="center"/>
            <w:hideMark/>
          </w:tcPr>
          <w:p w14:paraId="5412512A" w14:textId="77777777" w:rsidR="00AA068C" w:rsidRPr="00BA06B6" w:rsidRDefault="00AA068C" w:rsidP="00BC341D">
            <w:pPr>
              <w:tabs>
                <w:tab w:val="left" w:pos="851"/>
              </w:tabs>
              <w:jc w:val="both"/>
              <w:rPr>
                <w:lang w:eastAsia="zh-CN"/>
              </w:rPr>
            </w:pPr>
            <w:r w:rsidRPr="00BA06B6">
              <w:rPr>
                <w:lang w:eastAsia="zh-CN"/>
              </w:rPr>
              <w:t>-0.27</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DC0A32E" w14:textId="77777777" w:rsidR="00AA068C" w:rsidRPr="00BA06B6" w:rsidRDefault="00AA068C" w:rsidP="00BC341D">
            <w:pPr>
              <w:tabs>
                <w:tab w:val="left" w:pos="851"/>
              </w:tabs>
              <w:jc w:val="both"/>
              <w:rPr>
                <w:lang w:eastAsia="zh-CN"/>
              </w:rPr>
            </w:pPr>
            <w:r w:rsidRPr="00BA06B6">
              <w:rPr>
                <w:lang w:eastAsia="zh-CN"/>
              </w:rPr>
              <w:t>-0.28</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240FD45" w14:textId="77777777" w:rsidR="00AA068C" w:rsidRPr="00BA06B6" w:rsidRDefault="00AA068C" w:rsidP="00BC341D">
            <w:pPr>
              <w:tabs>
                <w:tab w:val="left" w:pos="851"/>
              </w:tabs>
              <w:jc w:val="both"/>
              <w:rPr>
                <w:lang w:eastAsia="zh-CN"/>
              </w:rPr>
            </w:pPr>
            <w:r w:rsidRPr="00BA06B6">
              <w:rPr>
                <w:lang w:eastAsia="zh-CN"/>
              </w:rPr>
              <w:t xml:space="preserve"> 0.04</w:t>
            </w:r>
          </w:p>
        </w:tc>
        <w:tc>
          <w:tcPr>
            <w:tcW w:w="657" w:type="dxa"/>
            <w:tcBorders>
              <w:top w:val="nil"/>
              <w:left w:val="nil"/>
              <w:bottom w:val="nil"/>
              <w:right w:val="nil"/>
            </w:tcBorders>
            <w:shd w:val="clear" w:color="auto" w:fill="FFFFFF" w:themeFill="background1"/>
            <w:noWrap/>
            <w:vAlign w:val="center"/>
            <w:hideMark/>
          </w:tcPr>
          <w:p w14:paraId="52410693" w14:textId="77777777" w:rsidR="00AA068C" w:rsidRPr="00BA06B6" w:rsidRDefault="00AA068C" w:rsidP="00BC341D">
            <w:pPr>
              <w:tabs>
                <w:tab w:val="left" w:pos="851"/>
              </w:tabs>
              <w:jc w:val="both"/>
              <w:rPr>
                <w:lang w:eastAsia="zh-CN"/>
              </w:rPr>
            </w:pPr>
            <w:r w:rsidRPr="00BA06B6">
              <w:rPr>
                <w:lang w:eastAsia="zh-CN"/>
              </w:rPr>
              <w:t>-0.37</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23A60C52" w14:textId="77777777" w:rsidR="00AA068C" w:rsidRPr="00BA06B6" w:rsidRDefault="00AA068C" w:rsidP="00BC341D">
            <w:pPr>
              <w:tabs>
                <w:tab w:val="left" w:pos="851"/>
              </w:tabs>
              <w:jc w:val="both"/>
              <w:rPr>
                <w:lang w:eastAsia="zh-CN"/>
              </w:rPr>
            </w:pPr>
            <w:r w:rsidRPr="00BA06B6">
              <w:rPr>
                <w:lang w:eastAsia="zh-CN"/>
              </w:rPr>
              <w:t xml:space="preserve"> 0.37</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3433743D" w14:textId="77777777" w:rsidR="00AA068C" w:rsidRPr="00BA06B6" w:rsidRDefault="00AA068C" w:rsidP="00BC341D">
            <w:pPr>
              <w:tabs>
                <w:tab w:val="left" w:pos="851"/>
              </w:tabs>
              <w:jc w:val="both"/>
              <w:rPr>
                <w:lang w:eastAsia="zh-CN"/>
              </w:rPr>
            </w:pPr>
            <w:r w:rsidRPr="00BA06B6">
              <w:rPr>
                <w:lang w:eastAsia="zh-CN"/>
              </w:rPr>
              <w:t>-0.16</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hideMark/>
          </w:tcPr>
          <w:p w14:paraId="34FF28D2" w14:textId="77777777" w:rsidR="00AA068C" w:rsidRPr="00BA06B6" w:rsidRDefault="00AA068C" w:rsidP="00BC341D">
            <w:pPr>
              <w:tabs>
                <w:tab w:val="left" w:pos="851"/>
              </w:tabs>
              <w:jc w:val="both"/>
              <w:rPr>
                <w:lang w:eastAsia="zh-CN"/>
              </w:rPr>
            </w:pPr>
            <w:r w:rsidRPr="00BA06B6">
              <w:rPr>
                <w:lang w:eastAsia="zh-CN"/>
              </w:rPr>
              <w:t xml:space="preserve"> 0.52</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hideMark/>
          </w:tcPr>
          <w:p w14:paraId="3BCDBFE7" w14:textId="77777777" w:rsidR="00AA068C" w:rsidRPr="00BA06B6" w:rsidRDefault="00AA068C" w:rsidP="00BC341D">
            <w:pPr>
              <w:tabs>
                <w:tab w:val="left" w:pos="851"/>
              </w:tabs>
              <w:jc w:val="both"/>
              <w:rPr>
                <w:lang w:eastAsia="zh-CN"/>
              </w:rPr>
            </w:pPr>
            <w:r w:rsidRPr="00BA06B6">
              <w:rPr>
                <w:lang w:eastAsia="zh-CN"/>
              </w:rPr>
              <w:t>-0.30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tcPr>
          <w:p w14:paraId="5F47E2EC" w14:textId="77777777" w:rsidR="00AA068C" w:rsidRPr="00BA06B6" w:rsidRDefault="00AA068C" w:rsidP="00BC341D">
            <w:pPr>
              <w:tabs>
                <w:tab w:val="left" w:pos="851"/>
              </w:tabs>
              <w:jc w:val="both"/>
              <w:rPr>
                <w:lang w:eastAsia="zh-CN"/>
              </w:rPr>
            </w:pPr>
          </w:p>
        </w:tc>
        <w:tc>
          <w:tcPr>
            <w:tcW w:w="657" w:type="dxa"/>
            <w:tcBorders>
              <w:top w:val="nil"/>
              <w:left w:val="nil"/>
              <w:bottom w:val="nil"/>
              <w:right w:val="nil"/>
            </w:tcBorders>
            <w:shd w:val="clear" w:color="auto" w:fill="FFFFFF" w:themeFill="background1"/>
            <w:noWrap/>
            <w:vAlign w:val="center"/>
            <w:hideMark/>
          </w:tcPr>
          <w:p w14:paraId="63D9680D" w14:textId="77777777" w:rsidR="00AA068C" w:rsidRPr="00BA06B6" w:rsidRDefault="00AA068C" w:rsidP="00BC341D">
            <w:pPr>
              <w:tabs>
                <w:tab w:val="left" w:pos="851"/>
              </w:tabs>
              <w:jc w:val="both"/>
              <w:rPr>
                <w:lang w:eastAsia="zh-CN"/>
              </w:rPr>
            </w:pPr>
            <w:r w:rsidRPr="00BA06B6">
              <w:rPr>
                <w:lang w:eastAsia="zh-CN"/>
              </w:rPr>
              <w:t xml:space="preserve"> 0.26</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26799F47" w14:textId="77777777" w:rsidR="00AA068C" w:rsidRPr="00BA06B6" w:rsidRDefault="00AA068C" w:rsidP="00BC341D">
            <w:pPr>
              <w:tabs>
                <w:tab w:val="left" w:pos="851"/>
              </w:tabs>
              <w:jc w:val="both"/>
              <w:rPr>
                <w:lang w:eastAsia="zh-CN"/>
              </w:rPr>
            </w:pPr>
            <w:r w:rsidRPr="00BA06B6">
              <w:rPr>
                <w:lang w:eastAsia="zh-CN"/>
              </w:rPr>
              <w:t xml:space="preserve"> 0.09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22E0377E" w14:textId="77777777" w:rsidR="00AA068C" w:rsidRPr="00BA06B6" w:rsidRDefault="00AA068C" w:rsidP="00BC341D">
            <w:pPr>
              <w:tabs>
                <w:tab w:val="left" w:pos="851"/>
              </w:tabs>
              <w:jc w:val="both"/>
              <w:rPr>
                <w:lang w:eastAsia="zh-CN"/>
              </w:rPr>
            </w:pPr>
            <w:r w:rsidRPr="00BA06B6">
              <w:rPr>
                <w:lang w:eastAsia="zh-CN"/>
              </w:rPr>
              <w:t xml:space="preserve"> 0.25</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0EBDA84E" w14:textId="77777777" w:rsidR="00AA068C" w:rsidRPr="00BA06B6" w:rsidRDefault="00AA068C" w:rsidP="00BC341D">
            <w:pPr>
              <w:tabs>
                <w:tab w:val="left" w:pos="851"/>
              </w:tabs>
              <w:jc w:val="both"/>
              <w:rPr>
                <w:lang w:eastAsia="zh-CN"/>
              </w:rPr>
            </w:pPr>
            <w:r w:rsidRPr="00BA06B6">
              <w:rPr>
                <w:lang w:eastAsia="zh-CN"/>
              </w:rPr>
              <w:t>-0.20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1CEE6F69" w14:textId="77777777" w:rsidR="00AA068C" w:rsidRPr="00BA06B6" w:rsidRDefault="00AA068C" w:rsidP="00BC341D">
            <w:pPr>
              <w:tabs>
                <w:tab w:val="left" w:pos="851"/>
              </w:tabs>
              <w:jc w:val="both"/>
              <w:rPr>
                <w:lang w:eastAsia="zh-CN"/>
              </w:rPr>
            </w:pPr>
            <w:r w:rsidRPr="00BA06B6">
              <w:rPr>
                <w:lang w:eastAsia="zh-CN"/>
              </w:rPr>
              <w:t>-0.12</w:t>
            </w:r>
          </w:p>
        </w:tc>
        <w:tc>
          <w:tcPr>
            <w:tcW w:w="657" w:type="dxa"/>
            <w:tcBorders>
              <w:top w:val="nil"/>
              <w:left w:val="nil"/>
              <w:bottom w:val="nil"/>
              <w:right w:val="nil"/>
            </w:tcBorders>
            <w:shd w:val="clear" w:color="auto" w:fill="FFFFFF" w:themeFill="background1"/>
            <w:noWrap/>
            <w:vAlign w:val="center"/>
            <w:hideMark/>
          </w:tcPr>
          <w:p w14:paraId="0234D608" w14:textId="77777777" w:rsidR="00AA068C" w:rsidRPr="00BA06B6" w:rsidRDefault="00AA068C" w:rsidP="00BC341D">
            <w:pPr>
              <w:tabs>
                <w:tab w:val="left" w:pos="851"/>
              </w:tabs>
              <w:jc w:val="both"/>
              <w:rPr>
                <w:lang w:eastAsia="zh-CN"/>
              </w:rPr>
            </w:pPr>
            <w:r w:rsidRPr="00BA06B6">
              <w:rPr>
                <w:lang w:eastAsia="zh-CN"/>
              </w:rPr>
              <w:t xml:space="preserve"> 0.03</w:t>
            </w:r>
          </w:p>
        </w:tc>
        <w:tc>
          <w:tcPr>
            <w:tcW w:w="657" w:type="dxa"/>
            <w:tcBorders>
              <w:top w:val="nil"/>
              <w:left w:val="nil"/>
              <w:bottom w:val="nil"/>
              <w:right w:val="nil"/>
            </w:tcBorders>
            <w:shd w:val="clear" w:color="auto" w:fill="FFFFFF" w:themeFill="background1"/>
            <w:noWrap/>
            <w:vAlign w:val="center"/>
            <w:hideMark/>
          </w:tcPr>
          <w:p w14:paraId="40039DF0" w14:textId="77777777" w:rsidR="00AA068C" w:rsidRPr="00BA06B6" w:rsidRDefault="00AA068C" w:rsidP="00BC341D">
            <w:pPr>
              <w:tabs>
                <w:tab w:val="left" w:pos="851"/>
              </w:tabs>
              <w:jc w:val="both"/>
              <w:rPr>
                <w:lang w:eastAsia="zh-CN"/>
              </w:rPr>
            </w:pPr>
            <w:r w:rsidRPr="00BA06B6">
              <w:rPr>
                <w:lang w:eastAsia="zh-CN"/>
              </w:rPr>
              <w:t>-0.39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65CEE065" w14:textId="77777777" w:rsidR="00AA068C" w:rsidRPr="00BA06B6" w:rsidRDefault="00AA068C" w:rsidP="00BC341D">
            <w:pPr>
              <w:tabs>
                <w:tab w:val="left" w:pos="851"/>
              </w:tabs>
              <w:jc w:val="both"/>
              <w:rPr>
                <w:lang w:eastAsia="zh-CN"/>
              </w:rPr>
            </w:pPr>
            <w:r w:rsidRPr="00BA06B6">
              <w:rPr>
                <w:lang w:eastAsia="zh-CN"/>
              </w:rPr>
              <w:t>-0.43</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C837C3A" w14:textId="77777777" w:rsidR="00AA068C" w:rsidRPr="00BA06B6" w:rsidRDefault="00AA068C" w:rsidP="00BC341D">
            <w:pPr>
              <w:tabs>
                <w:tab w:val="left" w:pos="851"/>
              </w:tabs>
              <w:jc w:val="both"/>
              <w:rPr>
                <w:lang w:eastAsia="zh-CN"/>
              </w:rPr>
            </w:pPr>
            <w:r w:rsidRPr="00BA06B6">
              <w:rPr>
                <w:lang w:eastAsia="zh-CN"/>
              </w:rPr>
              <w:t xml:space="preserve"> 0.17</w:t>
            </w:r>
            <w:r w:rsidRPr="00BA06B6">
              <w:rPr>
                <w:vertAlign w:val="superscript"/>
                <w:lang w:eastAsia="zh-CN"/>
              </w:rPr>
              <w:t>**</w:t>
            </w:r>
          </w:p>
        </w:tc>
        <w:tc>
          <w:tcPr>
            <w:tcW w:w="611" w:type="dxa"/>
            <w:gridSpan w:val="2"/>
            <w:tcBorders>
              <w:top w:val="nil"/>
              <w:left w:val="nil"/>
              <w:bottom w:val="nil"/>
              <w:right w:val="nil"/>
            </w:tcBorders>
            <w:shd w:val="clear" w:color="auto" w:fill="FFFFFF" w:themeFill="background1"/>
            <w:noWrap/>
            <w:vAlign w:val="center"/>
            <w:hideMark/>
          </w:tcPr>
          <w:p w14:paraId="6B41885F" w14:textId="77777777" w:rsidR="00AA068C" w:rsidRPr="00BA06B6" w:rsidRDefault="00AA068C" w:rsidP="00BC341D">
            <w:pPr>
              <w:tabs>
                <w:tab w:val="left" w:pos="851"/>
              </w:tabs>
              <w:jc w:val="both"/>
              <w:rPr>
                <w:lang w:eastAsia="zh-CN"/>
              </w:rPr>
            </w:pPr>
            <w:r w:rsidRPr="00BA06B6">
              <w:rPr>
                <w:lang w:eastAsia="zh-CN"/>
              </w:rPr>
              <w:t>-0.40</w:t>
            </w:r>
            <w:r w:rsidRPr="00BA06B6">
              <w:rPr>
                <w:vertAlign w:val="superscript"/>
                <w:lang w:eastAsia="zh-CN"/>
              </w:rPr>
              <w:t>**</w:t>
            </w:r>
          </w:p>
        </w:tc>
      </w:tr>
      <w:tr w:rsidR="00BA06B6" w:rsidRPr="00BA06B6" w14:paraId="1EF9BA0F" w14:textId="77777777" w:rsidTr="004137CB">
        <w:trPr>
          <w:trHeight w:val="288"/>
          <w:jc w:val="center"/>
        </w:trPr>
        <w:tc>
          <w:tcPr>
            <w:tcW w:w="880" w:type="dxa"/>
            <w:tcBorders>
              <w:top w:val="nil"/>
              <w:left w:val="nil"/>
              <w:bottom w:val="nil"/>
              <w:right w:val="nil"/>
            </w:tcBorders>
            <w:shd w:val="clear" w:color="auto" w:fill="FFFFFF" w:themeFill="background1"/>
            <w:noWrap/>
            <w:vAlign w:val="center"/>
            <w:hideMark/>
          </w:tcPr>
          <w:p w14:paraId="0C38D008" w14:textId="77777777" w:rsidR="00AA068C" w:rsidRPr="00BA06B6" w:rsidRDefault="00AA068C" w:rsidP="00BC341D">
            <w:pPr>
              <w:tabs>
                <w:tab w:val="left" w:pos="851"/>
              </w:tabs>
              <w:jc w:val="both"/>
              <w:rPr>
                <w:lang w:eastAsia="zh-CN"/>
              </w:rPr>
            </w:pPr>
            <w:r w:rsidRPr="00BA06B6">
              <w:rPr>
                <w:lang w:eastAsia="zh-CN"/>
              </w:rPr>
              <w:t>BS</w:t>
            </w:r>
          </w:p>
        </w:tc>
        <w:tc>
          <w:tcPr>
            <w:tcW w:w="613" w:type="dxa"/>
            <w:tcBorders>
              <w:top w:val="nil"/>
              <w:left w:val="nil"/>
              <w:bottom w:val="nil"/>
              <w:right w:val="nil"/>
            </w:tcBorders>
            <w:shd w:val="clear" w:color="auto" w:fill="FFFFFF" w:themeFill="background1"/>
            <w:noWrap/>
            <w:vAlign w:val="center"/>
            <w:hideMark/>
          </w:tcPr>
          <w:p w14:paraId="7A916ED0" w14:textId="77777777" w:rsidR="00AA068C" w:rsidRPr="00BA06B6" w:rsidRDefault="00AA068C" w:rsidP="00BC341D">
            <w:pPr>
              <w:tabs>
                <w:tab w:val="left" w:pos="851"/>
              </w:tabs>
              <w:jc w:val="both"/>
              <w:rPr>
                <w:lang w:eastAsia="zh-CN"/>
              </w:rPr>
            </w:pPr>
            <w:r w:rsidRPr="00BA06B6">
              <w:rPr>
                <w:lang w:eastAsia="zh-CN"/>
              </w:rPr>
              <w:t xml:space="preserve"> 0.24</w:t>
            </w:r>
            <w:r w:rsidRPr="00BA06B6">
              <w:rPr>
                <w:vertAlign w:val="superscript"/>
                <w:lang w:eastAsia="zh-CN"/>
              </w:rPr>
              <w:t>**</w:t>
            </w:r>
          </w:p>
        </w:tc>
        <w:tc>
          <w:tcPr>
            <w:tcW w:w="609" w:type="dxa"/>
            <w:tcBorders>
              <w:top w:val="nil"/>
              <w:left w:val="nil"/>
              <w:bottom w:val="nil"/>
              <w:right w:val="nil"/>
            </w:tcBorders>
            <w:shd w:val="clear" w:color="auto" w:fill="FFFFFF" w:themeFill="background1"/>
            <w:noWrap/>
            <w:vAlign w:val="center"/>
            <w:hideMark/>
          </w:tcPr>
          <w:p w14:paraId="38550C56" w14:textId="77777777" w:rsidR="00AA068C" w:rsidRPr="00BA06B6" w:rsidRDefault="00AA068C" w:rsidP="00BC341D">
            <w:pPr>
              <w:tabs>
                <w:tab w:val="left" w:pos="851"/>
              </w:tabs>
              <w:jc w:val="both"/>
              <w:rPr>
                <w:lang w:eastAsia="zh-CN"/>
              </w:rPr>
            </w:pPr>
            <w:r w:rsidRPr="00BA06B6">
              <w:rPr>
                <w:lang w:eastAsia="zh-CN"/>
              </w:rPr>
              <w:t xml:space="preserve"> 0.03</w:t>
            </w:r>
          </w:p>
        </w:tc>
        <w:tc>
          <w:tcPr>
            <w:tcW w:w="657" w:type="dxa"/>
            <w:tcBorders>
              <w:top w:val="nil"/>
              <w:left w:val="nil"/>
              <w:bottom w:val="nil"/>
              <w:right w:val="nil"/>
            </w:tcBorders>
            <w:shd w:val="clear" w:color="auto" w:fill="FFFFFF" w:themeFill="background1"/>
            <w:noWrap/>
            <w:vAlign w:val="center"/>
            <w:hideMark/>
          </w:tcPr>
          <w:p w14:paraId="31C712F0" w14:textId="77777777" w:rsidR="00AA068C" w:rsidRPr="00BA06B6" w:rsidRDefault="00AA068C" w:rsidP="00BC341D">
            <w:pPr>
              <w:tabs>
                <w:tab w:val="left" w:pos="851"/>
              </w:tabs>
              <w:jc w:val="both"/>
              <w:rPr>
                <w:lang w:eastAsia="zh-CN"/>
              </w:rPr>
            </w:pPr>
            <w:r w:rsidRPr="00BA06B6">
              <w:rPr>
                <w:lang w:eastAsia="zh-CN"/>
              </w:rPr>
              <w:t xml:space="preserve"> 0.06</w:t>
            </w:r>
          </w:p>
        </w:tc>
        <w:tc>
          <w:tcPr>
            <w:tcW w:w="657" w:type="dxa"/>
            <w:tcBorders>
              <w:top w:val="nil"/>
              <w:left w:val="nil"/>
              <w:bottom w:val="nil"/>
              <w:right w:val="nil"/>
            </w:tcBorders>
            <w:shd w:val="clear" w:color="auto" w:fill="FFFFFF" w:themeFill="background1"/>
            <w:noWrap/>
            <w:vAlign w:val="center"/>
            <w:hideMark/>
          </w:tcPr>
          <w:p w14:paraId="3D2E56E8" w14:textId="77777777" w:rsidR="00AA068C" w:rsidRPr="00BA06B6" w:rsidRDefault="00AA068C" w:rsidP="00BC341D">
            <w:pPr>
              <w:tabs>
                <w:tab w:val="left" w:pos="851"/>
              </w:tabs>
              <w:jc w:val="both"/>
              <w:rPr>
                <w:lang w:eastAsia="zh-CN"/>
              </w:rPr>
            </w:pPr>
            <w:r w:rsidRPr="00BA06B6">
              <w:rPr>
                <w:lang w:eastAsia="zh-CN"/>
              </w:rPr>
              <w:t xml:space="preserve"> 0.09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35C8D454" w14:textId="77777777" w:rsidR="00AA068C" w:rsidRPr="00BA06B6" w:rsidRDefault="00AA068C" w:rsidP="00BC341D">
            <w:pPr>
              <w:tabs>
                <w:tab w:val="left" w:pos="851"/>
              </w:tabs>
              <w:jc w:val="both"/>
              <w:rPr>
                <w:lang w:eastAsia="zh-CN"/>
              </w:rPr>
            </w:pPr>
            <w:r w:rsidRPr="00BA06B6">
              <w:rPr>
                <w:lang w:eastAsia="zh-CN"/>
              </w:rPr>
              <w:t>-0.02</w:t>
            </w:r>
          </w:p>
        </w:tc>
        <w:tc>
          <w:tcPr>
            <w:tcW w:w="657" w:type="dxa"/>
            <w:tcBorders>
              <w:top w:val="nil"/>
              <w:left w:val="nil"/>
              <w:bottom w:val="nil"/>
              <w:right w:val="nil"/>
            </w:tcBorders>
            <w:shd w:val="clear" w:color="auto" w:fill="FFFFFF" w:themeFill="background1"/>
            <w:noWrap/>
            <w:vAlign w:val="center"/>
            <w:hideMark/>
          </w:tcPr>
          <w:p w14:paraId="74867061" w14:textId="77777777" w:rsidR="00AA068C" w:rsidRPr="00BA06B6" w:rsidRDefault="00AA068C" w:rsidP="00BC341D">
            <w:pPr>
              <w:tabs>
                <w:tab w:val="left" w:pos="851"/>
              </w:tabs>
              <w:jc w:val="both"/>
              <w:rPr>
                <w:lang w:eastAsia="zh-CN"/>
              </w:rPr>
            </w:pPr>
            <w:r w:rsidRPr="00BA06B6">
              <w:rPr>
                <w:lang w:eastAsia="zh-CN"/>
              </w:rPr>
              <w:t>-0.24</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64923F95" w14:textId="77777777" w:rsidR="00AA068C" w:rsidRPr="00BA06B6" w:rsidRDefault="00AA068C" w:rsidP="00BC341D">
            <w:pPr>
              <w:tabs>
                <w:tab w:val="left" w:pos="851"/>
              </w:tabs>
              <w:jc w:val="both"/>
              <w:rPr>
                <w:lang w:eastAsia="zh-CN"/>
              </w:rPr>
            </w:pPr>
            <w:r w:rsidRPr="00BA06B6">
              <w:rPr>
                <w:lang w:eastAsia="zh-CN"/>
              </w:rPr>
              <w:t xml:space="preserve"> 0.08</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99E2B31" w14:textId="77777777" w:rsidR="00AA068C" w:rsidRPr="00BA06B6" w:rsidRDefault="00AA068C" w:rsidP="00BC341D">
            <w:pPr>
              <w:tabs>
                <w:tab w:val="left" w:pos="851"/>
              </w:tabs>
              <w:jc w:val="both"/>
              <w:rPr>
                <w:lang w:eastAsia="zh-CN"/>
              </w:rPr>
            </w:pPr>
            <w:r w:rsidRPr="00BA06B6">
              <w:rPr>
                <w:lang w:eastAsia="zh-CN"/>
              </w:rPr>
              <w:t>-0.18</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hideMark/>
          </w:tcPr>
          <w:p w14:paraId="23EBDE81" w14:textId="77777777" w:rsidR="00AA068C" w:rsidRPr="00BA06B6" w:rsidRDefault="00AA068C" w:rsidP="00BC341D">
            <w:pPr>
              <w:tabs>
                <w:tab w:val="left" w:pos="851"/>
              </w:tabs>
              <w:jc w:val="both"/>
              <w:rPr>
                <w:lang w:eastAsia="zh-CN"/>
              </w:rPr>
            </w:pPr>
            <w:r w:rsidRPr="00BA06B6">
              <w:rPr>
                <w:lang w:eastAsia="zh-CN"/>
              </w:rPr>
              <w:t xml:space="preserve"> 0.18</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hideMark/>
          </w:tcPr>
          <w:p w14:paraId="2AC3BD54" w14:textId="77777777" w:rsidR="00AA068C" w:rsidRPr="00BA06B6" w:rsidRDefault="00AA068C" w:rsidP="00BC341D">
            <w:pPr>
              <w:tabs>
                <w:tab w:val="left" w:pos="851"/>
              </w:tabs>
              <w:jc w:val="both"/>
              <w:rPr>
                <w:lang w:eastAsia="zh-CN"/>
              </w:rPr>
            </w:pPr>
            <w:r w:rsidRPr="00BA06B6">
              <w:rPr>
                <w:lang w:eastAsia="zh-CN"/>
              </w:rPr>
              <w:t>-0.01</w:t>
            </w:r>
          </w:p>
        </w:tc>
        <w:tc>
          <w:tcPr>
            <w:tcW w:w="657" w:type="dxa"/>
            <w:tcBorders>
              <w:top w:val="nil"/>
              <w:left w:val="nil"/>
              <w:bottom w:val="nil"/>
              <w:right w:val="nil"/>
            </w:tcBorders>
            <w:shd w:val="clear" w:color="auto" w:fill="FFFFFF" w:themeFill="background1"/>
            <w:noWrap/>
            <w:vAlign w:val="center"/>
            <w:hideMark/>
          </w:tcPr>
          <w:p w14:paraId="3242F76A" w14:textId="77777777" w:rsidR="00AA068C" w:rsidRPr="00BA06B6" w:rsidRDefault="00AA068C" w:rsidP="00BC341D">
            <w:pPr>
              <w:tabs>
                <w:tab w:val="left" w:pos="851"/>
              </w:tabs>
              <w:jc w:val="both"/>
              <w:rPr>
                <w:lang w:eastAsia="zh-CN"/>
              </w:rPr>
            </w:pPr>
            <w:r w:rsidRPr="00BA06B6">
              <w:rPr>
                <w:lang w:eastAsia="zh-CN"/>
              </w:rPr>
              <w:t xml:space="preserve"> 0.34</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tcPr>
          <w:p w14:paraId="4E1A6451" w14:textId="77777777" w:rsidR="00AA068C" w:rsidRPr="00BA06B6" w:rsidRDefault="00AA068C" w:rsidP="00BC341D">
            <w:pPr>
              <w:tabs>
                <w:tab w:val="left" w:pos="851"/>
              </w:tabs>
              <w:jc w:val="both"/>
              <w:rPr>
                <w:lang w:eastAsia="zh-CN"/>
              </w:rPr>
            </w:pPr>
          </w:p>
        </w:tc>
        <w:tc>
          <w:tcPr>
            <w:tcW w:w="657" w:type="dxa"/>
            <w:tcBorders>
              <w:top w:val="nil"/>
              <w:left w:val="nil"/>
              <w:bottom w:val="nil"/>
              <w:right w:val="nil"/>
            </w:tcBorders>
            <w:shd w:val="clear" w:color="auto" w:fill="FFFFFF" w:themeFill="background1"/>
            <w:noWrap/>
            <w:vAlign w:val="center"/>
            <w:hideMark/>
          </w:tcPr>
          <w:p w14:paraId="658743DA" w14:textId="77777777" w:rsidR="00AA068C" w:rsidRPr="00BA06B6" w:rsidRDefault="00AA068C" w:rsidP="00BC341D">
            <w:pPr>
              <w:tabs>
                <w:tab w:val="left" w:pos="851"/>
              </w:tabs>
              <w:jc w:val="both"/>
              <w:rPr>
                <w:lang w:eastAsia="zh-CN"/>
              </w:rPr>
            </w:pPr>
            <w:r w:rsidRPr="00BA06B6">
              <w:rPr>
                <w:lang w:eastAsia="zh-CN"/>
              </w:rPr>
              <w:t xml:space="preserve"> 0.12</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1142E687" w14:textId="77777777" w:rsidR="00AA068C" w:rsidRPr="00BA06B6" w:rsidRDefault="00AA068C" w:rsidP="00BC341D">
            <w:pPr>
              <w:tabs>
                <w:tab w:val="left" w:pos="851"/>
              </w:tabs>
              <w:jc w:val="both"/>
              <w:rPr>
                <w:lang w:eastAsia="zh-CN"/>
              </w:rPr>
            </w:pPr>
            <w:r w:rsidRPr="00BA06B6">
              <w:rPr>
                <w:lang w:eastAsia="zh-CN"/>
              </w:rPr>
              <w:t xml:space="preserve"> 0.11</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E9284D6" w14:textId="77777777" w:rsidR="00AA068C" w:rsidRPr="00BA06B6" w:rsidRDefault="00AA068C" w:rsidP="00BC341D">
            <w:pPr>
              <w:tabs>
                <w:tab w:val="left" w:pos="851"/>
              </w:tabs>
              <w:jc w:val="both"/>
              <w:rPr>
                <w:lang w:eastAsia="zh-CN"/>
              </w:rPr>
            </w:pPr>
            <w:r w:rsidRPr="00BA06B6">
              <w:rPr>
                <w:lang w:eastAsia="zh-CN"/>
              </w:rPr>
              <w:t>-0.03</w:t>
            </w:r>
          </w:p>
        </w:tc>
        <w:tc>
          <w:tcPr>
            <w:tcW w:w="657" w:type="dxa"/>
            <w:tcBorders>
              <w:top w:val="nil"/>
              <w:left w:val="nil"/>
              <w:bottom w:val="nil"/>
              <w:right w:val="nil"/>
            </w:tcBorders>
            <w:shd w:val="clear" w:color="auto" w:fill="FFFFFF" w:themeFill="background1"/>
            <w:noWrap/>
            <w:vAlign w:val="center"/>
            <w:hideMark/>
          </w:tcPr>
          <w:p w14:paraId="65FEDDA2" w14:textId="77777777" w:rsidR="00AA068C" w:rsidRPr="00BA06B6" w:rsidRDefault="00AA068C" w:rsidP="00BC341D">
            <w:pPr>
              <w:tabs>
                <w:tab w:val="left" w:pos="851"/>
              </w:tabs>
              <w:jc w:val="both"/>
              <w:rPr>
                <w:lang w:eastAsia="zh-CN"/>
              </w:rPr>
            </w:pPr>
            <w:r w:rsidRPr="00BA06B6">
              <w:rPr>
                <w:lang w:eastAsia="zh-CN"/>
              </w:rPr>
              <w:t>-0.08</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D896C29" w14:textId="77777777" w:rsidR="00AA068C" w:rsidRPr="00BA06B6" w:rsidRDefault="00AA068C" w:rsidP="00BC341D">
            <w:pPr>
              <w:tabs>
                <w:tab w:val="left" w:pos="851"/>
              </w:tabs>
              <w:jc w:val="both"/>
              <w:rPr>
                <w:lang w:eastAsia="zh-CN"/>
              </w:rPr>
            </w:pPr>
            <w:r w:rsidRPr="00BA06B6">
              <w:rPr>
                <w:lang w:eastAsia="zh-CN"/>
              </w:rPr>
              <w:t xml:space="preserve"> 0.00</w:t>
            </w:r>
          </w:p>
        </w:tc>
        <w:tc>
          <w:tcPr>
            <w:tcW w:w="657" w:type="dxa"/>
            <w:tcBorders>
              <w:top w:val="nil"/>
              <w:left w:val="nil"/>
              <w:bottom w:val="nil"/>
              <w:right w:val="nil"/>
            </w:tcBorders>
            <w:shd w:val="clear" w:color="auto" w:fill="FFFFFF" w:themeFill="background1"/>
            <w:noWrap/>
            <w:vAlign w:val="center"/>
            <w:hideMark/>
          </w:tcPr>
          <w:p w14:paraId="1C0758B5" w14:textId="77777777" w:rsidR="00AA068C" w:rsidRPr="00BA06B6" w:rsidRDefault="00AA068C" w:rsidP="00BC341D">
            <w:pPr>
              <w:tabs>
                <w:tab w:val="left" w:pos="851"/>
              </w:tabs>
              <w:jc w:val="both"/>
              <w:rPr>
                <w:lang w:eastAsia="zh-CN"/>
              </w:rPr>
            </w:pPr>
            <w:r w:rsidRPr="00BA06B6">
              <w:rPr>
                <w:lang w:eastAsia="zh-CN"/>
              </w:rPr>
              <w:t>-0.21</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60E2DC50" w14:textId="77777777" w:rsidR="00AA068C" w:rsidRPr="00BA06B6" w:rsidRDefault="00AA068C" w:rsidP="00BC341D">
            <w:pPr>
              <w:tabs>
                <w:tab w:val="left" w:pos="851"/>
              </w:tabs>
              <w:jc w:val="both"/>
              <w:rPr>
                <w:lang w:eastAsia="zh-CN"/>
              </w:rPr>
            </w:pPr>
            <w:r w:rsidRPr="00BA06B6">
              <w:rPr>
                <w:lang w:eastAsia="zh-CN"/>
              </w:rPr>
              <w:t>-0.29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A2ACA9E" w14:textId="77777777" w:rsidR="00AA068C" w:rsidRPr="00BA06B6" w:rsidRDefault="00AA068C" w:rsidP="00BC341D">
            <w:pPr>
              <w:tabs>
                <w:tab w:val="left" w:pos="851"/>
              </w:tabs>
              <w:jc w:val="both"/>
              <w:rPr>
                <w:lang w:eastAsia="zh-CN"/>
              </w:rPr>
            </w:pPr>
            <w:r w:rsidRPr="00BA06B6">
              <w:rPr>
                <w:lang w:eastAsia="zh-CN"/>
              </w:rPr>
              <w:t xml:space="preserve"> 0.03</w:t>
            </w:r>
          </w:p>
        </w:tc>
        <w:tc>
          <w:tcPr>
            <w:tcW w:w="611" w:type="dxa"/>
            <w:gridSpan w:val="2"/>
            <w:tcBorders>
              <w:top w:val="nil"/>
              <w:left w:val="nil"/>
              <w:bottom w:val="nil"/>
              <w:right w:val="nil"/>
            </w:tcBorders>
            <w:shd w:val="clear" w:color="auto" w:fill="FFFFFF" w:themeFill="background1"/>
            <w:noWrap/>
            <w:vAlign w:val="center"/>
            <w:hideMark/>
          </w:tcPr>
          <w:p w14:paraId="56ABFC45" w14:textId="77777777" w:rsidR="00AA068C" w:rsidRPr="00BA06B6" w:rsidRDefault="00AA068C" w:rsidP="00BC341D">
            <w:pPr>
              <w:tabs>
                <w:tab w:val="left" w:pos="851"/>
              </w:tabs>
              <w:jc w:val="both"/>
              <w:rPr>
                <w:lang w:eastAsia="zh-CN"/>
              </w:rPr>
            </w:pPr>
            <w:r w:rsidRPr="00BA06B6">
              <w:rPr>
                <w:lang w:eastAsia="zh-CN"/>
              </w:rPr>
              <w:t>-0.25</w:t>
            </w:r>
            <w:r w:rsidRPr="00BA06B6">
              <w:rPr>
                <w:vertAlign w:val="superscript"/>
                <w:lang w:eastAsia="zh-CN"/>
              </w:rPr>
              <w:t>**</w:t>
            </w:r>
          </w:p>
        </w:tc>
      </w:tr>
      <w:tr w:rsidR="00BA06B6" w:rsidRPr="00BA06B6" w14:paraId="423AF539" w14:textId="77777777" w:rsidTr="004137CB">
        <w:trPr>
          <w:trHeight w:val="288"/>
          <w:jc w:val="center"/>
        </w:trPr>
        <w:tc>
          <w:tcPr>
            <w:tcW w:w="880" w:type="dxa"/>
            <w:tcBorders>
              <w:top w:val="nil"/>
              <w:left w:val="nil"/>
              <w:bottom w:val="nil"/>
              <w:right w:val="nil"/>
            </w:tcBorders>
            <w:shd w:val="clear" w:color="auto" w:fill="FFFFFF" w:themeFill="background1"/>
            <w:noWrap/>
            <w:vAlign w:val="center"/>
            <w:hideMark/>
          </w:tcPr>
          <w:p w14:paraId="6D63A6DD" w14:textId="77777777" w:rsidR="00AA068C" w:rsidRPr="00BA06B6" w:rsidRDefault="00AA068C" w:rsidP="00BC341D">
            <w:pPr>
              <w:tabs>
                <w:tab w:val="left" w:pos="851"/>
              </w:tabs>
              <w:jc w:val="both"/>
              <w:rPr>
                <w:lang w:eastAsia="zh-CN"/>
              </w:rPr>
            </w:pPr>
            <w:r w:rsidRPr="00BA06B6">
              <w:rPr>
                <w:lang w:eastAsia="zh-CN"/>
              </w:rPr>
              <w:t>DUAL</w:t>
            </w:r>
          </w:p>
        </w:tc>
        <w:tc>
          <w:tcPr>
            <w:tcW w:w="613" w:type="dxa"/>
            <w:tcBorders>
              <w:top w:val="nil"/>
              <w:left w:val="nil"/>
              <w:bottom w:val="nil"/>
              <w:right w:val="nil"/>
            </w:tcBorders>
            <w:shd w:val="clear" w:color="auto" w:fill="FFFFFF" w:themeFill="background1"/>
            <w:noWrap/>
            <w:vAlign w:val="center"/>
            <w:hideMark/>
          </w:tcPr>
          <w:p w14:paraId="23056F30" w14:textId="77777777" w:rsidR="00AA068C" w:rsidRPr="00BA06B6" w:rsidRDefault="00AA068C" w:rsidP="00BC341D">
            <w:pPr>
              <w:tabs>
                <w:tab w:val="left" w:pos="851"/>
              </w:tabs>
              <w:jc w:val="both"/>
              <w:rPr>
                <w:lang w:eastAsia="zh-CN"/>
              </w:rPr>
            </w:pPr>
            <w:r w:rsidRPr="00BA06B6">
              <w:rPr>
                <w:lang w:eastAsia="zh-CN"/>
              </w:rPr>
              <w:t>-0.27</w:t>
            </w:r>
            <w:r w:rsidRPr="00BA06B6">
              <w:rPr>
                <w:vertAlign w:val="superscript"/>
                <w:lang w:eastAsia="zh-CN"/>
              </w:rPr>
              <w:t>**</w:t>
            </w:r>
          </w:p>
        </w:tc>
        <w:tc>
          <w:tcPr>
            <w:tcW w:w="609" w:type="dxa"/>
            <w:tcBorders>
              <w:top w:val="nil"/>
              <w:left w:val="nil"/>
              <w:bottom w:val="nil"/>
              <w:right w:val="nil"/>
            </w:tcBorders>
            <w:shd w:val="clear" w:color="auto" w:fill="FFFFFF" w:themeFill="background1"/>
            <w:noWrap/>
            <w:vAlign w:val="center"/>
            <w:hideMark/>
          </w:tcPr>
          <w:p w14:paraId="22874481" w14:textId="77777777" w:rsidR="00AA068C" w:rsidRPr="00BA06B6" w:rsidRDefault="00AA068C" w:rsidP="00BC341D">
            <w:pPr>
              <w:tabs>
                <w:tab w:val="left" w:pos="851"/>
              </w:tabs>
              <w:jc w:val="both"/>
              <w:rPr>
                <w:lang w:eastAsia="zh-CN"/>
              </w:rPr>
            </w:pPr>
            <w:r w:rsidRPr="00BA06B6">
              <w:rPr>
                <w:lang w:eastAsia="zh-CN"/>
              </w:rPr>
              <w:t>-0.17</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3A5BC7F4" w14:textId="77777777" w:rsidR="00AA068C" w:rsidRPr="00BA06B6" w:rsidRDefault="00AA068C" w:rsidP="00BC341D">
            <w:pPr>
              <w:tabs>
                <w:tab w:val="left" w:pos="851"/>
              </w:tabs>
              <w:jc w:val="both"/>
              <w:rPr>
                <w:lang w:eastAsia="zh-CN"/>
              </w:rPr>
            </w:pPr>
            <w:r w:rsidRPr="00BA06B6">
              <w:rPr>
                <w:lang w:eastAsia="zh-CN"/>
              </w:rPr>
              <w:t>-0.05</w:t>
            </w:r>
          </w:p>
        </w:tc>
        <w:tc>
          <w:tcPr>
            <w:tcW w:w="657" w:type="dxa"/>
            <w:tcBorders>
              <w:top w:val="nil"/>
              <w:left w:val="nil"/>
              <w:bottom w:val="nil"/>
              <w:right w:val="nil"/>
            </w:tcBorders>
            <w:shd w:val="clear" w:color="auto" w:fill="FFFFFF" w:themeFill="background1"/>
            <w:noWrap/>
            <w:vAlign w:val="center"/>
            <w:hideMark/>
          </w:tcPr>
          <w:p w14:paraId="6E12B33B" w14:textId="77777777" w:rsidR="00AA068C" w:rsidRPr="00BA06B6" w:rsidRDefault="00AA068C" w:rsidP="00BC341D">
            <w:pPr>
              <w:tabs>
                <w:tab w:val="left" w:pos="851"/>
              </w:tabs>
              <w:jc w:val="both"/>
              <w:rPr>
                <w:lang w:eastAsia="zh-CN"/>
              </w:rPr>
            </w:pPr>
            <w:r w:rsidRPr="00BA06B6">
              <w:rPr>
                <w:lang w:eastAsia="zh-CN"/>
              </w:rPr>
              <w:t>-0.09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E72C53C" w14:textId="77777777" w:rsidR="00AA068C" w:rsidRPr="00BA06B6" w:rsidRDefault="00AA068C" w:rsidP="00BC341D">
            <w:pPr>
              <w:tabs>
                <w:tab w:val="left" w:pos="851"/>
              </w:tabs>
              <w:jc w:val="both"/>
              <w:rPr>
                <w:lang w:eastAsia="zh-CN"/>
              </w:rPr>
            </w:pPr>
            <w:r w:rsidRPr="00BA06B6">
              <w:rPr>
                <w:lang w:eastAsia="zh-CN"/>
              </w:rPr>
              <w:t xml:space="preserve"> 0.02</w:t>
            </w:r>
          </w:p>
        </w:tc>
        <w:tc>
          <w:tcPr>
            <w:tcW w:w="657" w:type="dxa"/>
            <w:tcBorders>
              <w:top w:val="nil"/>
              <w:left w:val="nil"/>
              <w:bottom w:val="nil"/>
              <w:right w:val="nil"/>
            </w:tcBorders>
            <w:shd w:val="clear" w:color="auto" w:fill="FFFFFF" w:themeFill="background1"/>
            <w:noWrap/>
            <w:vAlign w:val="center"/>
            <w:hideMark/>
          </w:tcPr>
          <w:p w14:paraId="740570BA" w14:textId="77777777" w:rsidR="00AA068C" w:rsidRPr="00BA06B6" w:rsidRDefault="00AA068C" w:rsidP="00BC341D">
            <w:pPr>
              <w:tabs>
                <w:tab w:val="left" w:pos="851"/>
              </w:tabs>
              <w:jc w:val="both"/>
              <w:rPr>
                <w:lang w:eastAsia="zh-CN"/>
              </w:rPr>
            </w:pPr>
            <w:r w:rsidRPr="00BA06B6">
              <w:rPr>
                <w:lang w:eastAsia="zh-CN"/>
              </w:rPr>
              <w:t>-0.33</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0FC278EC" w14:textId="77777777" w:rsidR="00AA068C" w:rsidRPr="00BA06B6" w:rsidRDefault="00AA068C" w:rsidP="00BC341D">
            <w:pPr>
              <w:tabs>
                <w:tab w:val="left" w:pos="851"/>
              </w:tabs>
              <w:jc w:val="both"/>
              <w:rPr>
                <w:lang w:eastAsia="zh-CN"/>
              </w:rPr>
            </w:pPr>
            <w:r w:rsidRPr="00BA06B6">
              <w:rPr>
                <w:lang w:eastAsia="zh-CN"/>
              </w:rPr>
              <w:t xml:space="preserve"> 0.10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32A5B832" w14:textId="77777777" w:rsidR="00AA068C" w:rsidRPr="00BA06B6" w:rsidRDefault="00AA068C" w:rsidP="00BC341D">
            <w:pPr>
              <w:tabs>
                <w:tab w:val="left" w:pos="851"/>
              </w:tabs>
              <w:jc w:val="both"/>
              <w:rPr>
                <w:lang w:eastAsia="zh-CN"/>
              </w:rPr>
            </w:pPr>
            <w:r w:rsidRPr="00BA06B6">
              <w:rPr>
                <w:lang w:eastAsia="zh-CN"/>
              </w:rPr>
              <w:t>-0.02</w:t>
            </w:r>
          </w:p>
        </w:tc>
        <w:tc>
          <w:tcPr>
            <w:tcW w:w="704" w:type="dxa"/>
            <w:tcBorders>
              <w:top w:val="nil"/>
              <w:left w:val="nil"/>
              <w:bottom w:val="nil"/>
              <w:right w:val="nil"/>
            </w:tcBorders>
            <w:shd w:val="clear" w:color="auto" w:fill="FFFFFF" w:themeFill="background1"/>
            <w:noWrap/>
            <w:vAlign w:val="center"/>
            <w:hideMark/>
          </w:tcPr>
          <w:p w14:paraId="1A98346D" w14:textId="77777777" w:rsidR="00AA068C" w:rsidRPr="00BA06B6" w:rsidRDefault="00AA068C" w:rsidP="00BC341D">
            <w:pPr>
              <w:tabs>
                <w:tab w:val="left" w:pos="851"/>
              </w:tabs>
              <w:jc w:val="both"/>
              <w:rPr>
                <w:lang w:eastAsia="zh-CN"/>
              </w:rPr>
            </w:pPr>
            <w:r w:rsidRPr="00BA06B6">
              <w:rPr>
                <w:lang w:eastAsia="zh-CN"/>
              </w:rPr>
              <w:t xml:space="preserve"> 0.05</w:t>
            </w:r>
          </w:p>
        </w:tc>
        <w:tc>
          <w:tcPr>
            <w:tcW w:w="704" w:type="dxa"/>
            <w:tcBorders>
              <w:top w:val="nil"/>
              <w:left w:val="nil"/>
              <w:bottom w:val="nil"/>
              <w:right w:val="nil"/>
            </w:tcBorders>
            <w:shd w:val="clear" w:color="auto" w:fill="FFFFFF" w:themeFill="background1"/>
            <w:noWrap/>
            <w:vAlign w:val="center"/>
            <w:hideMark/>
          </w:tcPr>
          <w:p w14:paraId="5C200067" w14:textId="77777777" w:rsidR="00AA068C" w:rsidRPr="00BA06B6" w:rsidRDefault="00AA068C" w:rsidP="00BC341D">
            <w:pPr>
              <w:tabs>
                <w:tab w:val="left" w:pos="851"/>
              </w:tabs>
              <w:jc w:val="both"/>
              <w:rPr>
                <w:lang w:eastAsia="zh-CN"/>
              </w:rPr>
            </w:pPr>
            <w:r w:rsidRPr="00BA06B6">
              <w:rPr>
                <w:lang w:eastAsia="zh-CN"/>
              </w:rPr>
              <w:t>-0.20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2BC6235" w14:textId="77777777" w:rsidR="00AA068C" w:rsidRPr="00BA06B6" w:rsidRDefault="00AA068C" w:rsidP="00BC341D">
            <w:pPr>
              <w:tabs>
                <w:tab w:val="left" w:pos="851"/>
              </w:tabs>
              <w:jc w:val="both"/>
              <w:rPr>
                <w:lang w:eastAsia="zh-CN"/>
              </w:rPr>
            </w:pPr>
            <w:r w:rsidRPr="00BA06B6">
              <w:rPr>
                <w:lang w:eastAsia="zh-CN"/>
              </w:rPr>
              <w:t xml:space="preserve"> 0.13</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20106F96" w14:textId="77777777" w:rsidR="00AA068C" w:rsidRPr="00BA06B6" w:rsidRDefault="00AA068C" w:rsidP="00BC341D">
            <w:pPr>
              <w:tabs>
                <w:tab w:val="left" w:pos="851"/>
              </w:tabs>
              <w:jc w:val="both"/>
              <w:rPr>
                <w:lang w:eastAsia="zh-CN"/>
              </w:rPr>
            </w:pPr>
            <w:r w:rsidRPr="00BA06B6">
              <w:rPr>
                <w:lang w:eastAsia="zh-CN"/>
              </w:rPr>
              <w:t xml:space="preserve"> 0.12</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tcPr>
          <w:p w14:paraId="31958949" w14:textId="77777777" w:rsidR="00AA068C" w:rsidRPr="00BA06B6" w:rsidRDefault="00AA068C" w:rsidP="00BC341D">
            <w:pPr>
              <w:tabs>
                <w:tab w:val="left" w:pos="851"/>
              </w:tabs>
              <w:jc w:val="both"/>
              <w:rPr>
                <w:lang w:eastAsia="zh-CN"/>
              </w:rPr>
            </w:pPr>
          </w:p>
        </w:tc>
        <w:tc>
          <w:tcPr>
            <w:tcW w:w="657" w:type="dxa"/>
            <w:tcBorders>
              <w:top w:val="nil"/>
              <w:left w:val="nil"/>
              <w:bottom w:val="nil"/>
              <w:right w:val="nil"/>
            </w:tcBorders>
            <w:shd w:val="clear" w:color="auto" w:fill="FFFFFF" w:themeFill="background1"/>
            <w:noWrap/>
            <w:vAlign w:val="center"/>
            <w:hideMark/>
          </w:tcPr>
          <w:p w14:paraId="50C08D69" w14:textId="77777777" w:rsidR="00AA068C" w:rsidRPr="00BA06B6" w:rsidRDefault="00AA068C" w:rsidP="00BC341D">
            <w:pPr>
              <w:tabs>
                <w:tab w:val="left" w:pos="851"/>
              </w:tabs>
              <w:jc w:val="both"/>
              <w:rPr>
                <w:lang w:eastAsia="zh-CN"/>
              </w:rPr>
            </w:pPr>
            <w:r w:rsidRPr="00BA06B6">
              <w:rPr>
                <w:lang w:eastAsia="zh-CN"/>
              </w:rPr>
              <w:t xml:space="preserve"> 0.04</w:t>
            </w:r>
          </w:p>
        </w:tc>
        <w:tc>
          <w:tcPr>
            <w:tcW w:w="657" w:type="dxa"/>
            <w:tcBorders>
              <w:top w:val="nil"/>
              <w:left w:val="nil"/>
              <w:bottom w:val="nil"/>
              <w:right w:val="nil"/>
            </w:tcBorders>
            <w:shd w:val="clear" w:color="auto" w:fill="FFFFFF" w:themeFill="background1"/>
            <w:noWrap/>
            <w:vAlign w:val="center"/>
            <w:hideMark/>
          </w:tcPr>
          <w:p w14:paraId="05FDD176" w14:textId="77777777" w:rsidR="00AA068C" w:rsidRPr="00BA06B6" w:rsidRDefault="00AA068C" w:rsidP="00BC341D">
            <w:pPr>
              <w:tabs>
                <w:tab w:val="left" w:pos="851"/>
              </w:tabs>
              <w:jc w:val="both"/>
              <w:rPr>
                <w:lang w:eastAsia="zh-CN"/>
              </w:rPr>
            </w:pPr>
            <w:r w:rsidRPr="00BA06B6">
              <w:rPr>
                <w:lang w:eastAsia="zh-CN"/>
              </w:rPr>
              <w:t>-0.49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55946F3" w14:textId="77777777" w:rsidR="00AA068C" w:rsidRPr="00BA06B6" w:rsidRDefault="00AA068C" w:rsidP="00BC341D">
            <w:pPr>
              <w:tabs>
                <w:tab w:val="left" w:pos="851"/>
              </w:tabs>
              <w:jc w:val="both"/>
              <w:rPr>
                <w:lang w:eastAsia="zh-CN"/>
              </w:rPr>
            </w:pPr>
            <w:r w:rsidRPr="00BA06B6">
              <w:rPr>
                <w:lang w:eastAsia="zh-CN"/>
              </w:rPr>
              <w:t>-0.16</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D03C31F" w14:textId="77777777" w:rsidR="00AA068C" w:rsidRPr="00BA06B6" w:rsidRDefault="00AA068C" w:rsidP="00BC341D">
            <w:pPr>
              <w:tabs>
                <w:tab w:val="left" w:pos="851"/>
              </w:tabs>
              <w:jc w:val="both"/>
              <w:rPr>
                <w:lang w:eastAsia="zh-CN"/>
              </w:rPr>
            </w:pPr>
            <w:r w:rsidRPr="00BA06B6">
              <w:rPr>
                <w:lang w:eastAsia="zh-CN"/>
              </w:rPr>
              <w:t>-0.34</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14617D5E" w14:textId="77777777" w:rsidR="00AA068C" w:rsidRPr="00BA06B6" w:rsidRDefault="00AA068C" w:rsidP="00BC341D">
            <w:pPr>
              <w:tabs>
                <w:tab w:val="left" w:pos="851"/>
              </w:tabs>
              <w:jc w:val="both"/>
              <w:rPr>
                <w:lang w:eastAsia="zh-CN"/>
              </w:rPr>
            </w:pPr>
            <w:r w:rsidRPr="00BA06B6">
              <w:rPr>
                <w:lang w:eastAsia="zh-CN"/>
              </w:rPr>
              <w:t>-0.32</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B13316C" w14:textId="77777777" w:rsidR="00AA068C" w:rsidRPr="00BA06B6" w:rsidRDefault="00AA068C" w:rsidP="00BC341D">
            <w:pPr>
              <w:tabs>
                <w:tab w:val="left" w:pos="851"/>
              </w:tabs>
              <w:jc w:val="both"/>
              <w:rPr>
                <w:lang w:eastAsia="zh-CN"/>
              </w:rPr>
            </w:pPr>
            <w:r w:rsidRPr="00BA06B6">
              <w:rPr>
                <w:lang w:eastAsia="zh-CN"/>
              </w:rPr>
              <w:t>-0.34</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2A5BF7DE" w14:textId="77777777" w:rsidR="00AA068C" w:rsidRPr="00BA06B6" w:rsidRDefault="00AA068C" w:rsidP="00BC341D">
            <w:pPr>
              <w:tabs>
                <w:tab w:val="left" w:pos="851"/>
              </w:tabs>
              <w:jc w:val="both"/>
              <w:rPr>
                <w:lang w:eastAsia="zh-CN"/>
              </w:rPr>
            </w:pPr>
            <w:r w:rsidRPr="00BA06B6">
              <w:rPr>
                <w:lang w:eastAsia="zh-CN"/>
              </w:rPr>
              <w:t xml:space="preserve"> 0.13</w:t>
            </w:r>
            <w:r w:rsidRPr="00BA06B6">
              <w:rPr>
                <w:vertAlign w:val="superscript"/>
                <w:lang w:eastAsia="zh-CN"/>
              </w:rPr>
              <w:t>**</w:t>
            </w:r>
          </w:p>
        </w:tc>
        <w:tc>
          <w:tcPr>
            <w:tcW w:w="611" w:type="dxa"/>
            <w:gridSpan w:val="2"/>
            <w:tcBorders>
              <w:top w:val="nil"/>
              <w:left w:val="nil"/>
              <w:bottom w:val="nil"/>
              <w:right w:val="nil"/>
            </w:tcBorders>
            <w:shd w:val="clear" w:color="auto" w:fill="FFFFFF" w:themeFill="background1"/>
            <w:noWrap/>
            <w:vAlign w:val="center"/>
            <w:hideMark/>
          </w:tcPr>
          <w:p w14:paraId="2540CE66" w14:textId="77777777" w:rsidR="00AA068C" w:rsidRPr="00BA06B6" w:rsidRDefault="00AA068C" w:rsidP="00BC341D">
            <w:pPr>
              <w:tabs>
                <w:tab w:val="left" w:pos="851"/>
              </w:tabs>
              <w:jc w:val="both"/>
              <w:rPr>
                <w:lang w:eastAsia="zh-CN"/>
              </w:rPr>
            </w:pPr>
            <w:r w:rsidRPr="00BA06B6">
              <w:rPr>
                <w:lang w:eastAsia="zh-CN"/>
              </w:rPr>
              <w:t>-0.02</w:t>
            </w:r>
          </w:p>
        </w:tc>
      </w:tr>
      <w:tr w:rsidR="00BA06B6" w:rsidRPr="00BA06B6" w14:paraId="1BC8F32D" w14:textId="77777777" w:rsidTr="004137CB">
        <w:trPr>
          <w:trHeight w:val="288"/>
          <w:jc w:val="center"/>
        </w:trPr>
        <w:tc>
          <w:tcPr>
            <w:tcW w:w="880" w:type="dxa"/>
            <w:tcBorders>
              <w:top w:val="nil"/>
              <w:left w:val="nil"/>
              <w:bottom w:val="nil"/>
              <w:right w:val="nil"/>
            </w:tcBorders>
            <w:shd w:val="clear" w:color="auto" w:fill="FFFFFF" w:themeFill="background1"/>
            <w:noWrap/>
            <w:vAlign w:val="center"/>
            <w:hideMark/>
          </w:tcPr>
          <w:p w14:paraId="6ADE6133" w14:textId="77777777" w:rsidR="00AA068C" w:rsidRPr="00BA06B6" w:rsidRDefault="00AA068C" w:rsidP="00BC341D">
            <w:pPr>
              <w:tabs>
                <w:tab w:val="left" w:pos="851"/>
              </w:tabs>
              <w:jc w:val="both"/>
              <w:rPr>
                <w:lang w:eastAsia="zh-CN"/>
              </w:rPr>
            </w:pPr>
            <w:r w:rsidRPr="00BA06B6">
              <w:rPr>
                <w:lang w:eastAsia="zh-CN"/>
              </w:rPr>
              <w:t>GDB</w:t>
            </w:r>
          </w:p>
        </w:tc>
        <w:tc>
          <w:tcPr>
            <w:tcW w:w="613" w:type="dxa"/>
            <w:tcBorders>
              <w:top w:val="nil"/>
              <w:left w:val="nil"/>
              <w:bottom w:val="nil"/>
              <w:right w:val="nil"/>
            </w:tcBorders>
            <w:shd w:val="clear" w:color="auto" w:fill="FFFFFF" w:themeFill="background1"/>
            <w:noWrap/>
            <w:vAlign w:val="center"/>
            <w:hideMark/>
          </w:tcPr>
          <w:p w14:paraId="7043C508" w14:textId="77777777" w:rsidR="00AA068C" w:rsidRPr="00BA06B6" w:rsidRDefault="00AA068C" w:rsidP="00BC341D">
            <w:pPr>
              <w:tabs>
                <w:tab w:val="left" w:pos="851"/>
              </w:tabs>
              <w:jc w:val="both"/>
              <w:rPr>
                <w:lang w:eastAsia="zh-CN"/>
              </w:rPr>
            </w:pPr>
            <w:r w:rsidRPr="00BA06B6">
              <w:rPr>
                <w:lang w:eastAsia="zh-CN"/>
              </w:rPr>
              <w:t>-0.20</w:t>
            </w:r>
            <w:r w:rsidRPr="00BA06B6">
              <w:rPr>
                <w:vertAlign w:val="superscript"/>
                <w:lang w:eastAsia="zh-CN"/>
              </w:rPr>
              <w:t>**</w:t>
            </w:r>
          </w:p>
        </w:tc>
        <w:tc>
          <w:tcPr>
            <w:tcW w:w="609" w:type="dxa"/>
            <w:tcBorders>
              <w:top w:val="nil"/>
              <w:left w:val="nil"/>
              <w:bottom w:val="nil"/>
              <w:right w:val="nil"/>
            </w:tcBorders>
            <w:shd w:val="clear" w:color="auto" w:fill="FFFFFF" w:themeFill="background1"/>
            <w:noWrap/>
            <w:vAlign w:val="center"/>
            <w:hideMark/>
          </w:tcPr>
          <w:p w14:paraId="72EAA622" w14:textId="77777777" w:rsidR="00AA068C" w:rsidRPr="00BA06B6" w:rsidRDefault="00AA068C" w:rsidP="00BC341D">
            <w:pPr>
              <w:tabs>
                <w:tab w:val="left" w:pos="851"/>
              </w:tabs>
              <w:jc w:val="both"/>
              <w:rPr>
                <w:lang w:eastAsia="zh-CN"/>
              </w:rPr>
            </w:pPr>
            <w:r w:rsidRPr="00BA06B6">
              <w:rPr>
                <w:lang w:eastAsia="zh-CN"/>
              </w:rPr>
              <w:t>-0.06</w:t>
            </w:r>
          </w:p>
        </w:tc>
        <w:tc>
          <w:tcPr>
            <w:tcW w:w="657" w:type="dxa"/>
            <w:tcBorders>
              <w:top w:val="nil"/>
              <w:left w:val="nil"/>
              <w:bottom w:val="nil"/>
              <w:right w:val="nil"/>
            </w:tcBorders>
            <w:shd w:val="clear" w:color="auto" w:fill="FFFFFF" w:themeFill="background1"/>
            <w:noWrap/>
            <w:vAlign w:val="center"/>
            <w:hideMark/>
          </w:tcPr>
          <w:p w14:paraId="2EF46BA6" w14:textId="77777777" w:rsidR="00AA068C" w:rsidRPr="00BA06B6" w:rsidRDefault="00AA068C" w:rsidP="00BC341D">
            <w:pPr>
              <w:tabs>
                <w:tab w:val="left" w:pos="851"/>
              </w:tabs>
              <w:jc w:val="both"/>
              <w:rPr>
                <w:lang w:eastAsia="zh-CN"/>
              </w:rPr>
            </w:pPr>
            <w:r w:rsidRPr="00BA06B6">
              <w:rPr>
                <w:lang w:eastAsia="zh-CN"/>
              </w:rPr>
              <w:t>-0.11</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1D29E89" w14:textId="77777777" w:rsidR="00AA068C" w:rsidRPr="00BA06B6" w:rsidRDefault="00AA068C" w:rsidP="00BC341D">
            <w:pPr>
              <w:tabs>
                <w:tab w:val="left" w:pos="851"/>
              </w:tabs>
              <w:jc w:val="both"/>
              <w:rPr>
                <w:lang w:eastAsia="zh-CN"/>
              </w:rPr>
            </w:pPr>
            <w:r w:rsidRPr="00BA06B6">
              <w:rPr>
                <w:lang w:eastAsia="zh-CN"/>
              </w:rPr>
              <w:t>-0.11</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3818E8CD" w14:textId="77777777" w:rsidR="00AA068C" w:rsidRPr="00BA06B6" w:rsidRDefault="00AA068C" w:rsidP="00BC341D">
            <w:pPr>
              <w:tabs>
                <w:tab w:val="left" w:pos="851"/>
              </w:tabs>
              <w:jc w:val="both"/>
              <w:rPr>
                <w:lang w:eastAsia="zh-CN"/>
              </w:rPr>
            </w:pPr>
            <w:r w:rsidRPr="00BA06B6">
              <w:rPr>
                <w:lang w:eastAsia="zh-CN"/>
              </w:rPr>
              <w:t xml:space="preserve"> 0.04</w:t>
            </w:r>
          </w:p>
        </w:tc>
        <w:tc>
          <w:tcPr>
            <w:tcW w:w="657" w:type="dxa"/>
            <w:tcBorders>
              <w:top w:val="nil"/>
              <w:left w:val="nil"/>
              <w:bottom w:val="nil"/>
              <w:right w:val="nil"/>
            </w:tcBorders>
            <w:shd w:val="clear" w:color="auto" w:fill="FFFFFF" w:themeFill="background1"/>
            <w:noWrap/>
            <w:vAlign w:val="center"/>
            <w:hideMark/>
          </w:tcPr>
          <w:p w14:paraId="2EA7E434" w14:textId="77777777" w:rsidR="00AA068C" w:rsidRPr="00BA06B6" w:rsidRDefault="00AA068C" w:rsidP="00BC341D">
            <w:pPr>
              <w:tabs>
                <w:tab w:val="left" w:pos="851"/>
              </w:tabs>
              <w:jc w:val="both"/>
              <w:rPr>
                <w:lang w:eastAsia="zh-CN"/>
              </w:rPr>
            </w:pPr>
            <w:r w:rsidRPr="00BA06B6">
              <w:rPr>
                <w:lang w:eastAsia="zh-CN"/>
              </w:rPr>
              <w:t>-0.12</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9EA6FA9" w14:textId="77777777" w:rsidR="00AA068C" w:rsidRPr="00BA06B6" w:rsidRDefault="00AA068C" w:rsidP="00BC341D">
            <w:pPr>
              <w:tabs>
                <w:tab w:val="left" w:pos="851"/>
              </w:tabs>
              <w:jc w:val="both"/>
              <w:rPr>
                <w:lang w:eastAsia="zh-CN"/>
              </w:rPr>
            </w:pPr>
            <w:r w:rsidRPr="00BA06B6">
              <w:rPr>
                <w:lang w:eastAsia="zh-CN"/>
              </w:rPr>
              <w:t xml:space="preserve"> 0.25</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31CA9F41" w14:textId="77777777" w:rsidR="00AA068C" w:rsidRPr="00BA06B6" w:rsidRDefault="00AA068C" w:rsidP="00BC341D">
            <w:pPr>
              <w:tabs>
                <w:tab w:val="left" w:pos="851"/>
              </w:tabs>
              <w:jc w:val="both"/>
              <w:rPr>
                <w:lang w:eastAsia="zh-CN"/>
              </w:rPr>
            </w:pPr>
            <w:r w:rsidRPr="00BA06B6">
              <w:rPr>
                <w:lang w:eastAsia="zh-CN"/>
              </w:rPr>
              <w:t>-0.15</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hideMark/>
          </w:tcPr>
          <w:p w14:paraId="454C5A01" w14:textId="77777777" w:rsidR="00AA068C" w:rsidRPr="00BA06B6" w:rsidRDefault="00AA068C" w:rsidP="00BC341D">
            <w:pPr>
              <w:tabs>
                <w:tab w:val="left" w:pos="851"/>
              </w:tabs>
              <w:jc w:val="both"/>
              <w:rPr>
                <w:lang w:eastAsia="zh-CN"/>
              </w:rPr>
            </w:pPr>
            <w:r w:rsidRPr="00BA06B6">
              <w:rPr>
                <w:lang w:eastAsia="zh-CN"/>
              </w:rPr>
              <w:t xml:space="preserve"> 0.03</w:t>
            </w:r>
          </w:p>
        </w:tc>
        <w:tc>
          <w:tcPr>
            <w:tcW w:w="704" w:type="dxa"/>
            <w:tcBorders>
              <w:top w:val="nil"/>
              <w:left w:val="nil"/>
              <w:bottom w:val="nil"/>
              <w:right w:val="nil"/>
            </w:tcBorders>
            <w:shd w:val="clear" w:color="auto" w:fill="FFFFFF" w:themeFill="background1"/>
            <w:noWrap/>
            <w:vAlign w:val="center"/>
            <w:hideMark/>
          </w:tcPr>
          <w:p w14:paraId="1D25A697" w14:textId="77777777" w:rsidR="00AA068C" w:rsidRPr="00BA06B6" w:rsidRDefault="00AA068C" w:rsidP="00BC341D">
            <w:pPr>
              <w:tabs>
                <w:tab w:val="left" w:pos="851"/>
              </w:tabs>
              <w:jc w:val="both"/>
              <w:rPr>
                <w:lang w:eastAsia="zh-CN"/>
              </w:rPr>
            </w:pPr>
            <w:r w:rsidRPr="00BA06B6">
              <w:rPr>
                <w:lang w:eastAsia="zh-CN"/>
              </w:rPr>
              <w:t>-0.21</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874BA9C" w14:textId="77777777" w:rsidR="00AA068C" w:rsidRPr="00BA06B6" w:rsidRDefault="00AA068C" w:rsidP="00BC341D">
            <w:pPr>
              <w:tabs>
                <w:tab w:val="left" w:pos="851"/>
              </w:tabs>
              <w:jc w:val="both"/>
              <w:rPr>
                <w:lang w:eastAsia="zh-CN"/>
              </w:rPr>
            </w:pPr>
            <w:r w:rsidRPr="00BA06B6">
              <w:rPr>
                <w:lang w:eastAsia="zh-CN"/>
              </w:rPr>
              <w:t xml:space="preserve"> 0.22</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127BEA6" w14:textId="77777777" w:rsidR="00AA068C" w:rsidRPr="00BA06B6" w:rsidRDefault="00AA068C" w:rsidP="00BC341D">
            <w:pPr>
              <w:tabs>
                <w:tab w:val="left" w:pos="851"/>
              </w:tabs>
              <w:jc w:val="both"/>
              <w:rPr>
                <w:lang w:eastAsia="zh-CN"/>
              </w:rPr>
            </w:pPr>
            <w:r w:rsidRPr="00BA06B6">
              <w:rPr>
                <w:lang w:eastAsia="zh-CN"/>
              </w:rPr>
              <w:t xml:space="preserve"> 0.13</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2CC9C730" w14:textId="77777777" w:rsidR="00AA068C" w:rsidRPr="00BA06B6" w:rsidRDefault="00AA068C" w:rsidP="00BC341D">
            <w:pPr>
              <w:tabs>
                <w:tab w:val="left" w:pos="851"/>
              </w:tabs>
              <w:jc w:val="both"/>
              <w:rPr>
                <w:lang w:eastAsia="zh-CN"/>
              </w:rPr>
            </w:pPr>
            <w:r w:rsidRPr="00BA06B6">
              <w:rPr>
                <w:lang w:eastAsia="zh-CN"/>
              </w:rPr>
              <w:t xml:space="preserve"> 0.05</w:t>
            </w:r>
          </w:p>
        </w:tc>
        <w:tc>
          <w:tcPr>
            <w:tcW w:w="657" w:type="dxa"/>
            <w:tcBorders>
              <w:top w:val="nil"/>
              <w:left w:val="nil"/>
              <w:bottom w:val="nil"/>
              <w:right w:val="nil"/>
            </w:tcBorders>
            <w:shd w:val="clear" w:color="auto" w:fill="FFFFFF" w:themeFill="background1"/>
            <w:noWrap/>
            <w:vAlign w:val="center"/>
          </w:tcPr>
          <w:p w14:paraId="53EB50F5" w14:textId="77777777" w:rsidR="00AA068C" w:rsidRPr="00BA06B6" w:rsidRDefault="00AA068C" w:rsidP="00BC341D">
            <w:pPr>
              <w:tabs>
                <w:tab w:val="left" w:pos="851"/>
              </w:tabs>
              <w:jc w:val="both"/>
              <w:rPr>
                <w:lang w:eastAsia="zh-CN"/>
              </w:rPr>
            </w:pPr>
          </w:p>
        </w:tc>
        <w:tc>
          <w:tcPr>
            <w:tcW w:w="657" w:type="dxa"/>
            <w:tcBorders>
              <w:top w:val="nil"/>
              <w:left w:val="nil"/>
              <w:bottom w:val="nil"/>
              <w:right w:val="nil"/>
            </w:tcBorders>
            <w:shd w:val="clear" w:color="auto" w:fill="FFFFFF" w:themeFill="background1"/>
            <w:noWrap/>
            <w:vAlign w:val="center"/>
            <w:hideMark/>
          </w:tcPr>
          <w:p w14:paraId="058D9CA7" w14:textId="77777777" w:rsidR="00AA068C" w:rsidRPr="00BA06B6" w:rsidRDefault="00AA068C" w:rsidP="00BC341D">
            <w:pPr>
              <w:tabs>
                <w:tab w:val="left" w:pos="851"/>
              </w:tabs>
              <w:jc w:val="both"/>
              <w:rPr>
                <w:lang w:eastAsia="zh-CN"/>
              </w:rPr>
            </w:pPr>
            <w:r w:rsidRPr="00BA06B6">
              <w:rPr>
                <w:lang w:eastAsia="zh-CN"/>
              </w:rPr>
              <w:t xml:space="preserve"> 0.05</w:t>
            </w:r>
          </w:p>
        </w:tc>
        <w:tc>
          <w:tcPr>
            <w:tcW w:w="657" w:type="dxa"/>
            <w:tcBorders>
              <w:top w:val="nil"/>
              <w:left w:val="nil"/>
              <w:bottom w:val="nil"/>
              <w:right w:val="nil"/>
            </w:tcBorders>
            <w:shd w:val="clear" w:color="auto" w:fill="FFFFFF" w:themeFill="background1"/>
            <w:noWrap/>
            <w:vAlign w:val="center"/>
            <w:hideMark/>
          </w:tcPr>
          <w:p w14:paraId="24BF5763" w14:textId="77777777" w:rsidR="00AA068C" w:rsidRPr="00BA06B6" w:rsidRDefault="00AA068C" w:rsidP="00BC341D">
            <w:pPr>
              <w:tabs>
                <w:tab w:val="left" w:pos="851"/>
              </w:tabs>
              <w:jc w:val="both"/>
              <w:rPr>
                <w:lang w:eastAsia="zh-CN"/>
              </w:rPr>
            </w:pPr>
            <w:r w:rsidRPr="00BA06B6">
              <w:rPr>
                <w:lang w:eastAsia="zh-CN"/>
              </w:rPr>
              <w:t>-0.05</w:t>
            </w:r>
          </w:p>
        </w:tc>
        <w:tc>
          <w:tcPr>
            <w:tcW w:w="657" w:type="dxa"/>
            <w:tcBorders>
              <w:top w:val="nil"/>
              <w:left w:val="nil"/>
              <w:bottom w:val="nil"/>
              <w:right w:val="nil"/>
            </w:tcBorders>
            <w:shd w:val="clear" w:color="auto" w:fill="FFFFFF" w:themeFill="background1"/>
            <w:noWrap/>
            <w:vAlign w:val="center"/>
            <w:hideMark/>
          </w:tcPr>
          <w:p w14:paraId="5B882497" w14:textId="77777777" w:rsidR="00AA068C" w:rsidRPr="00BA06B6" w:rsidRDefault="00AA068C" w:rsidP="00BC341D">
            <w:pPr>
              <w:tabs>
                <w:tab w:val="left" w:pos="851"/>
              </w:tabs>
              <w:jc w:val="both"/>
              <w:rPr>
                <w:lang w:eastAsia="zh-CN"/>
              </w:rPr>
            </w:pPr>
            <w:r w:rsidRPr="00BA06B6">
              <w:rPr>
                <w:lang w:eastAsia="zh-CN"/>
              </w:rPr>
              <w:t xml:space="preserve"> 0.10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10F09478" w14:textId="77777777" w:rsidR="00AA068C" w:rsidRPr="00BA06B6" w:rsidRDefault="00AA068C" w:rsidP="00BC341D">
            <w:pPr>
              <w:tabs>
                <w:tab w:val="left" w:pos="851"/>
              </w:tabs>
              <w:jc w:val="both"/>
              <w:rPr>
                <w:lang w:eastAsia="zh-CN"/>
              </w:rPr>
            </w:pPr>
            <w:r w:rsidRPr="00BA06B6">
              <w:rPr>
                <w:lang w:eastAsia="zh-CN"/>
              </w:rPr>
              <w:t>-0.16</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87C6A60" w14:textId="77777777" w:rsidR="00AA068C" w:rsidRPr="00BA06B6" w:rsidRDefault="00AA068C" w:rsidP="00BC341D">
            <w:pPr>
              <w:tabs>
                <w:tab w:val="left" w:pos="851"/>
              </w:tabs>
              <w:jc w:val="both"/>
              <w:rPr>
                <w:lang w:eastAsia="zh-CN"/>
              </w:rPr>
            </w:pPr>
            <w:r w:rsidRPr="00BA06B6">
              <w:rPr>
                <w:lang w:eastAsia="zh-CN"/>
              </w:rPr>
              <w:t>-0.18</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809DA36" w14:textId="77777777" w:rsidR="00AA068C" w:rsidRPr="00BA06B6" w:rsidRDefault="00AA068C" w:rsidP="00BC341D">
            <w:pPr>
              <w:tabs>
                <w:tab w:val="left" w:pos="851"/>
              </w:tabs>
              <w:jc w:val="both"/>
              <w:rPr>
                <w:lang w:eastAsia="zh-CN"/>
              </w:rPr>
            </w:pPr>
            <w:r w:rsidRPr="00BA06B6">
              <w:rPr>
                <w:lang w:eastAsia="zh-CN"/>
              </w:rPr>
              <w:t xml:space="preserve"> 0.03</w:t>
            </w:r>
          </w:p>
        </w:tc>
        <w:tc>
          <w:tcPr>
            <w:tcW w:w="611" w:type="dxa"/>
            <w:gridSpan w:val="2"/>
            <w:tcBorders>
              <w:top w:val="nil"/>
              <w:left w:val="nil"/>
              <w:bottom w:val="nil"/>
              <w:right w:val="nil"/>
            </w:tcBorders>
            <w:shd w:val="clear" w:color="auto" w:fill="FFFFFF" w:themeFill="background1"/>
            <w:noWrap/>
            <w:vAlign w:val="center"/>
            <w:hideMark/>
          </w:tcPr>
          <w:p w14:paraId="0D0534D8" w14:textId="77777777" w:rsidR="00AA068C" w:rsidRPr="00BA06B6" w:rsidRDefault="00AA068C" w:rsidP="00BC341D">
            <w:pPr>
              <w:tabs>
                <w:tab w:val="left" w:pos="851"/>
              </w:tabs>
              <w:jc w:val="both"/>
              <w:rPr>
                <w:lang w:eastAsia="zh-CN"/>
              </w:rPr>
            </w:pPr>
            <w:r w:rsidRPr="00BA06B6">
              <w:rPr>
                <w:lang w:eastAsia="zh-CN"/>
              </w:rPr>
              <w:t>-0.20</w:t>
            </w:r>
            <w:r w:rsidRPr="00BA06B6">
              <w:rPr>
                <w:vertAlign w:val="superscript"/>
                <w:lang w:eastAsia="zh-CN"/>
              </w:rPr>
              <w:t>**</w:t>
            </w:r>
          </w:p>
        </w:tc>
      </w:tr>
      <w:tr w:rsidR="00BA06B6" w:rsidRPr="00BA06B6" w14:paraId="29C1F9C5" w14:textId="77777777" w:rsidTr="004137CB">
        <w:trPr>
          <w:trHeight w:val="288"/>
          <w:jc w:val="center"/>
        </w:trPr>
        <w:tc>
          <w:tcPr>
            <w:tcW w:w="880" w:type="dxa"/>
            <w:tcBorders>
              <w:top w:val="nil"/>
              <w:left w:val="nil"/>
              <w:bottom w:val="nil"/>
              <w:right w:val="nil"/>
            </w:tcBorders>
            <w:shd w:val="clear" w:color="auto" w:fill="FFFFFF" w:themeFill="background1"/>
            <w:noWrap/>
            <w:vAlign w:val="center"/>
            <w:hideMark/>
          </w:tcPr>
          <w:p w14:paraId="0725BB60" w14:textId="77777777" w:rsidR="00AA068C" w:rsidRPr="00BA06B6" w:rsidRDefault="00AA068C" w:rsidP="00BC341D">
            <w:pPr>
              <w:tabs>
                <w:tab w:val="left" w:pos="851"/>
              </w:tabs>
              <w:jc w:val="both"/>
              <w:rPr>
                <w:lang w:eastAsia="zh-CN"/>
              </w:rPr>
            </w:pPr>
            <w:r w:rsidRPr="00BA06B6">
              <w:rPr>
                <w:lang w:eastAsia="zh-CN"/>
              </w:rPr>
              <w:t xml:space="preserve">BBID </w:t>
            </w:r>
          </w:p>
        </w:tc>
        <w:tc>
          <w:tcPr>
            <w:tcW w:w="613" w:type="dxa"/>
            <w:tcBorders>
              <w:top w:val="nil"/>
              <w:left w:val="nil"/>
              <w:bottom w:val="nil"/>
              <w:right w:val="nil"/>
            </w:tcBorders>
            <w:shd w:val="clear" w:color="auto" w:fill="FFFFFF" w:themeFill="background1"/>
            <w:noWrap/>
            <w:vAlign w:val="center"/>
            <w:hideMark/>
          </w:tcPr>
          <w:p w14:paraId="4D9203ED" w14:textId="77777777" w:rsidR="00AA068C" w:rsidRPr="00BA06B6" w:rsidRDefault="00AA068C" w:rsidP="00BC341D">
            <w:pPr>
              <w:tabs>
                <w:tab w:val="left" w:pos="851"/>
              </w:tabs>
              <w:jc w:val="both"/>
              <w:rPr>
                <w:lang w:eastAsia="zh-CN"/>
              </w:rPr>
            </w:pPr>
            <w:r w:rsidRPr="00BA06B6">
              <w:rPr>
                <w:lang w:eastAsia="zh-CN"/>
              </w:rPr>
              <w:t xml:space="preserve"> 0.27</w:t>
            </w:r>
            <w:r w:rsidRPr="00BA06B6">
              <w:rPr>
                <w:vertAlign w:val="superscript"/>
                <w:lang w:eastAsia="zh-CN"/>
              </w:rPr>
              <w:t>**</w:t>
            </w:r>
          </w:p>
        </w:tc>
        <w:tc>
          <w:tcPr>
            <w:tcW w:w="609" w:type="dxa"/>
            <w:tcBorders>
              <w:top w:val="nil"/>
              <w:left w:val="nil"/>
              <w:bottom w:val="nil"/>
              <w:right w:val="nil"/>
            </w:tcBorders>
            <w:shd w:val="clear" w:color="auto" w:fill="FFFFFF" w:themeFill="background1"/>
            <w:noWrap/>
            <w:vAlign w:val="center"/>
            <w:hideMark/>
          </w:tcPr>
          <w:p w14:paraId="75AD81D2" w14:textId="77777777" w:rsidR="00AA068C" w:rsidRPr="00BA06B6" w:rsidRDefault="00AA068C" w:rsidP="00BC341D">
            <w:pPr>
              <w:tabs>
                <w:tab w:val="left" w:pos="851"/>
              </w:tabs>
              <w:jc w:val="both"/>
              <w:rPr>
                <w:lang w:eastAsia="zh-CN"/>
              </w:rPr>
            </w:pPr>
            <w:r w:rsidRPr="00BA06B6">
              <w:rPr>
                <w:lang w:eastAsia="zh-CN"/>
              </w:rPr>
              <w:t xml:space="preserve"> 0.13</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1C5A569E" w14:textId="77777777" w:rsidR="00AA068C" w:rsidRPr="00BA06B6" w:rsidRDefault="00AA068C" w:rsidP="00BC341D">
            <w:pPr>
              <w:tabs>
                <w:tab w:val="left" w:pos="851"/>
              </w:tabs>
              <w:jc w:val="both"/>
              <w:rPr>
                <w:lang w:eastAsia="zh-CN"/>
              </w:rPr>
            </w:pPr>
            <w:r w:rsidRPr="00BA06B6">
              <w:rPr>
                <w:lang w:eastAsia="zh-CN"/>
              </w:rPr>
              <w:t xml:space="preserve"> 0.06</w:t>
            </w:r>
          </w:p>
        </w:tc>
        <w:tc>
          <w:tcPr>
            <w:tcW w:w="657" w:type="dxa"/>
            <w:tcBorders>
              <w:top w:val="nil"/>
              <w:left w:val="nil"/>
              <w:bottom w:val="nil"/>
              <w:right w:val="nil"/>
            </w:tcBorders>
            <w:shd w:val="clear" w:color="auto" w:fill="FFFFFF" w:themeFill="background1"/>
            <w:noWrap/>
            <w:vAlign w:val="center"/>
            <w:hideMark/>
          </w:tcPr>
          <w:p w14:paraId="50B9B2A8" w14:textId="77777777" w:rsidR="00AA068C" w:rsidRPr="00BA06B6" w:rsidRDefault="00AA068C" w:rsidP="00BC341D">
            <w:pPr>
              <w:tabs>
                <w:tab w:val="left" w:pos="851"/>
              </w:tabs>
              <w:jc w:val="both"/>
              <w:rPr>
                <w:lang w:eastAsia="zh-CN"/>
              </w:rPr>
            </w:pPr>
            <w:r w:rsidRPr="00BA06B6">
              <w:rPr>
                <w:lang w:eastAsia="zh-CN"/>
              </w:rPr>
              <w:t xml:space="preserve"> 0.09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F07A6E7" w14:textId="77777777" w:rsidR="00AA068C" w:rsidRPr="00BA06B6" w:rsidRDefault="00AA068C" w:rsidP="00BC341D">
            <w:pPr>
              <w:tabs>
                <w:tab w:val="left" w:pos="851"/>
              </w:tabs>
              <w:jc w:val="both"/>
              <w:rPr>
                <w:lang w:eastAsia="zh-CN"/>
              </w:rPr>
            </w:pPr>
            <w:r w:rsidRPr="00BA06B6">
              <w:rPr>
                <w:lang w:eastAsia="zh-CN"/>
              </w:rPr>
              <w:t>-0.03</w:t>
            </w:r>
          </w:p>
        </w:tc>
        <w:tc>
          <w:tcPr>
            <w:tcW w:w="657" w:type="dxa"/>
            <w:tcBorders>
              <w:top w:val="nil"/>
              <w:left w:val="nil"/>
              <w:bottom w:val="nil"/>
              <w:right w:val="nil"/>
            </w:tcBorders>
            <w:shd w:val="clear" w:color="auto" w:fill="FFFFFF" w:themeFill="background1"/>
            <w:noWrap/>
            <w:vAlign w:val="center"/>
            <w:hideMark/>
          </w:tcPr>
          <w:p w14:paraId="639ADDE2" w14:textId="77777777" w:rsidR="00AA068C" w:rsidRPr="00BA06B6" w:rsidRDefault="00AA068C" w:rsidP="00BC341D">
            <w:pPr>
              <w:tabs>
                <w:tab w:val="left" w:pos="851"/>
              </w:tabs>
              <w:jc w:val="both"/>
              <w:rPr>
                <w:lang w:eastAsia="zh-CN"/>
              </w:rPr>
            </w:pPr>
            <w:r w:rsidRPr="00BA06B6">
              <w:rPr>
                <w:lang w:eastAsia="zh-CN"/>
              </w:rPr>
              <w:t xml:space="preserve"> 0.39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73F0B95" w14:textId="77777777" w:rsidR="00AA068C" w:rsidRPr="00BA06B6" w:rsidRDefault="00AA068C" w:rsidP="00BC341D">
            <w:pPr>
              <w:tabs>
                <w:tab w:val="left" w:pos="851"/>
              </w:tabs>
              <w:jc w:val="both"/>
              <w:rPr>
                <w:lang w:eastAsia="zh-CN"/>
              </w:rPr>
            </w:pPr>
            <w:r w:rsidRPr="00BA06B6">
              <w:rPr>
                <w:lang w:eastAsia="zh-CN"/>
              </w:rPr>
              <w:t>-0.10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8AC1CDB" w14:textId="77777777" w:rsidR="00AA068C" w:rsidRPr="00BA06B6" w:rsidRDefault="00AA068C" w:rsidP="00BC341D">
            <w:pPr>
              <w:tabs>
                <w:tab w:val="left" w:pos="851"/>
              </w:tabs>
              <w:jc w:val="both"/>
              <w:rPr>
                <w:lang w:eastAsia="zh-CN"/>
              </w:rPr>
            </w:pPr>
            <w:r w:rsidRPr="00BA06B6">
              <w:rPr>
                <w:lang w:eastAsia="zh-CN"/>
              </w:rPr>
              <w:t>-0.10</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hideMark/>
          </w:tcPr>
          <w:p w14:paraId="5DDBF392" w14:textId="77777777" w:rsidR="00AA068C" w:rsidRPr="00BA06B6" w:rsidRDefault="00AA068C" w:rsidP="00BC341D">
            <w:pPr>
              <w:tabs>
                <w:tab w:val="left" w:pos="851"/>
              </w:tabs>
              <w:jc w:val="both"/>
              <w:rPr>
                <w:lang w:eastAsia="zh-CN"/>
              </w:rPr>
            </w:pPr>
            <w:r w:rsidRPr="00BA06B6">
              <w:rPr>
                <w:lang w:eastAsia="zh-CN"/>
              </w:rPr>
              <w:t>-0.10</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hideMark/>
          </w:tcPr>
          <w:p w14:paraId="5A1C0519" w14:textId="77777777" w:rsidR="00AA068C" w:rsidRPr="00BA06B6" w:rsidRDefault="00AA068C" w:rsidP="00BC341D">
            <w:pPr>
              <w:tabs>
                <w:tab w:val="left" w:pos="851"/>
              </w:tabs>
              <w:jc w:val="both"/>
              <w:rPr>
                <w:lang w:eastAsia="zh-CN"/>
              </w:rPr>
            </w:pPr>
            <w:r w:rsidRPr="00BA06B6">
              <w:rPr>
                <w:lang w:eastAsia="zh-CN"/>
              </w:rPr>
              <w:t xml:space="preserve"> 0.17</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FFC80D8" w14:textId="77777777" w:rsidR="00AA068C" w:rsidRPr="00BA06B6" w:rsidRDefault="00AA068C" w:rsidP="00BC341D">
            <w:pPr>
              <w:tabs>
                <w:tab w:val="left" w:pos="851"/>
              </w:tabs>
              <w:jc w:val="both"/>
              <w:rPr>
                <w:lang w:eastAsia="zh-CN"/>
              </w:rPr>
            </w:pPr>
            <w:r w:rsidRPr="00BA06B6">
              <w:rPr>
                <w:lang w:eastAsia="zh-CN"/>
              </w:rPr>
              <w:t>-0.22</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14E7ECD6" w14:textId="77777777" w:rsidR="00AA068C" w:rsidRPr="00BA06B6" w:rsidRDefault="00AA068C" w:rsidP="00BC341D">
            <w:pPr>
              <w:tabs>
                <w:tab w:val="left" w:pos="851"/>
              </w:tabs>
              <w:jc w:val="both"/>
              <w:rPr>
                <w:lang w:eastAsia="zh-CN"/>
              </w:rPr>
            </w:pPr>
            <w:r w:rsidRPr="00BA06B6">
              <w:rPr>
                <w:lang w:eastAsia="zh-CN"/>
              </w:rPr>
              <w:t>-0.06</w:t>
            </w:r>
          </w:p>
        </w:tc>
        <w:tc>
          <w:tcPr>
            <w:tcW w:w="657" w:type="dxa"/>
            <w:tcBorders>
              <w:top w:val="nil"/>
              <w:left w:val="nil"/>
              <w:bottom w:val="nil"/>
              <w:right w:val="nil"/>
            </w:tcBorders>
            <w:shd w:val="clear" w:color="auto" w:fill="FFFFFF" w:themeFill="background1"/>
            <w:noWrap/>
            <w:vAlign w:val="center"/>
            <w:hideMark/>
          </w:tcPr>
          <w:p w14:paraId="207585B7" w14:textId="77777777" w:rsidR="00AA068C" w:rsidRPr="00BA06B6" w:rsidRDefault="00AA068C" w:rsidP="00BC341D">
            <w:pPr>
              <w:tabs>
                <w:tab w:val="left" w:pos="851"/>
              </w:tabs>
              <w:jc w:val="both"/>
              <w:rPr>
                <w:lang w:eastAsia="zh-CN"/>
              </w:rPr>
            </w:pPr>
            <w:r w:rsidRPr="00BA06B6">
              <w:rPr>
                <w:lang w:eastAsia="zh-CN"/>
              </w:rPr>
              <w:t>-0.49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7978B41" w14:textId="77777777" w:rsidR="00AA068C" w:rsidRPr="00BA06B6" w:rsidRDefault="00AA068C" w:rsidP="00BC341D">
            <w:pPr>
              <w:tabs>
                <w:tab w:val="left" w:pos="851"/>
              </w:tabs>
              <w:jc w:val="both"/>
              <w:rPr>
                <w:lang w:eastAsia="zh-CN"/>
              </w:rPr>
            </w:pPr>
            <w:r w:rsidRPr="00BA06B6">
              <w:rPr>
                <w:lang w:eastAsia="zh-CN"/>
              </w:rPr>
              <w:t xml:space="preserve"> 0.05</w:t>
            </w:r>
          </w:p>
        </w:tc>
        <w:tc>
          <w:tcPr>
            <w:tcW w:w="657" w:type="dxa"/>
            <w:tcBorders>
              <w:top w:val="nil"/>
              <w:left w:val="nil"/>
              <w:bottom w:val="nil"/>
              <w:right w:val="nil"/>
            </w:tcBorders>
            <w:shd w:val="clear" w:color="auto" w:fill="FFFFFF" w:themeFill="background1"/>
            <w:noWrap/>
            <w:vAlign w:val="center"/>
          </w:tcPr>
          <w:p w14:paraId="6BC62B48" w14:textId="77777777" w:rsidR="00AA068C" w:rsidRPr="00BA06B6" w:rsidRDefault="00AA068C" w:rsidP="00BC341D">
            <w:pPr>
              <w:tabs>
                <w:tab w:val="left" w:pos="851"/>
              </w:tabs>
              <w:jc w:val="both"/>
              <w:rPr>
                <w:lang w:eastAsia="zh-CN"/>
              </w:rPr>
            </w:pPr>
          </w:p>
        </w:tc>
        <w:tc>
          <w:tcPr>
            <w:tcW w:w="657" w:type="dxa"/>
            <w:tcBorders>
              <w:top w:val="nil"/>
              <w:left w:val="nil"/>
              <w:bottom w:val="nil"/>
              <w:right w:val="nil"/>
            </w:tcBorders>
            <w:shd w:val="clear" w:color="auto" w:fill="FFFFFF" w:themeFill="background1"/>
            <w:noWrap/>
            <w:vAlign w:val="center"/>
            <w:hideMark/>
          </w:tcPr>
          <w:p w14:paraId="2C774DDD" w14:textId="77777777" w:rsidR="00AA068C" w:rsidRPr="00BA06B6" w:rsidRDefault="00AA068C" w:rsidP="00BC341D">
            <w:pPr>
              <w:tabs>
                <w:tab w:val="left" w:pos="851"/>
              </w:tabs>
              <w:jc w:val="both"/>
              <w:rPr>
                <w:lang w:eastAsia="zh-CN"/>
              </w:rPr>
            </w:pPr>
            <w:r w:rsidRPr="00BA06B6">
              <w:rPr>
                <w:lang w:eastAsia="zh-CN"/>
              </w:rPr>
              <w:t xml:space="preserve"> 0.10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7F2CF8E" w14:textId="77777777" w:rsidR="00AA068C" w:rsidRPr="00BA06B6" w:rsidRDefault="00AA068C" w:rsidP="00BC341D">
            <w:pPr>
              <w:tabs>
                <w:tab w:val="left" w:pos="851"/>
              </w:tabs>
              <w:jc w:val="both"/>
              <w:rPr>
                <w:lang w:eastAsia="zh-CN"/>
              </w:rPr>
            </w:pPr>
            <w:r w:rsidRPr="00BA06B6">
              <w:rPr>
                <w:lang w:eastAsia="zh-CN"/>
              </w:rPr>
              <w:t>-0.04</w:t>
            </w:r>
          </w:p>
        </w:tc>
        <w:tc>
          <w:tcPr>
            <w:tcW w:w="657" w:type="dxa"/>
            <w:tcBorders>
              <w:top w:val="nil"/>
              <w:left w:val="nil"/>
              <w:bottom w:val="nil"/>
              <w:right w:val="nil"/>
            </w:tcBorders>
            <w:shd w:val="clear" w:color="auto" w:fill="FFFFFF" w:themeFill="background1"/>
            <w:noWrap/>
            <w:vAlign w:val="center"/>
            <w:hideMark/>
          </w:tcPr>
          <w:p w14:paraId="3911643C" w14:textId="77777777" w:rsidR="00AA068C" w:rsidRPr="00BA06B6" w:rsidRDefault="00AA068C" w:rsidP="00BC341D">
            <w:pPr>
              <w:tabs>
                <w:tab w:val="left" w:pos="851"/>
              </w:tabs>
              <w:jc w:val="both"/>
              <w:rPr>
                <w:lang w:eastAsia="zh-CN"/>
              </w:rPr>
            </w:pPr>
            <w:r w:rsidRPr="00BA06B6">
              <w:rPr>
                <w:lang w:eastAsia="zh-CN"/>
              </w:rPr>
              <w:t xml:space="preserve"> 0.22</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6B3F3021" w14:textId="77777777" w:rsidR="00AA068C" w:rsidRPr="00BA06B6" w:rsidRDefault="00AA068C" w:rsidP="00BC341D">
            <w:pPr>
              <w:tabs>
                <w:tab w:val="left" w:pos="851"/>
              </w:tabs>
              <w:jc w:val="both"/>
              <w:rPr>
                <w:lang w:eastAsia="zh-CN"/>
              </w:rPr>
            </w:pPr>
            <w:r w:rsidRPr="00BA06B6">
              <w:rPr>
                <w:lang w:eastAsia="zh-CN"/>
              </w:rPr>
              <w:t xml:space="preserve"> 0.23</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2265620" w14:textId="77777777" w:rsidR="00AA068C" w:rsidRPr="00BA06B6" w:rsidRDefault="00AA068C" w:rsidP="00BC341D">
            <w:pPr>
              <w:tabs>
                <w:tab w:val="left" w:pos="851"/>
              </w:tabs>
              <w:jc w:val="both"/>
              <w:rPr>
                <w:lang w:eastAsia="zh-CN"/>
              </w:rPr>
            </w:pPr>
            <w:r w:rsidRPr="00BA06B6">
              <w:rPr>
                <w:lang w:eastAsia="zh-CN"/>
              </w:rPr>
              <w:t>-0.16</w:t>
            </w:r>
            <w:r w:rsidRPr="00BA06B6">
              <w:rPr>
                <w:vertAlign w:val="superscript"/>
                <w:lang w:eastAsia="zh-CN"/>
              </w:rPr>
              <w:t>**</w:t>
            </w:r>
          </w:p>
        </w:tc>
        <w:tc>
          <w:tcPr>
            <w:tcW w:w="611" w:type="dxa"/>
            <w:gridSpan w:val="2"/>
            <w:tcBorders>
              <w:top w:val="nil"/>
              <w:left w:val="nil"/>
              <w:bottom w:val="nil"/>
              <w:right w:val="nil"/>
            </w:tcBorders>
            <w:shd w:val="clear" w:color="auto" w:fill="FFFFFF" w:themeFill="background1"/>
            <w:noWrap/>
            <w:vAlign w:val="center"/>
            <w:hideMark/>
          </w:tcPr>
          <w:p w14:paraId="43C2F872" w14:textId="77777777" w:rsidR="00AA068C" w:rsidRPr="00BA06B6" w:rsidRDefault="00AA068C" w:rsidP="00BC341D">
            <w:pPr>
              <w:tabs>
                <w:tab w:val="left" w:pos="851"/>
              </w:tabs>
              <w:jc w:val="both"/>
              <w:rPr>
                <w:lang w:eastAsia="zh-CN"/>
              </w:rPr>
            </w:pPr>
            <w:r w:rsidRPr="00BA06B6">
              <w:rPr>
                <w:lang w:eastAsia="zh-CN"/>
              </w:rPr>
              <w:t xml:space="preserve"> 0.04</w:t>
            </w:r>
          </w:p>
        </w:tc>
      </w:tr>
      <w:tr w:rsidR="00BA06B6" w:rsidRPr="00BA06B6" w14:paraId="48DE10EA" w14:textId="77777777" w:rsidTr="004137CB">
        <w:trPr>
          <w:trHeight w:val="288"/>
          <w:jc w:val="center"/>
        </w:trPr>
        <w:tc>
          <w:tcPr>
            <w:tcW w:w="880" w:type="dxa"/>
            <w:tcBorders>
              <w:top w:val="nil"/>
              <w:left w:val="nil"/>
              <w:bottom w:val="nil"/>
              <w:right w:val="nil"/>
            </w:tcBorders>
            <w:shd w:val="clear" w:color="auto" w:fill="FFFFFF" w:themeFill="background1"/>
            <w:noWrap/>
            <w:vAlign w:val="center"/>
            <w:hideMark/>
          </w:tcPr>
          <w:p w14:paraId="1197B191" w14:textId="77777777" w:rsidR="00AA068C" w:rsidRPr="00BA06B6" w:rsidRDefault="00AA068C" w:rsidP="00BC341D">
            <w:pPr>
              <w:tabs>
                <w:tab w:val="left" w:pos="851"/>
              </w:tabs>
              <w:jc w:val="both"/>
              <w:rPr>
                <w:lang w:eastAsia="zh-CN"/>
              </w:rPr>
            </w:pPr>
            <w:r w:rsidRPr="00BA06B6">
              <w:rPr>
                <w:lang w:eastAsia="zh-CN"/>
              </w:rPr>
              <w:t>SSB</w:t>
            </w:r>
          </w:p>
        </w:tc>
        <w:tc>
          <w:tcPr>
            <w:tcW w:w="613" w:type="dxa"/>
            <w:tcBorders>
              <w:top w:val="nil"/>
              <w:left w:val="nil"/>
              <w:bottom w:val="nil"/>
              <w:right w:val="nil"/>
            </w:tcBorders>
            <w:shd w:val="clear" w:color="auto" w:fill="FFFFFF" w:themeFill="background1"/>
            <w:noWrap/>
            <w:vAlign w:val="center"/>
            <w:hideMark/>
          </w:tcPr>
          <w:p w14:paraId="0383C798" w14:textId="77777777" w:rsidR="00AA068C" w:rsidRPr="00BA06B6" w:rsidRDefault="00AA068C" w:rsidP="00BC341D">
            <w:pPr>
              <w:tabs>
                <w:tab w:val="left" w:pos="851"/>
              </w:tabs>
              <w:jc w:val="both"/>
              <w:rPr>
                <w:lang w:eastAsia="zh-CN"/>
              </w:rPr>
            </w:pPr>
            <w:r w:rsidRPr="00BA06B6">
              <w:rPr>
                <w:lang w:eastAsia="zh-CN"/>
              </w:rPr>
              <w:t xml:space="preserve"> 0.35</w:t>
            </w:r>
            <w:r w:rsidRPr="00BA06B6">
              <w:rPr>
                <w:vertAlign w:val="superscript"/>
                <w:lang w:eastAsia="zh-CN"/>
              </w:rPr>
              <w:t>**</w:t>
            </w:r>
          </w:p>
        </w:tc>
        <w:tc>
          <w:tcPr>
            <w:tcW w:w="609" w:type="dxa"/>
            <w:tcBorders>
              <w:top w:val="nil"/>
              <w:left w:val="nil"/>
              <w:bottom w:val="nil"/>
              <w:right w:val="nil"/>
            </w:tcBorders>
            <w:shd w:val="clear" w:color="auto" w:fill="FFFFFF" w:themeFill="background1"/>
            <w:noWrap/>
            <w:vAlign w:val="center"/>
            <w:hideMark/>
          </w:tcPr>
          <w:p w14:paraId="718CC35E" w14:textId="77777777" w:rsidR="00AA068C" w:rsidRPr="00BA06B6" w:rsidRDefault="00AA068C" w:rsidP="00BC341D">
            <w:pPr>
              <w:tabs>
                <w:tab w:val="left" w:pos="851"/>
              </w:tabs>
              <w:jc w:val="both"/>
              <w:rPr>
                <w:lang w:eastAsia="zh-CN"/>
              </w:rPr>
            </w:pPr>
            <w:r w:rsidRPr="00BA06B6">
              <w:rPr>
                <w:lang w:eastAsia="zh-CN"/>
              </w:rPr>
              <w:t xml:space="preserve"> 0.19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02FF358" w14:textId="77777777" w:rsidR="00AA068C" w:rsidRPr="00BA06B6" w:rsidRDefault="00AA068C" w:rsidP="00BC341D">
            <w:pPr>
              <w:tabs>
                <w:tab w:val="left" w:pos="851"/>
              </w:tabs>
              <w:jc w:val="both"/>
              <w:rPr>
                <w:lang w:eastAsia="zh-CN"/>
              </w:rPr>
            </w:pPr>
            <w:r w:rsidRPr="00BA06B6">
              <w:rPr>
                <w:lang w:eastAsia="zh-CN"/>
              </w:rPr>
              <w:t xml:space="preserve"> 0.28</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0A975D19" w14:textId="77777777" w:rsidR="00AA068C" w:rsidRPr="00BA06B6" w:rsidRDefault="00AA068C" w:rsidP="00BC341D">
            <w:pPr>
              <w:tabs>
                <w:tab w:val="left" w:pos="851"/>
              </w:tabs>
              <w:jc w:val="both"/>
              <w:rPr>
                <w:lang w:eastAsia="zh-CN"/>
              </w:rPr>
            </w:pPr>
            <w:r w:rsidRPr="00BA06B6">
              <w:rPr>
                <w:lang w:eastAsia="zh-CN"/>
              </w:rPr>
              <w:t xml:space="preserve"> 0.05</w:t>
            </w:r>
          </w:p>
        </w:tc>
        <w:tc>
          <w:tcPr>
            <w:tcW w:w="657" w:type="dxa"/>
            <w:tcBorders>
              <w:top w:val="nil"/>
              <w:left w:val="nil"/>
              <w:bottom w:val="nil"/>
              <w:right w:val="nil"/>
            </w:tcBorders>
            <w:shd w:val="clear" w:color="auto" w:fill="FFFFFF" w:themeFill="background1"/>
            <w:noWrap/>
            <w:vAlign w:val="center"/>
            <w:hideMark/>
          </w:tcPr>
          <w:p w14:paraId="6BDB51A9" w14:textId="77777777" w:rsidR="00AA068C" w:rsidRPr="00BA06B6" w:rsidRDefault="00AA068C" w:rsidP="00BC341D">
            <w:pPr>
              <w:tabs>
                <w:tab w:val="left" w:pos="851"/>
              </w:tabs>
              <w:jc w:val="both"/>
              <w:rPr>
                <w:lang w:eastAsia="zh-CN"/>
              </w:rPr>
            </w:pPr>
            <w:r w:rsidRPr="00BA06B6">
              <w:rPr>
                <w:lang w:eastAsia="zh-CN"/>
              </w:rPr>
              <w:t xml:space="preserve"> 0.09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7D8A878" w14:textId="77777777" w:rsidR="00AA068C" w:rsidRPr="00BA06B6" w:rsidRDefault="00AA068C" w:rsidP="00BC341D">
            <w:pPr>
              <w:tabs>
                <w:tab w:val="left" w:pos="851"/>
              </w:tabs>
              <w:jc w:val="both"/>
              <w:rPr>
                <w:lang w:eastAsia="zh-CN"/>
              </w:rPr>
            </w:pPr>
            <w:r w:rsidRPr="00BA06B6">
              <w:rPr>
                <w:lang w:eastAsia="zh-CN"/>
              </w:rPr>
              <w:t xml:space="preserve"> 0.10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2DC3E8F9" w14:textId="77777777" w:rsidR="00AA068C" w:rsidRPr="00BA06B6" w:rsidRDefault="00AA068C" w:rsidP="00BC341D">
            <w:pPr>
              <w:tabs>
                <w:tab w:val="left" w:pos="851"/>
              </w:tabs>
              <w:jc w:val="both"/>
              <w:rPr>
                <w:lang w:eastAsia="zh-CN"/>
              </w:rPr>
            </w:pPr>
            <w:r w:rsidRPr="00BA06B6">
              <w:rPr>
                <w:lang w:eastAsia="zh-CN"/>
              </w:rPr>
              <w:t>-0.09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FCD6914" w14:textId="77777777" w:rsidR="00AA068C" w:rsidRPr="00BA06B6" w:rsidRDefault="00AA068C" w:rsidP="00BC341D">
            <w:pPr>
              <w:tabs>
                <w:tab w:val="left" w:pos="851"/>
              </w:tabs>
              <w:jc w:val="both"/>
              <w:rPr>
                <w:lang w:eastAsia="zh-CN"/>
              </w:rPr>
            </w:pPr>
            <w:r w:rsidRPr="00BA06B6">
              <w:rPr>
                <w:lang w:eastAsia="zh-CN"/>
              </w:rPr>
              <w:t xml:space="preserve"> 0.03</w:t>
            </w:r>
          </w:p>
        </w:tc>
        <w:tc>
          <w:tcPr>
            <w:tcW w:w="704" w:type="dxa"/>
            <w:tcBorders>
              <w:top w:val="nil"/>
              <w:left w:val="nil"/>
              <w:bottom w:val="nil"/>
              <w:right w:val="nil"/>
            </w:tcBorders>
            <w:shd w:val="clear" w:color="auto" w:fill="FFFFFF" w:themeFill="background1"/>
            <w:noWrap/>
            <w:vAlign w:val="center"/>
            <w:hideMark/>
          </w:tcPr>
          <w:p w14:paraId="16450F31" w14:textId="77777777" w:rsidR="00AA068C" w:rsidRPr="00BA06B6" w:rsidRDefault="00AA068C" w:rsidP="00BC341D">
            <w:pPr>
              <w:tabs>
                <w:tab w:val="left" w:pos="851"/>
              </w:tabs>
              <w:jc w:val="both"/>
              <w:rPr>
                <w:lang w:eastAsia="zh-CN"/>
              </w:rPr>
            </w:pPr>
            <w:r w:rsidRPr="00BA06B6">
              <w:rPr>
                <w:lang w:eastAsia="zh-CN"/>
              </w:rPr>
              <w:t>-0.10</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hideMark/>
          </w:tcPr>
          <w:p w14:paraId="726485FE" w14:textId="77777777" w:rsidR="00AA068C" w:rsidRPr="00BA06B6" w:rsidRDefault="00AA068C" w:rsidP="00BC341D">
            <w:pPr>
              <w:tabs>
                <w:tab w:val="left" w:pos="851"/>
              </w:tabs>
              <w:jc w:val="both"/>
              <w:rPr>
                <w:lang w:eastAsia="zh-CN"/>
              </w:rPr>
            </w:pPr>
            <w:r w:rsidRPr="00BA06B6">
              <w:rPr>
                <w:lang w:eastAsia="zh-CN"/>
              </w:rPr>
              <w:t xml:space="preserve"> 0.09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15754E26" w14:textId="77777777" w:rsidR="00AA068C" w:rsidRPr="00BA06B6" w:rsidRDefault="00AA068C" w:rsidP="00BC341D">
            <w:pPr>
              <w:tabs>
                <w:tab w:val="left" w:pos="851"/>
              </w:tabs>
              <w:jc w:val="both"/>
              <w:rPr>
                <w:lang w:eastAsia="zh-CN"/>
              </w:rPr>
            </w:pPr>
            <w:r w:rsidRPr="00BA06B6">
              <w:rPr>
                <w:lang w:eastAsia="zh-CN"/>
              </w:rPr>
              <w:t>-0.18</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043B86F" w14:textId="77777777" w:rsidR="00AA068C" w:rsidRPr="00BA06B6" w:rsidRDefault="00AA068C" w:rsidP="00BC341D">
            <w:pPr>
              <w:tabs>
                <w:tab w:val="left" w:pos="851"/>
              </w:tabs>
              <w:jc w:val="both"/>
              <w:rPr>
                <w:lang w:eastAsia="zh-CN"/>
              </w:rPr>
            </w:pPr>
            <w:r w:rsidRPr="00BA06B6">
              <w:rPr>
                <w:lang w:eastAsia="zh-CN"/>
              </w:rPr>
              <w:t>-0.08</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1074FBE" w14:textId="77777777" w:rsidR="00AA068C" w:rsidRPr="00BA06B6" w:rsidRDefault="00AA068C" w:rsidP="00BC341D">
            <w:pPr>
              <w:tabs>
                <w:tab w:val="left" w:pos="851"/>
              </w:tabs>
              <w:jc w:val="both"/>
              <w:rPr>
                <w:lang w:eastAsia="zh-CN"/>
              </w:rPr>
            </w:pPr>
            <w:r w:rsidRPr="00BA06B6">
              <w:rPr>
                <w:lang w:eastAsia="zh-CN"/>
              </w:rPr>
              <w:t>-0.19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208B0890" w14:textId="77777777" w:rsidR="00AA068C" w:rsidRPr="00BA06B6" w:rsidRDefault="00AA068C" w:rsidP="00BC341D">
            <w:pPr>
              <w:tabs>
                <w:tab w:val="left" w:pos="851"/>
              </w:tabs>
              <w:jc w:val="both"/>
              <w:rPr>
                <w:lang w:eastAsia="zh-CN"/>
              </w:rPr>
            </w:pPr>
            <w:r w:rsidRPr="00BA06B6">
              <w:rPr>
                <w:lang w:eastAsia="zh-CN"/>
              </w:rPr>
              <w:t>-0.05</w:t>
            </w:r>
          </w:p>
        </w:tc>
        <w:tc>
          <w:tcPr>
            <w:tcW w:w="657" w:type="dxa"/>
            <w:tcBorders>
              <w:top w:val="nil"/>
              <w:left w:val="nil"/>
              <w:bottom w:val="nil"/>
              <w:right w:val="nil"/>
            </w:tcBorders>
            <w:shd w:val="clear" w:color="auto" w:fill="FFFFFF" w:themeFill="background1"/>
            <w:noWrap/>
            <w:vAlign w:val="center"/>
            <w:hideMark/>
          </w:tcPr>
          <w:p w14:paraId="10D43C4E" w14:textId="77777777" w:rsidR="00AA068C" w:rsidRPr="00BA06B6" w:rsidRDefault="00AA068C" w:rsidP="00BC341D">
            <w:pPr>
              <w:tabs>
                <w:tab w:val="left" w:pos="851"/>
              </w:tabs>
              <w:jc w:val="both"/>
              <w:rPr>
                <w:lang w:eastAsia="zh-CN"/>
              </w:rPr>
            </w:pPr>
            <w:r w:rsidRPr="00BA06B6">
              <w:rPr>
                <w:lang w:eastAsia="zh-CN"/>
              </w:rPr>
              <w:t xml:space="preserve"> 0.06</w:t>
            </w:r>
          </w:p>
        </w:tc>
        <w:tc>
          <w:tcPr>
            <w:tcW w:w="657" w:type="dxa"/>
            <w:tcBorders>
              <w:top w:val="nil"/>
              <w:left w:val="nil"/>
              <w:bottom w:val="nil"/>
              <w:right w:val="nil"/>
            </w:tcBorders>
            <w:shd w:val="clear" w:color="auto" w:fill="FFFFFF" w:themeFill="background1"/>
            <w:noWrap/>
            <w:vAlign w:val="center"/>
          </w:tcPr>
          <w:p w14:paraId="391A3475" w14:textId="77777777" w:rsidR="00AA068C" w:rsidRPr="00BA06B6" w:rsidRDefault="00AA068C" w:rsidP="00BC341D">
            <w:pPr>
              <w:tabs>
                <w:tab w:val="left" w:pos="851"/>
              </w:tabs>
              <w:jc w:val="both"/>
              <w:rPr>
                <w:lang w:eastAsia="zh-CN"/>
              </w:rPr>
            </w:pPr>
          </w:p>
        </w:tc>
        <w:tc>
          <w:tcPr>
            <w:tcW w:w="657" w:type="dxa"/>
            <w:tcBorders>
              <w:top w:val="nil"/>
              <w:left w:val="nil"/>
              <w:bottom w:val="nil"/>
              <w:right w:val="nil"/>
            </w:tcBorders>
            <w:shd w:val="clear" w:color="auto" w:fill="FFFFFF" w:themeFill="background1"/>
            <w:noWrap/>
            <w:vAlign w:val="center"/>
            <w:hideMark/>
          </w:tcPr>
          <w:p w14:paraId="3D5B4837" w14:textId="77777777" w:rsidR="00AA068C" w:rsidRPr="00BA06B6" w:rsidRDefault="00AA068C" w:rsidP="00BC341D">
            <w:pPr>
              <w:tabs>
                <w:tab w:val="left" w:pos="851"/>
              </w:tabs>
              <w:jc w:val="both"/>
              <w:rPr>
                <w:lang w:eastAsia="zh-CN"/>
              </w:rPr>
            </w:pPr>
            <w:r w:rsidRPr="00BA06B6">
              <w:rPr>
                <w:lang w:eastAsia="zh-CN"/>
              </w:rPr>
              <w:t>-0.25</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1EE4C68" w14:textId="77777777" w:rsidR="00AA068C" w:rsidRPr="00BA06B6" w:rsidRDefault="00AA068C" w:rsidP="00BC341D">
            <w:pPr>
              <w:tabs>
                <w:tab w:val="left" w:pos="851"/>
              </w:tabs>
              <w:jc w:val="both"/>
              <w:rPr>
                <w:lang w:eastAsia="zh-CN"/>
              </w:rPr>
            </w:pPr>
            <w:r w:rsidRPr="00BA06B6">
              <w:rPr>
                <w:lang w:eastAsia="zh-CN"/>
              </w:rPr>
              <w:t xml:space="preserve"> 0.15</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DF6173C" w14:textId="77777777" w:rsidR="00AA068C" w:rsidRPr="00BA06B6" w:rsidRDefault="00AA068C" w:rsidP="00BC341D">
            <w:pPr>
              <w:tabs>
                <w:tab w:val="left" w:pos="851"/>
              </w:tabs>
              <w:jc w:val="both"/>
              <w:rPr>
                <w:lang w:eastAsia="zh-CN"/>
              </w:rPr>
            </w:pPr>
            <w:r w:rsidRPr="00BA06B6">
              <w:rPr>
                <w:lang w:eastAsia="zh-CN"/>
              </w:rPr>
              <w:t xml:space="preserve"> 0.18</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4E6308A" w14:textId="77777777" w:rsidR="00AA068C" w:rsidRPr="00BA06B6" w:rsidRDefault="00AA068C" w:rsidP="00BC341D">
            <w:pPr>
              <w:tabs>
                <w:tab w:val="left" w:pos="851"/>
              </w:tabs>
              <w:jc w:val="both"/>
              <w:rPr>
                <w:lang w:eastAsia="zh-CN"/>
              </w:rPr>
            </w:pPr>
            <w:r w:rsidRPr="00BA06B6">
              <w:rPr>
                <w:lang w:eastAsia="zh-CN"/>
              </w:rPr>
              <w:t>-0.20</w:t>
            </w:r>
            <w:r w:rsidRPr="00BA06B6">
              <w:rPr>
                <w:vertAlign w:val="superscript"/>
                <w:lang w:eastAsia="zh-CN"/>
              </w:rPr>
              <w:t>**</w:t>
            </w:r>
          </w:p>
        </w:tc>
        <w:tc>
          <w:tcPr>
            <w:tcW w:w="611" w:type="dxa"/>
            <w:gridSpan w:val="2"/>
            <w:tcBorders>
              <w:top w:val="nil"/>
              <w:left w:val="nil"/>
              <w:bottom w:val="nil"/>
              <w:right w:val="nil"/>
            </w:tcBorders>
            <w:shd w:val="clear" w:color="auto" w:fill="FFFFFF" w:themeFill="background1"/>
            <w:noWrap/>
            <w:vAlign w:val="center"/>
            <w:hideMark/>
          </w:tcPr>
          <w:p w14:paraId="4DE0EC82" w14:textId="77777777" w:rsidR="00AA068C" w:rsidRPr="00BA06B6" w:rsidRDefault="00AA068C" w:rsidP="00BC341D">
            <w:pPr>
              <w:tabs>
                <w:tab w:val="left" w:pos="851"/>
              </w:tabs>
              <w:jc w:val="both"/>
              <w:rPr>
                <w:lang w:eastAsia="zh-CN"/>
              </w:rPr>
            </w:pPr>
            <w:r w:rsidRPr="00BA06B6">
              <w:rPr>
                <w:lang w:eastAsia="zh-CN"/>
              </w:rPr>
              <w:t xml:space="preserve"> 0.13</w:t>
            </w:r>
            <w:r w:rsidRPr="00BA06B6">
              <w:rPr>
                <w:vertAlign w:val="superscript"/>
                <w:lang w:eastAsia="zh-CN"/>
              </w:rPr>
              <w:t>**</w:t>
            </w:r>
          </w:p>
        </w:tc>
      </w:tr>
      <w:tr w:rsidR="00BA06B6" w:rsidRPr="00BA06B6" w14:paraId="076CA0DD" w14:textId="77777777" w:rsidTr="004137CB">
        <w:trPr>
          <w:trHeight w:val="288"/>
          <w:jc w:val="center"/>
        </w:trPr>
        <w:tc>
          <w:tcPr>
            <w:tcW w:w="880" w:type="dxa"/>
            <w:tcBorders>
              <w:top w:val="nil"/>
              <w:left w:val="nil"/>
              <w:bottom w:val="nil"/>
              <w:right w:val="nil"/>
            </w:tcBorders>
            <w:shd w:val="clear" w:color="auto" w:fill="FFFFFF" w:themeFill="background1"/>
            <w:noWrap/>
            <w:vAlign w:val="center"/>
            <w:hideMark/>
          </w:tcPr>
          <w:p w14:paraId="0A3BCB1C" w14:textId="77777777" w:rsidR="00AA068C" w:rsidRPr="00BA06B6" w:rsidRDefault="00AA068C" w:rsidP="00BC341D">
            <w:pPr>
              <w:tabs>
                <w:tab w:val="left" w:pos="851"/>
              </w:tabs>
              <w:jc w:val="both"/>
              <w:rPr>
                <w:lang w:eastAsia="zh-CN"/>
              </w:rPr>
            </w:pPr>
            <w:r w:rsidRPr="00BA06B6">
              <w:rPr>
                <w:lang w:eastAsia="zh-CN"/>
              </w:rPr>
              <w:t>V&amp;A</w:t>
            </w:r>
          </w:p>
        </w:tc>
        <w:tc>
          <w:tcPr>
            <w:tcW w:w="613" w:type="dxa"/>
            <w:tcBorders>
              <w:top w:val="nil"/>
              <w:left w:val="nil"/>
              <w:bottom w:val="nil"/>
              <w:right w:val="nil"/>
            </w:tcBorders>
            <w:shd w:val="clear" w:color="auto" w:fill="FFFFFF" w:themeFill="background1"/>
            <w:noWrap/>
            <w:vAlign w:val="center"/>
            <w:hideMark/>
          </w:tcPr>
          <w:p w14:paraId="32EBAC71" w14:textId="77777777" w:rsidR="00AA068C" w:rsidRPr="00BA06B6" w:rsidRDefault="00AA068C" w:rsidP="00BC341D">
            <w:pPr>
              <w:tabs>
                <w:tab w:val="left" w:pos="851"/>
              </w:tabs>
              <w:jc w:val="both"/>
              <w:rPr>
                <w:lang w:eastAsia="zh-CN"/>
              </w:rPr>
            </w:pPr>
            <w:r w:rsidRPr="00BA06B6">
              <w:rPr>
                <w:lang w:eastAsia="zh-CN"/>
              </w:rPr>
              <w:t>-0.20</w:t>
            </w:r>
            <w:r w:rsidRPr="00BA06B6">
              <w:rPr>
                <w:vertAlign w:val="superscript"/>
                <w:lang w:eastAsia="zh-CN"/>
              </w:rPr>
              <w:t>**</w:t>
            </w:r>
          </w:p>
        </w:tc>
        <w:tc>
          <w:tcPr>
            <w:tcW w:w="609" w:type="dxa"/>
            <w:tcBorders>
              <w:top w:val="nil"/>
              <w:left w:val="nil"/>
              <w:bottom w:val="nil"/>
              <w:right w:val="nil"/>
            </w:tcBorders>
            <w:shd w:val="clear" w:color="auto" w:fill="FFFFFF" w:themeFill="background1"/>
            <w:noWrap/>
            <w:vAlign w:val="center"/>
            <w:hideMark/>
          </w:tcPr>
          <w:p w14:paraId="16433888" w14:textId="77777777" w:rsidR="00AA068C" w:rsidRPr="00BA06B6" w:rsidRDefault="00AA068C" w:rsidP="00BC341D">
            <w:pPr>
              <w:tabs>
                <w:tab w:val="left" w:pos="851"/>
              </w:tabs>
              <w:jc w:val="both"/>
              <w:rPr>
                <w:lang w:eastAsia="zh-CN"/>
              </w:rPr>
            </w:pPr>
            <w:r w:rsidRPr="00BA06B6">
              <w:rPr>
                <w:lang w:eastAsia="zh-CN"/>
              </w:rPr>
              <w:t xml:space="preserve"> 0.01</w:t>
            </w:r>
          </w:p>
        </w:tc>
        <w:tc>
          <w:tcPr>
            <w:tcW w:w="657" w:type="dxa"/>
            <w:tcBorders>
              <w:top w:val="nil"/>
              <w:left w:val="nil"/>
              <w:bottom w:val="nil"/>
              <w:right w:val="nil"/>
            </w:tcBorders>
            <w:shd w:val="clear" w:color="auto" w:fill="FFFFFF" w:themeFill="background1"/>
            <w:noWrap/>
            <w:vAlign w:val="center"/>
            <w:hideMark/>
          </w:tcPr>
          <w:p w14:paraId="2BDC65D7" w14:textId="77777777" w:rsidR="00AA068C" w:rsidRPr="00BA06B6" w:rsidRDefault="00AA068C" w:rsidP="00BC341D">
            <w:pPr>
              <w:tabs>
                <w:tab w:val="left" w:pos="851"/>
              </w:tabs>
              <w:jc w:val="both"/>
              <w:rPr>
                <w:lang w:eastAsia="zh-CN"/>
              </w:rPr>
            </w:pPr>
            <w:r w:rsidRPr="00BA06B6">
              <w:rPr>
                <w:lang w:eastAsia="zh-CN"/>
              </w:rPr>
              <w:t>-0.10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13BB7EE" w14:textId="77777777" w:rsidR="00AA068C" w:rsidRPr="00BA06B6" w:rsidRDefault="00AA068C" w:rsidP="00BC341D">
            <w:pPr>
              <w:tabs>
                <w:tab w:val="left" w:pos="851"/>
              </w:tabs>
              <w:jc w:val="both"/>
              <w:rPr>
                <w:lang w:eastAsia="zh-CN"/>
              </w:rPr>
            </w:pPr>
            <w:r w:rsidRPr="00BA06B6">
              <w:rPr>
                <w:lang w:eastAsia="zh-CN"/>
              </w:rPr>
              <w:t>-0.14</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2B0C0299" w14:textId="77777777" w:rsidR="00AA068C" w:rsidRPr="00BA06B6" w:rsidRDefault="00AA068C" w:rsidP="00BC341D">
            <w:pPr>
              <w:tabs>
                <w:tab w:val="left" w:pos="851"/>
              </w:tabs>
              <w:jc w:val="both"/>
              <w:rPr>
                <w:lang w:eastAsia="zh-CN"/>
              </w:rPr>
            </w:pPr>
            <w:r w:rsidRPr="00BA06B6">
              <w:rPr>
                <w:lang w:eastAsia="zh-CN"/>
              </w:rPr>
              <w:t>-0.04</w:t>
            </w:r>
          </w:p>
        </w:tc>
        <w:tc>
          <w:tcPr>
            <w:tcW w:w="657" w:type="dxa"/>
            <w:tcBorders>
              <w:top w:val="nil"/>
              <w:left w:val="nil"/>
              <w:bottom w:val="nil"/>
              <w:right w:val="nil"/>
            </w:tcBorders>
            <w:shd w:val="clear" w:color="auto" w:fill="FFFFFF" w:themeFill="background1"/>
            <w:noWrap/>
            <w:vAlign w:val="center"/>
            <w:hideMark/>
          </w:tcPr>
          <w:p w14:paraId="06CC78F5" w14:textId="77777777" w:rsidR="00AA068C" w:rsidRPr="00BA06B6" w:rsidRDefault="00AA068C" w:rsidP="00BC341D">
            <w:pPr>
              <w:tabs>
                <w:tab w:val="left" w:pos="851"/>
              </w:tabs>
              <w:jc w:val="both"/>
              <w:rPr>
                <w:lang w:eastAsia="zh-CN"/>
              </w:rPr>
            </w:pPr>
            <w:r w:rsidRPr="00BA06B6">
              <w:rPr>
                <w:lang w:eastAsia="zh-CN"/>
              </w:rPr>
              <w:t>-0.15</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6D490C85" w14:textId="77777777" w:rsidR="00AA068C" w:rsidRPr="00BA06B6" w:rsidRDefault="00AA068C" w:rsidP="00BC341D">
            <w:pPr>
              <w:tabs>
                <w:tab w:val="left" w:pos="851"/>
              </w:tabs>
              <w:jc w:val="both"/>
              <w:rPr>
                <w:lang w:eastAsia="zh-CN"/>
              </w:rPr>
            </w:pPr>
            <w:r w:rsidRPr="00BA06B6">
              <w:rPr>
                <w:lang w:eastAsia="zh-CN"/>
              </w:rPr>
              <w:t xml:space="preserve"> 0.06</w:t>
            </w:r>
          </w:p>
        </w:tc>
        <w:tc>
          <w:tcPr>
            <w:tcW w:w="657" w:type="dxa"/>
            <w:tcBorders>
              <w:top w:val="nil"/>
              <w:left w:val="nil"/>
              <w:bottom w:val="nil"/>
              <w:right w:val="nil"/>
            </w:tcBorders>
            <w:shd w:val="clear" w:color="auto" w:fill="FFFFFF" w:themeFill="background1"/>
            <w:noWrap/>
            <w:vAlign w:val="center"/>
            <w:hideMark/>
          </w:tcPr>
          <w:p w14:paraId="26722907" w14:textId="77777777" w:rsidR="00AA068C" w:rsidRPr="00BA06B6" w:rsidRDefault="00AA068C" w:rsidP="00BC341D">
            <w:pPr>
              <w:tabs>
                <w:tab w:val="left" w:pos="851"/>
              </w:tabs>
              <w:jc w:val="both"/>
              <w:rPr>
                <w:lang w:eastAsia="zh-CN"/>
              </w:rPr>
            </w:pPr>
            <w:r w:rsidRPr="00BA06B6">
              <w:rPr>
                <w:lang w:eastAsia="zh-CN"/>
              </w:rPr>
              <w:t>-0.02</w:t>
            </w:r>
          </w:p>
        </w:tc>
        <w:tc>
          <w:tcPr>
            <w:tcW w:w="704" w:type="dxa"/>
            <w:tcBorders>
              <w:top w:val="nil"/>
              <w:left w:val="nil"/>
              <w:bottom w:val="nil"/>
              <w:right w:val="nil"/>
            </w:tcBorders>
            <w:shd w:val="clear" w:color="auto" w:fill="FFFFFF" w:themeFill="background1"/>
            <w:noWrap/>
            <w:vAlign w:val="center"/>
            <w:hideMark/>
          </w:tcPr>
          <w:p w14:paraId="049CBBCD" w14:textId="77777777" w:rsidR="00AA068C" w:rsidRPr="00BA06B6" w:rsidRDefault="00AA068C" w:rsidP="00BC341D">
            <w:pPr>
              <w:tabs>
                <w:tab w:val="left" w:pos="851"/>
              </w:tabs>
              <w:jc w:val="both"/>
              <w:rPr>
                <w:lang w:eastAsia="zh-CN"/>
              </w:rPr>
            </w:pPr>
            <w:r w:rsidRPr="00BA06B6">
              <w:rPr>
                <w:lang w:eastAsia="zh-CN"/>
              </w:rPr>
              <w:t>-0.02</w:t>
            </w:r>
          </w:p>
        </w:tc>
        <w:tc>
          <w:tcPr>
            <w:tcW w:w="704" w:type="dxa"/>
            <w:tcBorders>
              <w:top w:val="nil"/>
              <w:left w:val="nil"/>
              <w:bottom w:val="nil"/>
              <w:right w:val="nil"/>
            </w:tcBorders>
            <w:shd w:val="clear" w:color="auto" w:fill="FFFFFF" w:themeFill="background1"/>
            <w:noWrap/>
            <w:vAlign w:val="center"/>
            <w:hideMark/>
          </w:tcPr>
          <w:p w14:paraId="0BDD5B2D" w14:textId="77777777" w:rsidR="00AA068C" w:rsidRPr="00BA06B6" w:rsidRDefault="00AA068C" w:rsidP="00BC341D">
            <w:pPr>
              <w:tabs>
                <w:tab w:val="left" w:pos="851"/>
              </w:tabs>
              <w:jc w:val="both"/>
              <w:rPr>
                <w:lang w:eastAsia="zh-CN"/>
              </w:rPr>
            </w:pPr>
            <w:r w:rsidRPr="00BA06B6">
              <w:rPr>
                <w:lang w:eastAsia="zh-CN"/>
              </w:rPr>
              <w:t>-0.23</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5FF8D90" w14:textId="77777777" w:rsidR="00AA068C" w:rsidRPr="00BA06B6" w:rsidRDefault="00AA068C" w:rsidP="00BC341D">
            <w:pPr>
              <w:tabs>
                <w:tab w:val="left" w:pos="851"/>
              </w:tabs>
              <w:jc w:val="both"/>
              <w:rPr>
                <w:lang w:eastAsia="zh-CN"/>
              </w:rPr>
            </w:pPr>
            <w:r w:rsidRPr="00BA06B6">
              <w:rPr>
                <w:lang w:eastAsia="zh-CN"/>
              </w:rPr>
              <w:t>-0.01</w:t>
            </w:r>
          </w:p>
        </w:tc>
        <w:tc>
          <w:tcPr>
            <w:tcW w:w="657" w:type="dxa"/>
            <w:tcBorders>
              <w:top w:val="nil"/>
              <w:left w:val="nil"/>
              <w:bottom w:val="nil"/>
              <w:right w:val="nil"/>
            </w:tcBorders>
            <w:shd w:val="clear" w:color="auto" w:fill="FFFFFF" w:themeFill="background1"/>
            <w:noWrap/>
            <w:vAlign w:val="center"/>
            <w:hideMark/>
          </w:tcPr>
          <w:p w14:paraId="77E69A56" w14:textId="77777777" w:rsidR="00AA068C" w:rsidRPr="00BA06B6" w:rsidRDefault="00AA068C" w:rsidP="00BC341D">
            <w:pPr>
              <w:tabs>
                <w:tab w:val="left" w:pos="851"/>
              </w:tabs>
              <w:jc w:val="both"/>
              <w:rPr>
                <w:lang w:eastAsia="zh-CN"/>
              </w:rPr>
            </w:pPr>
            <w:r w:rsidRPr="00BA06B6">
              <w:rPr>
                <w:lang w:eastAsia="zh-CN"/>
              </w:rPr>
              <w:t xml:space="preserve"> 0.04</w:t>
            </w:r>
          </w:p>
        </w:tc>
        <w:tc>
          <w:tcPr>
            <w:tcW w:w="657" w:type="dxa"/>
            <w:tcBorders>
              <w:top w:val="nil"/>
              <w:left w:val="nil"/>
              <w:bottom w:val="nil"/>
              <w:right w:val="nil"/>
            </w:tcBorders>
            <w:shd w:val="clear" w:color="auto" w:fill="FFFFFF" w:themeFill="background1"/>
            <w:noWrap/>
            <w:vAlign w:val="center"/>
            <w:hideMark/>
          </w:tcPr>
          <w:p w14:paraId="64BBCAF4" w14:textId="77777777" w:rsidR="00AA068C" w:rsidRPr="00BA06B6" w:rsidRDefault="00AA068C" w:rsidP="00BC341D">
            <w:pPr>
              <w:tabs>
                <w:tab w:val="left" w:pos="851"/>
              </w:tabs>
              <w:jc w:val="both"/>
              <w:rPr>
                <w:lang w:eastAsia="zh-CN"/>
              </w:rPr>
            </w:pPr>
            <w:r w:rsidRPr="00BA06B6">
              <w:rPr>
                <w:lang w:eastAsia="zh-CN"/>
              </w:rPr>
              <w:t>-0.35</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1365DA45" w14:textId="77777777" w:rsidR="00AA068C" w:rsidRPr="00BA06B6" w:rsidRDefault="00AA068C" w:rsidP="00BC341D">
            <w:pPr>
              <w:tabs>
                <w:tab w:val="left" w:pos="851"/>
              </w:tabs>
              <w:jc w:val="both"/>
              <w:rPr>
                <w:lang w:eastAsia="zh-CN"/>
              </w:rPr>
            </w:pPr>
            <w:r w:rsidRPr="00BA06B6">
              <w:rPr>
                <w:lang w:eastAsia="zh-CN"/>
              </w:rPr>
              <w:t xml:space="preserve"> 0.04</w:t>
            </w:r>
          </w:p>
        </w:tc>
        <w:tc>
          <w:tcPr>
            <w:tcW w:w="657" w:type="dxa"/>
            <w:tcBorders>
              <w:top w:val="nil"/>
              <w:left w:val="nil"/>
              <w:bottom w:val="nil"/>
              <w:right w:val="nil"/>
            </w:tcBorders>
            <w:shd w:val="clear" w:color="auto" w:fill="FFFFFF" w:themeFill="background1"/>
            <w:noWrap/>
            <w:vAlign w:val="center"/>
            <w:hideMark/>
          </w:tcPr>
          <w:p w14:paraId="4573448F" w14:textId="77777777" w:rsidR="00AA068C" w:rsidRPr="00BA06B6" w:rsidRDefault="00AA068C" w:rsidP="00BC341D">
            <w:pPr>
              <w:tabs>
                <w:tab w:val="left" w:pos="851"/>
              </w:tabs>
              <w:jc w:val="both"/>
              <w:rPr>
                <w:lang w:eastAsia="zh-CN"/>
              </w:rPr>
            </w:pPr>
            <w:r w:rsidRPr="00BA06B6">
              <w:rPr>
                <w:lang w:eastAsia="zh-CN"/>
              </w:rPr>
              <w:t>-0.04</w:t>
            </w:r>
          </w:p>
        </w:tc>
        <w:tc>
          <w:tcPr>
            <w:tcW w:w="657" w:type="dxa"/>
            <w:tcBorders>
              <w:top w:val="nil"/>
              <w:left w:val="nil"/>
              <w:bottom w:val="nil"/>
              <w:right w:val="nil"/>
            </w:tcBorders>
            <w:shd w:val="clear" w:color="auto" w:fill="FFFFFF" w:themeFill="background1"/>
            <w:noWrap/>
            <w:vAlign w:val="center"/>
            <w:hideMark/>
          </w:tcPr>
          <w:p w14:paraId="721A0454" w14:textId="77777777" w:rsidR="00AA068C" w:rsidRPr="00BA06B6" w:rsidRDefault="00AA068C" w:rsidP="00BC341D">
            <w:pPr>
              <w:tabs>
                <w:tab w:val="left" w:pos="851"/>
              </w:tabs>
              <w:jc w:val="both"/>
              <w:rPr>
                <w:lang w:eastAsia="zh-CN"/>
              </w:rPr>
            </w:pPr>
            <w:r w:rsidRPr="00BA06B6">
              <w:rPr>
                <w:lang w:eastAsia="zh-CN"/>
              </w:rPr>
              <w:t>-0.24</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tcPr>
          <w:p w14:paraId="6B24F74F" w14:textId="77777777" w:rsidR="00AA068C" w:rsidRPr="00BA06B6" w:rsidRDefault="00AA068C" w:rsidP="00BC341D">
            <w:pPr>
              <w:tabs>
                <w:tab w:val="left" w:pos="851"/>
              </w:tabs>
              <w:jc w:val="both"/>
              <w:rPr>
                <w:lang w:eastAsia="zh-CN"/>
              </w:rPr>
            </w:pPr>
          </w:p>
        </w:tc>
        <w:tc>
          <w:tcPr>
            <w:tcW w:w="657" w:type="dxa"/>
            <w:tcBorders>
              <w:top w:val="nil"/>
              <w:left w:val="nil"/>
              <w:bottom w:val="nil"/>
              <w:right w:val="nil"/>
            </w:tcBorders>
            <w:shd w:val="clear" w:color="auto" w:fill="FFFFFF" w:themeFill="background1"/>
            <w:noWrap/>
            <w:vAlign w:val="center"/>
            <w:hideMark/>
          </w:tcPr>
          <w:p w14:paraId="04308804" w14:textId="77777777" w:rsidR="00AA068C" w:rsidRPr="00BA06B6" w:rsidRDefault="00AA068C" w:rsidP="00BC341D">
            <w:pPr>
              <w:tabs>
                <w:tab w:val="left" w:pos="851"/>
              </w:tabs>
              <w:jc w:val="both"/>
              <w:rPr>
                <w:lang w:eastAsia="zh-CN"/>
              </w:rPr>
            </w:pPr>
            <w:r w:rsidRPr="00BA06B6">
              <w:rPr>
                <w:lang w:eastAsia="zh-CN"/>
              </w:rPr>
              <w:t xml:space="preserve"> 0.03</w:t>
            </w:r>
          </w:p>
        </w:tc>
        <w:tc>
          <w:tcPr>
            <w:tcW w:w="657" w:type="dxa"/>
            <w:tcBorders>
              <w:top w:val="nil"/>
              <w:left w:val="nil"/>
              <w:bottom w:val="nil"/>
              <w:right w:val="nil"/>
            </w:tcBorders>
            <w:shd w:val="clear" w:color="auto" w:fill="FFFFFF" w:themeFill="background1"/>
            <w:noWrap/>
            <w:vAlign w:val="center"/>
            <w:hideMark/>
          </w:tcPr>
          <w:p w14:paraId="54DEADBC" w14:textId="77777777" w:rsidR="00AA068C" w:rsidRPr="00BA06B6" w:rsidRDefault="00AA068C" w:rsidP="00BC341D">
            <w:pPr>
              <w:tabs>
                <w:tab w:val="left" w:pos="851"/>
              </w:tabs>
              <w:jc w:val="both"/>
              <w:rPr>
                <w:lang w:eastAsia="zh-CN"/>
              </w:rPr>
            </w:pPr>
            <w:r w:rsidRPr="00BA06B6">
              <w:rPr>
                <w:lang w:eastAsia="zh-CN"/>
              </w:rPr>
              <w:t>-0.01</w:t>
            </w:r>
          </w:p>
        </w:tc>
        <w:tc>
          <w:tcPr>
            <w:tcW w:w="657" w:type="dxa"/>
            <w:tcBorders>
              <w:top w:val="nil"/>
              <w:left w:val="nil"/>
              <w:bottom w:val="nil"/>
              <w:right w:val="nil"/>
            </w:tcBorders>
            <w:shd w:val="clear" w:color="auto" w:fill="FFFFFF" w:themeFill="background1"/>
            <w:noWrap/>
            <w:vAlign w:val="center"/>
            <w:hideMark/>
          </w:tcPr>
          <w:p w14:paraId="7DBBEC8B" w14:textId="77777777" w:rsidR="00AA068C" w:rsidRPr="00BA06B6" w:rsidRDefault="00AA068C" w:rsidP="00BC341D">
            <w:pPr>
              <w:tabs>
                <w:tab w:val="left" w:pos="851"/>
              </w:tabs>
              <w:jc w:val="both"/>
              <w:rPr>
                <w:lang w:eastAsia="zh-CN"/>
              </w:rPr>
            </w:pPr>
            <w:r w:rsidRPr="00BA06B6">
              <w:rPr>
                <w:lang w:eastAsia="zh-CN"/>
              </w:rPr>
              <w:t xml:space="preserve"> 0.02</w:t>
            </w:r>
          </w:p>
        </w:tc>
        <w:tc>
          <w:tcPr>
            <w:tcW w:w="611" w:type="dxa"/>
            <w:gridSpan w:val="2"/>
            <w:tcBorders>
              <w:top w:val="nil"/>
              <w:left w:val="nil"/>
              <w:bottom w:val="nil"/>
              <w:right w:val="nil"/>
            </w:tcBorders>
            <w:shd w:val="clear" w:color="auto" w:fill="FFFFFF" w:themeFill="background1"/>
            <w:noWrap/>
            <w:vAlign w:val="center"/>
            <w:hideMark/>
          </w:tcPr>
          <w:p w14:paraId="2D6E9C3D" w14:textId="77777777" w:rsidR="00AA068C" w:rsidRPr="00BA06B6" w:rsidRDefault="00AA068C" w:rsidP="00BC341D">
            <w:pPr>
              <w:tabs>
                <w:tab w:val="left" w:pos="851"/>
              </w:tabs>
              <w:jc w:val="both"/>
              <w:rPr>
                <w:lang w:eastAsia="zh-CN"/>
              </w:rPr>
            </w:pPr>
            <w:r w:rsidRPr="00BA06B6">
              <w:rPr>
                <w:lang w:eastAsia="zh-CN"/>
              </w:rPr>
              <w:t xml:space="preserve"> 0.11</w:t>
            </w:r>
            <w:r w:rsidRPr="00BA06B6">
              <w:rPr>
                <w:vertAlign w:val="superscript"/>
                <w:lang w:eastAsia="zh-CN"/>
              </w:rPr>
              <w:t>**</w:t>
            </w:r>
          </w:p>
        </w:tc>
      </w:tr>
      <w:tr w:rsidR="00BA06B6" w:rsidRPr="00BA06B6" w14:paraId="3FE6D7C0" w14:textId="77777777" w:rsidTr="004137CB">
        <w:trPr>
          <w:trHeight w:val="288"/>
          <w:jc w:val="center"/>
        </w:trPr>
        <w:tc>
          <w:tcPr>
            <w:tcW w:w="880" w:type="dxa"/>
            <w:tcBorders>
              <w:top w:val="nil"/>
              <w:left w:val="nil"/>
              <w:bottom w:val="nil"/>
              <w:right w:val="nil"/>
            </w:tcBorders>
            <w:shd w:val="clear" w:color="auto" w:fill="FFFFFF" w:themeFill="background1"/>
            <w:noWrap/>
            <w:vAlign w:val="center"/>
            <w:hideMark/>
          </w:tcPr>
          <w:p w14:paraId="6D63E372" w14:textId="77777777" w:rsidR="00AA068C" w:rsidRPr="00BA06B6" w:rsidRDefault="00AA068C" w:rsidP="00BC341D">
            <w:pPr>
              <w:tabs>
                <w:tab w:val="left" w:pos="851"/>
              </w:tabs>
              <w:jc w:val="both"/>
              <w:rPr>
                <w:lang w:eastAsia="zh-CN"/>
              </w:rPr>
            </w:pPr>
            <w:r w:rsidRPr="00BA06B6">
              <w:rPr>
                <w:lang w:eastAsia="zh-CN"/>
              </w:rPr>
              <w:t>RQ</w:t>
            </w:r>
          </w:p>
        </w:tc>
        <w:tc>
          <w:tcPr>
            <w:tcW w:w="613" w:type="dxa"/>
            <w:tcBorders>
              <w:top w:val="nil"/>
              <w:left w:val="nil"/>
              <w:bottom w:val="nil"/>
              <w:right w:val="nil"/>
            </w:tcBorders>
            <w:shd w:val="clear" w:color="auto" w:fill="FFFFFF" w:themeFill="background1"/>
            <w:noWrap/>
            <w:vAlign w:val="center"/>
            <w:hideMark/>
          </w:tcPr>
          <w:p w14:paraId="2C199037" w14:textId="77777777" w:rsidR="00AA068C" w:rsidRPr="00BA06B6" w:rsidRDefault="00AA068C" w:rsidP="00BC341D">
            <w:pPr>
              <w:tabs>
                <w:tab w:val="left" w:pos="851"/>
              </w:tabs>
              <w:jc w:val="both"/>
              <w:rPr>
                <w:lang w:eastAsia="zh-CN"/>
              </w:rPr>
            </w:pPr>
            <w:r w:rsidRPr="00BA06B6">
              <w:rPr>
                <w:lang w:eastAsia="zh-CN"/>
              </w:rPr>
              <w:t xml:space="preserve"> 0.33</w:t>
            </w:r>
            <w:r w:rsidRPr="00BA06B6">
              <w:rPr>
                <w:vertAlign w:val="superscript"/>
                <w:lang w:eastAsia="zh-CN"/>
              </w:rPr>
              <w:t>**</w:t>
            </w:r>
          </w:p>
        </w:tc>
        <w:tc>
          <w:tcPr>
            <w:tcW w:w="609" w:type="dxa"/>
            <w:tcBorders>
              <w:top w:val="nil"/>
              <w:left w:val="nil"/>
              <w:bottom w:val="nil"/>
              <w:right w:val="nil"/>
            </w:tcBorders>
            <w:shd w:val="clear" w:color="auto" w:fill="FFFFFF" w:themeFill="background1"/>
            <w:noWrap/>
            <w:vAlign w:val="center"/>
            <w:hideMark/>
          </w:tcPr>
          <w:p w14:paraId="6BBE54EF" w14:textId="77777777" w:rsidR="00AA068C" w:rsidRPr="00BA06B6" w:rsidRDefault="00AA068C" w:rsidP="00BC341D">
            <w:pPr>
              <w:tabs>
                <w:tab w:val="left" w:pos="851"/>
              </w:tabs>
              <w:jc w:val="both"/>
              <w:rPr>
                <w:lang w:eastAsia="zh-CN"/>
              </w:rPr>
            </w:pPr>
            <w:r w:rsidRPr="00BA06B6">
              <w:rPr>
                <w:lang w:eastAsia="zh-CN"/>
              </w:rPr>
              <w:t xml:space="preserve"> 0.19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FCD558C" w14:textId="77777777" w:rsidR="00AA068C" w:rsidRPr="00BA06B6" w:rsidRDefault="00AA068C" w:rsidP="00BC341D">
            <w:pPr>
              <w:tabs>
                <w:tab w:val="left" w:pos="851"/>
              </w:tabs>
              <w:jc w:val="both"/>
              <w:rPr>
                <w:lang w:eastAsia="zh-CN"/>
              </w:rPr>
            </w:pPr>
            <w:r w:rsidRPr="00BA06B6">
              <w:rPr>
                <w:lang w:eastAsia="zh-CN"/>
              </w:rPr>
              <w:t xml:space="preserve"> 0.05</w:t>
            </w:r>
          </w:p>
        </w:tc>
        <w:tc>
          <w:tcPr>
            <w:tcW w:w="657" w:type="dxa"/>
            <w:tcBorders>
              <w:top w:val="nil"/>
              <w:left w:val="nil"/>
              <w:bottom w:val="nil"/>
              <w:right w:val="nil"/>
            </w:tcBorders>
            <w:shd w:val="clear" w:color="auto" w:fill="FFFFFF" w:themeFill="background1"/>
            <w:noWrap/>
            <w:vAlign w:val="center"/>
            <w:hideMark/>
          </w:tcPr>
          <w:p w14:paraId="0357DE77" w14:textId="77777777" w:rsidR="00AA068C" w:rsidRPr="00BA06B6" w:rsidRDefault="00AA068C" w:rsidP="00BC341D">
            <w:pPr>
              <w:tabs>
                <w:tab w:val="left" w:pos="851"/>
              </w:tabs>
              <w:jc w:val="both"/>
              <w:rPr>
                <w:lang w:eastAsia="zh-CN"/>
              </w:rPr>
            </w:pPr>
            <w:r w:rsidRPr="00BA06B6">
              <w:rPr>
                <w:lang w:eastAsia="zh-CN"/>
              </w:rPr>
              <w:t xml:space="preserve"> 0.30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CFE1F6B" w14:textId="77777777" w:rsidR="00AA068C" w:rsidRPr="00BA06B6" w:rsidRDefault="00AA068C" w:rsidP="00BC341D">
            <w:pPr>
              <w:tabs>
                <w:tab w:val="left" w:pos="851"/>
              </w:tabs>
              <w:jc w:val="both"/>
              <w:rPr>
                <w:lang w:eastAsia="zh-CN"/>
              </w:rPr>
            </w:pPr>
            <w:r w:rsidRPr="00BA06B6">
              <w:rPr>
                <w:lang w:eastAsia="zh-CN"/>
              </w:rPr>
              <w:t xml:space="preserve"> 0.04</w:t>
            </w:r>
          </w:p>
        </w:tc>
        <w:tc>
          <w:tcPr>
            <w:tcW w:w="657" w:type="dxa"/>
            <w:tcBorders>
              <w:top w:val="nil"/>
              <w:left w:val="nil"/>
              <w:bottom w:val="nil"/>
              <w:right w:val="nil"/>
            </w:tcBorders>
            <w:shd w:val="clear" w:color="auto" w:fill="FFFFFF" w:themeFill="background1"/>
            <w:noWrap/>
            <w:vAlign w:val="center"/>
            <w:hideMark/>
          </w:tcPr>
          <w:p w14:paraId="1C0841D0" w14:textId="77777777" w:rsidR="00AA068C" w:rsidRPr="00BA06B6" w:rsidRDefault="00AA068C" w:rsidP="00BC341D">
            <w:pPr>
              <w:tabs>
                <w:tab w:val="left" w:pos="851"/>
              </w:tabs>
              <w:jc w:val="both"/>
              <w:rPr>
                <w:lang w:eastAsia="zh-CN"/>
              </w:rPr>
            </w:pPr>
            <w:r w:rsidRPr="00BA06B6">
              <w:rPr>
                <w:lang w:eastAsia="zh-CN"/>
              </w:rPr>
              <w:t xml:space="preserve"> 0.38</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03D1784C" w14:textId="77777777" w:rsidR="00AA068C" w:rsidRPr="00BA06B6" w:rsidRDefault="00AA068C" w:rsidP="00BC341D">
            <w:pPr>
              <w:tabs>
                <w:tab w:val="left" w:pos="851"/>
              </w:tabs>
              <w:jc w:val="both"/>
              <w:rPr>
                <w:lang w:eastAsia="zh-CN"/>
              </w:rPr>
            </w:pPr>
            <w:r w:rsidRPr="00BA06B6">
              <w:rPr>
                <w:lang w:eastAsia="zh-CN"/>
              </w:rPr>
              <w:t>-0.24</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1600A3C6" w14:textId="77777777" w:rsidR="00AA068C" w:rsidRPr="00BA06B6" w:rsidRDefault="00AA068C" w:rsidP="00BC341D">
            <w:pPr>
              <w:tabs>
                <w:tab w:val="left" w:pos="851"/>
              </w:tabs>
              <w:jc w:val="both"/>
              <w:rPr>
                <w:lang w:eastAsia="zh-CN"/>
              </w:rPr>
            </w:pPr>
            <w:r w:rsidRPr="00BA06B6">
              <w:rPr>
                <w:lang w:eastAsia="zh-CN"/>
              </w:rPr>
              <w:t xml:space="preserve"> 0.14</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hideMark/>
          </w:tcPr>
          <w:p w14:paraId="3197A432" w14:textId="77777777" w:rsidR="00AA068C" w:rsidRPr="00BA06B6" w:rsidRDefault="00AA068C" w:rsidP="00BC341D">
            <w:pPr>
              <w:tabs>
                <w:tab w:val="left" w:pos="851"/>
              </w:tabs>
              <w:jc w:val="both"/>
              <w:rPr>
                <w:lang w:eastAsia="zh-CN"/>
              </w:rPr>
            </w:pPr>
            <w:r w:rsidRPr="00BA06B6">
              <w:rPr>
                <w:lang w:eastAsia="zh-CN"/>
              </w:rPr>
              <w:t>-0.28</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hideMark/>
          </w:tcPr>
          <w:p w14:paraId="2182CDA9" w14:textId="77777777" w:rsidR="00AA068C" w:rsidRPr="00BA06B6" w:rsidRDefault="00AA068C" w:rsidP="00BC341D">
            <w:pPr>
              <w:tabs>
                <w:tab w:val="left" w:pos="851"/>
              </w:tabs>
              <w:jc w:val="both"/>
              <w:rPr>
                <w:lang w:eastAsia="zh-CN"/>
              </w:rPr>
            </w:pPr>
            <w:r w:rsidRPr="00BA06B6">
              <w:rPr>
                <w:lang w:eastAsia="zh-CN"/>
              </w:rPr>
              <w:t xml:space="preserve"> 0.31</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3218886A" w14:textId="77777777" w:rsidR="00AA068C" w:rsidRPr="00BA06B6" w:rsidRDefault="00AA068C" w:rsidP="00BC341D">
            <w:pPr>
              <w:tabs>
                <w:tab w:val="left" w:pos="851"/>
              </w:tabs>
              <w:jc w:val="both"/>
              <w:rPr>
                <w:lang w:eastAsia="zh-CN"/>
              </w:rPr>
            </w:pPr>
            <w:r w:rsidRPr="00BA06B6">
              <w:rPr>
                <w:lang w:eastAsia="zh-CN"/>
              </w:rPr>
              <w:t>-0.38</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23610F0" w14:textId="77777777" w:rsidR="00AA068C" w:rsidRPr="00BA06B6" w:rsidRDefault="00AA068C" w:rsidP="00BC341D">
            <w:pPr>
              <w:tabs>
                <w:tab w:val="left" w:pos="851"/>
              </w:tabs>
              <w:jc w:val="both"/>
              <w:rPr>
                <w:lang w:eastAsia="zh-CN"/>
              </w:rPr>
            </w:pPr>
            <w:r w:rsidRPr="00BA06B6">
              <w:rPr>
                <w:lang w:eastAsia="zh-CN"/>
              </w:rPr>
              <w:t>-0.19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1F34BD80" w14:textId="77777777" w:rsidR="00AA068C" w:rsidRPr="00BA06B6" w:rsidRDefault="00AA068C" w:rsidP="00BC341D">
            <w:pPr>
              <w:tabs>
                <w:tab w:val="left" w:pos="851"/>
              </w:tabs>
              <w:jc w:val="both"/>
              <w:rPr>
                <w:lang w:eastAsia="zh-CN"/>
              </w:rPr>
            </w:pPr>
            <w:r w:rsidRPr="00BA06B6">
              <w:rPr>
                <w:lang w:eastAsia="zh-CN"/>
              </w:rPr>
              <w:t>-0.30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556AA25" w14:textId="77777777" w:rsidR="00AA068C" w:rsidRPr="00BA06B6" w:rsidRDefault="00AA068C" w:rsidP="00BC341D">
            <w:pPr>
              <w:tabs>
                <w:tab w:val="left" w:pos="851"/>
              </w:tabs>
              <w:jc w:val="both"/>
              <w:rPr>
                <w:lang w:eastAsia="zh-CN"/>
              </w:rPr>
            </w:pPr>
            <w:r w:rsidRPr="00BA06B6">
              <w:rPr>
                <w:lang w:eastAsia="zh-CN"/>
              </w:rPr>
              <w:t>-0.14</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28CA34B2" w14:textId="77777777" w:rsidR="00AA068C" w:rsidRPr="00BA06B6" w:rsidRDefault="00AA068C" w:rsidP="00BC341D">
            <w:pPr>
              <w:tabs>
                <w:tab w:val="left" w:pos="851"/>
              </w:tabs>
              <w:jc w:val="both"/>
              <w:rPr>
                <w:lang w:eastAsia="zh-CN"/>
              </w:rPr>
            </w:pPr>
            <w:r w:rsidRPr="00BA06B6">
              <w:rPr>
                <w:lang w:eastAsia="zh-CN"/>
              </w:rPr>
              <w:t xml:space="preserve"> 0.30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0544FAD" w14:textId="77777777" w:rsidR="00AA068C" w:rsidRPr="00BA06B6" w:rsidRDefault="00AA068C" w:rsidP="00BC341D">
            <w:pPr>
              <w:tabs>
                <w:tab w:val="left" w:pos="851"/>
              </w:tabs>
              <w:jc w:val="both"/>
              <w:rPr>
                <w:lang w:eastAsia="zh-CN"/>
              </w:rPr>
            </w:pPr>
            <w:r w:rsidRPr="00BA06B6">
              <w:rPr>
                <w:lang w:eastAsia="zh-CN"/>
              </w:rPr>
              <w:t xml:space="preserve"> 0.15</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6D8196D5" w14:textId="77777777" w:rsidR="00AA068C" w:rsidRPr="00BA06B6" w:rsidRDefault="00AA068C" w:rsidP="00BC341D">
            <w:pPr>
              <w:tabs>
                <w:tab w:val="left" w:pos="851"/>
              </w:tabs>
              <w:jc w:val="both"/>
              <w:rPr>
                <w:lang w:eastAsia="zh-CN"/>
              </w:rPr>
            </w:pPr>
            <w:r w:rsidRPr="00BA06B6">
              <w:rPr>
                <w:lang w:eastAsia="zh-CN"/>
              </w:rPr>
              <w:t>-0.08</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tcPr>
          <w:p w14:paraId="1F84544E" w14:textId="77777777" w:rsidR="00AA068C" w:rsidRPr="00BA06B6" w:rsidRDefault="00AA068C" w:rsidP="00BC341D">
            <w:pPr>
              <w:tabs>
                <w:tab w:val="left" w:pos="851"/>
              </w:tabs>
              <w:jc w:val="both"/>
              <w:rPr>
                <w:lang w:eastAsia="zh-CN"/>
              </w:rPr>
            </w:pPr>
          </w:p>
        </w:tc>
        <w:tc>
          <w:tcPr>
            <w:tcW w:w="657" w:type="dxa"/>
            <w:tcBorders>
              <w:top w:val="nil"/>
              <w:left w:val="nil"/>
              <w:bottom w:val="nil"/>
              <w:right w:val="nil"/>
            </w:tcBorders>
            <w:shd w:val="clear" w:color="auto" w:fill="FFFFFF" w:themeFill="background1"/>
            <w:noWrap/>
            <w:vAlign w:val="center"/>
            <w:hideMark/>
          </w:tcPr>
          <w:p w14:paraId="32A2EF9B" w14:textId="77777777" w:rsidR="00AA068C" w:rsidRPr="00BA06B6" w:rsidRDefault="00AA068C" w:rsidP="00BC341D">
            <w:pPr>
              <w:tabs>
                <w:tab w:val="left" w:pos="851"/>
              </w:tabs>
              <w:jc w:val="both"/>
              <w:rPr>
                <w:lang w:eastAsia="zh-CN"/>
              </w:rPr>
            </w:pPr>
            <w:r w:rsidRPr="00BA06B6">
              <w:rPr>
                <w:lang w:eastAsia="zh-CN"/>
              </w:rPr>
              <w:t xml:space="preserve"> 0.77</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2FCEDAC9" w14:textId="77777777" w:rsidR="00AA068C" w:rsidRPr="00BA06B6" w:rsidRDefault="00AA068C" w:rsidP="00BC341D">
            <w:pPr>
              <w:tabs>
                <w:tab w:val="left" w:pos="851"/>
              </w:tabs>
              <w:jc w:val="both"/>
              <w:rPr>
                <w:lang w:eastAsia="zh-CN"/>
              </w:rPr>
            </w:pPr>
            <w:r w:rsidRPr="00BA06B6">
              <w:rPr>
                <w:lang w:eastAsia="zh-CN"/>
              </w:rPr>
              <w:t>-0.30</w:t>
            </w:r>
            <w:r w:rsidRPr="00BA06B6">
              <w:rPr>
                <w:vertAlign w:val="superscript"/>
                <w:lang w:eastAsia="zh-CN"/>
              </w:rPr>
              <w:t>**</w:t>
            </w:r>
          </w:p>
        </w:tc>
        <w:tc>
          <w:tcPr>
            <w:tcW w:w="611" w:type="dxa"/>
            <w:gridSpan w:val="2"/>
            <w:tcBorders>
              <w:top w:val="nil"/>
              <w:left w:val="nil"/>
              <w:bottom w:val="nil"/>
              <w:right w:val="nil"/>
            </w:tcBorders>
            <w:shd w:val="clear" w:color="auto" w:fill="FFFFFF" w:themeFill="background1"/>
            <w:noWrap/>
            <w:vAlign w:val="center"/>
            <w:hideMark/>
          </w:tcPr>
          <w:p w14:paraId="2DAC23D1" w14:textId="77777777" w:rsidR="00AA068C" w:rsidRPr="00BA06B6" w:rsidRDefault="00AA068C" w:rsidP="00BC341D">
            <w:pPr>
              <w:tabs>
                <w:tab w:val="left" w:pos="851"/>
              </w:tabs>
              <w:jc w:val="both"/>
              <w:rPr>
                <w:lang w:eastAsia="zh-CN"/>
              </w:rPr>
            </w:pPr>
            <w:r w:rsidRPr="00BA06B6">
              <w:rPr>
                <w:lang w:eastAsia="zh-CN"/>
              </w:rPr>
              <w:t xml:space="preserve"> 0.38</w:t>
            </w:r>
            <w:r w:rsidRPr="00BA06B6">
              <w:rPr>
                <w:vertAlign w:val="superscript"/>
                <w:lang w:eastAsia="zh-CN"/>
              </w:rPr>
              <w:t>**</w:t>
            </w:r>
          </w:p>
        </w:tc>
      </w:tr>
      <w:tr w:rsidR="00BA06B6" w:rsidRPr="00BA06B6" w14:paraId="248B5FA5" w14:textId="77777777" w:rsidTr="004137CB">
        <w:trPr>
          <w:trHeight w:val="288"/>
          <w:jc w:val="center"/>
        </w:trPr>
        <w:tc>
          <w:tcPr>
            <w:tcW w:w="880" w:type="dxa"/>
            <w:tcBorders>
              <w:top w:val="nil"/>
              <w:left w:val="nil"/>
              <w:bottom w:val="nil"/>
              <w:right w:val="nil"/>
            </w:tcBorders>
            <w:shd w:val="clear" w:color="auto" w:fill="FFFFFF" w:themeFill="background1"/>
            <w:noWrap/>
            <w:vAlign w:val="center"/>
            <w:hideMark/>
          </w:tcPr>
          <w:p w14:paraId="15EFBDE4" w14:textId="77777777" w:rsidR="00AA068C" w:rsidRPr="00BA06B6" w:rsidRDefault="00AA068C" w:rsidP="00BC341D">
            <w:pPr>
              <w:tabs>
                <w:tab w:val="left" w:pos="851"/>
              </w:tabs>
              <w:jc w:val="both"/>
              <w:rPr>
                <w:lang w:eastAsia="zh-CN"/>
              </w:rPr>
            </w:pPr>
            <w:r w:rsidRPr="00BA06B6">
              <w:rPr>
                <w:lang w:eastAsia="zh-CN"/>
              </w:rPr>
              <w:t>RL</w:t>
            </w:r>
          </w:p>
        </w:tc>
        <w:tc>
          <w:tcPr>
            <w:tcW w:w="613" w:type="dxa"/>
            <w:tcBorders>
              <w:top w:val="nil"/>
              <w:left w:val="nil"/>
              <w:bottom w:val="nil"/>
              <w:right w:val="nil"/>
            </w:tcBorders>
            <w:shd w:val="clear" w:color="auto" w:fill="FFFFFF" w:themeFill="background1"/>
            <w:noWrap/>
            <w:vAlign w:val="center"/>
            <w:hideMark/>
          </w:tcPr>
          <w:p w14:paraId="29547ED7" w14:textId="77777777" w:rsidR="00AA068C" w:rsidRPr="00BA06B6" w:rsidRDefault="00AA068C" w:rsidP="00BC341D">
            <w:pPr>
              <w:tabs>
                <w:tab w:val="left" w:pos="851"/>
              </w:tabs>
              <w:jc w:val="both"/>
              <w:rPr>
                <w:lang w:eastAsia="zh-CN"/>
              </w:rPr>
            </w:pPr>
            <w:r w:rsidRPr="00BA06B6">
              <w:rPr>
                <w:lang w:eastAsia="zh-CN"/>
              </w:rPr>
              <w:t xml:space="preserve"> 0.48</w:t>
            </w:r>
            <w:r w:rsidRPr="00BA06B6">
              <w:rPr>
                <w:vertAlign w:val="superscript"/>
                <w:lang w:eastAsia="zh-CN"/>
              </w:rPr>
              <w:t>**</w:t>
            </w:r>
          </w:p>
        </w:tc>
        <w:tc>
          <w:tcPr>
            <w:tcW w:w="609" w:type="dxa"/>
            <w:tcBorders>
              <w:top w:val="nil"/>
              <w:left w:val="nil"/>
              <w:bottom w:val="nil"/>
              <w:right w:val="nil"/>
            </w:tcBorders>
            <w:shd w:val="clear" w:color="auto" w:fill="FFFFFF" w:themeFill="background1"/>
            <w:noWrap/>
            <w:vAlign w:val="center"/>
            <w:hideMark/>
          </w:tcPr>
          <w:p w14:paraId="2992BBA0" w14:textId="77777777" w:rsidR="00AA068C" w:rsidRPr="00BA06B6" w:rsidRDefault="00AA068C" w:rsidP="00BC341D">
            <w:pPr>
              <w:tabs>
                <w:tab w:val="left" w:pos="851"/>
              </w:tabs>
              <w:jc w:val="both"/>
              <w:rPr>
                <w:lang w:eastAsia="zh-CN"/>
              </w:rPr>
            </w:pPr>
            <w:r w:rsidRPr="00BA06B6">
              <w:rPr>
                <w:lang w:eastAsia="zh-CN"/>
              </w:rPr>
              <w:t xml:space="preserve"> 0.22</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D34A178" w14:textId="77777777" w:rsidR="00AA068C" w:rsidRPr="00BA06B6" w:rsidRDefault="00AA068C" w:rsidP="00BC341D">
            <w:pPr>
              <w:tabs>
                <w:tab w:val="left" w:pos="851"/>
              </w:tabs>
              <w:jc w:val="both"/>
              <w:rPr>
                <w:lang w:eastAsia="zh-CN"/>
              </w:rPr>
            </w:pPr>
            <w:r w:rsidRPr="00BA06B6">
              <w:rPr>
                <w:lang w:eastAsia="zh-CN"/>
              </w:rPr>
              <w:t xml:space="preserve"> 0.11</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67236935" w14:textId="77777777" w:rsidR="00AA068C" w:rsidRPr="00BA06B6" w:rsidRDefault="00AA068C" w:rsidP="00BC341D">
            <w:pPr>
              <w:tabs>
                <w:tab w:val="left" w:pos="851"/>
              </w:tabs>
              <w:jc w:val="both"/>
              <w:rPr>
                <w:lang w:eastAsia="zh-CN"/>
              </w:rPr>
            </w:pPr>
            <w:r w:rsidRPr="00BA06B6">
              <w:rPr>
                <w:lang w:eastAsia="zh-CN"/>
              </w:rPr>
              <w:t xml:space="preserve"> 0.29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48816C1" w14:textId="77777777" w:rsidR="00AA068C" w:rsidRPr="00BA06B6" w:rsidRDefault="00AA068C" w:rsidP="00BC341D">
            <w:pPr>
              <w:tabs>
                <w:tab w:val="left" w:pos="851"/>
              </w:tabs>
              <w:jc w:val="both"/>
              <w:rPr>
                <w:lang w:eastAsia="zh-CN"/>
              </w:rPr>
            </w:pPr>
            <w:r w:rsidRPr="00BA06B6">
              <w:rPr>
                <w:lang w:eastAsia="zh-CN"/>
              </w:rPr>
              <w:t>-0.07</w:t>
            </w:r>
          </w:p>
        </w:tc>
        <w:tc>
          <w:tcPr>
            <w:tcW w:w="657" w:type="dxa"/>
            <w:tcBorders>
              <w:top w:val="nil"/>
              <w:left w:val="nil"/>
              <w:bottom w:val="nil"/>
              <w:right w:val="nil"/>
            </w:tcBorders>
            <w:shd w:val="clear" w:color="auto" w:fill="FFFFFF" w:themeFill="background1"/>
            <w:noWrap/>
            <w:vAlign w:val="center"/>
            <w:hideMark/>
          </w:tcPr>
          <w:p w14:paraId="03DDD7AA" w14:textId="77777777" w:rsidR="00AA068C" w:rsidRPr="00BA06B6" w:rsidRDefault="00AA068C" w:rsidP="00BC341D">
            <w:pPr>
              <w:tabs>
                <w:tab w:val="left" w:pos="851"/>
              </w:tabs>
              <w:jc w:val="both"/>
              <w:rPr>
                <w:lang w:eastAsia="zh-CN"/>
              </w:rPr>
            </w:pPr>
            <w:r w:rsidRPr="00BA06B6">
              <w:rPr>
                <w:lang w:eastAsia="zh-CN"/>
              </w:rPr>
              <w:t xml:space="preserve"> 0.48</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0A7374C" w14:textId="77777777" w:rsidR="00AA068C" w:rsidRPr="00BA06B6" w:rsidRDefault="00AA068C" w:rsidP="00BC341D">
            <w:pPr>
              <w:tabs>
                <w:tab w:val="left" w:pos="851"/>
              </w:tabs>
              <w:jc w:val="both"/>
              <w:rPr>
                <w:lang w:eastAsia="zh-CN"/>
              </w:rPr>
            </w:pPr>
            <w:r w:rsidRPr="00BA06B6">
              <w:rPr>
                <w:lang w:eastAsia="zh-CN"/>
              </w:rPr>
              <w:t>-0.32</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A0154B2" w14:textId="77777777" w:rsidR="00AA068C" w:rsidRPr="00BA06B6" w:rsidRDefault="00AA068C" w:rsidP="00BC341D">
            <w:pPr>
              <w:tabs>
                <w:tab w:val="left" w:pos="851"/>
              </w:tabs>
              <w:jc w:val="both"/>
              <w:rPr>
                <w:lang w:eastAsia="zh-CN"/>
              </w:rPr>
            </w:pPr>
            <w:r w:rsidRPr="00BA06B6">
              <w:rPr>
                <w:lang w:eastAsia="zh-CN"/>
              </w:rPr>
              <w:t xml:space="preserve"> 0.15</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hideMark/>
          </w:tcPr>
          <w:p w14:paraId="001B14B3" w14:textId="77777777" w:rsidR="00AA068C" w:rsidRPr="00BA06B6" w:rsidRDefault="00AA068C" w:rsidP="00BC341D">
            <w:pPr>
              <w:tabs>
                <w:tab w:val="left" w:pos="851"/>
              </w:tabs>
              <w:jc w:val="both"/>
              <w:rPr>
                <w:lang w:eastAsia="zh-CN"/>
              </w:rPr>
            </w:pPr>
            <w:r w:rsidRPr="00BA06B6">
              <w:rPr>
                <w:lang w:eastAsia="zh-CN"/>
              </w:rPr>
              <w:t>-0.35</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hideMark/>
          </w:tcPr>
          <w:p w14:paraId="29F5B6F3" w14:textId="77777777" w:rsidR="00AA068C" w:rsidRPr="00BA06B6" w:rsidRDefault="00AA068C" w:rsidP="00BC341D">
            <w:pPr>
              <w:tabs>
                <w:tab w:val="left" w:pos="851"/>
              </w:tabs>
              <w:jc w:val="both"/>
              <w:rPr>
                <w:lang w:eastAsia="zh-CN"/>
              </w:rPr>
            </w:pPr>
            <w:r w:rsidRPr="00BA06B6">
              <w:rPr>
                <w:lang w:eastAsia="zh-CN"/>
              </w:rPr>
              <w:t xml:space="preserve"> 0.23</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2784A4A" w14:textId="77777777" w:rsidR="00AA068C" w:rsidRPr="00BA06B6" w:rsidRDefault="00AA068C" w:rsidP="00BC341D">
            <w:pPr>
              <w:tabs>
                <w:tab w:val="left" w:pos="851"/>
              </w:tabs>
              <w:jc w:val="both"/>
              <w:rPr>
                <w:lang w:eastAsia="zh-CN"/>
              </w:rPr>
            </w:pPr>
            <w:r w:rsidRPr="00BA06B6">
              <w:rPr>
                <w:lang w:eastAsia="zh-CN"/>
              </w:rPr>
              <w:t>-0.47</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6BC6E214" w14:textId="77777777" w:rsidR="00AA068C" w:rsidRPr="00BA06B6" w:rsidRDefault="00AA068C" w:rsidP="00BC341D">
            <w:pPr>
              <w:tabs>
                <w:tab w:val="left" w:pos="851"/>
              </w:tabs>
              <w:jc w:val="both"/>
              <w:rPr>
                <w:lang w:eastAsia="zh-CN"/>
              </w:rPr>
            </w:pPr>
            <w:r w:rsidRPr="00BA06B6">
              <w:rPr>
                <w:lang w:eastAsia="zh-CN"/>
              </w:rPr>
              <w:t>-0.30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7DC1A5E" w14:textId="77777777" w:rsidR="00AA068C" w:rsidRPr="00BA06B6" w:rsidRDefault="00AA068C" w:rsidP="00BC341D">
            <w:pPr>
              <w:tabs>
                <w:tab w:val="left" w:pos="851"/>
              </w:tabs>
              <w:jc w:val="both"/>
              <w:rPr>
                <w:lang w:eastAsia="zh-CN"/>
              </w:rPr>
            </w:pPr>
            <w:r w:rsidRPr="00BA06B6">
              <w:rPr>
                <w:lang w:eastAsia="zh-CN"/>
              </w:rPr>
              <w:t>-0.18</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61EC60C9" w14:textId="77777777" w:rsidR="00AA068C" w:rsidRPr="00BA06B6" w:rsidRDefault="00AA068C" w:rsidP="00BC341D">
            <w:pPr>
              <w:tabs>
                <w:tab w:val="left" w:pos="851"/>
              </w:tabs>
              <w:jc w:val="both"/>
              <w:rPr>
                <w:lang w:eastAsia="zh-CN"/>
              </w:rPr>
            </w:pPr>
            <w:r w:rsidRPr="00BA06B6">
              <w:rPr>
                <w:lang w:eastAsia="zh-CN"/>
              </w:rPr>
              <w:t>-0.12</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449FAA7" w14:textId="77777777" w:rsidR="00AA068C" w:rsidRPr="00BA06B6" w:rsidRDefault="00AA068C" w:rsidP="00BC341D">
            <w:pPr>
              <w:tabs>
                <w:tab w:val="left" w:pos="851"/>
              </w:tabs>
              <w:jc w:val="both"/>
              <w:rPr>
                <w:lang w:eastAsia="zh-CN"/>
              </w:rPr>
            </w:pPr>
            <w:r w:rsidRPr="00BA06B6">
              <w:rPr>
                <w:lang w:eastAsia="zh-CN"/>
              </w:rPr>
              <w:t xml:space="preserve"> 0.34</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6521A744" w14:textId="77777777" w:rsidR="00AA068C" w:rsidRPr="00BA06B6" w:rsidRDefault="00AA068C" w:rsidP="00BC341D">
            <w:pPr>
              <w:tabs>
                <w:tab w:val="left" w:pos="851"/>
              </w:tabs>
              <w:jc w:val="both"/>
              <w:rPr>
                <w:lang w:eastAsia="zh-CN"/>
              </w:rPr>
            </w:pPr>
            <w:r w:rsidRPr="00BA06B6">
              <w:rPr>
                <w:lang w:eastAsia="zh-CN"/>
              </w:rPr>
              <w:t xml:space="preserve"> 0.13</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571ACA4C" w14:textId="77777777" w:rsidR="00AA068C" w:rsidRPr="00BA06B6" w:rsidRDefault="00AA068C" w:rsidP="00BC341D">
            <w:pPr>
              <w:tabs>
                <w:tab w:val="left" w:pos="851"/>
              </w:tabs>
              <w:jc w:val="both"/>
              <w:rPr>
                <w:lang w:eastAsia="zh-CN"/>
              </w:rPr>
            </w:pPr>
            <w:r w:rsidRPr="00BA06B6">
              <w:rPr>
                <w:lang w:eastAsia="zh-CN"/>
              </w:rPr>
              <w:t xml:space="preserve"> 0.18</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39CFA358" w14:textId="77777777" w:rsidR="00AA068C" w:rsidRPr="00BA06B6" w:rsidRDefault="00AA068C" w:rsidP="00BC341D">
            <w:pPr>
              <w:tabs>
                <w:tab w:val="left" w:pos="851"/>
              </w:tabs>
              <w:jc w:val="both"/>
              <w:rPr>
                <w:lang w:eastAsia="zh-CN"/>
              </w:rPr>
            </w:pPr>
            <w:r w:rsidRPr="00BA06B6">
              <w:rPr>
                <w:lang w:eastAsia="zh-CN"/>
              </w:rPr>
              <w:t xml:space="preserve"> 0.72</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tcPr>
          <w:p w14:paraId="6DBA49B9" w14:textId="77777777" w:rsidR="00AA068C" w:rsidRPr="00BA06B6" w:rsidRDefault="00AA068C" w:rsidP="00BC341D">
            <w:pPr>
              <w:tabs>
                <w:tab w:val="left" w:pos="851"/>
              </w:tabs>
              <w:jc w:val="both"/>
              <w:rPr>
                <w:lang w:eastAsia="zh-CN"/>
              </w:rPr>
            </w:pPr>
          </w:p>
        </w:tc>
        <w:tc>
          <w:tcPr>
            <w:tcW w:w="657" w:type="dxa"/>
            <w:tcBorders>
              <w:top w:val="nil"/>
              <w:left w:val="nil"/>
              <w:bottom w:val="nil"/>
              <w:right w:val="nil"/>
            </w:tcBorders>
            <w:shd w:val="clear" w:color="auto" w:fill="FFFFFF" w:themeFill="background1"/>
            <w:noWrap/>
            <w:vAlign w:val="center"/>
            <w:hideMark/>
          </w:tcPr>
          <w:p w14:paraId="1EAB277C" w14:textId="77777777" w:rsidR="00AA068C" w:rsidRPr="00BA06B6" w:rsidRDefault="00AA068C" w:rsidP="00BC341D">
            <w:pPr>
              <w:tabs>
                <w:tab w:val="left" w:pos="851"/>
              </w:tabs>
              <w:jc w:val="both"/>
              <w:rPr>
                <w:lang w:eastAsia="zh-CN"/>
              </w:rPr>
            </w:pPr>
            <w:r w:rsidRPr="00BA06B6">
              <w:rPr>
                <w:lang w:eastAsia="zh-CN"/>
              </w:rPr>
              <w:t>-0.27</w:t>
            </w:r>
            <w:r w:rsidRPr="00BA06B6">
              <w:rPr>
                <w:vertAlign w:val="superscript"/>
                <w:lang w:eastAsia="zh-CN"/>
              </w:rPr>
              <w:t>**</w:t>
            </w:r>
          </w:p>
        </w:tc>
        <w:tc>
          <w:tcPr>
            <w:tcW w:w="611" w:type="dxa"/>
            <w:gridSpan w:val="2"/>
            <w:tcBorders>
              <w:top w:val="nil"/>
              <w:left w:val="nil"/>
              <w:bottom w:val="nil"/>
              <w:right w:val="nil"/>
            </w:tcBorders>
            <w:shd w:val="clear" w:color="auto" w:fill="FFFFFF" w:themeFill="background1"/>
            <w:noWrap/>
            <w:vAlign w:val="center"/>
            <w:hideMark/>
          </w:tcPr>
          <w:p w14:paraId="27167B78" w14:textId="77777777" w:rsidR="00AA068C" w:rsidRPr="00BA06B6" w:rsidRDefault="00AA068C" w:rsidP="00BC341D">
            <w:pPr>
              <w:tabs>
                <w:tab w:val="left" w:pos="851"/>
              </w:tabs>
              <w:jc w:val="both"/>
              <w:rPr>
                <w:lang w:eastAsia="zh-CN"/>
              </w:rPr>
            </w:pPr>
            <w:r w:rsidRPr="00BA06B6">
              <w:rPr>
                <w:lang w:eastAsia="zh-CN"/>
              </w:rPr>
              <w:t xml:space="preserve"> 0.58</w:t>
            </w:r>
            <w:r w:rsidRPr="00BA06B6">
              <w:rPr>
                <w:vertAlign w:val="superscript"/>
                <w:lang w:eastAsia="zh-CN"/>
              </w:rPr>
              <w:t>**</w:t>
            </w:r>
          </w:p>
        </w:tc>
      </w:tr>
      <w:tr w:rsidR="00BA06B6" w:rsidRPr="00BA06B6" w14:paraId="54CE805E" w14:textId="77777777" w:rsidTr="004137CB">
        <w:trPr>
          <w:trHeight w:val="288"/>
          <w:jc w:val="center"/>
        </w:trPr>
        <w:tc>
          <w:tcPr>
            <w:tcW w:w="880" w:type="dxa"/>
            <w:tcBorders>
              <w:top w:val="nil"/>
              <w:left w:val="nil"/>
              <w:bottom w:val="nil"/>
              <w:right w:val="nil"/>
            </w:tcBorders>
            <w:shd w:val="clear" w:color="auto" w:fill="FFFFFF" w:themeFill="background1"/>
            <w:noWrap/>
            <w:vAlign w:val="center"/>
            <w:hideMark/>
          </w:tcPr>
          <w:p w14:paraId="11E10780" w14:textId="77777777" w:rsidR="00AA068C" w:rsidRPr="00BA06B6" w:rsidRDefault="00AA068C" w:rsidP="00BC341D">
            <w:pPr>
              <w:tabs>
                <w:tab w:val="left" w:pos="851"/>
              </w:tabs>
              <w:jc w:val="both"/>
              <w:rPr>
                <w:lang w:eastAsia="zh-CN"/>
              </w:rPr>
            </w:pPr>
            <w:r w:rsidRPr="00BA06B6">
              <w:rPr>
                <w:lang w:eastAsia="zh-CN"/>
              </w:rPr>
              <w:t>INFL</w:t>
            </w:r>
          </w:p>
        </w:tc>
        <w:tc>
          <w:tcPr>
            <w:tcW w:w="613" w:type="dxa"/>
            <w:tcBorders>
              <w:top w:val="nil"/>
              <w:left w:val="nil"/>
              <w:bottom w:val="nil"/>
              <w:right w:val="nil"/>
            </w:tcBorders>
            <w:shd w:val="clear" w:color="auto" w:fill="FFFFFF" w:themeFill="background1"/>
            <w:noWrap/>
            <w:vAlign w:val="center"/>
            <w:hideMark/>
          </w:tcPr>
          <w:p w14:paraId="00E962B7" w14:textId="77777777" w:rsidR="00AA068C" w:rsidRPr="00BA06B6" w:rsidRDefault="00AA068C" w:rsidP="00BC341D">
            <w:pPr>
              <w:tabs>
                <w:tab w:val="left" w:pos="851"/>
              </w:tabs>
              <w:jc w:val="both"/>
              <w:rPr>
                <w:lang w:eastAsia="zh-CN"/>
              </w:rPr>
            </w:pPr>
            <w:r w:rsidRPr="00BA06B6">
              <w:rPr>
                <w:lang w:eastAsia="zh-CN"/>
              </w:rPr>
              <w:t>-0.22</w:t>
            </w:r>
            <w:r w:rsidRPr="00BA06B6">
              <w:rPr>
                <w:vertAlign w:val="superscript"/>
                <w:lang w:eastAsia="zh-CN"/>
              </w:rPr>
              <w:t>**</w:t>
            </w:r>
          </w:p>
        </w:tc>
        <w:tc>
          <w:tcPr>
            <w:tcW w:w="609" w:type="dxa"/>
            <w:tcBorders>
              <w:top w:val="nil"/>
              <w:left w:val="nil"/>
              <w:bottom w:val="nil"/>
              <w:right w:val="nil"/>
            </w:tcBorders>
            <w:shd w:val="clear" w:color="auto" w:fill="FFFFFF" w:themeFill="background1"/>
            <w:noWrap/>
            <w:vAlign w:val="center"/>
            <w:hideMark/>
          </w:tcPr>
          <w:p w14:paraId="147CB636" w14:textId="77777777" w:rsidR="00AA068C" w:rsidRPr="00BA06B6" w:rsidRDefault="00AA068C" w:rsidP="00BC341D">
            <w:pPr>
              <w:tabs>
                <w:tab w:val="left" w:pos="851"/>
              </w:tabs>
              <w:jc w:val="both"/>
              <w:rPr>
                <w:lang w:eastAsia="zh-CN"/>
              </w:rPr>
            </w:pPr>
            <w:r w:rsidRPr="00BA06B6">
              <w:rPr>
                <w:lang w:eastAsia="zh-CN"/>
              </w:rPr>
              <w:t>-0.39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0F670426" w14:textId="77777777" w:rsidR="00AA068C" w:rsidRPr="00BA06B6" w:rsidRDefault="00AA068C" w:rsidP="00BC341D">
            <w:pPr>
              <w:tabs>
                <w:tab w:val="left" w:pos="851"/>
              </w:tabs>
              <w:jc w:val="both"/>
              <w:rPr>
                <w:lang w:eastAsia="zh-CN"/>
              </w:rPr>
            </w:pPr>
            <w:r w:rsidRPr="00BA06B6">
              <w:rPr>
                <w:lang w:eastAsia="zh-CN"/>
              </w:rPr>
              <w:t>-0.23</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E16CC34" w14:textId="77777777" w:rsidR="00AA068C" w:rsidRPr="00BA06B6" w:rsidRDefault="00AA068C" w:rsidP="00BC341D">
            <w:pPr>
              <w:tabs>
                <w:tab w:val="left" w:pos="851"/>
              </w:tabs>
              <w:jc w:val="both"/>
              <w:rPr>
                <w:lang w:eastAsia="zh-CN"/>
              </w:rPr>
            </w:pPr>
            <w:r w:rsidRPr="00BA06B6">
              <w:rPr>
                <w:lang w:eastAsia="zh-CN"/>
              </w:rPr>
              <w:t xml:space="preserve"> 0.01</w:t>
            </w:r>
          </w:p>
        </w:tc>
        <w:tc>
          <w:tcPr>
            <w:tcW w:w="657" w:type="dxa"/>
            <w:tcBorders>
              <w:top w:val="nil"/>
              <w:left w:val="nil"/>
              <w:bottom w:val="nil"/>
              <w:right w:val="nil"/>
            </w:tcBorders>
            <w:shd w:val="clear" w:color="auto" w:fill="FFFFFF" w:themeFill="background1"/>
            <w:noWrap/>
            <w:vAlign w:val="center"/>
            <w:hideMark/>
          </w:tcPr>
          <w:p w14:paraId="4BA4D765" w14:textId="77777777" w:rsidR="00AA068C" w:rsidRPr="00BA06B6" w:rsidRDefault="00AA068C" w:rsidP="00BC341D">
            <w:pPr>
              <w:tabs>
                <w:tab w:val="left" w:pos="851"/>
              </w:tabs>
              <w:jc w:val="both"/>
              <w:rPr>
                <w:lang w:eastAsia="zh-CN"/>
              </w:rPr>
            </w:pPr>
            <w:r w:rsidRPr="00BA06B6">
              <w:rPr>
                <w:lang w:eastAsia="zh-CN"/>
              </w:rPr>
              <w:t xml:space="preserve"> 0.14</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0DE82086" w14:textId="77777777" w:rsidR="00AA068C" w:rsidRPr="00BA06B6" w:rsidRDefault="00AA068C" w:rsidP="00BC341D">
            <w:pPr>
              <w:tabs>
                <w:tab w:val="left" w:pos="851"/>
              </w:tabs>
              <w:jc w:val="both"/>
              <w:rPr>
                <w:lang w:eastAsia="zh-CN"/>
              </w:rPr>
            </w:pPr>
            <w:r w:rsidRPr="00BA06B6">
              <w:rPr>
                <w:lang w:eastAsia="zh-CN"/>
              </w:rPr>
              <w:t>-0.19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1D347E90" w14:textId="77777777" w:rsidR="00AA068C" w:rsidRPr="00BA06B6" w:rsidRDefault="00AA068C" w:rsidP="00BC341D">
            <w:pPr>
              <w:tabs>
                <w:tab w:val="left" w:pos="851"/>
              </w:tabs>
              <w:jc w:val="both"/>
              <w:rPr>
                <w:lang w:eastAsia="zh-CN"/>
              </w:rPr>
            </w:pPr>
            <w:r w:rsidRPr="00BA06B6">
              <w:rPr>
                <w:lang w:eastAsia="zh-CN"/>
              </w:rPr>
              <w:t xml:space="preserve"> 0.07</w:t>
            </w:r>
          </w:p>
        </w:tc>
        <w:tc>
          <w:tcPr>
            <w:tcW w:w="657" w:type="dxa"/>
            <w:tcBorders>
              <w:top w:val="nil"/>
              <w:left w:val="nil"/>
              <w:bottom w:val="nil"/>
              <w:right w:val="nil"/>
            </w:tcBorders>
            <w:shd w:val="clear" w:color="auto" w:fill="FFFFFF" w:themeFill="background1"/>
            <w:noWrap/>
            <w:vAlign w:val="center"/>
            <w:hideMark/>
          </w:tcPr>
          <w:p w14:paraId="01E8118A" w14:textId="77777777" w:rsidR="00AA068C" w:rsidRPr="00BA06B6" w:rsidRDefault="00AA068C" w:rsidP="00BC341D">
            <w:pPr>
              <w:tabs>
                <w:tab w:val="left" w:pos="851"/>
              </w:tabs>
              <w:jc w:val="both"/>
              <w:rPr>
                <w:lang w:eastAsia="zh-CN"/>
              </w:rPr>
            </w:pPr>
            <w:r w:rsidRPr="00BA06B6">
              <w:rPr>
                <w:lang w:eastAsia="zh-CN"/>
              </w:rPr>
              <w:t>-0.23</w:t>
            </w:r>
            <w:r w:rsidRPr="00BA06B6">
              <w:rPr>
                <w:vertAlign w:val="superscript"/>
                <w:lang w:eastAsia="zh-CN"/>
              </w:rPr>
              <w:t>**</w:t>
            </w:r>
          </w:p>
        </w:tc>
        <w:tc>
          <w:tcPr>
            <w:tcW w:w="704" w:type="dxa"/>
            <w:tcBorders>
              <w:top w:val="nil"/>
              <w:left w:val="nil"/>
              <w:bottom w:val="nil"/>
              <w:right w:val="nil"/>
            </w:tcBorders>
            <w:shd w:val="clear" w:color="auto" w:fill="FFFFFF" w:themeFill="background1"/>
            <w:noWrap/>
            <w:vAlign w:val="center"/>
            <w:hideMark/>
          </w:tcPr>
          <w:p w14:paraId="3EF58997" w14:textId="77777777" w:rsidR="00AA068C" w:rsidRPr="00BA06B6" w:rsidRDefault="00AA068C" w:rsidP="00BC341D">
            <w:pPr>
              <w:tabs>
                <w:tab w:val="left" w:pos="851"/>
              </w:tabs>
              <w:jc w:val="both"/>
              <w:rPr>
                <w:lang w:eastAsia="zh-CN"/>
              </w:rPr>
            </w:pPr>
            <w:r w:rsidRPr="00BA06B6">
              <w:rPr>
                <w:lang w:eastAsia="zh-CN"/>
              </w:rPr>
              <w:t xml:space="preserve"> 0.06</w:t>
            </w:r>
          </w:p>
        </w:tc>
        <w:tc>
          <w:tcPr>
            <w:tcW w:w="704" w:type="dxa"/>
            <w:tcBorders>
              <w:top w:val="nil"/>
              <w:left w:val="nil"/>
              <w:bottom w:val="nil"/>
              <w:right w:val="nil"/>
            </w:tcBorders>
            <w:shd w:val="clear" w:color="auto" w:fill="FFFFFF" w:themeFill="background1"/>
            <w:noWrap/>
            <w:vAlign w:val="center"/>
            <w:hideMark/>
          </w:tcPr>
          <w:p w14:paraId="6CAC3102" w14:textId="77777777" w:rsidR="00AA068C" w:rsidRPr="00BA06B6" w:rsidRDefault="00AA068C" w:rsidP="00BC341D">
            <w:pPr>
              <w:tabs>
                <w:tab w:val="left" w:pos="851"/>
              </w:tabs>
              <w:jc w:val="both"/>
              <w:rPr>
                <w:lang w:eastAsia="zh-CN"/>
              </w:rPr>
            </w:pPr>
            <w:r w:rsidRPr="00BA06B6">
              <w:rPr>
                <w:lang w:eastAsia="zh-CN"/>
              </w:rPr>
              <w:t>-0.20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24E111B0" w14:textId="77777777" w:rsidR="00AA068C" w:rsidRPr="00BA06B6" w:rsidRDefault="00AA068C" w:rsidP="00BC341D">
            <w:pPr>
              <w:tabs>
                <w:tab w:val="left" w:pos="851"/>
              </w:tabs>
              <w:jc w:val="both"/>
              <w:rPr>
                <w:lang w:eastAsia="zh-CN"/>
              </w:rPr>
            </w:pPr>
            <w:r w:rsidRPr="00BA06B6">
              <w:rPr>
                <w:lang w:eastAsia="zh-CN"/>
              </w:rPr>
              <w:t xml:space="preserve"> 0.19</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69705F6E" w14:textId="77777777" w:rsidR="00AA068C" w:rsidRPr="00BA06B6" w:rsidRDefault="00AA068C" w:rsidP="00BC341D">
            <w:pPr>
              <w:tabs>
                <w:tab w:val="left" w:pos="851"/>
              </w:tabs>
              <w:jc w:val="both"/>
              <w:rPr>
                <w:lang w:eastAsia="zh-CN"/>
              </w:rPr>
            </w:pPr>
            <w:r w:rsidRPr="00BA06B6">
              <w:rPr>
                <w:lang w:eastAsia="zh-CN"/>
              </w:rPr>
              <w:t xml:space="preserve"> 0.06</w:t>
            </w:r>
          </w:p>
        </w:tc>
        <w:tc>
          <w:tcPr>
            <w:tcW w:w="657" w:type="dxa"/>
            <w:tcBorders>
              <w:top w:val="nil"/>
              <w:left w:val="nil"/>
              <w:bottom w:val="nil"/>
              <w:right w:val="nil"/>
            </w:tcBorders>
            <w:shd w:val="clear" w:color="auto" w:fill="FFFFFF" w:themeFill="background1"/>
            <w:noWrap/>
            <w:vAlign w:val="center"/>
            <w:hideMark/>
          </w:tcPr>
          <w:p w14:paraId="1709FEA4" w14:textId="77777777" w:rsidR="00AA068C" w:rsidRPr="00BA06B6" w:rsidRDefault="00AA068C" w:rsidP="00BC341D">
            <w:pPr>
              <w:tabs>
                <w:tab w:val="left" w:pos="851"/>
              </w:tabs>
              <w:jc w:val="both"/>
              <w:rPr>
                <w:lang w:eastAsia="zh-CN"/>
              </w:rPr>
            </w:pPr>
            <w:r w:rsidRPr="00BA06B6">
              <w:rPr>
                <w:lang w:eastAsia="zh-CN"/>
              </w:rPr>
              <w:t xml:space="preserve"> 0.16</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757AA0D5" w14:textId="77777777" w:rsidR="00AA068C" w:rsidRPr="00BA06B6" w:rsidRDefault="00AA068C" w:rsidP="00BC341D">
            <w:pPr>
              <w:tabs>
                <w:tab w:val="left" w:pos="851"/>
              </w:tabs>
              <w:jc w:val="both"/>
              <w:rPr>
                <w:lang w:eastAsia="zh-CN"/>
              </w:rPr>
            </w:pPr>
            <w:r w:rsidRPr="00BA06B6">
              <w:rPr>
                <w:lang w:eastAsia="zh-CN"/>
              </w:rPr>
              <w:t xml:space="preserve"> 0.04</w:t>
            </w:r>
          </w:p>
        </w:tc>
        <w:tc>
          <w:tcPr>
            <w:tcW w:w="657" w:type="dxa"/>
            <w:tcBorders>
              <w:top w:val="nil"/>
              <w:left w:val="nil"/>
              <w:bottom w:val="nil"/>
              <w:right w:val="nil"/>
            </w:tcBorders>
            <w:shd w:val="clear" w:color="auto" w:fill="FFFFFF" w:themeFill="background1"/>
            <w:noWrap/>
            <w:vAlign w:val="center"/>
            <w:hideMark/>
          </w:tcPr>
          <w:p w14:paraId="7C79019D" w14:textId="77777777" w:rsidR="00AA068C" w:rsidRPr="00BA06B6" w:rsidRDefault="00AA068C" w:rsidP="00BC341D">
            <w:pPr>
              <w:tabs>
                <w:tab w:val="left" w:pos="851"/>
              </w:tabs>
              <w:jc w:val="both"/>
              <w:rPr>
                <w:lang w:eastAsia="zh-CN"/>
              </w:rPr>
            </w:pPr>
            <w:r w:rsidRPr="00BA06B6">
              <w:rPr>
                <w:lang w:eastAsia="zh-CN"/>
              </w:rPr>
              <w:t>-0.18</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493FD627" w14:textId="77777777" w:rsidR="00AA068C" w:rsidRPr="00BA06B6" w:rsidRDefault="00AA068C" w:rsidP="00BC341D">
            <w:pPr>
              <w:tabs>
                <w:tab w:val="left" w:pos="851"/>
              </w:tabs>
              <w:jc w:val="both"/>
              <w:rPr>
                <w:lang w:eastAsia="zh-CN"/>
              </w:rPr>
            </w:pPr>
            <w:r w:rsidRPr="00BA06B6">
              <w:rPr>
                <w:lang w:eastAsia="zh-CN"/>
              </w:rPr>
              <w:t>-0.20</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31076239" w14:textId="77777777" w:rsidR="00AA068C" w:rsidRPr="00BA06B6" w:rsidRDefault="00AA068C" w:rsidP="00BC341D">
            <w:pPr>
              <w:tabs>
                <w:tab w:val="left" w:pos="851"/>
              </w:tabs>
              <w:jc w:val="both"/>
              <w:rPr>
                <w:lang w:eastAsia="zh-CN"/>
              </w:rPr>
            </w:pPr>
            <w:r w:rsidRPr="00BA06B6">
              <w:rPr>
                <w:lang w:eastAsia="zh-CN"/>
              </w:rPr>
              <w:t xml:space="preserve"> 0.02</w:t>
            </w:r>
          </w:p>
        </w:tc>
        <w:tc>
          <w:tcPr>
            <w:tcW w:w="657" w:type="dxa"/>
            <w:tcBorders>
              <w:top w:val="nil"/>
              <w:left w:val="nil"/>
              <w:bottom w:val="nil"/>
              <w:right w:val="nil"/>
            </w:tcBorders>
            <w:shd w:val="clear" w:color="auto" w:fill="FFFFFF" w:themeFill="background1"/>
            <w:noWrap/>
            <w:vAlign w:val="center"/>
            <w:hideMark/>
          </w:tcPr>
          <w:p w14:paraId="034FE633" w14:textId="77777777" w:rsidR="00AA068C" w:rsidRPr="00BA06B6" w:rsidRDefault="00AA068C" w:rsidP="00BC341D">
            <w:pPr>
              <w:tabs>
                <w:tab w:val="left" w:pos="851"/>
              </w:tabs>
              <w:jc w:val="both"/>
              <w:rPr>
                <w:lang w:eastAsia="zh-CN"/>
              </w:rPr>
            </w:pPr>
            <w:r w:rsidRPr="00BA06B6">
              <w:rPr>
                <w:lang w:eastAsia="zh-CN"/>
              </w:rPr>
              <w:t>-0.38</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hideMark/>
          </w:tcPr>
          <w:p w14:paraId="2B3EDC90" w14:textId="77777777" w:rsidR="00AA068C" w:rsidRPr="00BA06B6" w:rsidRDefault="00AA068C" w:rsidP="00BC341D">
            <w:pPr>
              <w:tabs>
                <w:tab w:val="left" w:pos="851"/>
              </w:tabs>
              <w:jc w:val="both"/>
              <w:rPr>
                <w:lang w:eastAsia="zh-CN"/>
              </w:rPr>
            </w:pPr>
            <w:r w:rsidRPr="00BA06B6">
              <w:rPr>
                <w:lang w:eastAsia="zh-CN"/>
              </w:rPr>
              <w:t>-0.27</w:t>
            </w:r>
            <w:r w:rsidRPr="00BA06B6">
              <w:rPr>
                <w:vertAlign w:val="superscript"/>
                <w:lang w:eastAsia="zh-CN"/>
              </w:rPr>
              <w:t>**</w:t>
            </w:r>
          </w:p>
        </w:tc>
        <w:tc>
          <w:tcPr>
            <w:tcW w:w="657" w:type="dxa"/>
            <w:tcBorders>
              <w:top w:val="nil"/>
              <w:left w:val="nil"/>
              <w:bottom w:val="nil"/>
              <w:right w:val="nil"/>
            </w:tcBorders>
            <w:shd w:val="clear" w:color="auto" w:fill="FFFFFF" w:themeFill="background1"/>
            <w:noWrap/>
            <w:vAlign w:val="center"/>
          </w:tcPr>
          <w:p w14:paraId="25A05656" w14:textId="77777777" w:rsidR="00AA068C" w:rsidRPr="00BA06B6" w:rsidRDefault="00AA068C" w:rsidP="00BC341D">
            <w:pPr>
              <w:tabs>
                <w:tab w:val="left" w:pos="851"/>
              </w:tabs>
              <w:jc w:val="both"/>
              <w:rPr>
                <w:lang w:eastAsia="zh-CN"/>
              </w:rPr>
            </w:pPr>
          </w:p>
        </w:tc>
        <w:tc>
          <w:tcPr>
            <w:tcW w:w="611" w:type="dxa"/>
            <w:gridSpan w:val="2"/>
            <w:tcBorders>
              <w:top w:val="nil"/>
              <w:left w:val="nil"/>
              <w:bottom w:val="nil"/>
              <w:right w:val="nil"/>
            </w:tcBorders>
            <w:shd w:val="clear" w:color="auto" w:fill="FFFFFF" w:themeFill="background1"/>
            <w:noWrap/>
            <w:vAlign w:val="center"/>
            <w:hideMark/>
          </w:tcPr>
          <w:p w14:paraId="131CD971" w14:textId="77777777" w:rsidR="00AA068C" w:rsidRPr="00BA06B6" w:rsidRDefault="00AA068C" w:rsidP="00BC341D">
            <w:pPr>
              <w:tabs>
                <w:tab w:val="left" w:pos="851"/>
              </w:tabs>
              <w:jc w:val="both"/>
              <w:rPr>
                <w:lang w:eastAsia="zh-CN"/>
              </w:rPr>
            </w:pPr>
            <w:r w:rsidRPr="00BA06B6">
              <w:rPr>
                <w:lang w:eastAsia="zh-CN"/>
              </w:rPr>
              <w:t xml:space="preserve"> 0.03</w:t>
            </w:r>
          </w:p>
        </w:tc>
      </w:tr>
      <w:tr w:rsidR="00BA06B6" w:rsidRPr="00BA06B6" w14:paraId="6C81452D" w14:textId="77777777" w:rsidTr="004137CB">
        <w:trPr>
          <w:trHeight w:val="288"/>
          <w:jc w:val="center"/>
        </w:trPr>
        <w:tc>
          <w:tcPr>
            <w:tcW w:w="880" w:type="dxa"/>
            <w:tcBorders>
              <w:top w:val="nil"/>
              <w:left w:val="nil"/>
              <w:bottom w:val="single" w:sz="12" w:space="0" w:color="auto"/>
              <w:right w:val="nil"/>
            </w:tcBorders>
            <w:shd w:val="clear" w:color="auto" w:fill="FFFFFF" w:themeFill="background1"/>
            <w:noWrap/>
            <w:vAlign w:val="center"/>
            <w:hideMark/>
          </w:tcPr>
          <w:p w14:paraId="111F7875" w14:textId="77777777" w:rsidR="00AA068C" w:rsidRPr="00BA06B6" w:rsidRDefault="00AA068C" w:rsidP="00BC341D">
            <w:pPr>
              <w:tabs>
                <w:tab w:val="left" w:pos="851"/>
              </w:tabs>
              <w:jc w:val="both"/>
              <w:rPr>
                <w:lang w:eastAsia="zh-CN"/>
              </w:rPr>
            </w:pPr>
            <w:r w:rsidRPr="00BA06B6">
              <w:rPr>
                <w:lang w:eastAsia="zh-CN"/>
              </w:rPr>
              <w:t>GDP</w:t>
            </w:r>
          </w:p>
        </w:tc>
        <w:tc>
          <w:tcPr>
            <w:tcW w:w="613" w:type="dxa"/>
            <w:tcBorders>
              <w:top w:val="nil"/>
              <w:left w:val="nil"/>
              <w:bottom w:val="single" w:sz="12" w:space="0" w:color="auto"/>
              <w:right w:val="nil"/>
            </w:tcBorders>
            <w:shd w:val="clear" w:color="auto" w:fill="FFFFFF" w:themeFill="background1"/>
            <w:noWrap/>
            <w:vAlign w:val="center"/>
            <w:hideMark/>
          </w:tcPr>
          <w:p w14:paraId="7F5CDFF7" w14:textId="77777777" w:rsidR="00AA068C" w:rsidRPr="00BA06B6" w:rsidRDefault="00AA068C" w:rsidP="00BC341D">
            <w:pPr>
              <w:tabs>
                <w:tab w:val="left" w:pos="851"/>
              </w:tabs>
              <w:jc w:val="both"/>
              <w:rPr>
                <w:lang w:eastAsia="zh-CN"/>
              </w:rPr>
            </w:pPr>
            <w:r w:rsidRPr="00BA06B6">
              <w:rPr>
                <w:lang w:eastAsia="zh-CN"/>
              </w:rPr>
              <w:t xml:space="preserve"> 0.55</w:t>
            </w:r>
            <w:r w:rsidRPr="00BA06B6">
              <w:rPr>
                <w:vertAlign w:val="superscript"/>
                <w:lang w:eastAsia="zh-CN"/>
              </w:rPr>
              <w:t>**</w:t>
            </w:r>
          </w:p>
        </w:tc>
        <w:tc>
          <w:tcPr>
            <w:tcW w:w="609" w:type="dxa"/>
            <w:tcBorders>
              <w:top w:val="nil"/>
              <w:left w:val="nil"/>
              <w:bottom w:val="single" w:sz="12" w:space="0" w:color="auto"/>
              <w:right w:val="nil"/>
            </w:tcBorders>
            <w:shd w:val="clear" w:color="auto" w:fill="FFFFFF" w:themeFill="background1"/>
            <w:noWrap/>
            <w:vAlign w:val="center"/>
            <w:hideMark/>
          </w:tcPr>
          <w:p w14:paraId="2909012A" w14:textId="77777777" w:rsidR="00AA068C" w:rsidRPr="00BA06B6" w:rsidRDefault="00AA068C" w:rsidP="00BC341D">
            <w:pPr>
              <w:tabs>
                <w:tab w:val="left" w:pos="851"/>
              </w:tabs>
              <w:jc w:val="both"/>
              <w:rPr>
                <w:lang w:eastAsia="zh-CN"/>
              </w:rPr>
            </w:pPr>
            <w:r w:rsidRPr="00BA06B6">
              <w:rPr>
                <w:lang w:eastAsia="zh-CN"/>
              </w:rPr>
              <w:t xml:space="preserve"> 0.20</w:t>
            </w:r>
            <w:r w:rsidRPr="00BA06B6">
              <w:rPr>
                <w:vertAlign w:val="superscript"/>
                <w:lang w:eastAsia="zh-CN"/>
              </w:rPr>
              <w:t>**</w:t>
            </w:r>
          </w:p>
        </w:tc>
        <w:tc>
          <w:tcPr>
            <w:tcW w:w="657" w:type="dxa"/>
            <w:tcBorders>
              <w:top w:val="nil"/>
              <w:left w:val="nil"/>
              <w:bottom w:val="single" w:sz="12" w:space="0" w:color="auto"/>
              <w:right w:val="nil"/>
            </w:tcBorders>
            <w:shd w:val="clear" w:color="auto" w:fill="FFFFFF" w:themeFill="background1"/>
            <w:noWrap/>
            <w:vAlign w:val="center"/>
            <w:hideMark/>
          </w:tcPr>
          <w:p w14:paraId="597E7A9A" w14:textId="77777777" w:rsidR="00AA068C" w:rsidRPr="00BA06B6" w:rsidRDefault="00AA068C" w:rsidP="00BC341D">
            <w:pPr>
              <w:tabs>
                <w:tab w:val="left" w:pos="851"/>
              </w:tabs>
              <w:jc w:val="both"/>
              <w:rPr>
                <w:lang w:eastAsia="zh-CN"/>
              </w:rPr>
            </w:pPr>
            <w:r w:rsidRPr="00BA06B6">
              <w:rPr>
                <w:lang w:eastAsia="zh-CN"/>
              </w:rPr>
              <w:t xml:space="preserve"> 0.32</w:t>
            </w:r>
            <w:r w:rsidRPr="00BA06B6">
              <w:rPr>
                <w:vertAlign w:val="superscript"/>
                <w:lang w:eastAsia="zh-CN"/>
              </w:rPr>
              <w:t>**</w:t>
            </w:r>
          </w:p>
        </w:tc>
        <w:tc>
          <w:tcPr>
            <w:tcW w:w="657" w:type="dxa"/>
            <w:tcBorders>
              <w:top w:val="nil"/>
              <w:left w:val="nil"/>
              <w:bottom w:val="single" w:sz="12" w:space="0" w:color="auto"/>
              <w:right w:val="nil"/>
            </w:tcBorders>
            <w:shd w:val="clear" w:color="auto" w:fill="FFFFFF" w:themeFill="background1"/>
            <w:noWrap/>
            <w:vAlign w:val="center"/>
            <w:hideMark/>
          </w:tcPr>
          <w:p w14:paraId="643257AF" w14:textId="77777777" w:rsidR="00AA068C" w:rsidRPr="00BA06B6" w:rsidRDefault="00AA068C" w:rsidP="00BC341D">
            <w:pPr>
              <w:tabs>
                <w:tab w:val="left" w:pos="851"/>
              </w:tabs>
              <w:jc w:val="both"/>
              <w:rPr>
                <w:lang w:eastAsia="zh-CN"/>
              </w:rPr>
            </w:pPr>
            <w:r w:rsidRPr="00BA06B6">
              <w:rPr>
                <w:lang w:eastAsia="zh-CN"/>
              </w:rPr>
              <w:t xml:space="preserve"> 0.26</w:t>
            </w:r>
            <w:r w:rsidRPr="00BA06B6">
              <w:rPr>
                <w:vertAlign w:val="superscript"/>
                <w:lang w:eastAsia="zh-CN"/>
              </w:rPr>
              <w:t>**</w:t>
            </w:r>
          </w:p>
        </w:tc>
        <w:tc>
          <w:tcPr>
            <w:tcW w:w="657" w:type="dxa"/>
            <w:tcBorders>
              <w:top w:val="nil"/>
              <w:left w:val="nil"/>
              <w:bottom w:val="single" w:sz="12" w:space="0" w:color="auto"/>
              <w:right w:val="nil"/>
            </w:tcBorders>
            <w:shd w:val="clear" w:color="auto" w:fill="FFFFFF" w:themeFill="background1"/>
            <w:noWrap/>
            <w:vAlign w:val="center"/>
            <w:hideMark/>
          </w:tcPr>
          <w:p w14:paraId="7A5ACA6F" w14:textId="77777777" w:rsidR="00AA068C" w:rsidRPr="00BA06B6" w:rsidRDefault="00AA068C" w:rsidP="00BC341D">
            <w:pPr>
              <w:tabs>
                <w:tab w:val="left" w:pos="851"/>
              </w:tabs>
              <w:jc w:val="both"/>
              <w:rPr>
                <w:lang w:eastAsia="zh-CN"/>
              </w:rPr>
            </w:pPr>
            <w:r w:rsidRPr="00BA06B6">
              <w:rPr>
                <w:lang w:eastAsia="zh-CN"/>
              </w:rPr>
              <w:t xml:space="preserve"> 0.08</w:t>
            </w:r>
            <w:r w:rsidRPr="00BA06B6">
              <w:rPr>
                <w:vertAlign w:val="superscript"/>
                <w:lang w:eastAsia="zh-CN"/>
              </w:rPr>
              <w:t>*</w:t>
            </w:r>
          </w:p>
        </w:tc>
        <w:tc>
          <w:tcPr>
            <w:tcW w:w="657" w:type="dxa"/>
            <w:tcBorders>
              <w:top w:val="nil"/>
              <w:left w:val="nil"/>
              <w:bottom w:val="single" w:sz="12" w:space="0" w:color="auto"/>
              <w:right w:val="nil"/>
            </w:tcBorders>
            <w:shd w:val="clear" w:color="auto" w:fill="FFFFFF" w:themeFill="background1"/>
            <w:noWrap/>
            <w:vAlign w:val="center"/>
            <w:hideMark/>
          </w:tcPr>
          <w:p w14:paraId="0814F9D1" w14:textId="77777777" w:rsidR="00AA068C" w:rsidRPr="00BA06B6" w:rsidRDefault="00AA068C" w:rsidP="00BC341D">
            <w:pPr>
              <w:tabs>
                <w:tab w:val="left" w:pos="851"/>
              </w:tabs>
              <w:jc w:val="both"/>
              <w:rPr>
                <w:lang w:eastAsia="zh-CN"/>
              </w:rPr>
            </w:pPr>
            <w:r w:rsidRPr="00BA06B6">
              <w:rPr>
                <w:lang w:eastAsia="zh-CN"/>
              </w:rPr>
              <w:t xml:space="preserve"> 0.36</w:t>
            </w:r>
            <w:r w:rsidRPr="00BA06B6">
              <w:rPr>
                <w:vertAlign w:val="superscript"/>
                <w:lang w:eastAsia="zh-CN"/>
              </w:rPr>
              <w:t>**</w:t>
            </w:r>
          </w:p>
        </w:tc>
        <w:tc>
          <w:tcPr>
            <w:tcW w:w="657" w:type="dxa"/>
            <w:tcBorders>
              <w:top w:val="nil"/>
              <w:left w:val="nil"/>
              <w:bottom w:val="single" w:sz="12" w:space="0" w:color="auto"/>
              <w:right w:val="nil"/>
            </w:tcBorders>
            <w:shd w:val="clear" w:color="auto" w:fill="FFFFFF" w:themeFill="background1"/>
            <w:noWrap/>
            <w:vAlign w:val="center"/>
            <w:hideMark/>
          </w:tcPr>
          <w:p w14:paraId="27C07336" w14:textId="77777777" w:rsidR="00AA068C" w:rsidRPr="00BA06B6" w:rsidRDefault="00AA068C" w:rsidP="00BC341D">
            <w:pPr>
              <w:tabs>
                <w:tab w:val="left" w:pos="851"/>
              </w:tabs>
              <w:jc w:val="both"/>
              <w:rPr>
                <w:lang w:eastAsia="zh-CN"/>
              </w:rPr>
            </w:pPr>
            <w:r w:rsidRPr="00BA06B6">
              <w:rPr>
                <w:lang w:eastAsia="zh-CN"/>
              </w:rPr>
              <w:t>-0.36</w:t>
            </w:r>
            <w:r w:rsidRPr="00BA06B6">
              <w:rPr>
                <w:vertAlign w:val="superscript"/>
                <w:lang w:eastAsia="zh-CN"/>
              </w:rPr>
              <w:t>**</w:t>
            </w:r>
          </w:p>
        </w:tc>
        <w:tc>
          <w:tcPr>
            <w:tcW w:w="657" w:type="dxa"/>
            <w:tcBorders>
              <w:top w:val="nil"/>
              <w:left w:val="nil"/>
              <w:bottom w:val="single" w:sz="12" w:space="0" w:color="auto"/>
              <w:right w:val="nil"/>
            </w:tcBorders>
            <w:shd w:val="clear" w:color="auto" w:fill="FFFFFF" w:themeFill="background1"/>
            <w:noWrap/>
            <w:vAlign w:val="center"/>
            <w:hideMark/>
          </w:tcPr>
          <w:p w14:paraId="1D109F82" w14:textId="77777777" w:rsidR="00AA068C" w:rsidRPr="00BA06B6" w:rsidRDefault="00AA068C" w:rsidP="00BC341D">
            <w:pPr>
              <w:tabs>
                <w:tab w:val="left" w:pos="851"/>
              </w:tabs>
              <w:jc w:val="both"/>
              <w:rPr>
                <w:lang w:eastAsia="zh-CN"/>
              </w:rPr>
            </w:pPr>
            <w:r w:rsidRPr="00BA06B6">
              <w:rPr>
                <w:lang w:eastAsia="zh-CN"/>
              </w:rPr>
              <w:t>-0.01</w:t>
            </w:r>
          </w:p>
        </w:tc>
        <w:tc>
          <w:tcPr>
            <w:tcW w:w="704" w:type="dxa"/>
            <w:tcBorders>
              <w:top w:val="nil"/>
              <w:left w:val="nil"/>
              <w:bottom w:val="single" w:sz="12" w:space="0" w:color="auto"/>
              <w:right w:val="nil"/>
            </w:tcBorders>
            <w:shd w:val="clear" w:color="auto" w:fill="FFFFFF" w:themeFill="background1"/>
            <w:noWrap/>
            <w:vAlign w:val="center"/>
            <w:hideMark/>
          </w:tcPr>
          <w:p w14:paraId="21C3FD3E" w14:textId="77777777" w:rsidR="00AA068C" w:rsidRPr="00BA06B6" w:rsidRDefault="00AA068C" w:rsidP="00BC341D">
            <w:pPr>
              <w:tabs>
                <w:tab w:val="left" w:pos="851"/>
              </w:tabs>
              <w:jc w:val="both"/>
              <w:rPr>
                <w:lang w:eastAsia="zh-CN"/>
              </w:rPr>
            </w:pPr>
            <w:r w:rsidRPr="00BA06B6">
              <w:rPr>
                <w:lang w:eastAsia="zh-CN"/>
              </w:rPr>
              <w:t>-0.36</w:t>
            </w:r>
            <w:r w:rsidRPr="00BA06B6">
              <w:rPr>
                <w:vertAlign w:val="superscript"/>
                <w:lang w:eastAsia="zh-CN"/>
              </w:rPr>
              <w:t>**</w:t>
            </w:r>
          </w:p>
        </w:tc>
        <w:tc>
          <w:tcPr>
            <w:tcW w:w="704" w:type="dxa"/>
            <w:tcBorders>
              <w:top w:val="nil"/>
              <w:left w:val="nil"/>
              <w:bottom w:val="single" w:sz="12" w:space="0" w:color="auto"/>
              <w:right w:val="nil"/>
            </w:tcBorders>
            <w:shd w:val="clear" w:color="auto" w:fill="FFFFFF" w:themeFill="background1"/>
            <w:noWrap/>
            <w:vAlign w:val="center"/>
            <w:hideMark/>
          </w:tcPr>
          <w:p w14:paraId="76D70425" w14:textId="77777777" w:rsidR="00AA068C" w:rsidRPr="00BA06B6" w:rsidRDefault="00AA068C" w:rsidP="00BC341D">
            <w:pPr>
              <w:tabs>
                <w:tab w:val="left" w:pos="851"/>
              </w:tabs>
              <w:jc w:val="both"/>
              <w:rPr>
                <w:lang w:eastAsia="zh-CN"/>
              </w:rPr>
            </w:pPr>
            <w:r w:rsidRPr="00BA06B6">
              <w:rPr>
                <w:lang w:eastAsia="zh-CN"/>
              </w:rPr>
              <w:t xml:space="preserve"> 0.17</w:t>
            </w:r>
            <w:r w:rsidRPr="00BA06B6">
              <w:rPr>
                <w:vertAlign w:val="superscript"/>
                <w:lang w:eastAsia="zh-CN"/>
              </w:rPr>
              <w:t>**</w:t>
            </w:r>
          </w:p>
        </w:tc>
        <w:tc>
          <w:tcPr>
            <w:tcW w:w="657" w:type="dxa"/>
            <w:tcBorders>
              <w:top w:val="nil"/>
              <w:left w:val="nil"/>
              <w:bottom w:val="single" w:sz="12" w:space="0" w:color="auto"/>
              <w:right w:val="nil"/>
            </w:tcBorders>
            <w:shd w:val="clear" w:color="auto" w:fill="FFFFFF" w:themeFill="background1"/>
            <w:noWrap/>
            <w:vAlign w:val="center"/>
            <w:hideMark/>
          </w:tcPr>
          <w:p w14:paraId="31C6EA5E" w14:textId="77777777" w:rsidR="00AA068C" w:rsidRPr="00BA06B6" w:rsidRDefault="00AA068C" w:rsidP="00BC341D">
            <w:pPr>
              <w:tabs>
                <w:tab w:val="left" w:pos="851"/>
              </w:tabs>
              <w:jc w:val="both"/>
              <w:rPr>
                <w:lang w:eastAsia="zh-CN"/>
              </w:rPr>
            </w:pPr>
            <w:r w:rsidRPr="00BA06B6">
              <w:rPr>
                <w:lang w:eastAsia="zh-CN"/>
              </w:rPr>
              <w:t>-0.48</w:t>
            </w:r>
            <w:r w:rsidRPr="00BA06B6">
              <w:rPr>
                <w:vertAlign w:val="superscript"/>
                <w:lang w:eastAsia="zh-CN"/>
              </w:rPr>
              <w:t>**</w:t>
            </w:r>
          </w:p>
        </w:tc>
        <w:tc>
          <w:tcPr>
            <w:tcW w:w="657" w:type="dxa"/>
            <w:tcBorders>
              <w:top w:val="nil"/>
              <w:left w:val="nil"/>
              <w:bottom w:val="single" w:sz="12" w:space="0" w:color="auto"/>
              <w:right w:val="nil"/>
            </w:tcBorders>
            <w:shd w:val="clear" w:color="auto" w:fill="FFFFFF" w:themeFill="background1"/>
            <w:noWrap/>
            <w:vAlign w:val="center"/>
            <w:hideMark/>
          </w:tcPr>
          <w:p w14:paraId="3719D36B" w14:textId="77777777" w:rsidR="00AA068C" w:rsidRPr="00BA06B6" w:rsidRDefault="00AA068C" w:rsidP="00BC341D">
            <w:pPr>
              <w:tabs>
                <w:tab w:val="left" w:pos="851"/>
              </w:tabs>
              <w:jc w:val="both"/>
              <w:rPr>
                <w:lang w:eastAsia="zh-CN"/>
              </w:rPr>
            </w:pPr>
            <w:r w:rsidRPr="00BA06B6">
              <w:rPr>
                <w:lang w:eastAsia="zh-CN"/>
              </w:rPr>
              <w:t>-0.25</w:t>
            </w:r>
            <w:r w:rsidRPr="00BA06B6">
              <w:rPr>
                <w:vertAlign w:val="superscript"/>
                <w:lang w:eastAsia="zh-CN"/>
              </w:rPr>
              <w:t>**</w:t>
            </w:r>
          </w:p>
        </w:tc>
        <w:tc>
          <w:tcPr>
            <w:tcW w:w="657" w:type="dxa"/>
            <w:tcBorders>
              <w:top w:val="nil"/>
              <w:left w:val="nil"/>
              <w:bottom w:val="single" w:sz="12" w:space="0" w:color="auto"/>
              <w:right w:val="nil"/>
            </w:tcBorders>
            <w:shd w:val="clear" w:color="auto" w:fill="FFFFFF" w:themeFill="background1"/>
            <w:noWrap/>
            <w:vAlign w:val="center"/>
            <w:hideMark/>
          </w:tcPr>
          <w:p w14:paraId="74D07D58" w14:textId="77777777" w:rsidR="00AA068C" w:rsidRPr="00BA06B6" w:rsidRDefault="00AA068C" w:rsidP="00BC341D">
            <w:pPr>
              <w:tabs>
                <w:tab w:val="left" w:pos="851"/>
              </w:tabs>
              <w:jc w:val="both"/>
              <w:rPr>
                <w:lang w:eastAsia="zh-CN"/>
              </w:rPr>
            </w:pPr>
            <w:r w:rsidRPr="00BA06B6">
              <w:rPr>
                <w:lang w:eastAsia="zh-CN"/>
              </w:rPr>
              <w:t>-0.08</w:t>
            </w:r>
            <w:r w:rsidRPr="00BA06B6">
              <w:rPr>
                <w:vertAlign w:val="superscript"/>
                <w:lang w:eastAsia="zh-CN"/>
              </w:rPr>
              <w:t>*</w:t>
            </w:r>
          </w:p>
        </w:tc>
        <w:tc>
          <w:tcPr>
            <w:tcW w:w="657" w:type="dxa"/>
            <w:tcBorders>
              <w:top w:val="nil"/>
              <w:left w:val="nil"/>
              <w:bottom w:val="single" w:sz="12" w:space="0" w:color="auto"/>
              <w:right w:val="nil"/>
            </w:tcBorders>
            <w:shd w:val="clear" w:color="auto" w:fill="FFFFFF" w:themeFill="background1"/>
            <w:noWrap/>
            <w:vAlign w:val="center"/>
            <w:hideMark/>
          </w:tcPr>
          <w:p w14:paraId="7D659220" w14:textId="77777777" w:rsidR="00AA068C" w:rsidRPr="00BA06B6" w:rsidRDefault="00AA068C" w:rsidP="00BC341D">
            <w:pPr>
              <w:tabs>
                <w:tab w:val="left" w:pos="851"/>
              </w:tabs>
              <w:jc w:val="both"/>
              <w:rPr>
                <w:lang w:eastAsia="zh-CN"/>
              </w:rPr>
            </w:pPr>
            <w:r w:rsidRPr="00BA06B6">
              <w:rPr>
                <w:lang w:eastAsia="zh-CN"/>
              </w:rPr>
              <w:t>-0.15</w:t>
            </w:r>
            <w:r w:rsidRPr="00BA06B6">
              <w:rPr>
                <w:vertAlign w:val="superscript"/>
                <w:lang w:eastAsia="zh-CN"/>
              </w:rPr>
              <w:t>**</w:t>
            </w:r>
          </w:p>
        </w:tc>
        <w:tc>
          <w:tcPr>
            <w:tcW w:w="657" w:type="dxa"/>
            <w:tcBorders>
              <w:top w:val="nil"/>
              <w:left w:val="nil"/>
              <w:bottom w:val="single" w:sz="12" w:space="0" w:color="auto"/>
              <w:right w:val="nil"/>
            </w:tcBorders>
            <w:shd w:val="clear" w:color="auto" w:fill="FFFFFF" w:themeFill="background1"/>
            <w:noWrap/>
            <w:vAlign w:val="center"/>
            <w:hideMark/>
          </w:tcPr>
          <w:p w14:paraId="3CA3CAE3" w14:textId="77777777" w:rsidR="00AA068C" w:rsidRPr="00BA06B6" w:rsidRDefault="00AA068C" w:rsidP="00BC341D">
            <w:pPr>
              <w:tabs>
                <w:tab w:val="left" w:pos="851"/>
              </w:tabs>
              <w:jc w:val="both"/>
              <w:rPr>
                <w:lang w:eastAsia="zh-CN"/>
              </w:rPr>
            </w:pPr>
            <w:r w:rsidRPr="00BA06B6">
              <w:rPr>
                <w:lang w:eastAsia="zh-CN"/>
              </w:rPr>
              <w:t xml:space="preserve"> 0.21</w:t>
            </w:r>
            <w:r w:rsidRPr="00BA06B6">
              <w:rPr>
                <w:vertAlign w:val="superscript"/>
                <w:lang w:eastAsia="zh-CN"/>
              </w:rPr>
              <w:t>**</w:t>
            </w:r>
          </w:p>
        </w:tc>
        <w:tc>
          <w:tcPr>
            <w:tcW w:w="657" w:type="dxa"/>
            <w:tcBorders>
              <w:top w:val="nil"/>
              <w:left w:val="nil"/>
              <w:bottom w:val="single" w:sz="12" w:space="0" w:color="auto"/>
              <w:right w:val="nil"/>
            </w:tcBorders>
            <w:shd w:val="clear" w:color="auto" w:fill="FFFFFF" w:themeFill="background1"/>
            <w:noWrap/>
            <w:vAlign w:val="center"/>
            <w:hideMark/>
          </w:tcPr>
          <w:p w14:paraId="72AB4AA4" w14:textId="77777777" w:rsidR="00AA068C" w:rsidRPr="00BA06B6" w:rsidRDefault="00AA068C" w:rsidP="00BC341D">
            <w:pPr>
              <w:tabs>
                <w:tab w:val="left" w:pos="851"/>
              </w:tabs>
              <w:jc w:val="both"/>
              <w:rPr>
                <w:lang w:eastAsia="zh-CN"/>
              </w:rPr>
            </w:pPr>
            <w:r w:rsidRPr="00BA06B6">
              <w:rPr>
                <w:lang w:eastAsia="zh-CN"/>
              </w:rPr>
              <w:t xml:space="preserve"> 0.27</w:t>
            </w:r>
            <w:r w:rsidRPr="00BA06B6">
              <w:rPr>
                <w:vertAlign w:val="superscript"/>
                <w:lang w:eastAsia="zh-CN"/>
              </w:rPr>
              <w:t>**</w:t>
            </w:r>
          </w:p>
        </w:tc>
        <w:tc>
          <w:tcPr>
            <w:tcW w:w="657" w:type="dxa"/>
            <w:tcBorders>
              <w:top w:val="nil"/>
              <w:left w:val="nil"/>
              <w:bottom w:val="single" w:sz="12" w:space="0" w:color="auto"/>
              <w:right w:val="nil"/>
            </w:tcBorders>
            <w:shd w:val="clear" w:color="auto" w:fill="FFFFFF" w:themeFill="background1"/>
            <w:noWrap/>
            <w:vAlign w:val="center"/>
            <w:hideMark/>
          </w:tcPr>
          <w:p w14:paraId="305B7029" w14:textId="77777777" w:rsidR="00AA068C" w:rsidRPr="00BA06B6" w:rsidRDefault="00AA068C" w:rsidP="00BC341D">
            <w:pPr>
              <w:tabs>
                <w:tab w:val="left" w:pos="851"/>
              </w:tabs>
              <w:jc w:val="both"/>
              <w:rPr>
                <w:lang w:eastAsia="zh-CN"/>
              </w:rPr>
            </w:pPr>
            <w:r w:rsidRPr="00BA06B6">
              <w:rPr>
                <w:lang w:eastAsia="zh-CN"/>
              </w:rPr>
              <w:t xml:space="preserve"> 0.12</w:t>
            </w:r>
            <w:r w:rsidRPr="00BA06B6">
              <w:rPr>
                <w:vertAlign w:val="superscript"/>
                <w:lang w:eastAsia="zh-CN"/>
              </w:rPr>
              <w:t>**</w:t>
            </w:r>
          </w:p>
        </w:tc>
        <w:tc>
          <w:tcPr>
            <w:tcW w:w="657" w:type="dxa"/>
            <w:tcBorders>
              <w:top w:val="nil"/>
              <w:left w:val="nil"/>
              <w:bottom w:val="single" w:sz="12" w:space="0" w:color="auto"/>
              <w:right w:val="nil"/>
            </w:tcBorders>
            <w:shd w:val="clear" w:color="auto" w:fill="FFFFFF" w:themeFill="background1"/>
            <w:noWrap/>
            <w:vAlign w:val="center"/>
            <w:hideMark/>
          </w:tcPr>
          <w:p w14:paraId="3EEAB507" w14:textId="77777777" w:rsidR="00AA068C" w:rsidRPr="00BA06B6" w:rsidRDefault="00AA068C" w:rsidP="00BC341D">
            <w:pPr>
              <w:tabs>
                <w:tab w:val="left" w:pos="851"/>
              </w:tabs>
              <w:jc w:val="both"/>
              <w:rPr>
                <w:lang w:eastAsia="zh-CN"/>
              </w:rPr>
            </w:pPr>
            <w:r w:rsidRPr="00BA06B6">
              <w:rPr>
                <w:lang w:eastAsia="zh-CN"/>
              </w:rPr>
              <w:t xml:space="preserve"> 0.38</w:t>
            </w:r>
            <w:r w:rsidRPr="00BA06B6">
              <w:rPr>
                <w:vertAlign w:val="superscript"/>
                <w:lang w:eastAsia="zh-CN"/>
              </w:rPr>
              <w:t>**</w:t>
            </w:r>
          </w:p>
        </w:tc>
        <w:tc>
          <w:tcPr>
            <w:tcW w:w="657" w:type="dxa"/>
            <w:tcBorders>
              <w:top w:val="nil"/>
              <w:left w:val="nil"/>
              <w:bottom w:val="single" w:sz="12" w:space="0" w:color="auto"/>
              <w:right w:val="nil"/>
            </w:tcBorders>
            <w:shd w:val="clear" w:color="auto" w:fill="FFFFFF" w:themeFill="background1"/>
            <w:noWrap/>
            <w:vAlign w:val="center"/>
            <w:hideMark/>
          </w:tcPr>
          <w:p w14:paraId="4D2FA91B" w14:textId="77777777" w:rsidR="00AA068C" w:rsidRPr="00BA06B6" w:rsidRDefault="00AA068C" w:rsidP="00BC341D">
            <w:pPr>
              <w:tabs>
                <w:tab w:val="left" w:pos="851"/>
              </w:tabs>
              <w:jc w:val="both"/>
              <w:rPr>
                <w:lang w:eastAsia="zh-CN"/>
              </w:rPr>
            </w:pPr>
            <w:r w:rsidRPr="00BA06B6">
              <w:rPr>
                <w:lang w:eastAsia="zh-CN"/>
              </w:rPr>
              <w:t xml:space="preserve"> 0.58</w:t>
            </w:r>
            <w:r w:rsidRPr="00BA06B6">
              <w:rPr>
                <w:vertAlign w:val="superscript"/>
                <w:lang w:eastAsia="zh-CN"/>
              </w:rPr>
              <w:t>**</w:t>
            </w:r>
          </w:p>
        </w:tc>
        <w:tc>
          <w:tcPr>
            <w:tcW w:w="657" w:type="dxa"/>
            <w:tcBorders>
              <w:top w:val="nil"/>
              <w:left w:val="nil"/>
              <w:bottom w:val="single" w:sz="12" w:space="0" w:color="auto"/>
              <w:right w:val="nil"/>
            </w:tcBorders>
            <w:shd w:val="clear" w:color="auto" w:fill="FFFFFF" w:themeFill="background1"/>
            <w:noWrap/>
            <w:vAlign w:val="center"/>
            <w:hideMark/>
          </w:tcPr>
          <w:p w14:paraId="3877494D" w14:textId="77777777" w:rsidR="00AA068C" w:rsidRPr="00BA06B6" w:rsidRDefault="00AA068C" w:rsidP="00BC341D">
            <w:pPr>
              <w:tabs>
                <w:tab w:val="left" w:pos="851"/>
              </w:tabs>
              <w:jc w:val="both"/>
              <w:rPr>
                <w:lang w:eastAsia="zh-CN"/>
              </w:rPr>
            </w:pPr>
            <w:r w:rsidRPr="00BA06B6">
              <w:rPr>
                <w:lang w:eastAsia="zh-CN"/>
              </w:rPr>
              <w:t>-0.04</w:t>
            </w:r>
          </w:p>
        </w:tc>
        <w:tc>
          <w:tcPr>
            <w:tcW w:w="611" w:type="dxa"/>
            <w:gridSpan w:val="2"/>
            <w:tcBorders>
              <w:top w:val="nil"/>
              <w:left w:val="nil"/>
              <w:bottom w:val="single" w:sz="12" w:space="0" w:color="auto"/>
              <w:right w:val="nil"/>
            </w:tcBorders>
            <w:shd w:val="clear" w:color="auto" w:fill="FFFFFF" w:themeFill="background1"/>
            <w:noWrap/>
            <w:vAlign w:val="center"/>
          </w:tcPr>
          <w:p w14:paraId="5343D64E" w14:textId="77777777" w:rsidR="00AA068C" w:rsidRPr="00BA06B6" w:rsidRDefault="00AA068C" w:rsidP="00BC341D">
            <w:pPr>
              <w:tabs>
                <w:tab w:val="left" w:pos="851"/>
              </w:tabs>
              <w:jc w:val="both"/>
              <w:rPr>
                <w:lang w:eastAsia="zh-CN"/>
              </w:rPr>
            </w:pPr>
          </w:p>
        </w:tc>
      </w:tr>
      <w:tr w:rsidR="00BA06B6" w:rsidRPr="00BA06B6" w14:paraId="7931E5BA" w14:textId="77777777" w:rsidTr="00B91469">
        <w:trPr>
          <w:gridAfter w:val="1"/>
          <w:wAfter w:w="6" w:type="dxa"/>
          <w:trHeight w:val="288"/>
          <w:jc w:val="center"/>
        </w:trPr>
        <w:tc>
          <w:tcPr>
            <w:tcW w:w="14627" w:type="dxa"/>
            <w:gridSpan w:val="22"/>
            <w:tcBorders>
              <w:top w:val="single" w:sz="12" w:space="0" w:color="auto"/>
              <w:left w:val="nil"/>
              <w:bottom w:val="nil"/>
              <w:right w:val="nil"/>
            </w:tcBorders>
            <w:shd w:val="clear" w:color="auto" w:fill="FFFFFF" w:themeFill="background1"/>
            <w:noWrap/>
            <w:vAlign w:val="center"/>
          </w:tcPr>
          <w:p w14:paraId="3647BD32" w14:textId="77777777" w:rsidR="00AA068C" w:rsidRPr="00BA06B6" w:rsidRDefault="00AA068C" w:rsidP="00BC341D">
            <w:pPr>
              <w:tabs>
                <w:tab w:val="left" w:pos="851"/>
              </w:tabs>
              <w:jc w:val="both"/>
              <w:rPr>
                <w:lang w:eastAsia="zh-CN"/>
              </w:rPr>
            </w:pPr>
            <w:r w:rsidRPr="00BA06B6">
              <w:t xml:space="preserve">Notes: Our final sample covers 95 banks listed in 12 MENA stock exchanges as follows: </w:t>
            </w:r>
            <w:r w:rsidRPr="00BA06B6">
              <w:rPr>
                <w:iCs/>
              </w:rPr>
              <w:t xml:space="preserve">Bahrain, Egypt, Jordan, Kuwait, Lebanon, Morocco, Oman, Qatar, Saudi Arabia, Syria, Tunisia and UAE. The final sample consists of 700 bank-year observations </w:t>
            </w:r>
            <w:r w:rsidRPr="00BA06B6">
              <w:t>over eight fiscal years, from 2006 to 2013.</w:t>
            </w:r>
            <w:r w:rsidRPr="00BA06B6">
              <w:rPr>
                <w:bCs/>
                <w:lang w:eastAsia="zh-CN"/>
              </w:rPr>
              <w:t xml:space="preserve"> T</w:t>
            </w:r>
            <w:r w:rsidRPr="00BA06B6">
              <w:t>he upper right half of the table shows Pearson’s correlation coefficients while the lower left half of the table contains Spearman’s rank-order correlations coefficients.  **, and * denote correlation is significant at the 1%, and 5% level, respectively. Variables are defined as follows: Fitch long term issuer default ratings (</w:t>
            </w:r>
            <w:r w:rsidRPr="00BA06B6">
              <w:rPr>
                <w:i/>
                <w:iCs/>
              </w:rPr>
              <w:t>RATE</w:t>
            </w:r>
            <w:r w:rsidRPr="00BA06B6">
              <w:t>); risk disclosures quality (</w:t>
            </w:r>
            <w:r w:rsidRPr="00BA06B6">
              <w:rPr>
                <w:i/>
                <w:iCs/>
              </w:rPr>
              <w:t>RDI</w:t>
            </w:r>
            <w:r w:rsidRPr="00BA06B6">
              <w:t xml:space="preserve">); </w:t>
            </w:r>
            <w:r w:rsidRPr="00BA06B6">
              <w:rPr>
                <w:i/>
                <w:iCs/>
              </w:rPr>
              <w:t>Shariah</w:t>
            </w:r>
            <w:r w:rsidRPr="00BA06B6">
              <w:t xml:space="preserve"> supervisory board (</w:t>
            </w:r>
            <w:r w:rsidRPr="00BA06B6">
              <w:rPr>
                <w:i/>
                <w:iCs/>
              </w:rPr>
              <w:t>SSB</w:t>
            </w:r>
            <w:r w:rsidRPr="00BA06B6">
              <w:t>); board size (</w:t>
            </w:r>
            <w:r w:rsidRPr="00BA06B6">
              <w:rPr>
                <w:i/>
                <w:iCs/>
              </w:rPr>
              <w:t>BS</w:t>
            </w:r>
            <w:r w:rsidRPr="00BA06B6">
              <w:t>); CEO duality (</w:t>
            </w:r>
            <w:r w:rsidRPr="00BA06B6">
              <w:rPr>
                <w:i/>
                <w:iCs/>
              </w:rPr>
              <w:t>DUAL</w:t>
            </w:r>
            <w:r w:rsidRPr="00BA06B6">
              <w:t>); gender diversity (</w:t>
            </w:r>
            <w:r w:rsidRPr="00BA06B6">
              <w:rPr>
                <w:i/>
                <w:iCs/>
              </w:rPr>
              <w:t>GDB</w:t>
            </w:r>
            <w:r w:rsidRPr="00BA06B6">
              <w:t xml:space="preserve">); percentage of </w:t>
            </w:r>
            <w:r w:rsidRPr="00BA06B6">
              <w:rPr>
                <w:bCs/>
              </w:rPr>
              <w:t>non-executives directors (</w:t>
            </w:r>
            <w:r w:rsidRPr="00BA06B6">
              <w:rPr>
                <w:bCs/>
                <w:i/>
                <w:iCs/>
              </w:rPr>
              <w:t>BBID</w:t>
            </w:r>
            <w:r w:rsidRPr="00BA06B6">
              <w:rPr>
                <w:bCs/>
              </w:rPr>
              <w:t>)</w:t>
            </w:r>
            <w:r w:rsidRPr="00BA06B6">
              <w:t>; block ownership (</w:t>
            </w:r>
            <w:r w:rsidRPr="00BA06B6">
              <w:rPr>
                <w:i/>
                <w:iCs/>
              </w:rPr>
              <w:t>BOWN</w:t>
            </w:r>
            <w:r w:rsidRPr="00BA06B6">
              <w:t>); government ownership (</w:t>
            </w:r>
            <w:r w:rsidRPr="00BA06B6">
              <w:rPr>
                <w:i/>
                <w:iCs/>
              </w:rPr>
              <w:t>GOWN</w:t>
            </w:r>
            <w:r w:rsidRPr="00BA06B6">
              <w:t>); foreign ownership (</w:t>
            </w:r>
            <w:r w:rsidRPr="00BA06B6">
              <w:rPr>
                <w:i/>
                <w:iCs/>
              </w:rPr>
              <w:t>FOWN</w:t>
            </w:r>
            <w:r w:rsidRPr="00BA06B6">
              <w:t>); bank size (</w:t>
            </w:r>
            <w:r w:rsidRPr="00BA06B6">
              <w:rPr>
                <w:i/>
                <w:iCs/>
              </w:rPr>
              <w:t>LNTA</w:t>
            </w:r>
            <w:r w:rsidRPr="00BA06B6">
              <w:t>); performance (</w:t>
            </w:r>
            <w:r w:rsidRPr="00BA06B6">
              <w:rPr>
                <w:i/>
                <w:iCs/>
              </w:rPr>
              <w:t>ROAA</w:t>
            </w:r>
            <w:r w:rsidRPr="00BA06B6">
              <w:t>); liquidity (</w:t>
            </w:r>
            <w:r w:rsidRPr="00BA06B6">
              <w:rPr>
                <w:i/>
                <w:iCs/>
              </w:rPr>
              <w:t>LIQ</w:t>
            </w:r>
            <w:r w:rsidRPr="00BA06B6">
              <w:t>); income diversity (</w:t>
            </w:r>
            <w:r w:rsidRPr="00BA06B6">
              <w:rPr>
                <w:i/>
                <w:iCs/>
              </w:rPr>
              <w:t>INCD</w:t>
            </w:r>
            <w:r w:rsidRPr="00BA06B6">
              <w:t>); operational efficiency (</w:t>
            </w:r>
            <w:r w:rsidRPr="00BA06B6">
              <w:rPr>
                <w:i/>
                <w:iCs/>
              </w:rPr>
              <w:t>COST</w:t>
            </w:r>
            <w:r w:rsidRPr="00BA06B6">
              <w:t>); capital (</w:t>
            </w:r>
            <w:r w:rsidRPr="00BA06B6">
              <w:rPr>
                <w:i/>
                <w:iCs/>
              </w:rPr>
              <w:t>CAP</w:t>
            </w:r>
            <w:r w:rsidRPr="00BA06B6">
              <w:t>);  voice and accountability (</w:t>
            </w:r>
            <w:r w:rsidRPr="00BA06B6">
              <w:rPr>
                <w:i/>
                <w:iCs/>
              </w:rPr>
              <w:t>V&amp;A</w:t>
            </w:r>
            <w:r w:rsidRPr="00BA06B6">
              <w:t>); regulatory quality (</w:t>
            </w:r>
            <w:r w:rsidRPr="00BA06B6">
              <w:rPr>
                <w:i/>
                <w:iCs/>
              </w:rPr>
              <w:t>RQ</w:t>
            </w:r>
            <w:r w:rsidRPr="00BA06B6">
              <w:t>); rule of low (</w:t>
            </w:r>
            <w:r w:rsidRPr="00BA06B6">
              <w:rPr>
                <w:i/>
                <w:iCs/>
              </w:rPr>
              <w:t>RL</w:t>
            </w:r>
            <w:r w:rsidRPr="00BA06B6">
              <w:t>); inflation (</w:t>
            </w:r>
            <w:r w:rsidRPr="00BA06B6">
              <w:rPr>
                <w:i/>
                <w:iCs/>
              </w:rPr>
              <w:t>INFL</w:t>
            </w:r>
            <w:r w:rsidRPr="00BA06B6">
              <w:t>) and GDP per capita (</w:t>
            </w:r>
            <w:r w:rsidRPr="00BA06B6">
              <w:rPr>
                <w:i/>
                <w:iCs/>
              </w:rPr>
              <w:t>GDP</w:t>
            </w:r>
            <w:r w:rsidRPr="00BA06B6">
              <w:t>). Table 3 fully defines all the variables used.</w:t>
            </w:r>
          </w:p>
        </w:tc>
      </w:tr>
    </w:tbl>
    <w:p w14:paraId="0A47041D" w14:textId="77777777" w:rsidR="00AA068C" w:rsidRPr="00BA06B6" w:rsidRDefault="00AA068C" w:rsidP="00AA068C">
      <w:pPr>
        <w:tabs>
          <w:tab w:val="left" w:pos="851"/>
        </w:tabs>
        <w:spacing w:after="0" w:line="240" w:lineRule="auto"/>
        <w:ind w:right="105"/>
        <w:jc w:val="both"/>
        <w:rPr>
          <w:rFonts w:ascii="Times New Roman" w:eastAsia="Times New Roman" w:hAnsi="Times New Roman" w:cs="Times New Roman"/>
          <w:sz w:val="18"/>
          <w:szCs w:val="18"/>
          <w:lang w:eastAsia="en-GB"/>
        </w:rPr>
        <w:sectPr w:rsidR="00AA068C" w:rsidRPr="00BA06B6" w:rsidSect="00BC341D">
          <w:endnotePr>
            <w:numFmt w:val="decimal"/>
          </w:endnotePr>
          <w:pgSz w:w="15840" w:h="12240" w:orient="landscape"/>
          <w:pgMar w:top="1440" w:right="1440" w:bottom="1440" w:left="1440" w:header="709" w:footer="709" w:gutter="0"/>
          <w:cols w:space="708"/>
          <w:docGrid w:linePitch="360"/>
        </w:sectPr>
      </w:pPr>
    </w:p>
    <w:p w14:paraId="6175839B" w14:textId="77777777" w:rsidR="00AA068C" w:rsidRPr="00BA06B6" w:rsidRDefault="00AA068C" w:rsidP="00AA068C"/>
    <w:tbl>
      <w:tblPr>
        <w:tblStyle w:val="TableGrid2"/>
        <w:tblpPr w:leftFromText="180" w:rightFromText="180" w:vertAnchor="text" w:tblpXSpec="center" w:tblpY="1"/>
        <w:tblOverlap w:val="never"/>
        <w:tblW w:w="5922"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76"/>
        <w:gridCol w:w="801"/>
        <w:gridCol w:w="801"/>
        <w:gridCol w:w="801"/>
        <w:gridCol w:w="937"/>
        <w:gridCol w:w="843"/>
        <w:gridCol w:w="854"/>
        <w:gridCol w:w="896"/>
        <w:gridCol w:w="741"/>
        <w:gridCol w:w="947"/>
        <w:gridCol w:w="947"/>
        <w:gridCol w:w="946"/>
      </w:tblGrid>
      <w:tr w:rsidR="00BA06B6" w:rsidRPr="00BA06B6" w14:paraId="590920FB" w14:textId="77777777" w:rsidTr="00B91469">
        <w:trPr>
          <w:trHeight w:val="20"/>
          <w:tblHeader/>
        </w:trPr>
        <w:tc>
          <w:tcPr>
            <w:tcW w:w="5000" w:type="pct"/>
            <w:gridSpan w:val="12"/>
            <w:shd w:val="clear" w:color="auto" w:fill="FFFFFF" w:themeFill="background1"/>
          </w:tcPr>
          <w:p w14:paraId="7446BE8D" w14:textId="77777777" w:rsidR="00AA068C" w:rsidRPr="00BA06B6" w:rsidRDefault="00AA068C" w:rsidP="00BC341D">
            <w:pPr>
              <w:tabs>
                <w:tab w:val="left" w:pos="851"/>
              </w:tabs>
              <w:jc w:val="both"/>
              <w:rPr>
                <w:rFonts w:ascii="Times New Roman" w:eastAsia="Calibri" w:hAnsi="Times New Roman" w:cs="Times New Roman"/>
                <w:b/>
                <w:bCs/>
                <w:sz w:val="20"/>
                <w:szCs w:val="20"/>
              </w:rPr>
            </w:pPr>
            <w:r w:rsidRPr="00BA06B6">
              <w:rPr>
                <w:rFonts w:ascii="Times New Roman" w:eastAsia="Calibri" w:hAnsi="Times New Roman" w:cs="Times New Roman"/>
                <w:b/>
                <w:bCs/>
                <w:sz w:val="20"/>
                <w:szCs w:val="20"/>
              </w:rPr>
              <w:t xml:space="preserve">TABLE 7   </w:t>
            </w:r>
            <w:r w:rsidRPr="00BA06B6">
              <w:rPr>
                <w:rFonts w:ascii="Times New Roman" w:eastAsia="Calibri" w:hAnsi="Times New Roman" w:cs="Times New Roman"/>
                <w:sz w:val="20"/>
                <w:szCs w:val="20"/>
              </w:rPr>
              <w:t>The moderating effect of governance structures on the relationship between risk disclosures and banks’ ratings using ordered logistic regression</w:t>
            </w:r>
          </w:p>
        </w:tc>
      </w:tr>
      <w:tr w:rsidR="00BA06B6" w:rsidRPr="00BA06B6" w14:paraId="03159168" w14:textId="77777777" w:rsidTr="00B91469">
        <w:trPr>
          <w:trHeight w:val="20"/>
          <w:tblHeader/>
        </w:trPr>
        <w:tc>
          <w:tcPr>
            <w:tcW w:w="550" w:type="pct"/>
            <w:vMerge w:val="restart"/>
            <w:tcBorders>
              <w:top w:val="single" w:sz="12" w:space="0" w:color="auto"/>
            </w:tcBorders>
            <w:shd w:val="clear" w:color="auto" w:fill="FFFFFF" w:themeFill="background1"/>
          </w:tcPr>
          <w:p w14:paraId="4E431D77" w14:textId="77777777" w:rsidR="00AA068C" w:rsidRPr="00BA06B6" w:rsidRDefault="00AA068C" w:rsidP="00BC341D">
            <w:pPr>
              <w:tabs>
                <w:tab w:val="left" w:pos="851"/>
              </w:tabs>
              <w:jc w:val="both"/>
              <w:rPr>
                <w:rFonts w:ascii="Times New Roman" w:eastAsia="Calibri" w:hAnsi="Times New Roman" w:cs="Times New Roman"/>
                <w:b/>
                <w:bCs/>
                <w:sz w:val="18"/>
                <w:szCs w:val="18"/>
              </w:rPr>
            </w:pPr>
          </w:p>
          <w:p w14:paraId="7FCE47BA"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Variables</w:t>
            </w:r>
          </w:p>
        </w:tc>
        <w:tc>
          <w:tcPr>
            <w:tcW w:w="3558" w:type="pct"/>
            <w:gridSpan w:val="9"/>
            <w:tcBorders>
              <w:top w:val="single" w:sz="12" w:space="0" w:color="auto"/>
              <w:bottom w:val="single" w:sz="4" w:space="0" w:color="auto"/>
            </w:tcBorders>
            <w:shd w:val="clear" w:color="auto" w:fill="FFFFFF" w:themeFill="background1"/>
            <w:vAlign w:val="bottom"/>
          </w:tcPr>
          <w:p w14:paraId="27A2A12F" w14:textId="77777777" w:rsidR="00AA068C" w:rsidRPr="00BA06B6" w:rsidRDefault="00AA068C" w:rsidP="00BC341D">
            <w:pPr>
              <w:tabs>
                <w:tab w:val="left" w:pos="851"/>
              </w:tabs>
              <w:jc w:val="both"/>
              <w:rPr>
                <w:rFonts w:ascii="Times New Roman" w:eastAsia="Calibri" w:hAnsi="Times New Roman" w:cs="Times New Roman"/>
                <w:b/>
                <w:bCs/>
                <w:i/>
                <w:sz w:val="18"/>
                <w:szCs w:val="18"/>
                <w:lang w:eastAsia="zh-CN"/>
              </w:rPr>
            </w:pPr>
            <w:r w:rsidRPr="00BA06B6">
              <w:rPr>
                <w:rFonts w:ascii="Times New Roman" w:eastAsia="Calibri" w:hAnsi="Times New Roman" w:cs="Times New Roman"/>
                <w:b/>
                <w:bCs/>
                <w:i/>
                <w:sz w:val="18"/>
                <w:szCs w:val="18"/>
                <w:lang w:eastAsia="zh-CN"/>
              </w:rPr>
              <w:t>Dependent variable: Bank’s long-term issuer default ratings (BCRs)</w:t>
            </w:r>
          </w:p>
        </w:tc>
        <w:tc>
          <w:tcPr>
            <w:tcW w:w="447" w:type="pct"/>
            <w:tcBorders>
              <w:top w:val="single" w:sz="12" w:space="0" w:color="auto"/>
              <w:bottom w:val="single" w:sz="4" w:space="0" w:color="auto"/>
            </w:tcBorders>
            <w:shd w:val="clear" w:color="auto" w:fill="FFFFFF" w:themeFill="background1"/>
            <w:vAlign w:val="bottom"/>
          </w:tcPr>
          <w:p w14:paraId="250E503B" w14:textId="77777777" w:rsidR="00AA068C" w:rsidRPr="00BA06B6" w:rsidRDefault="00AA068C" w:rsidP="00BC341D">
            <w:pPr>
              <w:tabs>
                <w:tab w:val="left" w:pos="851"/>
              </w:tabs>
              <w:jc w:val="both"/>
              <w:rPr>
                <w:rFonts w:ascii="Times New Roman" w:eastAsia="Calibri" w:hAnsi="Times New Roman" w:cs="Times New Roman"/>
                <w:b/>
                <w:bCs/>
                <w:i/>
                <w:sz w:val="18"/>
                <w:szCs w:val="18"/>
                <w:lang w:eastAsia="zh-CN"/>
              </w:rPr>
            </w:pPr>
          </w:p>
        </w:tc>
        <w:tc>
          <w:tcPr>
            <w:tcW w:w="445" w:type="pct"/>
            <w:tcBorders>
              <w:top w:val="single" w:sz="12" w:space="0" w:color="auto"/>
              <w:bottom w:val="single" w:sz="4" w:space="0" w:color="auto"/>
            </w:tcBorders>
            <w:shd w:val="clear" w:color="auto" w:fill="FFFFFF" w:themeFill="background1"/>
          </w:tcPr>
          <w:p w14:paraId="3128BE34" w14:textId="77777777" w:rsidR="00AA068C" w:rsidRPr="00BA06B6" w:rsidRDefault="00AA068C" w:rsidP="00BC341D">
            <w:pPr>
              <w:tabs>
                <w:tab w:val="left" w:pos="851"/>
              </w:tabs>
              <w:jc w:val="both"/>
              <w:rPr>
                <w:rFonts w:ascii="Times New Roman" w:eastAsia="Calibri" w:hAnsi="Times New Roman" w:cs="Times New Roman"/>
                <w:b/>
                <w:bCs/>
                <w:i/>
                <w:sz w:val="18"/>
                <w:szCs w:val="18"/>
                <w:lang w:eastAsia="zh-CN"/>
              </w:rPr>
            </w:pPr>
          </w:p>
        </w:tc>
      </w:tr>
      <w:tr w:rsidR="00BA06B6" w:rsidRPr="00BA06B6" w14:paraId="7BA05428" w14:textId="77777777" w:rsidTr="00B91469">
        <w:trPr>
          <w:trHeight w:val="20"/>
          <w:tblHeader/>
        </w:trPr>
        <w:tc>
          <w:tcPr>
            <w:tcW w:w="550" w:type="pct"/>
            <w:vMerge/>
            <w:shd w:val="clear" w:color="auto" w:fill="FFFFFF" w:themeFill="background1"/>
            <w:vAlign w:val="bottom"/>
          </w:tcPr>
          <w:p w14:paraId="6D780551" w14:textId="77777777" w:rsidR="00AA068C" w:rsidRPr="00BA06B6" w:rsidRDefault="00AA068C" w:rsidP="00BC341D">
            <w:pPr>
              <w:tabs>
                <w:tab w:val="left" w:pos="851"/>
              </w:tabs>
              <w:jc w:val="both"/>
              <w:rPr>
                <w:rFonts w:ascii="Times New Roman" w:eastAsia="Calibri" w:hAnsi="Times New Roman" w:cs="Times New Roman"/>
                <w:b/>
                <w:bCs/>
                <w:sz w:val="18"/>
                <w:szCs w:val="18"/>
              </w:rPr>
            </w:pPr>
          </w:p>
        </w:tc>
        <w:tc>
          <w:tcPr>
            <w:tcW w:w="375" w:type="pct"/>
            <w:tcBorders>
              <w:top w:val="single" w:sz="4" w:space="0" w:color="auto"/>
            </w:tcBorders>
            <w:shd w:val="clear" w:color="auto" w:fill="FFFFFF" w:themeFill="background1"/>
            <w:vAlign w:val="bottom"/>
          </w:tcPr>
          <w:p w14:paraId="3070D9A8"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(1)</w:t>
            </w:r>
          </w:p>
        </w:tc>
        <w:tc>
          <w:tcPr>
            <w:tcW w:w="375" w:type="pct"/>
            <w:tcBorders>
              <w:top w:val="single" w:sz="4" w:space="0" w:color="auto"/>
            </w:tcBorders>
            <w:shd w:val="clear" w:color="auto" w:fill="FFFFFF" w:themeFill="background1"/>
            <w:vAlign w:val="bottom"/>
          </w:tcPr>
          <w:p w14:paraId="745ADBB8"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(2)</w:t>
            </w:r>
          </w:p>
        </w:tc>
        <w:tc>
          <w:tcPr>
            <w:tcW w:w="375" w:type="pct"/>
            <w:tcBorders>
              <w:top w:val="single" w:sz="4" w:space="0" w:color="auto"/>
            </w:tcBorders>
            <w:shd w:val="clear" w:color="auto" w:fill="FFFFFF" w:themeFill="background1"/>
            <w:vAlign w:val="bottom"/>
          </w:tcPr>
          <w:p w14:paraId="5CAC0BF1"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(3) </w:t>
            </w:r>
          </w:p>
        </w:tc>
        <w:tc>
          <w:tcPr>
            <w:tcW w:w="448" w:type="pct"/>
            <w:tcBorders>
              <w:top w:val="single" w:sz="4" w:space="0" w:color="auto"/>
            </w:tcBorders>
            <w:shd w:val="clear" w:color="auto" w:fill="FFFFFF" w:themeFill="background1"/>
            <w:vAlign w:val="bottom"/>
          </w:tcPr>
          <w:p w14:paraId="4F52FE2F"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(4)</w:t>
            </w:r>
          </w:p>
        </w:tc>
        <w:tc>
          <w:tcPr>
            <w:tcW w:w="397" w:type="pct"/>
            <w:tcBorders>
              <w:top w:val="single" w:sz="4" w:space="0" w:color="auto"/>
            </w:tcBorders>
            <w:shd w:val="clear" w:color="auto" w:fill="FFFFFF" w:themeFill="background1"/>
            <w:vAlign w:val="bottom"/>
          </w:tcPr>
          <w:p w14:paraId="3DEE1E8D"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(5) </w:t>
            </w:r>
          </w:p>
        </w:tc>
        <w:tc>
          <w:tcPr>
            <w:tcW w:w="402" w:type="pct"/>
            <w:tcBorders>
              <w:top w:val="single" w:sz="4" w:space="0" w:color="auto"/>
            </w:tcBorders>
            <w:shd w:val="clear" w:color="auto" w:fill="FFFFFF" w:themeFill="background1"/>
            <w:vAlign w:val="bottom"/>
          </w:tcPr>
          <w:p w14:paraId="7316DA04"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(6) </w:t>
            </w:r>
          </w:p>
        </w:tc>
        <w:tc>
          <w:tcPr>
            <w:tcW w:w="405" w:type="pct"/>
            <w:tcBorders>
              <w:top w:val="single" w:sz="4" w:space="0" w:color="auto"/>
            </w:tcBorders>
            <w:shd w:val="clear" w:color="auto" w:fill="FFFFFF" w:themeFill="background1"/>
            <w:vAlign w:val="bottom"/>
          </w:tcPr>
          <w:p w14:paraId="4EB6C0A4"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(7)</w:t>
            </w:r>
          </w:p>
        </w:tc>
        <w:tc>
          <w:tcPr>
            <w:tcW w:w="347" w:type="pct"/>
            <w:tcBorders>
              <w:top w:val="single" w:sz="4" w:space="0" w:color="auto"/>
            </w:tcBorders>
            <w:shd w:val="clear" w:color="auto" w:fill="FFFFFF" w:themeFill="background1"/>
            <w:vAlign w:val="bottom"/>
          </w:tcPr>
          <w:p w14:paraId="540930B7"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(8)</w:t>
            </w:r>
          </w:p>
        </w:tc>
        <w:tc>
          <w:tcPr>
            <w:tcW w:w="434" w:type="pct"/>
            <w:tcBorders>
              <w:top w:val="single" w:sz="4" w:space="0" w:color="auto"/>
            </w:tcBorders>
            <w:shd w:val="clear" w:color="auto" w:fill="FFFFFF" w:themeFill="background1"/>
            <w:vAlign w:val="bottom"/>
          </w:tcPr>
          <w:p w14:paraId="7F9EADD9"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(9) </w:t>
            </w:r>
          </w:p>
        </w:tc>
        <w:tc>
          <w:tcPr>
            <w:tcW w:w="447" w:type="pct"/>
            <w:tcBorders>
              <w:top w:val="single" w:sz="4" w:space="0" w:color="auto"/>
            </w:tcBorders>
            <w:shd w:val="clear" w:color="auto" w:fill="FFFFFF" w:themeFill="background1"/>
            <w:vAlign w:val="bottom"/>
          </w:tcPr>
          <w:p w14:paraId="05806814"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lang w:eastAsia="zh-CN"/>
              </w:rPr>
              <w:t>(10)</w:t>
            </w:r>
          </w:p>
        </w:tc>
        <w:tc>
          <w:tcPr>
            <w:tcW w:w="445" w:type="pct"/>
            <w:tcBorders>
              <w:top w:val="single" w:sz="4" w:space="0" w:color="auto"/>
            </w:tcBorders>
            <w:shd w:val="clear" w:color="auto" w:fill="FFFFFF" w:themeFill="background1"/>
          </w:tcPr>
          <w:p w14:paraId="2A257FB0" w14:textId="77777777" w:rsidR="00AA068C" w:rsidRPr="00BA06B6" w:rsidRDefault="00AA068C" w:rsidP="00BC341D">
            <w:pPr>
              <w:tabs>
                <w:tab w:val="left" w:pos="851"/>
              </w:tabs>
              <w:jc w:val="both"/>
              <w:rPr>
                <w:rFonts w:ascii="Times New Roman" w:eastAsia="Calibri" w:hAnsi="Times New Roman" w:cs="Times New Roman"/>
                <w:b/>
                <w:bCs/>
                <w:sz w:val="18"/>
                <w:szCs w:val="18"/>
                <w:lang w:eastAsia="zh-CN"/>
              </w:rPr>
            </w:pPr>
            <w:r w:rsidRPr="00BA06B6">
              <w:rPr>
                <w:rFonts w:ascii="Times New Roman" w:eastAsia="Calibri" w:hAnsi="Times New Roman" w:cs="Times New Roman"/>
                <w:b/>
                <w:bCs/>
                <w:sz w:val="18"/>
                <w:szCs w:val="18"/>
                <w:lang w:eastAsia="zh-CN"/>
              </w:rPr>
              <w:t>(11)</w:t>
            </w:r>
          </w:p>
        </w:tc>
      </w:tr>
      <w:tr w:rsidR="00BA06B6" w:rsidRPr="00BA06B6" w14:paraId="5E5624CC" w14:textId="77777777" w:rsidTr="00B91469">
        <w:trPr>
          <w:trHeight w:val="20"/>
          <w:tblHeader/>
        </w:trPr>
        <w:tc>
          <w:tcPr>
            <w:tcW w:w="550" w:type="pct"/>
            <w:vMerge/>
            <w:tcBorders>
              <w:bottom w:val="single" w:sz="12" w:space="0" w:color="auto"/>
            </w:tcBorders>
            <w:shd w:val="clear" w:color="auto" w:fill="FFFFFF" w:themeFill="background1"/>
            <w:vAlign w:val="bottom"/>
          </w:tcPr>
          <w:p w14:paraId="50C97ED6" w14:textId="77777777" w:rsidR="00AA068C" w:rsidRPr="00BA06B6" w:rsidRDefault="00AA068C" w:rsidP="00BC341D">
            <w:pPr>
              <w:tabs>
                <w:tab w:val="left" w:pos="851"/>
              </w:tabs>
              <w:jc w:val="both"/>
              <w:rPr>
                <w:rFonts w:ascii="Times New Roman" w:eastAsia="Calibri" w:hAnsi="Times New Roman" w:cs="Times New Roman"/>
                <w:b/>
                <w:bCs/>
                <w:sz w:val="18"/>
                <w:szCs w:val="18"/>
              </w:rPr>
            </w:pPr>
          </w:p>
        </w:tc>
        <w:tc>
          <w:tcPr>
            <w:tcW w:w="375" w:type="pct"/>
            <w:tcBorders>
              <w:bottom w:val="single" w:sz="12" w:space="0" w:color="auto"/>
            </w:tcBorders>
            <w:shd w:val="clear" w:color="auto" w:fill="FFFFFF" w:themeFill="background1"/>
            <w:vAlign w:val="bottom"/>
          </w:tcPr>
          <w:p w14:paraId="5D13BEC4"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Full</w:t>
            </w:r>
          </w:p>
        </w:tc>
        <w:tc>
          <w:tcPr>
            <w:tcW w:w="375" w:type="pct"/>
            <w:tcBorders>
              <w:bottom w:val="single" w:sz="12" w:space="0" w:color="auto"/>
            </w:tcBorders>
            <w:shd w:val="clear" w:color="auto" w:fill="FFFFFF" w:themeFill="background1"/>
            <w:vAlign w:val="bottom"/>
          </w:tcPr>
          <w:p w14:paraId="598A5C0A"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Full</w:t>
            </w:r>
          </w:p>
        </w:tc>
        <w:tc>
          <w:tcPr>
            <w:tcW w:w="375" w:type="pct"/>
            <w:tcBorders>
              <w:bottom w:val="single" w:sz="12" w:space="0" w:color="auto"/>
            </w:tcBorders>
            <w:shd w:val="clear" w:color="auto" w:fill="FFFFFF" w:themeFill="background1"/>
            <w:vAlign w:val="bottom"/>
          </w:tcPr>
          <w:p w14:paraId="2BF9C89F"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Full</w:t>
            </w:r>
          </w:p>
        </w:tc>
        <w:tc>
          <w:tcPr>
            <w:tcW w:w="448" w:type="pct"/>
            <w:tcBorders>
              <w:bottom w:val="single" w:sz="12" w:space="0" w:color="auto"/>
            </w:tcBorders>
            <w:shd w:val="clear" w:color="auto" w:fill="FFFFFF" w:themeFill="background1"/>
            <w:vAlign w:val="bottom"/>
          </w:tcPr>
          <w:p w14:paraId="28923F33"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IBs</w:t>
            </w:r>
          </w:p>
        </w:tc>
        <w:tc>
          <w:tcPr>
            <w:tcW w:w="397" w:type="pct"/>
            <w:tcBorders>
              <w:bottom w:val="single" w:sz="12" w:space="0" w:color="auto"/>
            </w:tcBorders>
            <w:shd w:val="clear" w:color="auto" w:fill="FFFFFF" w:themeFill="background1"/>
            <w:vAlign w:val="bottom"/>
          </w:tcPr>
          <w:p w14:paraId="0D8F4D4A"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CBs</w:t>
            </w:r>
          </w:p>
        </w:tc>
        <w:tc>
          <w:tcPr>
            <w:tcW w:w="402" w:type="pct"/>
            <w:tcBorders>
              <w:bottom w:val="single" w:sz="12" w:space="0" w:color="auto"/>
            </w:tcBorders>
            <w:shd w:val="clear" w:color="auto" w:fill="FFFFFF" w:themeFill="background1"/>
            <w:vAlign w:val="bottom"/>
          </w:tcPr>
          <w:p w14:paraId="4D94C77B"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DBs</w:t>
            </w:r>
          </w:p>
        </w:tc>
        <w:tc>
          <w:tcPr>
            <w:tcW w:w="405" w:type="pct"/>
            <w:tcBorders>
              <w:bottom w:val="single" w:sz="12" w:space="0" w:color="auto"/>
            </w:tcBorders>
            <w:shd w:val="clear" w:color="auto" w:fill="FFFFFF" w:themeFill="background1"/>
            <w:vAlign w:val="bottom"/>
          </w:tcPr>
          <w:p w14:paraId="5FB58AFB" w14:textId="77777777" w:rsidR="00AA068C" w:rsidRPr="00BA06B6" w:rsidRDefault="00AA068C" w:rsidP="00BC341D">
            <w:pPr>
              <w:tabs>
                <w:tab w:val="left" w:pos="851"/>
              </w:tabs>
              <w:jc w:val="both"/>
              <w:rPr>
                <w:rFonts w:ascii="Times New Roman" w:eastAsia="Calibri" w:hAnsi="Times New Roman" w:cs="Times New Roman"/>
                <w:b/>
                <w:bCs/>
                <w:sz w:val="18"/>
                <w:szCs w:val="18"/>
                <w:lang w:eastAsia="zh-CN"/>
              </w:rPr>
            </w:pPr>
            <w:r w:rsidRPr="00BA06B6">
              <w:rPr>
                <w:rFonts w:ascii="Times New Roman" w:eastAsia="Calibri" w:hAnsi="Times New Roman" w:cs="Times New Roman"/>
                <w:b/>
                <w:bCs/>
                <w:sz w:val="18"/>
                <w:szCs w:val="18"/>
                <w:lang w:eastAsia="zh-CN"/>
              </w:rPr>
              <w:t>Pre07/08</w:t>
            </w:r>
          </w:p>
        </w:tc>
        <w:tc>
          <w:tcPr>
            <w:tcW w:w="347" w:type="pct"/>
            <w:tcBorders>
              <w:bottom w:val="single" w:sz="12" w:space="0" w:color="auto"/>
            </w:tcBorders>
            <w:shd w:val="clear" w:color="auto" w:fill="FFFFFF" w:themeFill="background1"/>
            <w:vAlign w:val="bottom"/>
          </w:tcPr>
          <w:p w14:paraId="52A19C18" w14:textId="77777777" w:rsidR="00AA068C" w:rsidRPr="00BA06B6" w:rsidRDefault="00AA068C" w:rsidP="00BC341D">
            <w:pPr>
              <w:tabs>
                <w:tab w:val="left" w:pos="851"/>
              </w:tabs>
              <w:jc w:val="both"/>
              <w:rPr>
                <w:rFonts w:ascii="Times New Roman" w:eastAsia="Calibri" w:hAnsi="Times New Roman" w:cs="Times New Roman"/>
                <w:b/>
                <w:bCs/>
                <w:sz w:val="18"/>
                <w:szCs w:val="18"/>
                <w:lang w:eastAsia="zh-CN"/>
              </w:rPr>
            </w:pPr>
            <w:r w:rsidRPr="00BA06B6">
              <w:rPr>
                <w:rFonts w:ascii="Times New Roman" w:eastAsia="Calibri" w:hAnsi="Times New Roman" w:cs="Times New Roman"/>
                <w:b/>
                <w:bCs/>
                <w:sz w:val="18"/>
                <w:szCs w:val="18"/>
                <w:lang w:eastAsia="zh-CN"/>
              </w:rPr>
              <w:t>07/08</w:t>
            </w:r>
          </w:p>
        </w:tc>
        <w:tc>
          <w:tcPr>
            <w:tcW w:w="434" w:type="pct"/>
            <w:tcBorders>
              <w:bottom w:val="single" w:sz="12" w:space="0" w:color="auto"/>
            </w:tcBorders>
            <w:shd w:val="clear" w:color="auto" w:fill="FFFFFF" w:themeFill="background1"/>
            <w:vAlign w:val="bottom"/>
          </w:tcPr>
          <w:p w14:paraId="1CEE278D" w14:textId="77777777" w:rsidR="00AA068C" w:rsidRPr="00BA06B6" w:rsidRDefault="00AA068C" w:rsidP="00BC341D">
            <w:pPr>
              <w:tabs>
                <w:tab w:val="left" w:pos="851"/>
              </w:tabs>
              <w:jc w:val="both"/>
              <w:rPr>
                <w:rFonts w:ascii="Times New Roman" w:eastAsia="Calibri" w:hAnsi="Times New Roman" w:cs="Times New Roman"/>
                <w:b/>
                <w:bCs/>
                <w:sz w:val="18"/>
                <w:szCs w:val="18"/>
                <w:lang w:eastAsia="zh-CN"/>
              </w:rPr>
            </w:pPr>
            <w:r w:rsidRPr="00BA06B6">
              <w:rPr>
                <w:rFonts w:ascii="Times New Roman" w:eastAsia="Calibri" w:hAnsi="Times New Roman" w:cs="Times New Roman"/>
                <w:b/>
                <w:bCs/>
                <w:sz w:val="18"/>
                <w:szCs w:val="18"/>
                <w:lang w:eastAsia="zh-CN"/>
              </w:rPr>
              <w:t>post07/08</w:t>
            </w:r>
          </w:p>
        </w:tc>
        <w:tc>
          <w:tcPr>
            <w:tcW w:w="447" w:type="pct"/>
            <w:tcBorders>
              <w:bottom w:val="single" w:sz="12" w:space="0" w:color="auto"/>
            </w:tcBorders>
            <w:shd w:val="clear" w:color="auto" w:fill="FFFFFF" w:themeFill="background1"/>
            <w:vAlign w:val="bottom"/>
          </w:tcPr>
          <w:p w14:paraId="77701619" w14:textId="77777777" w:rsidR="00AA068C" w:rsidRPr="00BA06B6" w:rsidRDefault="00AA068C" w:rsidP="00BC341D">
            <w:pPr>
              <w:tabs>
                <w:tab w:val="left" w:pos="851"/>
              </w:tabs>
              <w:jc w:val="both"/>
              <w:rPr>
                <w:rFonts w:ascii="Times New Roman" w:eastAsia="Calibri" w:hAnsi="Times New Roman" w:cs="Times New Roman"/>
                <w:b/>
                <w:bCs/>
                <w:sz w:val="18"/>
                <w:szCs w:val="18"/>
                <w:lang w:eastAsia="zh-CN"/>
              </w:rPr>
            </w:pPr>
            <w:r w:rsidRPr="00BA06B6">
              <w:rPr>
                <w:rFonts w:ascii="Times New Roman" w:eastAsia="Calibri" w:hAnsi="Times New Roman" w:cs="Times New Roman"/>
                <w:b/>
                <w:bCs/>
                <w:sz w:val="18"/>
                <w:szCs w:val="18"/>
                <w:lang w:eastAsia="zh-CN"/>
              </w:rPr>
              <w:t>2SLS</w:t>
            </w:r>
          </w:p>
        </w:tc>
        <w:tc>
          <w:tcPr>
            <w:tcW w:w="445" w:type="pct"/>
            <w:tcBorders>
              <w:bottom w:val="single" w:sz="12" w:space="0" w:color="auto"/>
            </w:tcBorders>
            <w:shd w:val="clear" w:color="auto" w:fill="FFFFFF" w:themeFill="background1"/>
          </w:tcPr>
          <w:p w14:paraId="220CC108" w14:textId="77777777" w:rsidR="00AA068C" w:rsidRPr="00BA06B6" w:rsidRDefault="00AA068C" w:rsidP="00BC341D">
            <w:pPr>
              <w:tabs>
                <w:tab w:val="left" w:pos="851"/>
              </w:tabs>
              <w:jc w:val="both"/>
              <w:rPr>
                <w:rFonts w:ascii="Times New Roman" w:eastAsia="Calibri" w:hAnsi="Times New Roman" w:cs="Times New Roman"/>
                <w:b/>
                <w:bCs/>
                <w:sz w:val="18"/>
                <w:szCs w:val="18"/>
                <w:lang w:eastAsia="zh-CN"/>
              </w:rPr>
            </w:pPr>
            <w:r w:rsidRPr="00BA06B6">
              <w:rPr>
                <w:rFonts w:ascii="Times New Roman" w:eastAsia="Calibri" w:hAnsi="Times New Roman" w:cs="Times New Roman"/>
                <w:b/>
                <w:bCs/>
                <w:sz w:val="18"/>
                <w:szCs w:val="18"/>
                <w:lang w:eastAsia="zh-CN"/>
              </w:rPr>
              <w:t>ΔBCRs</w:t>
            </w:r>
          </w:p>
        </w:tc>
      </w:tr>
      <w:tr w:rsidR="00BA06B6" w:rsidRPr="00BA06B6" w14:paraId="1960B66E" w14:textId="77777777" w:rsidTr="00B91469">
        <w:trPr>
          <w:trHeight w:val="20"/>
          <w:tblHeader/>
        </w:trPr>
        <w:tc>
          <w:tcPr>
            <w:tcW w:w="4108" w:type="pct"/>
            <w:gridSpan w:val="10"/>
            <w:tcBorders>
              <w:top w:val="single" w:sz="12" w:space="0" w:color="auto"/>
              <w:bottom w:val="single" w:sz="12" w:space="0" w:color="auto"/>
            </w:tcBorders>
            <w:shd w:val="clear" w:color="auto" w:fill="FFFFFF" w:themeFill="background1"/>
            <w:vAlign w:val="bottom"/>
          </w:tcPr>
          <w:p w14:paraId="29CE9E9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i/>
                <w:sz w:val="18"/>
                <w:szCs w:val="18"/>
                <w:lang w:eastAsia="zh-CN"/>
              </w:rPr>
              <w:t>Panel A: Un-weighted RDI</w:t>
            </w:r>
          </w:p>
        </w:tc>
        <w:tc>
          <w:tcPr>
            <w:tcW w:w="447" w:type="pct"/>
            <w:tcBorders>
              <w:top w:val="single" w:sz="12" w:space="0" w:color="auto"/>
              <w:bottom w:val="single" w:sz="12" w:space="0" w:color="auto"/>
            </w:tcBorders>
            <w:shd w:val="clear" w:color="auto" w:fill="FFFFFF" w:themeFill="background1"/>
            <w:vAlign w:val="bottom"/>
          </w:tcPr>
          <w:p w14:paraId="76A70A0D" w14:textId="77777777" w:rsidR="00AA068C" w:rsidRPr="00BA06B6" w:rsidRDefault="00AA068C" w:rsidP="00BC341D">
            <w:pPr>
              <w:tabs>
                <w:tab w:val="left" w:pos="851"/>
              </w:tabs>
              <w:jc w:val="both"/>
              <w:rPr>
                <w:rFonts w:ascii="Times New Roman" w:eastAsia="Calibri" w:hAnsi="Times New Roman" w:cs="Times New Roman"/>
                <w:i/>
                <w:sz w:val="18"/>
                <w:szCs w:val="18"/>
                <w:lang w:eastAsia="zh-CN"/>
              </w:rPr>
            </w:pPr>
          </w:p>
        </w:tc>
        <w:tc>
          <w:tcPr>
            <w:tcW w:w="445" w:type="pct"/>
            <w:tcBorders>
              <w:top w:val="single" w:sz="12" w:space="0" w:color="auto"/>
              <w:bottom w:val="single" w:sz="12" w:space="0" w:color="auto"/>
            </w:tcBorders>
            <w:shd w:val="clear" w:color="auto" w:fill="FFFFFF" w:themeFill="background1"/>
          </w:tcPr>
          <w:p w14:paraId="013996F4" w14:textId="77777777" w:rsidR="00AA068C" w:rsidRPr="00BA06B6" w:rsidRDefault="00AA068C" w:rsidP="00BC341D">
            <w:pPr>
              <w:tabs>
                <w:tab w:val="left" w:pos="851"/>
              </w:tabs>
              <w:jc w:val="both"/>
              <w:rPr>
                <w:rFonts w:ascii="Times New Roman" w:eastAsia="Calibri" w:hAnsi="Times New Roman" w:cs="Times New Roman"/>
                <w:i/>
                <w:sz w:val="18"/>
                <w:szCs w:val="18"/>
                <w:lang w:eastAsia="zh-CN"/>
              </w:rPr>
            </w:pPr>
          </w:p>
        </w:tc>
      </w:tr>
      <w:tr w:rsidR="00BA06B6" w:rsidRPr="00BA06B6" w14:paraId="17EA2261" w14:textId="77777777" w:rsidTr="00B91469">
        <w:trPr>
          <w:trHeight w:val="20"/>
          <w:tblHeader/>
        </w:trPr>
        <w:tc>
          <w:tcPr>
            <w:tcW w:w="550" w:type="pct"/>
            <w:tcBorders>
              <w:top w:val="single" w:sz="12" w:space="0" w:color="auto"/>
            </w:tcBorders>
            <w:shd w:val="clear" w:color="auto" w:fill="FFFFFF" w:themeFill="background1"/>
            <w:vAlign w:val="bottom"/>
          </w:tcPr>
          <w:p w14:paraId="2E435EB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RDI</w:t>
            </w:r>
          </w:p>
        </w:tc>
        <w:tc>
          <w:tcPr>
            <w:tcW w:w="375" w:type="pct"/>
            <w:tcBorders>
              <w:top w:val="single" w:sz="12" w:space="0" w:color="auto"/>
            </w:tcBorders>
            <w:shd w:val="clear" w:color="auto" w:fill="FFFFFF" w:themeFill="background1"/>
            <w:vAlign w:val="bottom"/>
          </w:tcPr>
          <w:p w14:paraId="6996A0F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3.91</w:t>
            </w:r>
            <w:r w:rsidRPr="00BA06B6">
              <w:rPr>
                <w:rFonts w:ascii="Times New Roman" w:eastAsia="Calibri" w:hAnsi="Times New Roman" w:cs="Times New Roman"/>
                <w:bCs/>
                <w:sz w:val="18"/>
                <w:szCs w:val="18"/>
                <w:vertAlign w:val="superscript"/>
              </w:rPr>
              <w:t>***</w:t>
            </w:r>
          </w:p>
        </w:tc>
        <w:tc>
          <w:tcPr>
            <w:tcW w:w="375" w:type="pct"/>
            <w:tcBorders>
              <w:top w:val="single" w:sz="12" w:space="0" w:color="auto"/>
            </w:tcBorders>
            <w:shd w:val="clear" w:color="auto" w:fill="FFFFFF" w:themeFill="background1"/>
            <w:vAlign w:val="bottom"/>
          </w:tcPr>
          <w:p w14:paraId="52AAD2B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2.79</w:t>
            </w:r>
            <w:r w:rsidRPr="00BA06B6">
              <w:rPr>
                <w:rFonts w:ascii="Times New Roman" w:eastAsia="Calibri" w:hAnsi="Times New Roman" w:cs="Times New Roman"/>
                <w:bCs/>
                <w:sz w:val="18"/>
                <w:szCs w:val="18"/>
                <w:vertAlign w:val="superscript"/>
              </w:rPr>
              <w:t>***</w:t>
            </w:r>
          </w:p>
        </w:tc>
        <w:tc>
          <w:tcPr>
            <w:tcW w:w="375" w:type="pct"/>
            <w:tcBorders>
              <w:top w:val="single" w:sz="12" w:space="0" w:color="auto"/>
            </w:tcBorders>
            <w:shd w:val="clear" w:color="auto" w:fill="FFFFFF" w:themeFill="background1"/>
            <w:vAlign w:val="bottom"/>
          </w:tcPr>
          <w:p w14:paraId="7E621BC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2.64</w:t>
            </w:r>
            <w:r w:rsidRPr="00BA06B6">
              <w:rPr>
                <w:rFonts w:ascii="Times New Roman" w:eastAsia="Calibri" w:hAnsi="Times New Roman" w:cs="Times New Roman"/>
                <w:bCs/>
                <w:sz w:val="18"/>
                <w:szCs w:val="18"/>
                <w:vertAlign w:val="superscript"/>
              </w:rPr>
              <w:t>***</w:t>
            </w:r>
          </w:p>
        </w:tc>
        <w:tc>
          <w:tcPr>
            <w:tcW w:w="448" w:type="pct"/>
            <w:tcBorders>
              <w:top w:val="single" w:sz="12" w:space="0" w:color="auto"/>
            </w:tcBorders>
            <w:shd w:val="clear" w:color="auto" w:fill="FFFFFF" w:themeFill="background1"/>
            <w:vAlign w:val="bottom"/>
          </w:tcPr>
          <w:p w14:paraId="14D1949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1.68</w:t>
            </w:r>
            <w:r w:rsidRPr="00BA06B6">
              <w:rPr>
                <w:rFonts w:ascii="Times New Roman" w:eastAsia="Calibri" w:hAnsi="Times New Roman" w:cs="Times New Roman"/>
                <w:bCs/>
                <w:sz w:val="18"/>
                <w:szCs w:val="18"/>
                <w:vertAlign w:val="superscript"/>
              </w:rPr>
              <w:t>*</w:t>
            </w:r>
          </w:p>
        </w:tc>
        <w:tc>
          <w:tcPr>
            <w:tcW w:w="397" w:type="pct"/>
            <w:tcBorders>
              <w:top w:val="single" w:sz="12" w:space="0" w:color="auto"/>
            </w:tcBorders>
            <w:shd w:val="clear" w:color="auto" w:fill="FFFFFF" w:themeFill="background1"/>
            <w:vAlign w:val="bottom"/>
          </w:tcPr>
          <w:p w14:paraId="473D335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1.73</w:t>
            </w:r>
            <w:r w:rsidRPr="00BA06B6">
              <w:rPr>
                <w:rFonts w:ascii="Times New Roman" w:eastAsia="Calibri" w:hAnsi="Times New Roman" w:cs="Times New Roman"/>
                <w:bCs/>
                <w:sz w:val="18"/>
                <w:szCs w:val="18"/>
                <w:vertAlign w:val="superscript"/>
              </w:rPr>
              <w:t>*</w:t>
            </w:r>
          </w:p>
        </w:tc>
        <w:tc>
          <w:tcPr>
            <w:tcW w:w="402" w:type="pct"/>
            <w:tcBorders>
              <w:top w:val="single" w:sz="12" w:space="0" w:color="auto"/>
            </w:tcBorders>
            <w:shd w:val="clear" w:color="auto" w:fill="FFFFFF" w:themeFill="background1"/>
            <w:vAlign w:val="bottom"/>
          </w:tcPr>
          <w:p w14:paraId="11E7D1C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2.64</w:t>
            </w:r>
            <w:r w:rsidRPr="00BA06B6">
              <w:rPr>
                <w:rFonts w:ascii="Times New Roman" w:eastAsia="Calibri" w:hAnsi="Times New Roman" w:cs="Times New Roman"/>
                <w:bCs/>
                <w:sz w:val="18"/>
                <w:szCs w:val="18"/>
                <w:vertAlign w:val="superscript"/>
              </w:rPr>
              <w:t>***</w:t>
            </w:r>
          </w:p>
        </w:tc>
        <w:tc>
          <w:tcPr>
            <w:tcW w:w="405" w:type="pct"/>
            <w:tcBorders>
              <w:top w:val="single" w:sz="12" w:space="0" w:color="auto"/>
            </w:tcBorders>
            <w:shd w:val="clear" w:color="auto" w:fill="FFFFFF" w:themeFill="background1"/>
            <w:vAlign w:val="bottom"/>
          </w:tcPr>
          <w:p w14:paraId="056756C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1.97</w:t>
            </w:r>
            <w:r w:rsidRPr="00BA06B6">
              <w:rPr>
                <w:rFonts w:ascii="Times New Roman" w:eastAsia="Calibri" w:hAnsi="Times New Roman" w:cs="Times New Roman"/>
                <w:bCs/>
                <w:sz w:val="18"/>
                <w:szCs w:val="18"/>
                <w:vertAlign w:val="superscript"/>
              </w:rPr>
              <w:t>**</w:t>
            </w:r>
          </w:p>
        </w:tc>
        <w:tc>
          <w:tcPr>
            <w:tcW w:w="347" w:type="pct"/>
            <w:tcBorders>
              <w:top w:val="single" w:sz="12" w:space="0" w:color="auto"/>
            </w:tcBorders>
            <w:shd w:val="clear" w:color="auto" w:fill="FFFFFF" w:themeFill="background1"/>
            <w:vAlign w:val="bottom"/>
          </w:tcPr>
          <w:p w14:paraId="6877B19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0.94</w:t>
            </w:r>
          </w:p>
        </w:tc>
        <w:tc>
          <w:tcPr>
            <w:tcW w:w="434" w:type="pct"/>
            <w:tcBorders>
              <w:top w:val="single" w:sz="12" w:space="0" w:color="auto"/>
            </w:tcBorders>
            <w:shd w:val="clear" w:color="auto" w:fill="FFFFFF" w:themeFill="background1"/>
            <w:vAlign w:val="bottom"/>
          </w:tcPr>
          <w:p w14:paraId="52E5677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2.41</w:t>
            </w:r>
            <w:r w:rsidRPr="00BA06B6">
              <w:rPr>
                <w:rFonts w:ascii="Times New Roman" w:eastAsia="Calibri" w:hAnsi="Times New Roman" w:cs="Times New Roman"/>
                <w:bCs/>
                <w:sz w:val="18"/>
                <w:szCs w:val="18"/>
                <w:vertAlign w:val="superscript"/>
              </w:rPr>
              <w:t>**</w:t>
            </w:r>
          </w:p>
        </w:tc>
        <w:tc>
          <w:tcPr>
            <w:tcW w:w="447" w:type="pct"/>
            <w:tcBorders>
              <w:top w:val="single" w:sz="12" w:space="0" w:color="auto"/>
            </w:tcBorders>
            <w:shd w:val="clear" w:color="auto" w:fill="FFFFFF" w:themeFill="background1"/>
            <w:vAlign w:val="bottom"/>
          </w:tcPr>
          <w:p w14:paraId="45BE359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1.91</w:t>
            </w:r>
            <w:r w:rsidRPr="00BA06B6">
              <w:rPr>
                <w:rFonts w:ascii="Times New Roman" w:eastAsia="Calibri" w:hAnsi="Times New Roman" w:cs="Times New Roman"/>
                <w:bCs/>
                <w:sz w:val="18"/>
                <w:szCs w:val="18"/>
                <w:vertAlign w:val="superscript"/>
              </w:rPr>
              <w:t>*</w:t>
            </w:r>
          </w:p>
        </w:tc>
        <w:tc>
          <w:tcPr>
            <w:tcW w:w="445" w:type="pct"/>
            <w:tcBorders>
              <w:top w:val="single" w:sz="12" w:space="0" w:color="auto"/>
            </w:tcBorders>
            <w:shd w:val="clear" w:color="auto" w:fill="FFFFFF" w:themeFill="background1"/>
          </w:tcPr>
          <w:p w14:paraId="2D1BA08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6.17</w:t>
            </w:r>
            <w:r w:rsidRPr="00BA06B6">
              <w:rPr>
                <w:rFonts w:ascii="Times New Roman" w:eastAsia="Calibri" w:hAnsi="Times New Roman" w:cs="Times New Roman"/>
                <w:bCs/>
                <w:sz w:val="18"/>
                <w:szCs w:val="18"/>
                <w:vertAlign w:val="superscript"/>
              </w:rPr>
              <w:t>***</w:t>
            </w:r>
          </w:p>
        </w:tc>
      </w:tr>
      <w:tr w:rsidR="00BA06B6" w:rsidRPr="00BA06B6" w14:paraId="40D6F28B" w14:textId="77777777" w:rsidTr="00B91469">
        <w:trPr>
          <w:trHeight w:val="20"/>
          <w:tblHeader/>
        </w:trPr>
        <w:tc>
          <w:tcPr>
            <w:tcW w:w="550" w:type="pct"/>
            <w:tcBorders>
              <w:bottom w:val="single" w:sz="12" w:space="0" w:color="auto"/>
            </w:tcBorders>
            <w:shd w:val="clear" w:color="auto" w:fill="FFFFFF" w:themeFill="background1"/>
            <w:vAlign w:val="bottom"/>
          </w:tcPr>
          <w:p w14:paraId="0C3593B8"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tcBorders>
              <w:bottom w:val="single" w:sz="12" w:space="0" w:color="auto"/>
            </w:tcBorders>
            <w:shd w:val="clear" w:color="auto" w:fill="FFFFFF" w:themeFill="background1"/>
            <w:vAlign w:val="bottom"/>
          </w:tcPr>
          <w:p w14:paraId="7E70C15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375" w:type="pct"/>
            <w:tcBorders>
              <w:bottom w:val="single" w:sz="12" w:space="0" w:color="auto"/>
            </w:tcBorders>
            <w:shd w:val="clear" w:color="auto" w:fill="FFFFFF" w:themeFill="background1"/>
            <w:vAlign w:val="bottom"/>
          </w:tcPr>
          <w:p w14:paraId="46B571E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(0.005)</w:t>
            </w:r>
          </w:p>
        </w:tc>
        <w:tc>
          <w:tcPr>
            <w:tcW w:w="375" w:type="pct"/>
            <w:tcBorders>
              <w:bottom w:val="single" w:sz="12" w:space="0" w:color="auto"/>
            </w:tcBorders>
            <w:shd w:val="clear" w:color="auto" w:fill="FFFFFF" w:themeFill="background1"/>
            <w:vAlign w:val="bottom"/>
          </w:tcPr>
          <w:p w14:paraId="39E09D2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(0.008)</w:t>
            </w:r>
          </w:p>
        </w:tc>
        <w:tc>
          <w:tcPr>
            <w:tcW w:w="448" w:type="pct"/>
            <w:tcBorders>
              <w:bottom w:val="single" w:sz="12" w:space="0" w:color="auto"/>
            </w:tcBorders>
            <w:shd w:val="clear" w:color="auto" w:fill="FFFFFF" w:themeFill="background1"/>
            <w:vAlign w:val="bottom"/>
          </w:tcPr>
          <w:p w14:paraId="78F9343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(0.092)</w:t>
            </w:r>
          </w:p>
        </w:tc>
        <w:tc>
          <w:tcPr>
            <w:tcW w:w="397" w:type="pct"/>
            <w:tcBorders>
              <w:bottom w:val="single" w:sz="12" w:space="0" w:color="auto"/>
            </w:tcBorders>
            <w:shd w:val="clear" w:color="auto" w:fill="FFFFFF" w:themeFill="background1"/>
            <w:vAlign w:val="bottom"/>
          </w:tcPr>
          <w:p w14:paraId="0B54D60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(0.084)</w:t>
            </w:r>
          </w:p>
        </w:tc>
        <w:tc>
          <w:tcPr>
            <w:tcW w:w="402" w:type="pct"/>
            <w:tcBorders>
              <w:bottom w:val="single" w:sz="12" w:space="0" w:color="auto"/>
            </w:tcBorders>
            <w:shd w:val="clear" w:color="auto" w:fill="FFFFFF" w:themeFill="background1"/>
            <w:vAlign w:val="bottom"/>
          </w:tcPr>
          <w:p w14:paraId="50A4BA3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(0.008)</w:t>
            </w:r>
          </w:p>
        </w:tc>
        <w:tc>
          <w:tcPr>
            <w:tcW w:w="405" w:type="pct"/>
            <w:tcBorders>
              <w:bottom w:val="single" w:sz="12" w:space="0" w:color="auto"/>
            </w:tcBorders>
            <w:shd w:val="clear" w:color="auto" w:fill="FFFFFF" w:themeFill="background1"/>
            <w:vAlign w:val="bottom"/>
          </w:tcPr>
          <w:p w14:paraId="5A88B5B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(0.049)</w:t>
            </w:r>
          </w:p>
        </w:tc>
        <w:tc>
          <w:tcPr>
            <w:tcW w:w="347" w:type="pct"/>
            <w:tcBorders>
              <w:bottom w:val="single" w:sz="12" w:space="0" w:color="auto"/>
            </w:tcBorders>
            <w:shd w:val="clear" w:color="auto" w:fill="FFFFFF" w:themeFill="background1"/>
            <w:vAlign w:val="bottom"/>
          </w:tcPr>
          <w:p w14:paraId="49B0BA6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(0.348)</w:t>
            </w:r>
          </w:p>
        </w:tc>
        <w:tc>
          <w:tcPr>
            <w:tcW w:w="434" w:type="pct"/>
            <w:tcBorders>
              <w:bottom w:val="single" w:sz="12" w:space="0" w:color="auto"/>
            </w:tcBorders>
            <w:shd w:val="clear" w:color="auto" w:fill="FFFFFF" w:themeFill="background1"/>
            <w:vAlign w:val="bottom"/>
          </w:tcPr>
          <w:p w14:paraId="1BEBB16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(0.016)</w:t>
            </w:r>
          </w:p>
        </w:tc>
        <w:tc>
          <w:tcPr>
            <w:tcW w:w="447" w:type="pct"/>
            <w:tcBorders>
              <w:bottom w:val="single" w:sz="12" w:space="0" w:color="auto"/>
            </w:tcBorders>
            <w:shd w:val="clear" w:color="auto" w:fill="FFFFFF" w:themeFill="background1"/>
            <w:vAlign w:val="bottom"/>
          </w:tcPr>
          <w:p w14:paraId="3C006CF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(0.057)</w:t>
            </w:r>
          </w:p>
        </w:tc>
        <w:tc>
          <w:tcPr>
            <w:tcW w:w="445" w:type="pct"/>
            <w:tcBorders>
              <w:bottom w:val="single" w:sz="12" w:space="0" w:color="auto"/>
            </w:tcBorders>
            <w:shd w:val="clear" w:color="auto" w:fill="FFFFFF" w:themeFill="background1"/>
          </w:tcPr>
          <w:p w14:paraId="776034C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r>
      <w:tr w:rsidR="00BA06B6" w:rsidRPr="00BA06B6" w14:paraId="3C044002" w14:textId="77777777" w:rsidTr="00B91469">
        <w:trPr>
          <w:trHeight w:val="20"/>
          <w:tblHeader/>
        </w:trPr>
        <w:tc>
          <w:tcPr>
            <w:tcW w:w="4108" w:type="pct"/>
            <w:gridSpan w:val="10"/>
            <w:tcBorders>
              <w:top w:val="single" w:sz="12" w:space="0" w:color="auto"/>
              <w:bottom w:val="single" w:sz="12" w:space="0" w:color="auto"/>
            </w:tcBorders>
            <w:shd w:val="clear" w:color="auto" w:fill="FFFFFF" w:themeFill="background1"/>
            <w:vAlign w:val="bottom"/>
          </w:tcPr>
          <w:p w14:paraId="1123966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i/>
                <w:sz w:val="18"/>
                <w:szCs w:val="18"/>
              </w:rPr>
              <w:t xml:space="preserve">Panel B: Independent: </w:t>
            </w:r>
            <w:r w:rsidRPr="00BA06B6">
              <w:rPr>
                <w:rFonts w:ascii="Times New Roman" w:eastAsia="Calibri" w:hAnsi="Times New Roman" w:cs="Times New Roman"/>
                <w:sz w:val="18"/>
                <w:szCs w:val="18"/>
              </w:rPr>
              <w:t xml:space="preserve"> Interaction variables</w:t>
            </w:r>
          </w:p>
        </w:tc>
        <w:tc>
          <w:tcPr>
            <w:tcW w:w="447" w:type="pct"/>
            <w:tcBorders>
              <w:top w:val="single" w:sz="12" w:space="0" w:color="auto"/>
              <w:bottom w:val="single" w:sz="12" w:space="0" w:color="auto"/>
            </w:tcBorders>
            <w:shd w:val="clear" w:color="auto" w:fill="FFFFFF" w:themeFill="background1"/>
            <w:vAlign w:val="bottom"/>
          </w:tcPr>
          <w:p w14:paraId="1D4D3047" w14:textId="77777777" w:rsidR="00AA068C" w:rsidRPr="00BA06B6" w:rsidRDefault="00AA068C" w:rsidP="00BC341D">
            <w:pPr>
              <w:tabs>
                <w:tab w:val="left" w:pos="851"/>
              </w:tabs>
              <w:jc w:val="both"/>
              <w:rPr>
                <w:rFonts w:ascii="Times New Roman" w:eastAsia="Calibri" w:hAnsi="Times New Roman" w:cs="Times New Roman"/>
                <w:i/>
                <w:sz w:val="18"/>
                <w:szCs w:val="18"/>
              </w:rPr>
            </w:pPr>
          </w:p>
        </w:tc>
        <w:tc>
          <w:tcPr>
            <w:tcW w:w="445" w:type="pct"/>
            <w:tcBorders>
              <w:top w:val="single" w:sz="12" w:space="0" w:color="auto"/>
              <w:bottom w:val="single" w:sz="12" w:space="0" w:color="auto"/>
            </w:tcBorders>
            <w:shd w:val="clear" w:color="auto" w:fill="FFFFFF" w:themeFill="background1"/>
          </w:tcPr>
          <w:p w14:paraId="3541E53E" w14:textId="77777777" w:rsidR="00AA068C" w:rsidRPr="00BA06B6" w:rsidRDefault="00AA068C" w:rsidP="00BC341D">
            <w:pPr>
              <w:tabs>
                <w:tab w:val="left" w:pos="851"/>
              </w:tabs>
              <w:jc w:val="both"/>
              <w:rPr>
                <w:rFonts w:ascii="Times New Roman" w:eastAsia="Calibri" w:hAnsi="Times New Roman" w:cs="Times New Roman"/>
                <w:i/>
                <w:sz w:val="18"/>
                <w:szCs w:val="18"/>
              </w:rPr>
            </w:pPr>
          </w:p>
        </w:tc>
      </w:tr>
      <w:tr w:rsidR="00BA06B6" w:rsidRPr="00BA06B6" w14:paraId="56595BA5" w14:textId="77777777" w:rsidTr="00B91469">
        <w:trPr>
          <w:trHeight w:val="20"/>
          <w:tblHeader/>
        </w:trPr>
        <w:tc>
          <w:tcPr>
            <w:tcW w:w="550" w:type="pct"/>
            <w:tcBorders>
              <w:top w:val="single" w:sz="12" w:space="0" w:color="auto"/>
            </w:tcBorders>
            <w:shd w:val="clear" w:color="auto" w:fill="FFFFFF" w:themeFill="background1"/>
            <w:vAlign w:val="bottom"/>
          </w:tcPr>
          <w:p w14:paraId="0A18675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RDI*BOWN</w:t>
            </w:r>
          </w:p>
        </w:tc>
        <w:tc>
          <w:tcPr>
            <w:tcW w:w="375" w:type="pct"/>
            <w:tcBorders>
              <w:top w:val="single" w:sz="12" w:space="0" w:color="auto"/>
            </w:tcBorders>
            <w:shd w:val="clear" w:color="auto" w:fill="FFFFFF" w:themeFill="background1"/>
            <w:vAlign w:val="bottom"/>
          </w:tcPr>
          <w:p w14:paraId="6540590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tcBorders>
              <w:top w:val="single" w:sz="12" w:space="0" w:color="auto"/>
            </w:tcBorders>
            <w:shd w:val="clear" w:color="auto" w:fill="FFFFFF" w:themeFill="background1"/>
            <w:vAlign w:val="bottom"/>
          </w:tcPr>
          <w:p w14:paraId="70A544A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tcBorders>
              <w:top w:val="single" w:sz="12" w:space="0" w:color="auto"/>
            </w:tcBorders>
            <w:shd w:val="clear" w:color="auto" w:fill="FFFFFF" w:themeFill="background1"/>
            <w:vAlign w:val="bottom"/>
          </w:tcPr>
          <w:p w14:paraId="0F46A67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-0.21</w:t>
            </w:r>
          </w:p>
        </w:tc>
        <w:tc>
          <w:tcPr>
            <w:tcW w:w="448" w:type="pct"/>
            <w:tcBorders>
              <w:top w:val="single" w:sz="12" w:space="0" w:color="auto"/>
            </w:tcBorders>
            <w:shd w:val="clear" w:color="auto" w:fill="FFFFFF" w:themeFill="background1"/>
            <w:vAlign w:val="bottom"/>
          </w:tcPr>
          <w:p w14:paraId="246CCBE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-0.20</w:t>
            </w:r>
          </w:p>
        </w:tc>
        <w:tc>
          <w:tcPr>
            <w:tcW w:w="397" w:type="pct"/>
            <w:tcBorders>
              <w:top w:val="single" w:sz="12" w:space="0" w:color="auto"/>
            </w:tcBorders>
            <w:shd w:val="clear" w:color="auto" w:fill="FFFFFF" w:themeFill="background1"/>
            <w:vAlign w:val="bottom"/>
          </w:tcPr>
          <w:p w14:paraId="7CD7C20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0.87</w:t>
            </w:r>
          </w:p>
        </w:tc>
        <w:tc>
          <w:tcPr>
            <w:tcW w:w="402" w:type="pct"/>
            <w:tcBorders>
              <w:top w:val="single" w:sz="12" w:space="0" w:color="auto"/>
            </w:tcBorders>
            <w:shd w:val="clear" w:color="auto" w:fill="FFFFFF" w:themeFill="background1"/>
            <w:vAlign w:val="bottom"/>
          </w:tcPr>
          <w:p w14:paraId="7C3C31B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-1.34</w:t>
            </w:r>
          </w:p>
        </w:tc>
        <w:tc>
          <w:tcPr>
            <w:tcW w:w="405" w:type="pct"/>
            <w:tcBorders>
              <w:top w:val="single" w:sz="12" w:space="0" w:color="auto"/>
            </w:tcBorders>
            <w:shd w:val="clear" w:color="auto" w:fill="FFFFFF" w:themeFill="background1"/>
            <w:vAlign w:val="bottom"/>
          </w:tcPr>
          <w:p w14:paraId="2C4CB80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-2.01</w:t>
            </w:r>
            <w:r w:rsidRPr="00BA06B6">
              <w:rPr>
                <w:rFonts w:ascii="Times New Roman" w:eastAsia="Calibri" w:hAnsi="Times New Roman" w:cs="Times New Roman"/>
                <w:bCs/>
                <w:sz w:val="18"/>
                <w:szCs w:val="18"/>
                <w:vertAlign w:val="superscript"/>
              </w:rPr>
              <w:t>**</w:t>
            </w:r>
          </w:p>
        </w:tc>
        <w:tc>
          <w:tcPr>
            <w:tcW w:w="347" w:type="pct"/>
            <w:tcBorders>
              <w:top w:val="single" w:sz="12" w:space="0" w:color="auto"/>
            </w:tcBorders>
            <w:shd w:val="clear" w:color="auto" w:fill="FFFFFF" w:themeFill="background1"/>
            <w:vAlign w:val="bottom"/>
          </w:tcPr>
          <w:p w14:paraId="163C264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0.46</w:t>
            </w:r>
          </w:p>
        </w:tc>
        <w:tc>
          <w:tcPr>
            <w:tcW w:w="434" w:type="pct"/>
            <w:tcBorders>
              <w:top w:val="single" w:sz="12" w:space="0" w:color="auto"/>
            </w:tcBorders>
            <w:shd w:val="clear" w:color="auto" w:fill="FFFFFF" w:themeFill="background1"/>
            <w:vAlign w:val="bottom"/>
          </w:tcPr>
          <w:p w14:paraId="1C954DC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0.17</w:t>
            </w:r>
          </w:p>
        </w:tc>
        <w:tc>
          <w:tcPr>
            <w:tcW w:w="447" w:type="pct"/>
            <w:tcBorders>
              <w:top w:val="single" w:sz="12" w:space="0" w:color="auto"/>
            </w:tcBorders>
            <w:shd w:val="clear" w:color="auto" w:fill="FFFFFF" w:themeFill="background1"/>
            <w:vAlign w:val="bottom"/>
          </w:tcPr>
          <w:p w14:paraId="26D6B3C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-0.70</w:t>
            </w:r>
          </w:p>
        </w:tc>
        <w:tc>
          <w:tcPr>
            <w:tcW w:w="445" w:type="pct"/>
            <w:tcBorders>
              <w:top w:val="single" w:sz="12" w:space="0" w:color="auto"/>
            </w:tcBorders>
            <w:shd w:val="clear" w:color="auto" w:fill="FFFFFF" w:themeFill="background1"/>
          </w:tcPr>
          <w:p w14:paraId="15BB87E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-0.10</w:t>
            </w:r>
          </w:p>
        </w:tc>
      </w:tr>
      <w:tr w:rsidR="00BA06B6" w:rsidRPr="00BA06B6" w14:paraId="3D65811A" w14:textId="77777777" w:rsidTr="00B91469">
        <w:trPr>
          <w:trHeight w:val="20"/>
          <w:tblHeader/>
        </w:trPr>
        <w:tc>
          <w:tcPr>
            <w:tcW w:w="550" w:type="pct"/>
            <w:shd w:val="clear" w:color="auto" w:fill="FFFFFF" w:themeFill="background1"/>
            <w:vAlign w:val="bottom"/>
          </w:tcPr>
          <w:p w14:paraId="3D1DA1A8"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34CF8645"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185ECF8C"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084CF67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(0.837)</w:t>
            </w:r>
          </w:p>
        </w:tc>
        <w:tc>
          <w:tcPr>
            <w:tcW w:w="448" w:type="pct"/>
            <w:shd w:val="clear" w:color="auto" w:fill="FFFFFF" w:themeFill="background1"/>
            <w:vAlign w:val="bottom"/>
          </w:tcPr>
          <w:p w14:paraId="0B980D7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(0.844)</w:t>
            </w:r>
          </w:p>
        </w:tc>
        <w:tc>
          <w:tcPr>
            <w:tcW w:w="397" w:type="pct"/>
            <w:shd w:val="clear" w:color="auto" w:fill="FFFFFF" w:themeFill="background1"/>
            <w:vAlign w:val="bottom"/>
          </w:tcPr>
          <w:p w14:paraId="63489C9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(0.387)</w:t>
            </w:r>
          </w:p>
        </w:tc>
        <w:tc>
          <w:tcPr>
            <w:tcW w:w="402" w:type="pct"/>
            <w:shd w:val="clear" w:color="auto" w:fill="FFFFFF" w:themeFill="background1"/>
            <w:vAlign w:val="bottom"/>
          </w:tcPr>
          <w:p w14:paraId="73AB2B7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(0.181)</w:t>
            </w:r>
          </w:p>
        </w:tc>
        <w:tc>
          <w:tcPr>
            <w:tcW w:w="405" w:type="pct"/>
            <w:shd w:val="clear" w:color="auto" w:fill="FFFFFF" w:themeFill="background1"/>
            <w:vAlign w:val="bottom"/>
          </w:tcPr>
          <w:p w14:paraId="08AF1DF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(0.045)</w:t>
            </w:r>
          </w:p>
        </w:tc>
        <w:tc>
          <w:tcPr>
            <w:tcW w:w="347" w:type="pct"/>
            <w:shd w:val="clear" w:color="auto" w:fill="FFFFFF" w:themeFill="background1"/>
            <w:vAlign w:val="bottom"/>
          </w:tcPr>
          <w:p w14:paraId="411D6D5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(0.643)</w:t>
            </w:r>
          </w:p>
        </w:tc>
        <w:tc>
          <w:tcPr>
            <w:tcW w:w="434" w:type="pct"/>
            <w:shd w:val="clear" w:color="auto" w:fill="FFFFFF" w:themeFill="background1"/>
            <w:vAlign w:val="bottom"/>
          </w:tcPr>
          <w:p w14:paraId="20F7751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(0.862)</w:t>
            </w:r>
          </w:p>
        </w:tc>
        <w:tc>
          <w:tcPr>
            <w:tcW w:w="447" w:type="pct"/>
            <w:shd w:val="clear" w:color="auto" w:fill="FFFFFF" w:themeFill="background1"/>
            <w:vAlign w:val="bottom"/>
          </w:tcPr>
          <w:p w14:paraId="505319A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(0.485)</w:t>
            </w:r>
          </w:p>
        </w:tc>
        <w:tc>
          <w:tcPr>
            <w:tcW w:w="445" w:type="pct"/>
            <w:shd w:val="clear" w:color="auto" w:fill="FFFFFF" w:themeFill="background1"/>
          </w:tcPr>
          <w:p w14:paraId="1F0C7EB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(0.921)</w:t>
            </w:r>
          </w:p>
        </w:tc>
      </w:tr>
      <w:tr w:rsidR="00BA06B6" w:rsidRPr="00BA06B6" w14:paraId="4D450780" w14:textId="77777777" w:rsidTr="00B91469">
        <w:trPr>
          <w:trHeight w:val="20"/>
          <w:tblHeader/>
        </w:trPr>
        <w:tc>
          <w:tcPr>
            <w:tcW w:w="550" w:type="pct"/>
            <w:shd w:val="clear" w:color="auto" w:fill="FFFFFF" w:themeFill="background1"/>
            <w:vAlign w:val="bottom"/>
          </w:tcPr>
          <w:p w14:paraId="7A16A7B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RDI*GOWN</w:t>
            </w:r>
          </w:p>
        </w:tc>
        <w:tc>
          <w:tcPr>
            <w:tcW w:w="375" w:type="pct"/>
            <w:shd w:val="clear" w:color="auto" w:fill="FFFFFF" w:themeFill="background1"/>
            <w:vAlign w:val="bottom"/>
          </w:tcPr>
          <w:p w14:paraId="522E3A6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shd w:val="clear" w:color="auto" w:fill="FFFFFF" w:themeFill="background1"/>
            <w:vAlign w:val="bottom"/>
          </w:tcPr>
          <w:p w14:paraId="5283708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shd w:val="clear" w:color="auto" w:fill="FFFFFF" w:themeFill="background1"/>
            <w:vAlign w:val="bottom"/>
          </w:tcPr>
          <w:p w14:paraId="17811FE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1.79</w:t>
            </w:r>
            <w:r w:rsidRPr="00BA06B6">
              <w:rPr>
                <w:rFonts w:ascii="Times New Roman" w:eastAsia="Calibri" w:hAnsi="Times New Roman" w:cs="Times New Roman"/>
                <w:bCs/>
                <w:sz w:val="18"/>
                <w:szCs w:val="18"/>
                <w:vertAlign w:val="superscript"/>
              </w:rPr>
              <w:t>*</w:t>
            </w:r>
          </w:p>
        </w:tc>
        <w:tc>
          <w:tcPr>
            <w:tcW w:w="448" w:type="pct"/>
            <w:shd w:val="clear" w:color="auto" w:fill="FFFFFF" w:themeFill="background1"/>
            <w:vAlign w:val="bottom"/>
          </w:tcPr>
          <w:p w14:paraId="4FB266A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1.72</w:t>
            </w:r>
            <w:r w:rsidRPr="00BA06B6">
              <w:rPr>
                <w:rFonts w:ascii="Times New Roman" w:eastAsia="Calibri" w:hAnsi="Times New Roman" w:cs="Times New Roman"/>
                <w:bCs/>
                <w:sz w:val="18"/>
                <w:szCs w:val="18"/>
                <w:vertAlign w:val="superscript"/>
              </w:rPr>
              <w:t>*</w:t>
            </w:r>
          </w:p>
        </w:tc>
        <w:tc>
          <w:tcPr>
            <w:tcW w:w="397" w:type="pct"/>
            <w:shd w:val="clear" w:color="auto" w:fill="FFFFFF" w:themeFill="background1"/>
            <w:vAlign w:val="bottom"/>
          </w:tcPr>
          <w:p w14:paraId="0A188D7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-0.61</w:t>
            </w:r>
          </w:p>
        </w:tc>
        <w:tc>
          <w:tcPr>
            <w:tcW w:w="402" w:type="pct"/>
            <w:shd w:val="clear" w:color="auto" w:fill="FFFFFF" w:themeFill="background1"/>
            <w:vAlign w:val="bottom"/>
          </w:tcPr>
          <w:p w14:paraId="6AF84A6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1.61</w:t>
            </w:r>
            <w:r w:rsidRPr="00BA06B6">
              <w:rPr>
                <w:rFonts w:ascii="Times New Roman" w:eastAsia="Calibri" w:hAnsi="Times New Roman" w:cs="Times New Roman"/>
                <w:bCs/>
                <w:sz w:val="18"/>
                <w:szCs w:val="18"/>
                <w:vertAlign w:val="superscript"/>
              </w:rPr>
              <w:t>*</w:t>
            </w:r>
          </w:p>
        </w:tc>
        <w:tc>
          <w:tcPr>
            <w:tcW w:w="405" w:type="pct"/>
            <w:shd w:val="clear" w:color="auto" w:fill="FFFFFF" w:themeFill="background1"/>
            <w:vAlign w:val="bottom"/>
          </w:tcPr>
          <w:p w14:paraId="524A228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2.19</w:t>
            </w:r>
            <w:r w:rsidRPr="00BA06B6">
              <w:rPr>
                <w:rFonts w:ascii="Times New Roman" w:eastAsia="Calibri" w:hAnsi="Times New Roman" w:cs="Times New Roman"/>
                <w:bCs/>
                <w:sz w:val="18"/>
                <w:szCs w:val="18"/>
                <w:vertAlign w:val="superscript"/>
              </w:rPr>
              <w:t>**</w:t>
            </w:r>
          </w:p>
        </w:tc>
        <w:tc>
          <w:tcPr>
            <w:tcW w:w="347" w:type="pct"/>
            <w:shd w:val="clear" w:color="auto" w:fill="FFFFFF" w:themeFill="background1"/>
            <w:vAlign w:val="bottom"/>
          </w:tcPr>
          <w:p w14:paraId="011BBDB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0.96</w:t>
            </w:r>
          </w:p>
        </w:tc>
        <w:tc>
          <w:tcPr>
            <w:tcW w:w="434" w:type="pct"/>
            <w:shd w:val="clear" w:color="auto" w:fill="FFFFFF" w:themeFill="background1"/>
            <w:vAlign w:val="bottom"/>
          </w:tcPr>
          <w:p w14:paraId="20499DB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1.94</w:t>
            </w:r>
            <w:r w:rsidRPr="00BA06B6">
              <w:rPr>
                <w:rFonts w:ascii="Times New Roman" w:eastAsia="Calibri" w:hAnsi="Times New Roman" w:cs="Times New Roman"/>
                <w:bCs/>
                <w:sz w:val="18"/>
                <w:szCs w:val="18"/>
                <w:vertAlign w:val="superscript"/>
              </w:rPr>
              <w:t>*</w:t>
            </w:r>
          </w:p>
        </w:tc>
        <w:tc>
          <w:tcPr>
            <w:tcW w:w="447" w:type="pct"/>
            <w:shd w:val="clear" w:color="auto" w:fill="FFFFFF" w:themeFill="background1"/>
            <w:vAlign w:val="bottom"/>
          </w:tcPr>
          <w:p w14:paraId="43349B4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1.82</w:t>
            </w:r>
            <w:r w:rsidRPr="00BA06B6">
              <w:rPr>
                <w:rFonts w:ascii="Times New Roman" w:eastAsia="Calibri" w:hAnsi="Times New Roman" w:cs="Times New Roman"/>
                <w:bCs/>
                <w:sz w:val="18"/>
                <w:szCs w:val="18"/>
                <w:vertAlign w:val="superscript"/>
              </w:rPr>
              <w:t>*</w:t>
            </w:r>
          </w:p>
        </w:tc>
        <w:tc>
          <w:tcPr>
            <w:tcW w:w="445" w:type="pct"/>
            <w:shd w:val="clear" w:color="auto" w:fill="FFFFFF" w:themeFill="background1"/>
          </w:tcPr>
          <w:p w14:paraId="543696D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1.14</w:t>
            </w:r>
          </w:p>
        </w:tc>
      </w:tr>
      <w:tr w:rsidR="00BA06B6" w:rsidRPr="00BA06B6" w14:paraId="50E433E9" w14:textId="77777777" w:rsidTr="00B91469">
        <w:trPr>
          <w:trHeight w:val="20"/>
          <w:tblHeader/>
        </w:trPr>
        <w:tc>
          <w:tcPr>
            <w:tcW w:w="550" w:type="pct"/>
            <w:shd w:val="clear" w:color="auto" w:fill="FFFFFF" w:themeFill="background1"/>
            <w:vAlign w:val="bottom"/>
          </w:tcPr>
          <w:p w14:paraId="6C3D9416"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116700FD"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379D9A17"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342D365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(0.074)</w:t>
            </w:r>
          </w:p>
        </w:tc>
        <w:tc>
          <w:tcPr>
            <w:tcW w:w="448" w:type="pct"/>
            <w:shd w:val="clear" w:color="auto" w:fill="FFFFFF" w:themeFill="background1"/>
            <w:vAlign w:val="bottom"/>
          </w:tcPr>
          <w:p w14:paraId="458A036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(0.086)</w:t>
            </w:r>
          </w:p>
        </w:tc>
        <w:tc>
          <w:tcPr>
            <w:tcW w:w="397" w:type="pct"/>
            <w:shd w:val="clear" w:color="auto" w:fill="FFFFFF" w:themeFill="background1"/>
            <w:vAlign w:val="bottom"/>
          </w:tcPr>
          <w:p w14:paraId="5AB1DD9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(0.539)</w:t>
            </w:r>
          </w:p>
        </w:tc>
        <w:tc>
          <w:tcPr>
            <w:tcW w:w="402" w:type="pct"/>
            <w:shd w:val="clear" w:color="auto" w:fill="FFFFFF" w:themeFill="background1"/>
            <w:vAlign w:val="bottom"/>
          </w:tcPr>
          <w:p w14:paraId="748F9D4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(0.097)</w:t>
            </w:r>
          </w:p>
        </w:tc>
        <w:tc>
          <w:tcPr>
            <w:tcW w:w="405" w:type="pct"/>
            <w:shd w:val="clear" w:color="auto" w:fill="FFFFFF" w:themeFill="background1"/>
            <w:vAlign w:val="bottom"/>
          </w:tcPr>
          <w:p w14:paraId="4491DDC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(0.028)</w:t>
            </w:r>
          </w:p>
        </w:tc>
        <w:tc>
          <w:tcPr>
            <w:tcW w:w="347" w:type="pct"/>
            <w:shd w:val="clear" w:color="auto" w:fill="FFFFFF" w:themeFill="background1"/>
            <w:vAlign w:val="bottom"/>
          </w:tcPr>
          <w:p w14:paraId="2AF5D04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(0.338)</w:t>
            </w:r>
          </w:p>
        </w:tc>
        <w:tc>
          <w:tcPr>
            <w:tcW w:w="434" w:type="pct"/>
            <w:shd w:val="clear" w:color="auto" w:fill="FFFFFF" w:themeFill="background1"/>
            <w:vAlign w:val="bottom"/>
          </w:tcPr>
          <w:p w14:paraId="3343AAA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(0.088)</w:t>
            </w:r>
          </w:p>
        </w:tc>
        <w:tc>
          <w:tcPr>
            <w:tcW w:w="447" w:type="pct"/>
            <w:shd w:val="clear" w:color="auto" w:fill="FFFFFF" w:themeFill="background1"/>
            <w:vAlign w:val="bottom"/>
          </w:tcPr>
          <w:p w14:paraId="45F69C5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(0.069)</w:t>
            </w:r>
          </w:p>
        </w:tc>
        <w:tc>
          <w:tcPr>
            <w:tcW w:w="445" w:type="pct"/>
            <w:shd w:val="clear" w:color="auto" w:fill="FFFFFF" w:themeFill="background1"/>
          </w:tcPr>
          <w:p w14:paraId="20D9718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(0.256)</w:t>
            </w:r>
          </w:p>
        </w:tc>
      </w:tr>
      <w:tr w:rsidR="00BA06B6" w:rsidRPr="00BA06B6" w14:paraId="1B34B700" w14:textId="77777777" w:rsidTr="00B91469">
        <w:trPr>
          <w:trHeight w:val="20"/>
          <w:tblHeader/>
        </w:trPr>
        <w:tc>
          <w:tcPr>
            <w:tcW w:w="550" w:type="pct"/>
            <w:shd w:val="clear" w:color="auto" w:fill="FFFFFF" w:themeFill="background1"/>
            <w:vAlign w:val="bottom"/>
          </w:tcPr>
          <w:p w14:paraId="5DA8478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RDI*FOWN</w:t>
            </w:r>
          </w:p>
        </w:tc>
        <w:tc>
          <w:tcPr>
            <w:tcW w:w="375" w:type="pct"/>
            <w:shd w:val="clear" w:color="auto" w:fill="FFFFFF" w:themeFill="background1"/>
            <w:vAlign w:val="bottom"/>
          </w:tcPr>
          <w:p w14:paraId="1BCC4C9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shd w:val="clear" w:color="auto" w:fill="FFFFFF" w:themeFill="background1"/>
            <w:vAlign w:val="bottom"/>
          </w:tcPr>
          <w:p w14:paraId="07A2710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shd w:val="clear" w:color="auto" w:fill="FFFFFF" w:themeFill="background1"/>
            <w:vAlign w:val="bottom"/>
          </w:tcPr>
          <w:p w14:paraId="7DD6FA4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-2.27</w:t>
            </w:r>
            <w:r w:rsidRPr="00BA06B6">
              <w:rPr>
                <w:rFonts w:ascii="Times New Roman" w:eastAsia="Calibri" w:hAnsi="Times New Roman" w:cs="Times New Roman"/>
                <w:bCs/>
                <w:sz w:val="18"/>
                <w:szCs w:val="18"/>
                <w:vertAlign w:val="superscript"/>
              </w:rPr>
              <w:t>**</w:t>
            </w:r>
          </w:p>
        </w:tc>
        <w:tc>
          <w:tcPr>
            <w:tcW w:w="448" w:type="pct"/>
            <w:shd w:val="clear" w:color="auto" w:fill="FFFFFF" w:themeFill="background1"/>
            <w:vAlign w:val="bottom"/>
          </w:tcPr>
          <w:p w14:paraId="3B4C3C6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-0.26</w:t>
            </w:r>
          </w:p>
        </w:tc>
        <w:tc>
          <w:tcPr>
            <w:tcW w:w="397" w:type="pct"/>
            <w:shd w:val="clear" w:color="auto" w:fill="FFFFFF" w:themeFill="background1"/>
            <w:vAlign w:val="bottom"/>
          </w:tcPr>
          <w:p w14:paraId="76B50CE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-2.61</w:t>
            </w:r>
            <w:r w:rsidRPr="00BA06B6">
              <w:rPr>
                <w:rFonts w:ascii="Times New Roman" w:eastAsia="Calibri" w:hAnsi="Times New Roman" w:cs="Times New Roman"/>
                <w:bCs/>
                <w:sz w:val="18"/>
                <w:szCs w:val="18"/>
                <w:vertAlign w:val="superscript"/>
              </w:rPr>
              <w:t>***</w:t>
            </w:r>
          </w:p>
        </w:tc>
        <w:tc>
          <w:tcPr>
            <w:tcW w:w="402" w:type="pct"/>
            <w:shd w:val="clear" w:color="auto" w:fill="FFFFFF" w:themeFill="background1"/>
            <w:vAlign w:val="bottom"/>
          </w:tcPr>
          <w:p w14:paraId="1ABD1EE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-1.72</w:t>
            </w:r>
            <w:r w:rsidRPr="00BA06B6">
              <w:rPr>
                <w:rFonts w:ascii="Times New Roman" w:eastAsia="Calibri" w:hAnsi="Times New Roman" w:cs="Times New Roman"/>
                <w:bCs/>
                <w:sz w:val="18"/>
                <w:szCs w:val="18"/>
                <w:vertAlign w:val="superscript"/>
              </w:rPr>
              <w:t>*</w:t>
            </w:r>
          </w:p>
        </w:tc>
        <w:tc>
          <w:tcPr>
            <w:tcW w:w="405" w:type="pct"/>
            <w:shd w:val="clear" w:color="auto" w:fill="FFFFFF" w:themeFill="background1"/>
            <w:vAlign w:val="bottom"/>
          </w:tcPr>
          <w:p w14:paraId="6457A99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-0.59</w:t>
            </w:r>
          </w:p>
        </w:tc>
        <w:tc>
          <w:tcPr>
            <w:tcW w:w="347" w:type="pct"/>
            <w:shd w:val="clear" w:color="auto" w:fill="FFFFFF" w:themeFill="background1"/>
            <w:vAlign w:val="bottom"/>
          </w:tcPr>
          <w:p w14:paraId="1211AA4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-1.77</w:t>
            </w:r>
            <w:r w:rsidRPr="00BA06B6">
              <w:rPr>
                <w:rFonts w:ascii="Times New Roman" w:eastAsia="Calibri" w:hAnsi="Times New Roman" w:cs="Times New Roman"/>
                <w:bCs/>
                <w:sz w:val="18"/>
                <w:szCs w:val="18"/>
                <w:vertAlign w:val="superscript"/>
              </w:rPr>
              <w:t>*</w:t>
            </w:r>
          </w:p>
        </w:tc>
        <w:tc>
          <w:tcPr>
            <w:tcW w:w="434" w:type="pct"/>
            <w:shd w:val="clear" w:color="auto" w:fill="FFFFFF" w:themeFill="background1"/>
            <w:vAlign w:val="bottom"/>
          </w:tcPr>
          <w:p w14:paraId="4ABDFD8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-1.68</w:t>
            </w:r>
            <w:r w:rsidRPr="00BA06B6">
              <w:rPr>
                <w:rFonts w:ascii="Times New Roman" w:eastAsia="Calibri" w:hAnsi="Times New Roman" w:cs="Times New Roman"/>
                <w:bCs/>
                <w:sz w:val="18"/>
                <w:szCs w:val="18"/>
                <w:vertAlign w:val="superscript"/>
              </w:rPr>
              <w:t>*</w:t>
            </w:r>
          </w:p>
        </w:tc>
        <w:tc>
          <w:tcPr>
            <w:tcW w:w="447" w:type="pct"/>
            <w:shd w:val="clear" w:color="auto" w:fill="FFFFFF" w:themeFill="background1"/>
            <w:vAlign w:val="bottom"/>
          </w:tcPr>
          <w:p w14:paraId="75B4AD9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-2.06</w:t>
            </w:r>
            <w:r w:rsidRPr="00BA06B6">
              <w:rPr>
                <w:rFonts w:ascii="Times New Roman" w:eastAsia="Calibri" w:hAnsi="Times New Roman" w:cs="Times New Roman"/>
                <w:bCs/>
                <w:sz w:val="18"/>
                <w:szCs w:val="18"/>
                <w:vertAlign w:val="superscript"/>
              </w:rPr>
              <w:t>**</w:t>
            </w:r>
          </w:p>
        </w:tc>
        <w:tc>
          <w:tcPr>
            <w:tcW w:w="445" w:type="pct"/>
            <w:shd w:val="clear" w:color="auto" w:fill="FFFFFF" w:themeFill="background1"/>
          </w:tcPr>
          <w:p w14:paraId="2F74498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-1.45</w:t>
            </w:r>
          </w:p>
        </w:tc>
      </w:tr>
      <w:tr w:rsidR="00BA06B6" w:rsidRPr="00BA06B6" w14:paraId="51B04A56" w14:textId="77777777" w:rsidTr="00B91469">
        <w:trPr>
          <w:trHeight w:val="20"/>
          <w:tblHeader/>
        </w:trPr>
        <w:tc>
          <w:tcPr>
            <w:tcW w:w="550" w:type="pct"/>
            <w:shd w:val="clear" w:color="auto" w:fill="FFFFFF" w:themeFill="background1"/>
            <w:vAlign w:val="bottom"/>
          </w:tcPr>
          <w:p w14:paraId="505D4C5F"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2647BC65"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2913270A"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5ECD74E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(0.023)</w:t>
            </w:r>
          </w:p>
        </w:tc>
        <w:tc>
          <w:tcPr>
            <w:tcW w:w="448" w:type="pct"/>
            <w:shd w:val="clear" w:color="auto" w:fill="FFFFFF" w:themeFill="background1"/>
            <w:vAlign w:val="bottom"/>
          </w:tcPr>
          <w:p w14:paraId="0B0A028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(0.794)</w:t>
            </w:r>
          </w:p>
        </w:tc>
        <w:tc>
          <w:tcPr>
            <w:tcW w:w="397" w:type="pct"/>
            <w:shd w:val="clear" w:color="auto" w:fill="FFFFFF" w:themeFill="background1"/>
            <w:vAlign w:val="bottom"/>
          </w:tcPr>
          <w:p w14:paraId="1A0FDB9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(0.009)</w:t>
            </w:r>
          </w:p>
        </w:tc>
        <w:tc>
          <w:tcPr>
            <w:tcW w:w="402" w:type="pct"/>
            <w:shd w:val="clear" w:color="auto" w:fill="FFFFFF" w:themeFill="background1"/>
            <w:vAlign w:val="bottom"/>
          </w:tcPr>
          <w:p w14:paraId="6D692FC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(0.087)</w:t>
            </w:r>
          </w:p>
        </w:tc>
        <w:tc>
          <w:tcPr>
            <w:tcW w:w="405" w:type="pct"/>
            <w:shd w:val="clear" w:color="auto" w:fill="FFFFFF" w:themeFill="background1"/>
            <w:vAlign w:val="bottom"/>
          </w:tcPr>
          <w:p w14:paraId="775B27B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(0.557)</w:t>
            </w:r>
          </w:p>
        </w:tc>
        <w:tc>
          <w:tcPr>
            <w:tcW w:w="347" w:type="pct"/>
            <w:shd w:val="clear" w:color="auto" w:fill="FFFFFF" w:themeFill="background1"/>
            <w:vAlign w:val="bottom"/>
          </w:tcPr>
          <w:p w14:paraId="7F10188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(0.076)</w:t>
            </w:r>
          </w:p>
        </w:tc>
        <w:tc>
          <w:tcPr>
            <w:tcW w:w="434" w:type="pct"/>
            <w:shd w:val="clear" w:color="auto" w:fill="FFFFFF" w:themeFill="background1"/>
            <w:vAlign w:val="bottom"/>
          </w:tcPr>
          <w:p w14:paraId="278B07E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(0.092)</w:t>
            </w:r>
          </w:p>
        </w:tc>
        <w:tc>
          <w:tcPr>
            <w:tcW w:w="447" w:type="pct"/>
            <w:shd w:val="clear" w:color="auto" w:fill="FFFFFF" w:themeFill="background1"/>
            <w:vAlign w:val="bottom"/>
          </w:tcPr>
          <w:p w14:paraId="1BBA2C2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(0.040)</w:t>
            </w:r>
          </w:p>
        </w:tc>
        <w:tc>
          <w:tcPr>
            <w:tcW w:w="445" w:type="pct"/>
            <w:shd w:val="clear" w:color="auto" w:fill="FFFFFF" w:themeFill="background1"/>
          </w:tcPr>
          <w:p w14:paraId="503D108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(0.147)</w:t>
            </w:r>
          </w:p>
        </w:tc>
      </w:tr>
      <w:tr w:rsidR="00BA06B6" w:rsidRPr="00BA06B6" w14:paraId="3C4D8E8E" w14:textId="77777777" w:rsidTr="00B91469">
        <w:trPr>
          <w:trHeight w:val="20"/>
          <w:tblHeader/>
        </w:trPr>
        <w:tc>
          <w:tcPr>
            <w:tcW w:w="550" w:type="pct"/>
            <w:shd w:val="clear" w:color="auto" w:fill="FFFFFF" w:themeFill="background1"/>
            <w:vAlign w:val="bottom"/>
          </w:tcPr>
          <w:p w14:paraId="732094A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RDI*BS</w:t>
            </w:r>
          </w:p>
        </w:tc>
        <w:tc>
          <w:tcPr>
            <w:tcW w:w="375" w:type="pct"/>
            <w:shd w:val="clear" w:color="auto" w:fill="FFFFFF" w:themeFill="background1"/>
            <w:vAlign w:val="bottom"/>
          </w:tcPr>
          <w:p w14:paraId="43F42C4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shd w:val="clear" w:color="auto" w:fill="FFFFFF" w:themeFill="background1"/>
            <w:vAlign w:val="bottom"/>
          </w:tcPr>
          <w:p w14:paraId="095376A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shd w:val="clear" w:color="auto" w:fill="FFFFFF" w:themeFill="background1"/>
            <w:vAlign w:val="bottom"/>
          </w:tcPr>
          <w:p w14:paraId="61FB12B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4.10</w:t>
            </w:r>
            <w:r w:rsidRPr="00BA06B6">
              <w:rPr>
                <w:rFonts w:ascii="Times New Roman" w:eastAsia="Calibri" w:hAnsi="Times New Roman" w:cs="Times New Roman"/>
                <w:bCs/>
                <w:sz w:val="18"/>
                <w:szCs w:val="18"/>
                <w:vertAlign w:val="superscript"/>
              </w:rPr>
              <w:t>***</w:t>
            </w:r>
          </w:p>
        </w:tc>
        <w:tc>
          <w:tcPr>
            <w:tcW w:w="448" w:type="pct"/>
            <w:shd w:val="clear" w:color="auto" w:fill="FFFFFF" w:themeFill="background1"/>
            <w:vAlign w:val="bottom"/>
          </w:tcPr>
          <w:p w14:paraId="78091B7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1.78</w:t>
            </w:r>
            <w:r w:rsidRPr="00BA06B6">
              <w:rPr>
                <w:rFonts w:ascii="Times New Roman" w:eastAsia="Calibri" w:hAnsi="Times New Roman" w:cs="Times New Roman"/>
                <w:bCs/>
                <w:sz w:val="18"/>
                <w:szCs w:val="18"/>
                <w:vertAlign w:val="superscript"/>
              </w:rPr>
              <w:t>*</w:t>
            </w:r>
          </w:p>
        </w:tc>
        <w:tc>
          <w:tcPr>
            <w:tcW w:w="397" w:type="pct"/>
            <w:shd w:val="clear" w:color="auto" w:fill="FFFFFF" w:themeFill="background1"/>
            <w:vAlign w:val="bottom"/>
          </w:tcPr>
          <w:p w14:paraId="106EA3A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2.53</w:t>
            </w:r>
            <w:r w:rsidRPr="00BA06B6">
              <w:rPr>
                <w:rFonts w:ascii="Times New Roman" w:eastAsia="Calibri" w:hAnsi="Times New Roman" w:cs="Times New Roman"/>
                <w:bCs/>
                <w:sz w:val="18"/>
                <w:szCs w:val="18"/>
                <w:vertAlign w:val="superscript"/>
              </w:rPr>
              <w:t>**</w:t>
            </w:r>
          </w:p>
        </w:tc>
        <w:tc>
          <w:tcPr>
            <w:tcW w:w="402" w:type="pct"/>
            <w:shd w:val="clear" w:color="auto" w:fill="FFFFFF" w:themeFill="background1"/>
            <w:vAlign w:val="bottom"/>
          </w:tcPr>
          <w:p w14:paraId="7F89233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2.52</w:t>
            </w:r>
            <w:r w:rsidRPr="00BA06B6">
              <w:rPr>
                <w:rFonts w:ascii="Times New Roman" w:eastAsia="Calibri" w:hAnsi="Times New Roman" w:cs="Times New Roman"/>
                <w:bCs/>
                <w:sz w:val="18"/>
                <w:szCs w:val="18"/>
                <w:vertAlign w:val="superscript"/>
              </w:rPr>
              <w:t>**</w:t>
            </w:r>
          </w:p>
        </w:tc>
        <w:tc>
          <w:tcPr>
            <w:tcW w:w="405" w:type="pct"/>
            <w:shd w:val="clear" w:color="auto" w:fill="FFFFFF" w:themeFill="background1"/>
            <w:vAlign w:val="bottom"/>
          </w:tcPr>
          <w:p w14:paraId="4B1813B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1.78</w:t>
            </w:r>
            <w:r w:rsidRPr="00BA06B6">
              <w:rPr>
                <w:rFonts w:ascii="Times New Roman" w:eastAsia="Calibri" w:hAnsi="Times New Roman" w:cs="Times New Roman"/>
                <w:bCs/>
                <w:sz w:val="18"/>
                <w:szCs w:val="18"/>
                <w:vertAlign w:val="superscript"/>
              </w:rPr>
              <w:t>*</w:t>
            </w:r>
          </w:p>
        </w:tc>
        <w:tc>
          <w:tcPr>
            <w:tcW w:w="347" w:type="pct"/>
            <w:shd w:val="clear" w:color="auto" w:fill="FFFFFF" w:themeFill="background1"/>
            <w:vAlign w:val="bottom"/>
          </w:tcPr>
          <w:p w14:paraId="75B9830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1.97</w:t>
            </w:r>
            <w:r w:rsidRPr="00BA06B6">
              <w:rPr>
                <w:rFonts w:ascii="Times New Roman" w:eastAsia="Calibri" w:hAnsi="Times New Roman" w:cs="Times New Roman"/>
                <w:bCs/>
                <w:sz w:val="18"/>
                <w:szCs w:val="18"/>
                <w:vertAlign w:val="superscript"/>
              </w:rPr>
              <w:t>**</w:t>
            </w:r>
          </w:p>
        </w:tc>
        <w:tc>
          <w:tcPr>
            <w:tcW w:w="434" w:type="pct"/>
            <w:shd w:val="clear" w:color="auto" w:fill="FFFFFF" w:themeFill="background1"/>
            <w:vAlign w:val="bottom"/>
          </w:tcPr>
          <w:p w14:paraId="68E4E08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2.59</w:t>
            </w:r>
            <w:r w:rsidRPr="00BA06B6">
              <w:rPr>
                <w:rFonts w:ascii="Times New Roman" w:eastAsia="Calibri" w:hAnsi="Times New Roman" w:cs="Times New Roman"/>
                <w:bCs/>
                <w:sz w:val="18"/>
                <w:szCs w:val="18"/>
                <w:vertAlign w:val="superscript"/>
              </w:rPr>
              <w:t>***</w:t>
            </w:r>
          </w:p>
        </w:tc>
        <w:tc>
          <w:tcPr>
            <w:tcW w:w="447" w:type="pct"/>
            <w:shd w:val="clear" w:color="auto" w:fill="FFFFFF" w:themeFill="background1"/>
            <w:vAlign w:val="bottom"/>
          </w:tcPr>
          <w:p w14:paraId="2F85DF5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2.19</w:t>
            </w:r>
            <w:r w:rsidRPr="00BA06B6">
              <w:rPr>
                <w:rFonts w:ascii="Times New Roman" w:eastAsia="Calibri" w:hAnsi="Times New Roman" w:cs="Times New Roman"/>
                <w:bCs/>
                <w:sz w:val="18"/>
                <w:szCs w:val="18"/>
                <w:vertAlign w:val="superscript"/>
              </w:rPr>
              <w:t>**</w:t>
            </w:r>
          </w:p>
        </w:tc>
        <w:tc>
          <w:tcPr>
            <w:tcW w:w="445" w:type="pct"/>
            <w:shd w:val="clear" w:color="auto" w:fill="FFFFFF" w:themeFill="background1"/>
          </w:tcPr>
          <w:p w14:paraId="3DD555E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3.32</w:t>
            </w:r>
            <w:r w:rsidRPr="00BA06B6">
              <w:rPr>
                <w:rFonts w:ascii="Times New Roman" w:eastAsia="Calibri" w:hAnsi="Times New Roman" w:cs="Times New Roman"/>
                <w:bCs/>
                <w:sz w:val="18"/>
                <w:szCs w:val="18"/>
                <w:vertAlign w:val="superscript"/>
              </w:rPr>
              <w:t>***</w:t>
            </w:r>
          </w:p>
        </w:tc>
      </w:tr>
      <w:tr w:rsidR="00BA06B6" w:rsidRPr="00BA06B6" w14:paraId="2A07C17D" w14:textId="77777777" w:rsidTr="00B91469">
        <w:trPr>
          <w:trHeight w:val="20"/>
          <w:tblHeader/>
        </w:trPr>
        <w:tc>
          <w:tcPr>
            <w:tcW w:w="550" w:type="pct"/>
            <w:shd w:val="clear" w:color="auto" w:fill="FFFFFF" w:themeFill="background1"/>
            <w:vAlign w:val="bottom"/>
          </w:tcPr>
          <w:p w14:paraId="0662BF4C"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155174B1"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70F678F9"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3A8BDE0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48" w:type="pct"/>
            <w:shd w:val="clear" w:color="auto" w:fill="FFFFFF" w:themeFill="background1"/>
            <w:vAlign w:val="bottom"/>
          </w:tcPr>
          <w:p w14:paraId="22D13F8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(0.075)</w:t>
            </w:r>
          </w:p>
        </w:tc>
        <w:tc>
          <w:tcPr>
            <w:tcW w:w="397" w:type="pct"/>
            <w:shd w:val="clear" w:color="auto" w:fill="FFFFFF" w:themeFill="background1"/>
            <w:vAlign w:val="bottom"/>
          </w:tcPr>
          <w:p w14:paraId="507E21F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(0.012)</w:t>
            </w:r>
          </w:p>
        </w:tc>
        <w:tc>
          <w:tcPr>
            <w:tcW w:w="402" w:type="pct"/>
            <w:shd w:val="clear" w:color="auto" w:fill="FFFFFF" w:themeFill="background1"/>
            <w:vAlign w:val="bottom"/>
          </w:tcPr>
          <w:p w14:paraId="11E9BC0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(0.012)</w:t>
            </w:r>
          </w:p>
        </w:tc>
        <w:tc>
          <w:tcPr>
            <w:tcW w:w="405" w:type="pct"/>
            <w:shd w:val="clear" w:color="auto" w:fill="FFFFFF" w:themeFill="background1"/>
            <w:vAlign w:val="bottom"/>
          </w:tcPr>
          <w:p w14:paraId="4EDE197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(0.074)</w:t>
            </w:r>
          </w:p>
        </w:tc>
        <w:tc>
          <w:tcPr>
            <w:tcW w:w="347" w:type="pct"/>
            <w:shd w:val="clear" w:color="auto" w:fill="FFFFFF" w:themeFill="background1"/>
            <w:vAlign w:val="bottom"/>
          </w:tcPr>
          <w:p w14:paraId="3984301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(0.049)</w:t>
            </w:r>
          </w:p>
        </w:tc>
        <w:tc>
          <w:tcPr>
            <w:tcW w:w="434" w:type="pct"/>
            <w:shd w:val="clear" w:color="auto" w:fill="FFFFFF" w:themeFill="background1"/>
            <w:vAlign w:val="bottom"/>
          </w:tcPr>
          <w:p w14:paraId="1F36BDB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(0.010)</w:t>
            </w:r>
          </w:p>
        </w:tc>
        <w:tc>
          <w:tcPr>
            <w:tcW w:w="447" w:type="pct"/>
            <w:shd w:val="clear" w:color="auto" w:fill="FFFFFF" w:themeFill="background1"/>
            <w:vAlign w:val="bottom"/>
          </w:tcPr>
          <w:p w14:paraId="12193F5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(0.029)</w:t>
            </w:r>
          </w:p>
        </w:tc>
        <w:tc>
          <w:tcPr>
            <w:tcW w:w="445" w:type="pct"/>
            <w:shd w:val="clear" w:color="auto" w:fill="FFFFFF" w:themeFill="background1"/>
          </w:tcPr>
          <w:p w14:paraId="6D9FE45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r>
      <w:tr w:rsidR="00BA06B6" w:rsidRPr="00BA06B6" w14:paraId="7B178DA8" w14:textId="77777777" w:rsidTr="00B91469">
        <w:trPr>
          <w:trHeight w:val="20"/>
          <w:tblHeader/>
        </w:trPr>
        <w:tc>
          <w:tcPr>
            <w:tcW w:w="550" w:type="pct"/>
            <w:shd w:val="clear" w:color="auto" w:fill="FFFFFF" w:themeFill="background1"/>
            <w:vAlign w:val="bottom"/>
          </w:tcPr>
          <w:p w14:paraId="069690D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RDI*DUAL</w:t>
            </w:r>
          </w:p>
        </w:tc>
        <w:tc>
          <w:tcPr>
            <w:tcW w:w="375" w:type="pct"/>
            <w:shd w:val="clear" w:color="auto" w:fill="FFFFFF" w:themeFill="background1"/>
            <w:vAlign w:val="bottom"/>
          </w:tcPr>
          <w:p w14:paraId="593F0C9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shd w:val="clear" w:color="auto" w:fill="FFFFFF" w:themeFill="background1"/>
            <w:vAlign w:val="bottom"/>
          </w:tcPr>
          <w:p w14:paraId="62D345E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shd w:val="clear" w:color="auto" w:fill="FFFFFF" w:themeFill="background1"/>
            <w:vAlign w:val="bottom"/>
          </w:tcPr>
          <w:p w14:paraId="5E2CFC6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-1.38</w:t>
            </w:r>
          </w:p>
        </w:tc>
        <w:tc>
          <w:tcPr>
            <w:tcW w:w="448" w:type="pct"/>
            <w:shd w:val="clear" w:color="auto" w:fill="FFFFFF" w:themeFill="background1"/>
            <w:vAlign w:val="bottom"/>
          </w:tcPr>
          <w:p w14:paraId="7EDC5E5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-0.22</w:t>
            </w:r>
          </w:p>
        </w:tc>
        <w:tc>
          <w:tcPr>
            <w:tcW w:w="397" w:type="pct"/>
            <w:shd w:val="clear" w:color="auto" w:fill="FFFFFF" w:themeFill="background1"/>
            <w:vAlign w:val="bottom"/>
          </w:tcPr>
          <w:p w14:paraId="671D69F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-1.39</w:t>
            </w:r>
          </w:p>
        </w:tc>
        <w:tc>
          <w:tcPr>
            <w:tcW w:w="402" w:type="pct"/>
            <w:shd w:val="clear" w:color="auto" w:fill="FFFFFF" w:themeFill="background1"/>
            <w:vAlign w:val="bottom"/>
          </w:tcPr>
          <w:p w14:paraId="6E77AB9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-0.02</w:t>
            </w:r>
          </w:p>
        </w:tc>
        <w:tc>
          <w:tcPr>
            <w:tcW w:w="405" w:type="pct"/>
            <w:shd w:val="clear" w:color="auto" w:fill="FFFFFF" w:themeFill="background1"/>
            <w:vAlign w:val="bottom"/>
          </w:tcPr>
          <w:p w14:paraId="7FFF48F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-0.01</w:t>
            </w:r>
          </w:p>
        </w:tc>
        <w:tc>
          <w:tcPr>
            <w:tcW w:w="347" w:type="pct"/>
            <w:shd w:val="clear" w:color="auto" w:fill="FFFFFF" w:themeFill="background1"/>
            <w:vAlign w:val="bottom"/>
          </w:tcPr>
          <w:p w14:paraId="7F9E84F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-0.42</w:t>
            </w:r>
          </w:p>
        </w:tc>
        <w:tc>
          <w:tcPr>
            <w:tcW w:w="434" w:type="pct"/>
            <w:shd w:val="clear" w:color="auto" w:fill="FFFFFF" w:themeFill="background1"/>
            <w:vAlign w:val="bottom"/>
          </w:tcPr>
          <w:p w14:paraId="7F60E1B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-1.03</w:t>
            </w:r>
          </w:p>
        </w:tc>
        <w:tc>
          <w:tcPr>
            <w:tcW w:w="447" w:type="pct"/>
            <w:shd w:val="clear" w:color="auto" w:fill="FFFFFF" w:themeFill="background1"/>
            <w:vAlign w:val="bottom"/>
          </w:tcPr>
          <w:p w14:paraId="42BFCA1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-1.11</w:t>
            </w:r>
          </w:p>
        </w:tc>
        <w:tc>
          <w:tcPr>
            <w:tcW w:w="445" w:type="pct"/>
            <w:shd w:val="clear" w:color="auto" w:fill="FFFFFF" w:themeFill="background1"/>
          </w:tcPr>
          <w:p w14:paraId="52B8155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-0.49</w:t>
            </w:r>
          </w:p>
        </w:tc>
      </w:tr>
      <w:tr w:rsidR="00BA06B6" w:rsidRPr="00BA06B6" w14:paraId="7C57898F" w14:textId="77777777" w:rsidTr="00B91469">
        <w:trPr>
          <w:trHeight w:val="20"/>
          <w:tblHeader/>
        </w:trPr>
        <w:tc>
          <w:tcPr>
            <w:tcW w:w="550" w:type="pct"/>
            <w:shd w:val="clear" w:color="auto" w:fill="FFFFFF" w:themeFill="background1"/>
            <w:vAlign w:val="bottom"/>
          </w:tcPr>
          <w:p w14:paraId="51A26B2E"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5EF69502"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34BF4AA3"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299F320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(0.168)</w:t>
            </w:r>
          </w:p>
        </w:tc>
        <w:tc>
          <w:tcPr>
            <w:tcW w:w="448" w:type="pct"/>
            <w:shd w:val="clear" w:color="auto" w:fill="FFFFFF" w:themeFill="background1"/>
            <w:vAlign w:val="bottom"/>
          </w:tcPr>
          <w:p w14:paraId="5B4FC03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(0.829)</w:t>
            </w:r>
          </w:p>
        </w:tc>
        <w:tc>
          <w:tcPr>
            <w:tcW w:w="397" w:type="pct"/>
            <w:shd w:val="clear" w:color="auto" w:fill="FFFFFF" w:themeFill="background1"/>
            <w:vAlign w:val="bottom"/>
          </w:tcPr>
          <w:p w14:paraId="1D8EC1B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(0.165)</w:t>
            </w:r>
          </w:p>
        </w:tc>
        <w:tc>
          <w:tcPr>
            <w:tcW w:w="402" w:type="pct"/>
            <w:shd w:val="clear" w:color="auto" w:fill="FFFFFF" w:themeFill="background1"/>
            <w:vAlign w:val="bottom"/>
          </w:tcPr>
          <w:p w14:paraId="08AB913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(0.986)</w:t>
            </w:r>
          </w:p>
        </w:tc>
        <w:tc>
          <w:tcPr>
            <w:tcW w:w="405" w:type="pct"/>
            <w:shd w:val="clear" w:color="auto" w:fill="FFFFFF" w:themeFill="background1"/>
            <w:vAlign w:val="bottom"/>
          </w:tcPr>
          <w:p w14:paraId="38EE696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(0.993)</w:t>
            </w:r>
          </w:p>
        </w:tc>
        <w:tc>
          <w:tcPr>
            <w:tcW w:w="347" w:type="pct"/>
            <w:shd w:val="clear" w:color="auto" w:fill="FFFFFF" w:themeFill="background1"/>
            <w:vAlign w:val="bottom"/>
          </w:tcPr>
          <w:p w14:paraId="2D4E9BB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(0.672)</w:t>
            </w:r>
          </w:p>
        </w:tc>
        <w:tc>
          <w:tcPr>
            <w:tcW w:w="434" w:type="pct"/>
            <w:shd w:val="clear" w:color="auto" w:fill="FFFFFF" w:themeFill="background1"/>
            <w:vAlign w:val="bottom"/>
          </w:tcPr>
          <w:p w14:paraId="3BB97D2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(0.302)</w:t>
            </w:r>
          </w:p>
        </w:tc>
        <w:tc>
          <w:tcPr>
            <w:tcW w:w="447" w:type="pct"/>
            <w:shd w:val="clear" w:color="auto" w:fill="FFFFFF" w:themeFill="background1"/>
            <w:vAlign w:val="bottom"/>
          </w:tcPr>
          <w:p w14:paraId="5602EC5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(0.269)</w:t>
            </w:r>
          </w:p>
        </w:tc>
        <w:tc>
          <w:tcPr>
            <w:tcW w:w="445" w:type="pct"/>
            <w:shd w:val="clear" w:color="auto" w:fill="FFFFFF" w:themeFill="background1"/>
          </w:tcPr>
          <w:p w14:paraId="49311DF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(0.623)</w:t>
            </w:r>
          </w:p>
        </w:tc>
      </w:tr>
      <w:tr w:rsidR="00BA06B6" w:rsidRPr="00BA06B6" w14:paraId="67FE33B4" w14:textId="77777777" w:rsidTr="00B91469">
        <w:trPr>
          <w:trHeight w:val="20"/>
          <w:tblHeader/>
        </w:trPr>
        <w:tc>
          <w:tcPr>
            <w:tcW w:w="550" w:type="pct"/>
            <w:shd w:val="clear" w:color="auto" w:fill="FFFFFF" w:themeFill="background1"/>
            <w:vAlign w:val="bottom"/>
          </w:tcPr>
          <w:p w14:paraId="4545245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RDI*GDB</w:t>
            </w:r>
          </w:p>
        </w:tc>
        <w:tc>
          <w:tcPr>
            <w:tcW w:w="375" w:type="pct"/>
            <w:shd w:val="clear" w:color="auto" w:fill="FFFFFF" w:themeFill="background1"/>
            <w:vAlign w:val="bottom"/>
          </w:tcPr>
          <w:p w14:paraId="088F0A8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shd w:val="clear" w:color="auto" w:fill="FFFFFF" w:themeFill="background1"/>
            <w:vAlign w:val="bottom"/>
          </w:tcPr>
          <w:p w14:paraId="72937B0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shd w:val="clear" w:color="auto" w:fill="FFFFFF" w:themeFill="background1"/>
            <w:vAlign w:val="bottom"/>
          </w:tcPr>
          <w:p w14:paraId="1EE3151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1.62</w:t>
            </w:r>
          </w:p>
        </w:tc>
        <w:tc>
          <w:tcPr>
            <w:tcW w:w="448" w:type="pct"/>
            <w:shd w:val="clear" w:color="auto" w:fill="FFFFFF" w:themeFill="background1"/>
            <w:vAlign w:val="bottom"/>
          </w:tcPr>
          <w:p w14:paraId="08AD7FC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0.11</w:t>
            </w:r>
          </w:p>
        </w:tc>
        <w:tc>
          <w:tcPr>
            <w:tcW w:w="397" w:type="pct"/>
            <w:shd w:val="clear" w:color="auto" w:fill="FFFFFF" w:themeFill="background1"/>
            <w:vAlign w:val="bottom"/>
          </w:tcPr>
          <w:p w14:paraId="030AEBE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1.55</w:t>
            </w:r>
          </w:p>
        </w:tc>
        <w:tc>
          <w:tcPr>
            <w:tcW w:w="402" w:type="pct"/>
            <w:shd w:val="clear" w:color="auto" w:fill="FFFFFF" w:themeFill="background1"/>
            <w:vAlign w:val="bottom"/>
          </w:tcPr>
          <w:p w14:paraId="5507C54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2.49</w:t>
            </w:r>
            <w:r w:rsidRPr="00BA06B6">
              <w:rPr>
                <w:rFonts w:ascii="Times New Roman" w:eastAsia="Calibri" w:hAnsi="Times New Roman" w:cs="Times New Roman"/>
                <w:bCs/>
                <w:sz w:val="18"/>
                <w:szCs w:val="18"/>
                <w:vertAlign w:val="superscript"/>
              </w:rPr>
              <w:t>**</w:t>
            </w:r>
          </w:p>
        </w:tc>
        <w:tc>
          <w:tcPr>
            <w:tcW w:w="405" w:type="pct"/>
            <w:shd w:val="clear" w:color="auto" w:fill="FFFFFF" w:themeFill="background1"/>
            <w:vAlign w:val="bottom"/>
          </w:tcPr>
          <w:p w14:paraId="2627BA3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1.39</w:t>
            </w:r>
          </w:p>
        </w:tc>
        <w:tc>
          <w:tcPr>
            <w:tcW w:w="347" w:type="pct"/>
            <w:shd w:val="clear" w:color="auto" w:fill="FFFFFF" w:themeFill="background1"/>
            <w:vAlign w:val="bottom"/>
          </w:tcPr>
          <w:p w14:paraId="5D1EB74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1.83</w:t>
            </w:r>
            <w:r w:rsidRPr="00BA06B6">
              <w:rPr>
                <w:rFonts w:ascii="Times New Roman" w:eastAsia="Calibri" w:hAnsi="Times New Roman" w:cs="Times New Roman"/>
                <w:bCs/>
                <w:sz w:val="18"/>
                <w:szCs w:val="18"/>
                <w:vertAlign w:val="superscript"/>
              </w:rPr>
              <w:t>*</w:t>
            </w:r>
          </w:p>
        </w:tc>
        <w:tc>
          <w:tcPr>
            <w:tcW w:w="434" w:type="pct"/>
            <w:shd w:val="clear" w:color="auto" w:fill="FFFFFF" w:themeFill="background1"/>
            <w:vAlign w:val="bottom"/>
          </w:tcPr>
          <w:p w14:paraId="7E69F19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1.08</w:t>
            </w:r>
          </w:p>
        </w:tc>
        <w:tc>
          <w:tcPr>
            <w:tcW w:w="447" w:type="pct"/>
            <w:shd w:val="clear" w:color="auto" w:fill="FFFFFF" w:themeFill="background1"/>
            <w:vAlign w:val="bottom"/>
          </w:tcPr>
          <w:p w14:paraId="4165FCA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1.74</w:t>
            </w:r>
            <w:r w:rsidRPr="00BA06B6">
              <w:rPr>
                <w:rFonts w:ascii="Times New Roman" w:eastAsia="Calibri" w:hAnsi="Times New Roman" w:cs="Times New Roman"/>
                <w:bCs/>
                <w:sz w:val="18"/>
                <w:szCs w:val="18"/>
                <w:vertAlign w:val="superscript"/>
              </w:rPr>
              <w:t>*</w:t>
            </w:r>
          </w:p>
        </w:tc>
        <w:tc>
          <w:tcPr>
            <w:tcW w:w="445" w:type="pct"/>
            <w:shd w:val="clear" w:color="auto" w:fill="FFFFFF" w:themeFill="background1"/>
          </w:tcPr>
          <w:p w14:paraId="009B7C5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2.52</w:t>
            </w:r>
            <w:r w:rsidRPr="00BA06B6">
              <w:rPr>
                <w:rFonts w:ascii="Times New Roman" w:eastAsia="Calibri" w:hAnsi="Times New Roman" w:cs="Times New Roman"/>
                <w:bCs/>
                <w:sz w:val="18"/>
                <w:szCs w:val="18"/>
                <w:vertAlign w:val="superscript"/>
              </w:rPr>
              <w:t>**</w:t>
            </w:r>
          </w:p>
        </w:tc>
      </w:tr>
      <w:tr w:rsidR="00BA06B6" w:rsidRPr="00BA06B6" w14:paraId="61E04033" w14:textId="77777777" w:rsidTr="00B91469">
        <w:trPr>
          <w:trHeight w:val="20"/>
          <w:tblHeader/>
        </w:trPr>
        <w:tc>
          <w:tcPr>
            <w:tcW w:w="550" w:type="pct"/>
            <w:shd w:val="clear" w:color="auto" w:fill="FFFFFF" w:themeFill="background1"/>
            <w:vAlign w:val="bottom"/>
          </w:tcPr>
          <w:p w14:paraId="1E126446"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429D953D"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32732DC3"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07AF5B3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(0.105)</w:t>
            </w:r>
          </w:p>
        </w:tc>
        <w:tc>
          <w:tcPr>
            <w:tcW w:w="448" w:type="pct"/>
            <w:shd w:val="clear" w:color="auto" w:fill="FFFFFF" w:themeFill="background1"/>
            <w:vAlign w:val="bottom"/>
          </w:tcPr>
          <w:p w14:paraId="6D4A605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(0.913)</w:t>
            </w:r>
          </w:p>
        </w:tc>
        <w:tc>
          <w:tcPr>
            <w:tcW w:w="397" w:type="pct"/>
            <w:shd w:val="clear" w:color="auto" w:fill="FFFFFF" w:themeFill="background1"/>
            <w:vAlign w:val="bottom"/>
          </w:tcPr>
          <w:p w14:paraId="595E8E8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(0.121)</w:t>
            </w:r>
          </w:p>
        </w:tc>
        <w:tc>
          <w:tcPr>
            <w:tcW w:w="402" w:type="pct"/>
            <w:shd w:val="clear" w:color="auto" w:fill="FFFFFF" w:themeFill="background1"/>
            <w:vAlign w:val="bottom"/>
          </w:tcPr>
          <w:p w14:paraId="1B8F597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(0.013)</w:t>
            </w:r>
          </w:p>
        </w:tc>
        <w:tc>
          <w:tcPr>
            <w:tcW w:w="405" w:type="pct"/>
            <w:shd w:val="clear" w:color="auto" w:fill="FFFFFF" w:themeFill="background1"/>
            <w:vAlign w:val="bottom"/>
          </w:tcPr>
          <w:p w14:paraId="6568047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(0.164)</w:t>
            </w:r>
          </w:p>
        </w:tc>
        <w:tc>
          <w:tcPr>
            <w:tcW w:w="347" w:type="pct"/>
            <w:shd w:val="clear" w:color="auto" w:fill="FFFFFF" w:themeFill="background1"/>
            <w:vAlign w:val="bottom"/>
          </w:tcPr>
          <w:p w14:paraId="627F579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(0.067)</w:t>
            </w:r>
          </w:p>
        </w:tc>
        <w:tc>
          <w:tcPr>
            <w:tcW w:w="434" w:type="pct"/>
            <w:shd w:val="clear" w:color="auto" w:fill="FFFFFF" w:themeFill="background1"/>
            <w:vAlign w:val="bottom"/>
          </w:tcPr>
          <w:p w14:paraId="4A4F1A7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(0.282)</w:t>
            </w:r>
          </w:p>
        </w:tc>
        <w:tc>
          <w:tcPr>
            <w:tcW w:w="447" w:type="pct"/>
            <w:shd w:val="clear" w:color="auto" w:fill="FFFFFF" w:themeFill="background1"/>
            <w:vAlign w:val="bottom"/>
          </w:tcPr>
          <w:p w14:paraId="57B6F0F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(0.082)</w:t>
            </w:r>
          </w:p>
        </w:tc>
        <w:tc>
          <w:tcPr>
            <w:tcW w:w="445" w:type="pct"/>
            <w:shd w:val="clear" w:color="auto" w:fill="FFFFFF" w:themeFill="background1"/>
          </w:tcPr>
          <w:p w14:paraId="2047143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(0.012)</w:t>
            </w:r>
          </w:p>
        </w:tc>
      </w:tr>
      <w:tr w:rsidR="00BA06B6" w:rsidRPr="00BA06B6" w14:paraId="63EF5CD6" w14:textId="77777777" w:rsidTr="00B91469">
        <w:trPr>
          <w:trHeight w:val="20"/>
          <w:tblHeader/>
        </w:trPr>
        <w:tc>
          <w:tcPr>
            <w:tcW w:w="550" w:type="pct"/>
            <w:shd w:val="clear" w:color="auto" w:fill="FFFFFF" w:themeFill="background1"/>
            <w:vAlign w:val="bottom"/>
          </w:tcPr>
          <w:p w14:paraId="730BCEC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RDI*BBID</w:t>
            </w:r>
          </w:p>
        </w:tc>
        <w:tc>
          <w:tcPr>
            <w:tcW w:w="375" w:type="pct"/>
            <w:shd w:val="clear" w:color="auto" w:fill="FFFFFF" w:themeFill="background1"/>
            <w:vAlign w:val="bottom"/>
          </w:tcPr>
          <w:p w14:paraId="2708718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shd w:val="clear" w:color="auto" w:fill="FFFFFF" w:themeFill="background1"/>
            <w:vAlign w:val="bottom"/>
          </w:tcPr>
          <w:p w14:paraId="09F700D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shd w:val="clear" w:color="auto" w:fill="FFFFFF" w:themeFill="background1"/>
            <w:vAlign w:val="bottom"/>
          </w:tcPr>
          <w:p w14:paraId="63E6DFB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1.63</w:t>
            </w:r>
            <w:r w:rsidRPr="00BA06B6">
              <w:rPr>
                <w:rFonts w:ascii="Times New Roman" w:eastAsia="Calibri" w:hAnsi="Times New Roman" w:cs="Times New Roman"/>
                <w:bCs/>
                <w:sz w:val="18"/>
                <w:szCs w:val="18"/>
                <w:vertAlign w:val="superscript"/>
              </w:rPr>
              <w:t>*</w:t>
            </w:r>
          </w:p>
        </w:tc>
        <w:tc>
          <w:tcPr>
            <w:tcW w:w="448" w:type="pct"/>
            <w:shd w:val="clear" w:color="auto" w:fill="FFFFFF" w:themeFill="background1"/>
            <w:vAlign w:val="bottom"/>
          </w:tcPr>
          <w:p w14:paraId="2B21332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0.49</w:t>
            </w:r>
          </w:p>
        </w:tc>
        <w:tc>
          <w:tcPr>
            <w:tcW w:w="397" w:type="pct"/>
            <w:shd w:val="clear" w:color="auto" w:fill="FFFFFF" w:themeFill="background1"/>
            <w:vAlign w:val="bottom"/>
          </w:tcPr>
          <w:p w14:paraId="33B3C6B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2.50</w:t>
            </w:r>
            <w:r w:rsidRPr="00BA06B6">
              <w:rPr>
                <w:rFonts w:ascii="Times New Roman" w:eastAsia="Calibri" w:hAnsi="Times New Roman" w:cs="Times New Roman"/>
                <w:bCs/>
                <w:sz w:val="18"/>
                <w:szCs w:val="18"/>
                <w:vertAlign w:val="superscript"/>
              </w:rPr>
              <w:t>**</w:t>
            </w:r>
          </w:p>
        </w:tc>
        <w:tc>
          <w:tcPr>
            <w:tcW w:w="402" w:type="pct"/>
            <w:shd w:val="clear" w:color="auto" w:fill="FFFFFF" w:themeFill="background1"/>
            <w:vAlign w:val="bottom"/>
          </w:tcPr>
          <w:p w14:paraId="12DC38A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1.48</w:t>
            </w:r>
          </w:p>
        </w:tc>
        <w:tc>
          <w:tcPr>
            <w:tcW w:w="405" w:type="pct"/>
            <w:shd w:val="clear" w:color="auto" w:fill="FFFFFF" w:themeFill="background1"/>
            <w:vAlign w:val="bottom"/>
          </w:tcPr>
          <w:p w14:paraId="2574FE2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0.00</w:t>
            </w:r>
          </w:p>
        </w:tc>
        <w:tc>
          <w:tcPr>
            <w:tcW w:w="347" w:type="pct"/>
            <w:shd w:val="clear" w:color="auto" w:fill="FFFFFF" w:themeFill="background1"/>
            <w:vAlign w:val="bottom"/>
          </w:tcPr>
          <w:p w14:paraId="1448236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0.43</w:t>
            </w:r>
          </w:p>
        </w:tc>
        <w:tc>
          <w:tcPr>
            <w:tcW w:w="434" w:type="pct"/>
            <w:shd w:val="clear" w:color="auto" w:fill="FFFFFF" w:themeFill="background1"/>
            <w:vAlign w:val="bottom"/>
          </w:tcPr>
          <w:p w14:paraId="2E83B19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0.21</w:t>
            </w:r>
          </w:p>
        </w:tc>
        <w:tc>
          <w:tcPr>
            <w:tcW w:w="447" w:type="pct"/>
            <w:shd w:val="clear" w:color="auto" w:fill="FFFFFF" w:themeFill="background1"/>
            <w:vAlign w:val="bottom"/>
          </w:tcPr>
          <w:p w14:paraId="0D41A38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0.96</w:t>
            </w:r>
          </w:p>
        </w:tc>
        <w:tc>
          <w:tcPr>
            <w:tcW w:w="445" w:type="pct"/>
            <w:shd w:val="clear" w:color="auto" w:fill="FFFFFF" w:themeFill="background1"/>
          </w:tcPr>
          <w:p w14:paraId="2A2B8DE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0.59</w:t>
            </w:r>
          </w:p>
        </w:tc>
      </w:tr>
      <w:tr w:rsidR="00BA06B6" w:rsidRPr="00BA06B6" w14:paraId="0259750B" w14:textId="77777777" w:rsidTr="00B91469">
        <w:trPr>
          <w:trHeight w:val="20"/>
          <w:tblHeader/>
        </w:trPr>
        <w:tc>
          <w:tcPr>
            <w:tcW w:w="550" w:type="pct"/>
            <w:shd w:val="clear" w:color="auto" w:fill="FFFFFF" w:themeFill="background1"/>
            <w:vAlign w:val="bottom"/>
          </w:tcPr>
          <w:p w14:paraId="70C964FE"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793449A6"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65FA5C5D"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50B64DC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(0.089)</w:t>
            </w:r>
          </w:p>
        </w:tc>
        <w:tc>
          <w:tcPr>
            <w:tcW w:w="448" w:type="pct"/>
            <w:shd w:val="clear" w:color="auto" w:fill="FFFFFF" w:themeFill="background1"/>
            <w:vAlign w:val="bottom"/>
          </w:tcPr>
          <w:p w14:paraId="7CD1A32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(0.623)</w:t>
            </w:r>
          </w:p>
        </w:tc>
        <w:tc>
          <w:tcPr>
            <w:tcW w:w="397" w:type="pct"/>
            <w:shd w:val="clear" w:color="auto" w:fill="FFFFFF" w:themeFill="background1"/>
            <w:vAlign w:val="bottom"/>
          </w:tcPr>
          <w:p w14:paraId="116CF84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(0.012)</w:t>
            </w:r>
          </w:p>
        </w:tc>
        <w:tc>
          <w:tcPr>
            <w:tcW w:w="402" w:type="pct"/>
            <w:shd w:val="clear" w:color="auto" w:fill="FFFFFF" w:themeFill="background1"/>
            <w:vAlign w:val="bottom"/>
          </w:tcPr>
          <w:p w14:paraId="1C7E291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(0.139)</w:t>
            </w:r>
          </w:p>
        </w:tc>
        <w:tc>
          <w:tcPr>
            <w:tcW w:w="405" w:type="pct"/>
            <w:shd w:val="clear" w:color="auto" w:fill="FFFFFF" w:themeFill="background1"/>
            <w:vAlign w:val="bottom"/>
          </w:tcPr>
          <w:p w14:paraId="2EFB3B0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(0.997)</w:t>
            </w:r>
          </w:p>
        </w:tc>
        <w:tc>
          <w:tcPr>
            <w:tcW w:w="347" w:type="pct"/>
            <w:shd w:val="clear" w:color="auto" w:fill="FFFFFF" w:themeFill="background1"/>
            <w:vAlign w:val="bottom"/>
          </w:tcPr>
          <w:p w14:paraId="7713ABE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(0.666)</w:t>
            </w:r>
          </w:p>
        </w:tc>
        <w:tc>
          <w:tcPr>
            <w:tcW w:w="434" w:type="pct"/>
            <w:shd w:val="clear" w:color="auto" w:fill="FFFFFF" w:themeFill="background1"/>
            <w:vAlign w:val="bottom"/>
          </w:tcPr>
          <w:p w14:paraId="48B646C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(0.836)</w:t>
            </w:r>
          </w:p>
        </w:tc>
        <w:tc>
          <w:tcPr>
            <w:tcW w:w="447" w:type="pct"/>
            <w:shd w:val="clear" w:color="auto" w:fill="FFFFFF" w:themeFill="background1"/>
            <w:vAlign w:val="bottom"/>
          </w:tcPr>
          <w:p w14:paraId="13C74C2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(0.338)</w:t>
            </w:r>
          </w:p>
        </w:tc>
        <w:tc>
          <w:tcPr>
            <w:tcW w:w="445" w:type="pct"/>
            <w:shd w:val="clear" w:color="auto" w:fill="FFFFFF" w:themeFill="background1"/>
          </w:tcPr>
          <w:p w14:paraId="5FC0CBD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(0.557)</w:t>
            </w:r>
          </w:p>
        </w:tc>
      </w:tr>
      <w:tr w:rsidR="00BA06B6" w:rsidRPr="00BA06B6" w14:paraId="234A5EFF" w14:textId="77777777" w:rsidTr="00B91469">
        <w:trPr>
          <w:trHeight w:val="20"/>
          <w:tblHeader/>
        </w:trPr>
        <w:tc>
          <w:tcPr>
            <w:tcW w:w="550" w:type="pct"/>
            <w:shd w:val="clear" w:color="auto" w:fill="FFFFFF" w:themeFill="background1"/>
            <w:vAlign w:val="bottom"/>
          </w:tcPr>
          <w:p w14:paraId="3CEBCA5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RDI*SSB</w:t>
            </w:r>
          </w:p>
        </w:tc>
        <w:tc>
          <w:tcPr>
            <w:tcW w:w="375" w:type="pct"/>
            <w:shd w:val="clear" w:color="auto" w:fill="FFFFFF" w:themeFill="background1"/>
            <w:vAlign w:val="bottom"/>
          </w:tcPr>
          <w:p w14:paraId="3CBF217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shd w:val="clear" w:color="auto" w:fill="FFFFFF" w:themeFill="background1"/>
            <w:vAlign w:val="bottom"/>
          </w:tcPr>
          <w:p w14:paraId="0B72936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shd w:val="clear" w:color="auto" w:fill="FFFFFF" w:themeFill="background1"/>
            <w:vAlign w:val="bottom"/>
          </w:tcPr>
          <w:p w14:paraId="458D24A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1.18</w:t>
            </w:r>
            <w:r w:rsidRPr="00BA06B6">
              <w:rPr>
                <w:rFonts w:ascii="Times New Roman" w:eastAsia="Calibri" w:hAnsi="Times New Roman" w:cs="Times New Roman"/>
                <w:bCs/>
                <w:sz w:val="18"/>
                <w:szCs w:val="18"/>
                <w:vertAlign w:val="superscript"/>
              </w:rPr>
              <w:t>*</w:t>
            </w:r>
          </w:p>
        </w:tc>
        <w:tc>
          <w:tcPr>
            <w:tcW w:w="448" w:type="pct"/>
            <w:shd w:val="clear" w:color="auto" w:fill="FFFFFF" w:themeFill="background1"/>
            <w:vAlign w:val="bottom"/>
          </w:tcPr>
          <w:p w14:paraId="52C4769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1.47</w:t>
            </w:r>
            <w:r w:rsidRPr="00BA06B6">
              <w:rPr>
                <w:rFonts w:ascii="Times New Roman" w:eastAsia="Calibri" w:hAnsi="Times New Roman" w:cs="Times New Roman"/>
                <w:bCs/>
                <w:sz w:val="18"/>
                <w:szCs w:val="18"/>
                <w:vertAlign w:val="superscript"/>
              </w:rPr>
              <w:t>*</w:t>
            </w:r>
          </w:p>
        </w:tc>
        <w:tc>
          <w:tcPr>
            <w:tcW w:w="397" w:type="pct"/>
            <w:shd w:val="clear" w:color="auto" w:fill="FFFFFF" w:themeFill="background1"/>
            <w:vAlign w:val="bottom"/>
          </w:tcPr>
          <w:p w14:paraId="5606106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w:t>
            </w:r>
          </w:p>
        </w:tc>
        <w:tc>
          <w:tcPr>
            <w:tcW w:w="402" w:type="pct"/>
            <w:shd w:val="clear" w:color="auto" w:fill="FFFFFF" w:themeFill="background1"/>
            <w:vAlign w:val="bottom"/>
          </w:tcPr>
          <w:p w14:paraId="41AF932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0.18</w:t>
            </w:r>
          </w:p>
        </w:tc>
        <w:tc>
          <w:tcPr>
            <w:tcW w:w="405" w:type="pct"/>
            <w:shd w:val="clear" w:color="auto" w:fill="FFFFFF" w:themeFill="background1"/>
            <w:vAlign w:val="bottom"/>
          </w:tcPr>
          <w:p w14:paraId="07AC722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0.23</w:t>
            </w:r>
          </w:p>
        </w:tc>
        <w:tc>
          <w:tcPr>
            <w:tcW w:w="347" w:type="pct"/>
            <w:shd w:val="clear" w:color="auto" w:fill="FFFFFF" w:themeFill="background1"/>
            <w:vAlign w:val="bottom"/>
          </w:tcPr>
          <w:p w14:paraId="7DA3B36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0.16</w:t>
            </w:r>
          </w:p>
        </w:tc>
        <w:tc>
          <w:tcPr>
            <w:tcW w:w="434" w:type="pct"/>
            <w:shd w:val="clear" w:color="auto" w:fill="FFFFFF" w:themeFill="background1"/>
            <w:vAlign w:val="bottom"/>
          </w:tcPr>
          <w:p w14:paraId="0C267EF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0.22</w:t>
            </w:r>
          </w:p>
        </w:tc>
        <w:tc>
          <w:tcPr>
            <w:tcW w:w="447" w:type="pct"/>
            <w:shd w:val="clear" w:color="auto" w:fill="FFFFFF" w:themeFill="background1"/>
            <w:vAlign w:val="bottom"/>
          </w:tcPr>
          <w:p w14:paraId="3BE0953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0.64</w:t>
            </w:r>
          </w:p>
        </w:tc>
        <w:tc>
          <w:tcPr>
            <w:tcW w:w="445" w:type="pct"/>
            <w:shd w:val="clear" w:color="auto" w:fill="FFFFFF" w:themeFill="background1"/>
          </w:tcPr>
          <w:p w14:paraId="31C9BC5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1.34</w:t>
            </w:r>
          </w:p>
        </w:tc>
      </w:tr>
      <w:tr w:rsidR="00BA06B6" w:rsidRPr="00BA06B6" w14:paraId="1A237873" w14:textId="77777777" w:rsidTr="00B91469">
        <w:trPr>
          <w:trHeight w:val="20"/>
          <w:tblHeader/>
        </w:trPr>
        <w:tc>
          <w:tcPr>
            <w:tcW w:w="550" w:type="pct"/>
            <w:tcBorders>
              <w:bottom w:val="single" w:sz="12" w:space="0" w:color="auto"/>
            </w:tcBorders>
            <w:shd w:val="clear" w:color="auto" w:fill="FFFFFF" w:themeFill="background1"/>
            <w:vAlign w:val="bottom"/>
          </w:tcPr>
          <w:p w14:paraId="772B21DE"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tcBorders>
              <w:bottom w:val="single" w:sz="12" w:space="0" w:color="auto"/>
            </w:tcBorders>
            <w:shd w:val="clear" w:color="auto" w:fill="FFFFFF" w:themeFill="background1"/>
            <w:vAlign w:val="bottom"/>
          </w:tcPr>
          <w:p w14:paraId="4CBF3B8E"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tcBorders>
              <w:bottom w:val="single" w:sz="12" w:space="0" w:color="auto"/>
            </w:tcBorders>
            <w:shd w:val="clear" w:color="auto" w:fill="FFFFFF" w:themeFill="background1"/>
            <w:vAlign w:val="bottom"/>
          </w:tcPr>
          <w:p w14:paraId="5F5CA4CE"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tcBorders>
              <w:bottom w:val="single" w:sz="12" w:space="0" w:color="auto"/>
            </w:tcBorders>
            <w:shd w:val="clear" w:color="auto" w:fill="FFFFFF" w:themeFill="background1"/>
            <w:vAlign w:val="bottom"/>
          </w:tcPr>
          <w:p w14:paraId="002B541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(0.086)</w:t>
            </w:r>
          </w:p>
        </w:tc>
        <w:tc>
          <w:tcPr>
            <w:tcW w:w="448" w:type="pct"/>
            <w:tcBorders>
              <w:bottom w:val="single" w:sz="12" w:space="0" w:color="auto"/>
            </w:tcBorders>
            <w:shd w:val="clear" w:color="auto" w:fill="FFFFFF" w:themeFill="background1"/>
            <w:vAlign w:val="bottom"/>
          </w:tcPr>
          <w:p w14:paraId="1945EDB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(0.091)</w:t>
            </w:r>
          </w:p>
        </w:tc>
        <w:tc>
          <w:tcPr>
            <w:tcW w:w="397" w:type="pct"/>
            <w:tcBorders>
              <w:bottom w:val="single" w:sz="12" w:space="0" w:color="auto"/>
            </w:tcBorders>
            <w:shd w:val="clear" w:color="auto" w:fill="FFFFFF" w:themeFill="background1"/>
            <w:vAlign w:val="bottom"/>
          </w:tcPr>
          <w:p w14:paraId="2ABD6CE2"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02" w:type="pct"/>
            <w:tcBorders>
              <w:bottom w:val="single" w:sz="12" w:space="0" w:color="auto"/>
            </w:tcBorders>
            <w:shd w:val="clear" w:color="auto" w:fill="FFFFFF" w:themeFill="background1"/>
            <w:vAlign w:val="bottom"/>
          </w:tcPr>
          <w:p w14:paraId="4006F56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(0.856)</w:t>
            </w:r>
          </w:p>
        </w:tc>
        <w:tc>
          <w:tcPr>
            <w:tcW w:w="405" w:type="pct"/>
            <w:tcBorders>
              <w:bottom w:val="single" w:sz="12" w:space="0" w:color="auto"/>
            </w:tcBorders>
            <w:shd w:val="clear" w:color="auto" w:fill="FFFFFF" w:themeFill="background1"/>
            <w:vAlign w:val="bottom"/>
          </w:tcPr>
          <w:p w14:paraId="6601FBA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(0.821)</w:t>
            </w:r>
          </w:p>
        </w:tc>
        <w:tc>
          <w:tcPr>
            <w:tcW w:w="347" w:type="pct"/>
            <w:tcBorders>
              <w:bottom w:val="single" w:sz="12" w:space="0" w:color="auto"/>
            </w:tcBorders>
            <w:shd w:val="clear" w:color="auto" w:fill="FFFFFF" w:themeFill="background1"/>
            <w:vAlign w:val="bottom"/>
          </w:tcPr>
          <w:p w14:paraId="7521656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(0.870)</w:t>
            </w:r>
          </w:p>
        </w:tc>
        <w:tc>
          <w:tcPr>
            <w:tcW w:w="434" w:type="pct"/>
            <w:tcBorders>
              <w:bottom w:val="single" w:sz="12" w:space="0" w:color="auto"/>
            </w:tcBorders>
            <w:shd w:val="clear" w:color="auto" w:fill="FFFFFF" w:themeFill="background1"/>
            <w:vAlign w:val="bottom"/>
          </w:tcPr>
          <w:p w14:paraId="1D3C11C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(0.823)</w:t>
            </w:r>
          </w:p>
        </w:tc>
        <w:tc>
          <w:tcPr>
            <w:tcW w:w="447" w:type="pct"/>
            <w:tcBorders>
              <w:bottom w:val="single" w:sz="12" w:space="0" w:color="auto"/>
            </w:tcBorders>
            <w:shd w:val="clear" w:color="auto" w:fill="FFFFFF" w:themeFill="background1"/>
            <w:vAlign w:val="bottom"/>
          </w:tcPr>
          <w:p w14:paraId="24831F1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(0.519)</w:t>
            </w:r>
          </w:p>
        </w:tc>
        <w:tc>
          <w:tcPr>
            <w:tcW w:w="445" w:type="pct"/>
            <w:tcBorders>
              <w:bottom w:val="single" w:sz="12" w:space="0" w:color="auto"/>
            </w:tcBorders>
            <w:shd w:val="clear" w:color="auto" w:fill="FFFFFF" w:themeFill="background1"/>
          </w:tcPr>
          <w:p w14:paraId="554D863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(0.181)</w:t>
            </w:r>
          </w:p>
        </w:tc>
      </w:tr>
      <w:tr w:rsidR="00BA06B6" w:rsidRPr="00BA06B6" w14:paraId="0164ECD5" w14:textId="77777777" w:rsidTr="00B91469">
        <w:trPr>
          <w:trHeight w:val="20"/>
          <w:tblHeader/>
        </w:trPr>
        <w:tc>
          <w:tcPr>
            <w:tcW w:w="4108" w:type="pct"/>
            <w:gridSpan w:val="10"/>
            <w:tcBorders>
              <w:top w:val="single" w:sz="12" w:space="0" w:color="auto"/>
              <w:bottom w:val="single" w:sz="12" w:space="0" w:color="auto"/>
            </w:tcBorders>
            <w:shd w:val="clear" w:color="auto" w:fill="FFFFFF" w:themeFill="background1"/>
            <w:vAlign w:val="bottom"/>
          </w:tcPr>
          <w:p w14:paraId="5DD0A6A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i/>
                <w:sz w:val="18"/>
                <w:szCs w:val="18"/>
              </w:rPr>
              <w:t>Panel C:  Governance variables</w:t>
            </w:r>
          </w:p>
        </w:tc>
        <w:tc>
          <w:tcPr>
            <w:tcW w:w="447" w:type="pct"/>
            <w:tcBorders>
              <w:top w:val="single" w:sz="12" w:space="0" w:color="auto"/>
              <w:bottom w:val="single" w:sz="12" w:space="0" w:color="auto"/>
            </w:tcBorders>
            <w:shd w:val="clear" w:color="auto" w:fill="FFFFFF" w:themeFill="background1"/>
            <w:vAlign w:val="bottom"/>
          </w:tcPr>
          <w:p w14:paraId="28960419" w14:textId="77777777" w:rsidR="00AA068C" w:rsidRPr="00BA06B6" w:rsidRDefault="00AA068C" w:rsidP="00BC341D">
            <w:pPr>
              <w:tabs>
                <w:tab w:val="left" w:pos="851"/>
              </w:tabs>
              <w:jc w:val="both"/>
              <w:rPr>
                <w:rFonts w:ascii="Times New Roman" w:eastAsia="Calibri" w:hAnsi="Times New Roman" w:cs="Times New Roman"/>
                <w:i/>
                <w:sz w:val="18"/>
                <w:szCs w:val="18"/>
              </w:rPr>
            </w:pPr>
          </w:p>
        </w:tc>
        <w:tc>
          <w:tcPr>
            <w:tcW w:w="445" w:type="pct"/>
            <w:tcBorders>
              <w:top w:val="single" w:sz="12" w:space="0" w:color="auto"/>
              <w:bottom w:val="single" w:sz="12" w:space="0" w:color="auto"/>
            </w:tcBorders>
            <w:shd w:val="clear" w:color="auto" w:fill="FFFFFF" w:themeFill="background1"/>
          </w:tcPr>
          <w:p w14:paraId="1E280C19" w14:textId="77777777" w:rsidR="00AA068C" w:rsidRPr="00BA06B6" w:rsidRDefault="00AA068C" w:rsidP="00BC341D">
            <w:pPr>
              <w:tabs>
                <w:tab w:val="left" w:pos="851"/>
              </w:tabs>
              <w:jc w:val="both"/>
              <w:rPr>
                <w:rFonts w:ascii="Times New Roman" w:eastAsia="Calibri" w:hAnsi="Times New Roman" w:cs="Times New Roman"/>
                <w:i/>
                <w:sz w:val="18"/>
                <w:szCs w:val="18"/>
              </w:rPr>
            </w:pPr>
          </w:p>
        </w:tc>
      </w:tr>
      <w:tr w:rsidR="00BA06B6" w:rsidRPr="00BA06B6" w14:paraId="10C6021F" w14:textId="77777777" w:rsidTr="00B91469">
        <w:trPr>
          <w:trHeight w:val="20"/>
          <w:tblHeader/>
        </w:trPr>
        <w:tc>
          <w:tcPr>
            <w:tcW w:w="550" w:type="pct"/>
            <w:tcBorders>
              <w:top w:val="single" w:sz="12" w:space="0" w:color="auto"/>
            </w:tcBorders>
            <w:shd w:val="clear" w:color="auto" w:fill="FFFFFF" w:themeFill="background1"/>
            <w:vAlign w:val="bottom"/>
          </w:tcPr>
          <w:p w14:paraId="17DE616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BOWN</w:t>
            </w:r>
          </w:p>
        </w:tc>
        <w:tc>
          <w:tcPr>
            <w:tcW w:w="375" w:type="pct"/>
            <w:tcBorders>
              <w:top w:val="single" w:sz="12" w:space="0" w:color="auto"/>
            </w:tcBorders>
            <w:shd w:val="clear" w:color="auto" w:fill="FFFFFF" w:themeFill="background1"/>
            <w:vAlign w:val="bottom"/>
          </w:tcPr>
          <w:p w14:paraId="494A69F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tcBorders>
              <w:top w:val="single" w:sz="12" w:space="0" w:color="auto"/>
            </w:tcBorders>
            <w:shd w:val="clear" w:color="auto" w:fill="FFFFFF" w:themeFill="background1"/>
            <w:vAlign w:val="bottom"/>
          </w:tcPr>
          <w:p w14:paraId="46D099D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0.36</w:t>
            </w:r>
          </w:p>
        </w:tc>
        <w:tc>
          <w:tcPr>
            <w:tcW w:w="375" w:type="pct"/>
            <w:tcBorders>
              <w:top w:val="single" w:sz="12" w:space="0" w:color="auto"/>
            </w:tcBorders>
            <w:shd w:val="clear" w:color="auto" w:fill="FFFFFF" w:themeFill="background1"/>
            <w:vAlign w:val="bottom"/>
          </w:tcPr>
          <w:p w14:paraId="4BA997A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0.15</w:t>
            </w:r>
          </w:p>
        </w:tc>
        <w:tc>
          <w:tcPr>
            <w:tcW w:w="448" w:type="pct"/>
            <w:tcBorders>
              <w:top w:val="single" w:sz="12" w:space="0" w:color="auto"/>
            </w:tcBorders>
            <w:shd w:val="clear" w:color="auto" w:fill="FFFFFF" w:themeFill="background1"/>
            <w:vAlign w:val="bottom"/>
          </w:tcPr>
          <w:p w14:paraId="442AD7E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1.86</w:t>
            </w:r>
            <w:r w:rsidRPr="00BA06B6">
              <w:rPr>
                <w:rFonts w:ascii="Times New Roman" w:eastAsia="Calibri" w:hAnsi="Times New Roman" w:cs="Times New Roman"/>
                <w:bCs/>
                <w:sz w:val="18"/>
                <w:szCs w:val="18"/>
                <w:vertAlign w:val="superscript"/>
              </w:rPr>
              <w:t>*</w:t>
            </w:r>
          </w:p>
        </w:tc>
        <w:tc>
          <w:tcPr>
            <w:tcW w:w="397" w:type="pct"/>
            <w:tcBorders>
              <w:top w:val="single" w:sz="12" w:space="0" w:color="auto"/>
            </w:tcBorders>
            <w:shd w:val="clear" w:color="auto" w:fill="FFFFFF" w:themeFill="background1"/>
            <w:vAlign w:val="bottom"/>
          </w:tcPr>
          <w:p w14:paraId="3AA884C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1.22</w:t>
            </w:r>
          </w:p>
        </w:tc>
        <w:tc>
          <w:tcPr>
            <w:tcW w:w="402" w:type="pct"/>
            <w:tcBorders>
              <w:top w:val="single" w:sz="12" w:space="0" w:color="auto"/>
            </w:tcBorders>
            <w:shd w:val="clear" w:color="auto" w:fill="FFFFFF" w:themeFill="background1"/>
            <w:vAlign w:val="bottom"/>
          </w:tcPr>
          <w:p w14:paraId="6DFB201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-2.17</w:t>
            </w:r>
            <w:r w:rsidRPr="00BA06B6">
              <w:rPr>
                <w:rFonts w:ascii="Times New Roman" w:eastAsia="Calibri" w:hAnsi="Times New Roman" w:cs="Times New Roman"/>
                <w:bCs/>
                <w:sz w:val="18"/>
                <w:szCs w:val="18"/>
                <w:vertAlign w:val="superscript"/>
              </w:rPr>
              <w:t>**</w:t>
            </w:r>
          </w:p>
        </w:tc>
        <w:tc>
          <w:tcPr>
            <w:tcW w:w="405" w:type="pct"/>
            <w:tcBorders>
              <w:top w:val="single" w:sz="12" w:space="0" w:color="auto"/>
            </w:tcBorders>
            <w:shd w:val="clear" w:color="auto" w:fill="FFFFFF" w:themeFill="background1"/>
            <w:vAlign w:val="bottom"/>
          </w:tcPr>
          <w:p w14:paraId="560BAD2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-0.52</w:t>
            </w:r>
          </w:p>
        </w:tc>
        <w:tc>
          <w:tcPr>
            <w:tcW w:w="347" w:type="pct"/>
            <w:tcBorders>
              <w:top w:val="single" w:sz="12" w:space="0" w:color="auto"/>
            </w:tcBorders>
            <w:shd w:val="clear" w:color="auto" w:fill="FFFFFF" w:themeFill="background1"/>
            <w:vAlign w:val="bottom"/>
          </w:tcPr>
          <w:p w14:paraId="18FDDEF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1.27</w:t>
            </w:r>
          </w:p>
        </w:tc>
        <w:tc>
          <w:tcPr>
            <w:tcW w:w="434" w:type="pct"/>
            <w:tcBorders>
              <w:top w:val="single" w:sz="12" w:space="0" w:color="auto"/>
            </w:tcBorders>
            <w:shd w:val="clear" w:color="auto" w:fill="FFFFFF" w:themeFill="background1"/>
            <w:vAlign w:val="bottom"/>
          </w:tcPr>
          <w:p w14:paraId="5E5FC65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-0.36</w:t>
            </w:r>
          </w:p>
        </w:tc>
        <w:tc>
          <w:tcPr>
            <w:tcW w:w="447" w:type="pct"/>
            <w:tcBorders>
              <w:top w:val="single" w:sz="12" w:space="0" w:color="auto"/>
            </w:tcBorders>
            <w:shd w:val="clear" w:color="auto" w:fill="FFFFFF" w:themeFill="background1"/>
            <w:vAlign w:val="bottom"/>
          </w:tcPr>
          <w:p w14:paraId="1B48767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-1.03</w:t>
            </w:r>
          </w:p>
        </w:tc>
        <w:tc>
          <w:tcPr>
            <w:tcW w:w="445" w:type="pct"/>
            <w:tcBorders>
              <w:top w:val="single" w:sz="12" w:space="0" w:color="auto"/>
            </w:tcBorders>
            <w:shd w:val="clear" w:color="auto" w:fill="FFFFFF" w:themeFill="background1"/>
          </w:tcPr>
          <w:p w14:paraId="45F6311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2.23</w:t>
            </w:r>
            <w:r w:rsidRPr="00BA06B6">
              <w:rPr>
                <w:rFonts w:ascii="Times New Roman" w:eastAsia="Calibri" w:hAnsi="Times New Roman" w:cs="Times New Roman"/>
                <w:bCs/>
                <w:sz w:val="18"/>
                <w:szCs w:val="18"/>
                <w:vertAlign w:val="superscript"/>
              </w:rPr>
              <w:t>**</w:t>
            </w:r>
          </w:p>
        </w:tc>
      </w:tr>
      <w:tr w:rsidR="00BA06B6" w:rsidRPr="00BA06B6" w14:paraId="7DF6F7B2" w14:textId="77777777" w:rsidTr="00B91469">
        <w:trPr>
          <w:trHeight w:val="20"/>
          <w:tblHeader/>
        </w:trPr>
        <w:tc>
          <w:tcPr>
            <w:tcW w:w="550" w:type="pct"/>
            <w:shd w:val="clear" w:color="auto" w:fill="FFFFFF" w:themeFill="background1"/>
            <w:vAlign w:val="bottom"/>
          </w:tcPr>
          <w:p w14:paraId="174C0CAC"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5B8ED8CE"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12204B2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(0.722)</w:t>
            </w:r>
          </w:p>
        </w:tc>
        <w:tc>
          <w:tcPr>
            <w:tcW w:w="375" w:type="pct"/>
            <w:shd w:val="clear" w:color="auto" w:fill="FFFFFF" w:themeFill="background1"/>
            <w:vAlign w:val="bottom"/>
          </w:tcPr>
          <w:p w14:paraId="7BEEE0D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(0.877)</w:t>
            </w:r>
          </w:p>
        </w:tc>
        <w:tc>
          <w:tcPr>
            <w:tcW w:w="448" w:type="pct"/>
            <w:shd w:val="clear" w:color="auto" w:fill="FFFFFF" w:themeFill="background1"/>
            <w:vAlign w:val="bottom"/>
          </w:tcPr>
          <w:p w14:paraId="1635811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(0.063)</w:t>
            </w:r>
          </w:p>
        </w:tc>
        <w:tc>
          <w:tcPr>
            <w:tcW w:w="397" w:type="pct"/>
            <w:shd w:val="clear" w:color="auto" w:fill="FFFFFF" w:themeFill="background1"/>
            <w:vAlign w:val="bottom"/>
          </w:tcPr>
          <w:p w14:paraId="1DA6EEB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(0.223)</w:t>
            </w:r>
          </w:p>
        </w:tc>
        <w:tc>
          <w:tcPr>
            <w:tcW w:w="402" w:type="pct"/>
            <w:shd w:val="clear" w:color="auto" w:fill="FFFFFF" w:themeFill="background1"/>
            <w:vAlign w:val="bottom"/>
          </w:tcPr>
          <w:p w14:paraId="28205FE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(0.030)</w:t>
            </w:r>
          </w:p>
        </w:tc>
        <w:tc>
          <w:tcPr>
            <w:tcW w:w="405" w:type="pct"/>
            <w:shd w:val="clear" w:color="auto" w:fill="FFFFFF" w:themeFill="background1"/>
            <w:vAlign w:val="bottom"/>
          </w:tcPr>
          <w:p w14:paraId="7D0D26E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(0.605)</w:t>
            </w:r>
          </w:p>
        </w:tc>
        <w:tc>
          <w:tcPr>
            <w:tcW w:w="347" w:type="pct"/>
            <w:shd w:val="clear" w:color="auto" w:fill="FFFFFF" w:themeFill="background1"/>
            <w:vAlign w:val="bottom"/>
          </w:tcPr>
          <w:p w14:paraId="7C9AF01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(0.202)</w:t>
            </w:r>
          </w:p>
        </w:tc>
        <w:tc>
          <w:tcPr>
            <w:tcW w:w="434" w:type="pct"/>
            <w:shd w:val="clear" w:color="auto" w:fill="FFFFFF" w:themeFill="background1"/>
            <w:vAlign w:val="bottom"/>
          </w:tcPr>
          <w:p w14:paraId="5EF8AF3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(0.722)</w:t>
            </w:r>
          </w:p>
        </w:tc>
        <w:tc>
          <w:tcPr>
            <w:tcW w:w="447" w:type="pct"/>
            <w:shd w:val="clear" w:color="auto" w:fill="FFFFFF" w:themeFill="background1"/>
            <w:vAlign w:val="bottom"/>
          </w:tcPr>
          <w:p w14:paraId="0565BDC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(0.303)</w:t>
            </w:r>
          </w:p>
        </w:tc>
        <w:tc>
          <w:tcPr>
            <w:tcW w:w="445" w:type="pct"/>
            <w:shd w:val="clear" w:color="auto" w:fill="FFFFFF" w:themeFill="background1"/>
          </w:tcPr>
          <w:p w14:paraId="2B2D252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(0.026)</w:t>
            </w:r>
          </w:p>
        </w:tc>
      </w:tr>
      <w:tr w:rsidR="00BA06B6" w:rsidRPr="00BA06B6" w14:paraId="5B18238B" w14:textId="77777777" w:rsidTr="00B91469">
        <w:trPr>
          <w:trHeight w:val="20"/>
          <w:tblHeader/>
        </w:trPr>
        <w:tc>
          <w:tcPr>
            <w:tcW w:w="550" w:type="pct"/>
            <w:shd w:val="clear" w:color="auto" w:fill="FFFFFF" w:themeFill="background1"/>
            <w:vAlign w:val="bottom"/>
          </w:tcPr>
          <w:p w14:paraId="0689602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GOWN</w:t>
            </w:r>
          </w:p>
        </w:tc>
        <w:tc>
          <w:tcPr>
            <w:tcW w:w="375" w:type="pct"/>
            <w:shd w:val="clear" w:color="auto" w:fill="FFFFFF" w:themeFill="background1"/>
            <w:vAlign w:val="bottom"/>
          </w:tcPr>
          <w:p w14:paraId="5F3A6EA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shd w:val="clear" w:color="auto" w:fill="FFFFFF" w:themeFill="background1"/>
            <w:vAlign w:val="bottom"/>
          </w:tcPr>
          <w:p w14:paraId="5FB3657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2.01</w:t>
            </w:r>
            <w:r w:rsidRPr="00BA06B6">
              <w:rPr>
                <w:rFonts w:ascii="Times New Roman" w:eastAsia="Calibri" w:hAnsi="Times New Roman" w:cs="Times New Roman"/>
                <w:bCs/>
                <w:sz w:val="18"/>
                <w:szCs w:val="18"/>
                <w:vertAlign w:val="superscript"/>
              </w:rPr>
              <w:t>**</w:t>
            </w:r>
          </w:p>
        </w:tc>
        <w:tc>
          <w:tcPr>
            <w:tcW w:w="375" w:type="pct"/>
            <w:shd w:val="clear" w:color="auto" w:fill="FFFFFF" w:themeFill="background1"/>
            <w:vAlign w:val="bottom"/>
          </w:tcPr>
          <w:p w14:paraId="00476E0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1.93</w:t>
            </w:r>
            <w:r w:rsidRPr="00BA06B6">
              <w:rPr>
                <w:rFonts w:ascii="Times New Roman" w:eastAsia="Calibri" w:hAnsi="Times New Roman" w:cs="Times New Roman"/>
                <w:bCs/>
                <w:sz w:val="18"/>
                <w:szCs w:val="18"/>
                <w:vertAlign w:val="superscript"/>
              </w:rPr>
              <w:t>*</w:t>
            </w:r>
          </w:p>
        </w:tc>
        <w:tc>
          <w:tcPr>
            <w:tcW w:w="448" w:type="pct"/>
            <w:shd w:val="clear" w:color="auto" w:fill="FFFFFF" w:themeFill="background1"/>
            <w:vAlign w:val="bottom"/>
          </w:tcPr>
          <w:p w14:paraId="4F55C5E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-0.31</w:t>
            </w:r>
          </w:p>
        </w:tc>
        <w:tc>
          <w:tcPr>
            <w:tcW w:w="397" w:type="pct"/>
            <w:shd w:val="clear" w:color="auto" w:fill="FFFFFF" w:themeFill="background1"/>
            <w:vAlign w:val="bottom"/>
          </w:tcPr>
          <w:p w14:paraId="28973A2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0.48</w:t>
            </w:r>
          </w:p>
        </w:tc>
        <w:tc>
          <w:tcPr>
            <w:tcW w:w="402" w:type="pct"/>
            <w:shd w:val="clear" w:color="auto" w:fill="FFFFFF" w:themeFill="background1"/>
            <w:vAlign w:val="bottom"/>
          </w:tcPr>
          <w:p w14:paraId="4C9F4B6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2.66</w:t>
            </w:r>
            <w:r w:rsidRPr="00BA06B6">
              <w:rPr>
                <w:rFonts w:ascii="Times New Roman" w:eastAsia="Calibri" w:hAnsi="Times New Roman" w:cs="Times New Roman"/>
                <w:bCs/>
                <w:sz w:val="18"/>
                <w:szCs w:val="18"/>
                <w:vertAlign w:val="superscript"/>
              </w:rPr>
              <w:t>***</w:t>
            </w:r>
          </w:p>
        </w:tc>
        <w:tc>
          <w:tcPr>
            <w:tcW w:w="405" w:type="pct"/>
            <w:shd w:val="clear" w:color="auto" w:fill="FFFFFF" w:themeFill="background1"/>
            <w:vAlign w:val="bottom"/>
          </w:tcPr>
          <w:p w14:paraId="161C88B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0.39</w:t>
            </w:r>
          </w:p>
        </w:tc>
        <w:tc>
          <w:tcPr>
            <w:tcW w:w="347" w:type="pct"/>
            <w:shd w:val="clear" w:color="auto" w:fill="FFFFFF" w:themeFill="background1"/>
            <w:vAlign w:val="bottom"/>
          </w:tcPr>
          <w:p w14:paraId="5FB55CD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0.92</w:t>
            </w:r>
          </w:p>
        </w:tc>
        <w:tc>
          <w:tcPr>
            <w:tcW w:w="434" w:type="pct"/>
            <w:shd w:val="clear" w:color="auto" w:fill="FFFFFF" w:themeFill="background1"/>
            <w:vAlign w:val="bottom"/>
          </w:tcPr>
          <w:p w14:paraId="4BB8BE0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1.22</w:t>
            </w:r>
            <w:r w:rsidRPr="00BA06B6">
              <w:rPr>
                <w:rFonts w:ascii="Times New Roman" w:eastAsia="Calibri" w:hAnsi="Times New Roman" w:cs="Times New Roman"/>
                <w:bCs/>
                <w:sz w:val="18"/>
                <w:szCs w:val="18"/>
                <w:vertAlign w:val="superscript"/>
              </w:rPr>
              <w:t>*</w:t>
            </w:r>
          </w:p>
        </w:tc>
        <w:tc>
          <w:tcPr>
            <w:tcW w:w="447" w:type="pct"/>
            <w:shd w:val="clear" w:color="auto" w:fill="FFFFFF" w:themeFill="background1"/>
            <w:vAlign w:val="bottom"/>
          </w:tcPr>
          <w:p w14:paraId="095F561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0.68</w:t>
            </w:r>
          </w:p>
        </w:tc>
        <w:tc>
          <w:tcPr>
            <w:tcW w:w="445" w:type="pct"/>
            <w:shd w:val="clear" w:color="auto" w:fill="FFFFFF" w:themeFill="background1"/>
          </w:tcPr>
          <w:p w14:paraId="297726C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1.77</w:t>
            </w:r>
            <w:r w:rsidRPr="00BA06B6">
              <w:rPr>
                <w:rFonts w:ascii="Times New Roman" w:eastAsia="Calibri" w:hAnsi="Times New Roman" w:cs="Times New Roman"/>
                <w:bCs/>
                <w:sz w:val="18"/>
                <w:szCs w:val="18"/>
                <w:vertAlign w:val="superscript"/>
              </w:rPr>
              <w:t>*</w:t>
            </w:r>
          </w:p>
        </w:tc>
      </w:tr>
      <w:tr w:rsidR="00BA06B6" w:rsidRPr="00BA06B6" w14:paraId="4959394C" w14:textId="77777777" w:rsidTr="00B91469">
        <w:trPr>
          <w:trHeight w:val="20"/>
          <w:tblHeader/>
        </w:trPr>
        <w:tc>
          <w:tcPr>
            <w:tcW w:w="550" w:type="pct"/>
            <w:shd w:val="clear" w:color="auto" w:fill="FFFFFF" w:themeFill="background1"/>
            <w:vAlign w:val="bottom"/>
          </w:tcPr>
          <w:p w14:paraId="4818779E"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6DB1C65B"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581388B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(0.044)</w:t>
            </w:r>
          </w:p>
        </w:tc>
        <w:tc>
          <w:tcPr>
            <w:tcW w:w="375" w:type="pct"/>
            <w:shd w:val="clear" w:color="auto" w:fill="FFFFFF" w:themeFill="background1"/>
            <w:vAlign w:val="bottom"/>
          </w:tcPr>
          <w:p w14:paraId="0070D7D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(0.053)</w:t>
            </w:r>
          </w:p>
        </w:tc>
        <w:tc>
          <w:tcPr>
            <w:tcW w:w="448" w:type="pct"/>
            <w:shd w:val="clear" w:color="auto" w:fill="FFFFFF" w:themeFill="background1"/>
            <w:vAlign w:val="bottom"/>
          </w:tcPr>
          <w:p w14:paraId="0414C9D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(0.753)</w:t>
            </w:r>
          </w:p>
        </w:tc>
        <w:tc>
          <w:tcPr>
            <w:tcW w:w="397" w:type="pct"/>
            <w:shd w:val="clear" w:color="auto" w:fill="FFFFFF" w:themeFill="background1"/>
            <w:vAlign w:val="bottom"/>
          </w:tcPr>
          <w:p w14:paraId="2C8F1CB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(0.630)</w:t>
            </w:r>
          </w:p>
        </w:tc>
        <w:tc>
          <w:tcPr>
            <w:tcW w:w="402" w:type="pct"/>
            <w:shd w:val="clear" w:color="auto" w:fill="FFFFFF" w:themeFill="background1"/>
            <w:vAlign w:val="bottom"/>
          </w:tcPr>
          <w:p w14:paraId="094C4F0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(0.008)</w:t>
            </w:r>
          </w:p>
        </w:tc>
        <w:tc>
          <w:tcPr>
            <w:tcW w:w="405" w:type="pct"/>
            <w:shd w:val="clear" w:color="auto" w:fill="FFFFFF" w:themeFill="background1"/>
            <w:vAlign w:val="bottom"/>
          </w:tcPr>
          <w:p w14:paraId="4F80BE3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(0.696)</w:t>
            </w:r>
          </w:p>
        </w:tc>
        <w:tc>
          <w:tcPr>
            <w:tcW w:w="347" w:type="pct"/>
            <w:shd w:val="clear" w:color="auto" w:fill="FFFFFF" w:themeFill="background1"/>
            <w:vAlign w:val="bottom"/>
          </w:tcPr>
          <w:p w14:paraId="190DE6B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(0.358)</w:t>
            </w:r>
          </w:p>
        </w:tc>
        <w:tc>
          <w:tcPr>
            <w:tcW w:w="434" w:type="pct"/>
            <w:shd w:val="clear" w:color="auto" w:fill="FFFFFF" w:themeFill="background1"/>
            <w:vAlign w:val="bottom"/>
          </w:tcPr>
          <w:p w14:paraId="4558A20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(0.091)</w:t>
            </w:r>
          </w:p>
        </w:tc>
        <w:tc>
          <w:tcPr>
            <w:tcW w:w="447" w:type="pct"/>
            <w:shd w:val="clear" w:color="auto" w:fill="FFFFFF" w:themeFill="background1"/>
            <w:vAlign w:val="bottom"/>
          </w:tcPr>
          <w:p w14:paraId="744D563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(0.497)</w:t>
            </w:r>
          </w:p>
        </w:tc>
        <w:tc>
          <w:tcPr>
            <w:tcW w:w="445" w:type="pct"/>
            <w:shd w:val="clear" w:color="auto" w:fill="FFFFFF" w:themeFill="background1"/>
          </w:tcPr>
          <w:p w14:paraId="55F23E9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(0.076)</w:t>
            </w:r>
          </w:p>
        </w:tc>
      </w:tr>
      <w:tr w:rsidR="00BA06B6" w:rsidRPr="00BA06B6" w14:paraId="4ABF563E" w14:textId="77777777" w:rsidTr="00B91469">
        <w:trPr>
          <w:trHeight w:val="20"/>
          <w:tblHeader/>
        </w:trPr>
        <w:tc>
          <w:tcPr>
            <w:tcW w:w="550" w:type="pct"/>
            <w:shd w:val="clear" w:color="auto" w:fill="FFFFFF" w:themeFill="background1"/>
            <w:vAlign w:val="bottom"/>
          </w:tcPr>
          <w:p w14:paraId="7EF7E2C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FOWN</w:t>
            </w:r>
          </w:p>
        </w:tc>
        <w:tc>
          <w:tcPr>
            <w:tcW w:w="375" w:type="pct"/>
            <w:shd w:val="clear" w:color="auto" w:fill="FFFFFF" w:themeFill="background1"/>
            <w:vAlign w:val="bottom"/>
          </w:tcPr>
          <w:p w14:paraId="06C4327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shd w:val="clear" w:color="auto" w:fill="FFFFFF" w:themeFill="background1"/>
            <w:vAlign w:val="bottom"/>
          </w:tcPr>
          <w:p w14:paraId="2FD15D1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-4.73</w:t>
            </w:r>
            <w:r w:rsidRPr="00BA06B6">
              <w:rPr>
                <w:rFonts w:ascii="Times New Roman" w:eastAsia="Calibri" w:hAnsi="Times New Roman" w:cs="Times New Roman"/>
                <w:bCs/>
                <w:sz w:val="18"/>
                <w:szCs w:val="18"/>
                <w:vertAlign w:val="superscript"/>
              </w:rPr>
              <w:t>***</w:t>
            </w:r>
          </w:p>
        </w:tc>
        <w:tc>
          <w:tcPr>
            <w:tcW w:w="375" w:type="pct"/>
            <w:shd w:val="clear" w:color="auto" w:fill="FFFFFF" w:themeFill="background1"/>
            <w:vAlign w:val="bottom"/>
          </w:tcPr>
          <w:p w14:paraId="0DED355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-4.75</w:t>
            </w:r>
            <w:r w:rsidRPr="00BA06B6">
              <w:rPr>
                <w:rFonts w:ascii="Times New Roman" w:eastAsia="Calibri" w:hAnsi="Times New Roman" w:cs="Times New Roman"/>
                <w:bCs/>
                <w:sz w:val="18"/>
                <w:szCs w:val="18"/>
                <w:vertAlign w:val="superscript"/>
              </w:rPr>
              <w:t>***</w:t>
            </w:r>
          </w:p>
        </w:tc>
        <w:tc>
          <w:tcPr>
            <w:tcW w:w="448" w:type="pct"/>
            <w:shd w:val="clear" w:color="auto" w:fill="FFFFFF" w:themeFill="background1"/>
            <w:vAlign w:val="bottom"/>
          </w:tcPr>
          <w:p w14:paraId="6024195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-2.69</w:t>
            </w:r>
            <w:r w:rsidRPr="00BA06B6">
              <w:rPr>
                <w:rFonts w:ascii="Times New Roman" w:eastAsia="Calibri" w:hAnsi="Times New Roman" w:cs="Times New Roman"/>
                <w:bCs/>
                <w:sz w:val="18"/>
                <w:szCs w:val="18"/>
                <w:vertAlign w:val="superscript"/>
              </w:rPr>
              <w:t>***</w:t>
            </w:r>
          </w:p>
        </w:tc>
        <w:tc>
          <w:tcPr>
            <w:tcW w:w="397" w:type="pct"/>
            <w:shd w:val="clear" w:color="auto" w:fill="FFFFFF" w:themeFill="background1"/>
            <w:vAlign w:val="bottom"/>
          </w:tcPr>
          <w:p w14:paraId="63ED8E3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-3.05</w:t>
            </w:r>
            <w:r w:rsidRPr="00BA06B6">
              <w:rPr>
                <w:rFonts w:ascii="Times New Roman" w:eastAsia="Calibri" w:hAnsi="Times New Roman" w:cs="Times New Roman"/>
                <w:bCs/>
                <w:sz w:val="18"/>
                <w:szCs w:val="18"/>
                <w:vertAlign w:val="superscript"/>
              </w:rPr>
              <w:t>***</w:t>
            </w:r>
          </w:p>
        </w:tc>
        <w:tc>
          <w:tcPr>
            <w:tcW w:w="402" w:type="pct"/>
            <w:shd w:val="clear" w:color="auto" w:fill="FFFFFF" w:themeFill="background1"/>
            <w:vAlign w:val="bottom"/>
          </w:tcPr>
          <w:p w14:paraId="2B761C9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-0.71</w:t>
            </w:r>
          </w:p>
        </w:tc>
        <w:tc>
          <w:tcPr>
            <w:tcW w:w="405" w:type="pct"/>
            <w:shd w:val="clear" w:color="auto" w:fill="FFFFFF" w:themeFill="background1"/>
            <w:vAlign w:val="bottom"/>
          </w:tcPr>
          <w:p w14:paraId="6D32A3D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-1.42</w:t>
            </w:r>
          </w:p>
        </w:tc>
        <w:tc>
          <w:tcPr>
            <w:tcW w:w="347" w:type="pct"/>
            <w:shd w:val="clear" w:color="auto" w:fill="FFFFFF" w:themeFill="background1"/>
            <w:vAlign w:val="bottom"/>
          </w:tcPr>
          <w:p w14:paraId="4AC36B2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-1.82</w:t>
            </w:r>
            <w:r w:rsidRPr="00BA06B6">
              <w:rPr>
                <w:rFonts w:ascii="Times New Roman" w:eastAsia="Calibri" w:hAnsi="Times New Roman" w:cs="Times New Roman"/>
                <w:bCs/>
                <w:sz w:val="18"/>
                <w:szCs w:val="18"/>
                <w:vertAlign w:val="superscript"/>
              </w:rPr>
              <w:t>*</w:t>
            </w:r>
          </w:p>
        </w:tc>
        <w:tc>
          <w:tcPr>
            <w:tcW w:w="434" w:type="pct"/>
            <w:shd w:val="clear" w:color="auto" w:fill="FFFFFF" w:themeFill="background1"/>
            <w:vAlign w:val="bottom"/>
          </w:tcPr>
          <w:p w14:paraId="45F2BC7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-4.34</w:t>
            </w:r>
            <w:r w:rsidRPr="00BA06B6">
              <w:rPr>
                <w:rFonts w:ascii="Times New Roman" w:eastAsia="Calibri" w:hAnsi="Times New Roman" w:cs="Times New Roman"/>
                <w:bCs/>
                <w:sz w:val="18"/>
                <w:szCs w:val="18"/>
                <w:vertAlign w:val="superscript"/>
              </w:rPr>
              <w:t>***</w:t>
            </w:r>
          </w:p>
        </w:tc>
        <w:tc>
          <w:tcPr>
            <w:tcW w:w="447" w:type="pct"/>
            <w:shd w:val="clear" w:color="auto" w:fill="FFFFFF" w:themeFill="background1"/>
            <w:vAlign w:val="bottom"/>
          </w:tcPr>
          <w:p w14:paraId="0C35006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-3.34</w:t>
            </w:r>
            <w:r w:rsidRPr="00BA06B6">
              <w:rPr>
                <w:rFonts w:ascii="Times New Roman" w:eastAsia="Calibri" w:hAnsi="Times New Roman" w:cs="Times New Roman"/>
                <w:bCs/>
                <w:sz w:val="18"/>
                <w:szCs w:val="18"/>
                <w:vertAlign w:val="superscript"/>
              </w:rPr>
              <w:t>***</w:t>
            </w:r>
          </w:p>
        </w:tc>
        <w:tc>
          <w:tcPr>
            <w:tcW w:w="445" w:type="pct"/>
            <w:shd w:val="clear" w:color="auto" w:fill="FFFFFF" w:themeFill="background1"/>
          </w:tcPr>
          <w:p w14:paraId="685CCA0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-1.78</w:t>
            </w:r>
            <w:r w:rsidRPr="00BA06B6">
              <w:rPr>
                <w:rFonts w:ascii="Times New Roman" w:eastAsia="Calibri" w:hAnsi="Times New Roman" w:cs="Times New Roman"/>
                <w:bCs/>
                <w:sz w:val="18"/>
                <w:szCs w:val="18"/>
                <w:vertAlign w:val="superscript"/>
              </w:rPr>
              <w:t>*</w:t>
            </w:r>
          </w:p>
        </w:tc>
      </w:tr>
      <w:tr w:rsidR="00BA06B6" w:rsidRPr="00BA06B6" w14:paraId="63427CF0" w14:textId="77777777" w:rsidTr="00B91469">
        <w:trPr>
          <w:trHeight w:val="20"/>
          <w:tblHeader/>
        </w:trPr>
        <w:tc>
          <w:tcPr>
            <w:tcW w:w="550" w:type="pct"/>
            <w:shd w:val="clear" w:color="auto" w:fill="FFFFFF" w:themeFill="background1"/>
            <w:vAlign w:val="bottom"/>
          </w:tcPr>
          <w:p w14:paraId="295C715A"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5A754197"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5F622B0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375" w:type="pct"/>
            <w:shd w:val="clear" w:color="auto" w:fill="FFFFFF" w:themeFill="background1"/>
            <w:vAlign w:val="bottom"/>
          </w:tcPr>
          <w:p w14:paraId="541977F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48" w:type="pct"/>
            <w:shd w:val="clear" w:color="auto" w:fill="FFFFFF" w:themeFill="background1"/>
            <w:vAlign w:val="bottom"/>
          </w:tcPr>
          <w:p w14:paraId="701C496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(0.007)</w:t>
            </w:r>
          </w:p>
        </w:tc>
        <w:tc>
          <w:tcPr>
            <w:tcW w:w="397" w:type="pct"/>
            <w:shd w:val="clear" w:color="auto" w:fill="FFFFFF" w:themeFill="background1"/>
            <w:vAlign w:val="bottom"/>
          </w:tcPr>
          <w:p w14:paraId="0839966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(0.002)</w:t>
            </w:r>
          </w:p>
        </w:tc>
        <w:tc>
          <w:tcPr>
            <w:tcW w:w="402" w:type="pct"/>
            <w:shd w:val="clear" w:color="auto" w:fill="FFFFFF" w:themeFill="background1"/>
            <w:vAlign w:val="bottom"/>
          </w:tcPr>
          <w:p w14:paraId="244B525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(0.477)</w:t>
            </w:r>
          </w:p>
        </w:tc>
        <w:tc>
          <w:tcPr>
            <w:tcW w:w="405" w:type="pct"/>
            <w:shd w:val="clear" w:color="auto" w:fill="FFFFFF" w:themeFill="background1"/>
            <w:vAlign w:val="bottom"/>
          </w:tcPr>
          <w:p w14:paraId="78A3CA6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(0.156)</w:t>
            </w:r>
          </w:p>
        </w:tc>
        <w:tc>
          <w:tcPr>
            <w:tcW w:w="347" w:type="pct"/>
            <w:shd w:val="clear" w:color="auto" w:fill="FFFFFF" w:themeFill="background1"/>
            <w:vAlign w:val="bottom"/>
          </w:tcPr>
          <w:p w14:paraId="3E98744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(0.068)</w:t>
            </w:r>
          </w:p>
        </w:tc>
        <w:tc>
          <w:tcPr>
            <w:tcW w:w="434" w:type="pct"/>
            <w:shd w:val="clear" w:color="auto" w:fill="FFFFFF" w:themeFill="background1"/>
            <w:vAlign w:val="bottom"/>
          </w:tcPr>
          <w:p w14:paraId="79B0F3A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47" w:type="pct"/>
            <w:shd w:val="clear" w:color="auto" w:fill="FFFFFF" w:themeFill="background1"/>
            <w:vAlign w:val="bottom"/>
          </w:tcPr>
          <w:p w14:paraId="148001D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(0.001)</w:t>
            </w:r>
          </w:p>
        </w:tc>
        <w:tc>
          <w:tcPr>
            <w:tcW w:w="445" w:type="pct"/>
            <w:shd w:val="clear" w:color="auto" w:fill="FFFFFF" w:themeFill="background1"/>
          </w:tcPr>
          <w:p w14:paraId="0DD298F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(0.075)</w:t>
            </w:r>
          </w:p>
        </w:tc>
      </w:tr>
      <w:tr w:rsidR="00BA06B6" w:rsidRPr="00BA06B6" w14:paraId="3D6AA0CB" w14:textId="77777777" w:rsidTr="00B91469">
        <w:trPr>
          <w:trHeight w:val="20"/>
          <w:tblHeader/>
        </w:trPr>
        <w:tc>
          <w:tcPr>
            <w:tcW w:w="550" w:type="pct"/>
            <w:shd w:val="clear" w:color="auto" w:fill="FFFFFF" w:themeFill="background1"/>
            <w:vAlign w:val="bottom"/>
          </w:tcPr>
          <w:p w14:paraId="08BFFB2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BS</w:t>
            </w:r>
          </w:p>
        </w:tc>
        <w:tc>
          <w:tcPr>
            <w:tcW w:w="375" w:type="pct"/>
            <w:shd w:val="clear" w:color="auto" w:fill="FFFFFF" w:themeFill="background1"/>
            <w:vAlign w:val="bottom"/>
          </w:tcPr>
          <w:p w14:paraId="4812B33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shd w:val="clear" w:color="auto" w:fill="FFFFFF" w:themeFill="background1"/>
            <w:vAlign w:val="bottom"/>
          </w:tcPr>
          <w:p w14:paraId="10728A6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1.39</w:t>
            </w:r>
          </w:p>
        </w:tc>
        <w:tc>
          <w:tcPr>
            <w:tcW w:w="375" w:type="pct"/>
            <w:shd w:val="clear" w:color="auto" w:fill="FFFFFF" w:themeFill="background1"/>
            <w:vAlign w:val="bottom"/>
          </w:tcPr>
          <w:p w14:paraId="1534F64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1.77</w:t>
            </w:r>
            <w:r w:rsidRPr="00BA06B6">
              <w:rPr>
                <w:rFonts w:ascii="Times New Roman" w:eastAsia="Calibri" w:hAnsi="Times New Roman" w:cs="Times New Roman"/>
                <w:bCs/>
                <w:sz w:val="18"/>
                <w:szCs w:val="18"/>
                <w:vertAlign w:val="superscript"/>
              </w:rPr>
              <w:t>*</w:t>
            </w:r>
          </w:p>
        </w:tc>
        <w:tc>
          <w:tcPr>
            <w:tcW w:w="448" w:type="pct"/>
            <w:shd w:val="clear" w:color="auto" w:fill="FFFFFF" w:themeFill="background1"/>
            <w:vAlign w:val="bottom"/>
          </w:tcPr>
          <w:p w14:paraId="2BD7C4C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1.13</w:t>
            </w:r>
            <w:r w:rsidRPr="00BA06B6">
              <w:rPr>
                <w:rFonts w:ascii="Times New Roman" w:eastAsia="Calibri" w:hAnsi="Times New Roman" w:cs="Times New Roman"/>
                <w:bCs/>
                <w:sz w:val="18"/>
                <w:szCs w:val="18"/>
                <w:vertAlign w:val="superscript"/>
              </w:rPr>
              <w:t>*</w:t>
            </w:r>
          </w:p>
        </w:tc>
        <w:tc>
          <w:tcPr>
            <w:tcW w:w="397" w:type="pct"/>
            <w:shd w:val="clear" w:color="auto" w:fill="FFFFFF" w:themeFill="background1"/>
            <w:vAlign w:val="bottom"/>
          </w:tcPr>
          <w:p w14:paraId="0FA3C8E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3.11</w:t>
            </w:r>
            <w:r w:rsidRPr="00BA06B6">
              <w:rPr>
                <w:rFonts w:ascii="Times New Roman" w:eastAsia="Calibri" w:hAnsi="Times New Roman" w:cs="Times New Roman"/>
                <w:bCs/>
                <w:sz w:val="18"/>
                <w:szCs w:val="18"/>
                <w:vertAlign w:val="superscript"/>
              </w:rPr>
              <w:t>***</w:t>
            </w:r>
          </w:p>
        </w:tc>
        <w:tc>
          <w:tcPr>
            <w:tcW w:w="402" w:type="pct"/>
            <w:shd w:val="clear" w:color="auto" w:fill="FFFFFF" w:themeFill="background1"/>
            <w:vAlign w:val="bottom"/>
          </w:tcPr>
          <w:p w14:paraId="195E0C0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0.49</w:t>
            </w:r>
          </w:p>
        </w:tc>
        <w:tc>
          <w:tcPr>
            <w:tcW w:w="405" w:type="pct"/>
            <w:shd w:val="clear" w:color="auto" w:fill="FFFFFF" w:themeFill="background1"/>
            <w:vAlign w:val="bottom"/>
          </w:tcPr>
          <w:p w14:paraId="4800031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0.02</w:t>
            </w:r>
          </w:p>
        </w:tc>
        <w:tc>
          <w:tcPr>
            <w:tcW w:w="347" w:type="pct"/>
            <w:shd w:val="clear" w:color="auto" w:fill="FFFFFF" w:themeFill="background1"/>
            <w:vAlign w:val="bottom"/>
          </w:tcPr>
          <w:p w14:paraId="4382888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1.66</w:t>
            </w:r>
            <w:r w:rsidRPr="00BA06B6">
              <w:rPr>
                <w:rFonts w:ascii="Times New Roman" w:eastAsia="Calibri" w:hAnsi="Times New Roman" w:cs="Times New Roman"/>
                <w:bCs/>
                <w:sz w:val="18"/>
                <w:szCs w:val="18"/>
                <w:vertAlign w:val="superscript"/>
              </w:rPr>
              <w:t>*</w:t>
            </w:r>
          </w:p>
        </w:tc>
        <w:tc>
          <w:tcPr>
            <w:tcW w:w="434" w:type="pct"/>
            <w:shd w:val="clear" w:color="auto" w:fill="FFFFFF" w:themeFill="background1"/>
            <w:vAlign w:val="bottom"/>
          </w:tcPr>
          <w:p w14:paraId="01BD803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0.58</w:t>
            </w:r>
          </w:p>
        </w:tc>
        <w:tc>
          <w:tcPr>
            <w:tcW w:w="447" w:type="pct"/>
            <w:shd w:val="clear" w:color="auto" w:fill="FFFFFF" w:themeFill="background1"/>
            <w:vAlign w:val="bottom"/>
          </w:tcPr>
          <w:p w14:paraId="5DEC5C2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2.34</w:t>
            </w:r>
            <w:r w:rsidRPr="00BA06B6">
              <w:rPr>
                <w:rFonts w:ascii="Times New Roman" w:eastAsia="Calibri" w:hAnsi="Times New Roman" w:cs="Times New Roman"/>
                <w:bCs/>
                <w:sz w:val="18"/>
                <w:szCs w:val="18"/>
                <w:vertAlign w:val="superscript"/>
              </w:rPr>
              <w:t>**</w:t>
            </w:r>
          </w:p>
        </w:tc>
        <w:tc>
          <w:tcPr>
            <w:tcW w:w="445" w:type="pct"/>
            <w:shd w:val="clear" w:color="auto" w:fill="FFFFFF" w:themeFill="background1"/>
          </w:tcPr>
          <w:p w14:paraId="4F990BE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0.13</w:t>
            </w:r>
          </w:p>
        </w:tc>
      </w:tr>
      <w:tr w:rsidR="00BA06B6" w:rsidRPr="00BA06B6" w14:paraId="423C293A" w14:textId="77777777" w:rsidTr="00B91469">
        <w:trPr>
          <w:trHeight w:val="20"/>
          <w:tblHeader/>
        </w:trPr>
        <w:tc>
          <w:tcPr>
            <w:tcW w:w="550" w:type="pct"/>
            <w:shd w:val="clear" w:color="auto" w:fill="FFFFFF" w:themeFill="background1"/>
            <w:vAlign w:val="bottom"/>
          </w:tcPr>
          <w:p w14:paraId="3EA75999"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352511DB"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6A2ADF2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(0.164)</w:t>
            </w:r>
          </w:p>
        </w:tc>
        <w:tc>
          <w:tcPr>
            <w:tcW w:w="375" w:type="pct"/>
            <w:shd w:val="clear" w:color="auto" w:fill="FFFFFF" w:themeFill="background1"/>
            <w:vAlign w:val="bottom"/>
          </w:tcPr>
          <w:p w14:paraId="09BF471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(0.077)</w:t>
            </w:r>
          </w:p>
        </w:tc>
        <w:tc>
          <w:tcPr>
            <w:tcW w:w="448" w:type="pct"/>
            <w:shd w:val="clear" w:color="auto" w:fill="FFFFFF" w:themeFill="background1"/>
            <w:vAlign w:val="bottom"/>
          </w:tcPr>
          <w:p w14:paraId="0A16FD2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(0.089)</w:t>
            </w:r>
          </w:p>
        </w:tc>
        <w:tc>
          <w:tcPr>
            <w:tcW w:w="397" w:type="pct"/>
            <w:shd w:val="clear" w:color="auto" w:fill="FFFFFF" w:themeFill="background1"/>
            <w:vAlign w:val="bottom"/>
          </w:tcPr>
          <w:p w14:paraId="2EF957D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(0.002)</w:t>
            </w:r>
          </w:p>
        </w:tc>
        <w:tc>
          <w:tcPr>
            <w:tcW w:w="402" w:type="pct"/>
            <w:shd w:val="clear" w:color="auto" w:fill="FFFFFF" w:themeFill="background1"/>
            <w:vAlign w:val="bottom"/>
          </w:tcPr>
          <w:p w14:paraId="2EABBB2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(0.626)</w:t>
            </w:r>
          </w:p>
        </w:tc>
        <w:tc>
          <w:tcPr>
            <w:tcW w:w="405" w:type="pct"/>
            <w:shd w:val="clear" w:color="auto" w:fill="FFFFFF" w:themeFill="background1"/>
            <w:vAlign w:val="bottom"/>
          </w:tcPr>
          <w:p w14:paraId="0D38B90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(0.988)</w:t>
            </w:r>
          </w:p>
        </w:tc>
        <w:tc>
          <w:tcPr>
            <w:tcW w:w="347" w:type="pct"/>
            <w:shd w:val="clear" w:color="auto" w:fill="FFFFFF" w:themeFill="background1"/>
            <w:vAlign w:val="bottom"/>
          </w:tcPr>
          <w:p w14:paraId="541E981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(0.075)</w:t>
            </w:r>
          </w:p>
        </w:tc>
        <w:tc>
          <w:tcPr>
            <w:tcW w:w="434" w:type="pct"/>
            <w:shd w:val="clear" w:color="auto" w:fill="FFFFFF" w:themeFill="background1"/>
            <w:vAlign w:val="bottom"/>
          </w:tcPr>
          <w:p w14:paraId="34BE32D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(0.561)</w:t>
            </w:r>
          </w:p>
        </w:tc>
        <w:tc>
          <w:tcPr>
            <w:tcW w:w="447" w:type="pct"/>
            <w:shd w:val="clear" w:color="auto" w:fill="FFFFFF" w:themeFill="background1"/>
            <w:vAlign w:val="bottom"/>
          </w:tcPr>
          <w:p w14:paraId="7FB1B66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(0.020)</w:t>
            </w:r>
          </w:p>
        </w:tc>
        <w:tc>
          <w:tcPr>
            <w:tcW w:w="445" w:type="pct"/>
            <w:shd w:val="clear" w:color="auto" w:fill="FFFFFF" w:themeFill="background1"/>
          </w:tcPr>
          <w:p w14:paraId="5FAE714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(0.895)</w:t>
            </w:r>
          </w:p>
        </w:tc>
      </w:tr>
      <w:tr w:rsidR="00BA06B6" w:rsidRPr="00BA06B6" w14:paraId="29B0D6B0" w14:textId="77777777" w:rsidTr="00B91469">
        <w:trPr>
          <w:trHeight w:val="20"/>
          <w:tblHeader/>
        </w:trPr>
        <w:tc>
          <w:tcPr>
            <w:tcW w:w="550" w:type="pct"/>
            <w:shd w:val="clear" w:color="auto" w:fill="FFFFFF" w:themeFill="background1"/>
            <w:vAlign w:val="bottom"/>
          </w:tcPr>
          <w:p w14:paraId="190662A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DUAL</w:t>
            </w:r>
          </w:p>
        </w:tc>
        <w:tc>
          <w:tcPr>
            <w:tcW w:w="375" w:type="pct"/>
            <w:shd w:val="clear" w:color="auto" w:fill="FFFFFF" w:themeFill="background1"/>
            <w:vAlign w:val="bottom"/>
          </w:tcPr>
          <w:p w14:paraId="2503463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shd w:val="clear" w:color="auto" w:fill="FFFFFF" w:themeFill="background1"/>
            <w:vAlign w:val="bottom"/>
          </w:tcPr>
          <w:p w14:paraId="09A9392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-1.77</w:t>
            </w:r>
            <w:r w:rsidRPr="00BA06B6">
              <w:rPr>
                <w:rFonts w:ascii="Times New Roman" w:eastAsia="Calibri" w:hAnsi="Times New Roman" w:cs="Times New Roman"/>
                <w:bCs/>
                <w:sz w:val="18"/>
                <w:szCs w:val="18"/>
                <w:vertAlign w:val="superscript"/>
              </w:rPr>
              <w:t>*</w:t>
            </w:r>
          </w:p>
        </w:tc>
        <w:tc>
          <w:tcPr>
            <w:tcW w:w="375" w:type="pct"/>
            <w:shd w:val="clear" w:color="auto" w:fill="FFFFFF" w:themeFill="background1"/>
            <w:vAlign w:val="bottom"/>
          </w:tcPr>
          <w:p w14:paraId="3C02FF4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-1.51</w:t>
            </w:r>
          </w:p>
        </w:tc>
        <w:tc>
          <w:tcPr>
            <w:tcW w:w="448" w:type="pct"/>
            <w:shd w:val="clear" w:color="auto" w:fill="FFFFFF" w:themeFill="background1"/>
            <w:vAlign w:val="bottom"/>
          </w:tcPr>
          <w:p w14:paraId="5A07829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1.64</w:t>
            </w:r>
            <w:r w:rsidRPr="00BA06B6">
              <w:rPr>
                <w:rFonts w:ascii="Times New Roman" w:eastAsia="Calibri" w:hAnsi="Times New Roman" w:cs="Times New Roman"/>
                <w:bCs/>
                <w:sz w:val="18"/>
                <w:szCs w:val="18"/>
                <w:vertAlign w:val="superscript"/>
              </w:rPr>
              <w:t>*</w:t>
            </w:r>
          </w:p>
        </w:tc>
        <w:tc>
          <w:tcPr>
            <w:tcW w:w="397" w:type="pct"/>
            <w:shd w:val="clear" w:color="auto" w:fill="FFFFFF" w:themeFill="background1"/>
            <w:vAlign w:val="bottom"/>
          </w:tcPr>
          <w:p w14:paraId="6D2A694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-1.16</w:t>
            </w:r>
          </w:p>
        </w:tc>
        <w:tc>
          <w:tcPr>
            <w:tcW w:w="402" w:type="pct"/>
            <w:shd w:val="clear" w:color="auto" w:fill="FFFFFF" w:themeFill="background1"/>
            <w:vAlign w:val="bottom"/>
          </w:tcPr>
          <w:p w14:paraId="0F156AA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-0.79</w:t>
            </w:r>
          </w:p>
        </w:tc>
        <w:tc>
          <w:tcPr>
            <w:tcW w:w="405" w:type="pct"/>
            <w:shd w:val="clear" w:color="auto" w:fill="FFFFFF" w:themeFill="background1"/>
            <w:vAlign w:val="bottom"/>
          </w:tcPr>
          <w:p w14:paraId="43A9B32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1.88</w:t>
            </w:r>
            <w:r w:rsidRPr="00BA06B6">
              <w:rPr>
                <w:rFonts w:ascii="Times New Roman" w:eastAsia="Calibri" w:hAnsi="Times New Roman" w:cs="Times New Roman"/>
                <w:bCs/>
                <w:sz w:val="18"/>
                <w:szCs w:val="18"/>
                <w:vertAlign w:val="superscript"/>
              </w:rPr>
              <w:t>*</w:t>
            </w:r>
          </w:p>
        </w:tc>
        <w:tc>
          <w:tcPr>
            <w:tcW w:w="347" w:type="pct"/>
            <w:shd w:val="clear" w:color="auto" w:fill="FFFFFF" w:themeFill="background1"/>
            <w:vAlign w:val="bottom"/>
          </w:tcPr>
          <w:p w14:paraId="6049DBB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0.28</w:t>
            </w:r>
          </w:p>
        </w:tc>
        <w:tc>
          <w:tcPr>
            <w:tcW w:w="434" w:type="pct"/>
            <w:shd w:val="clear" w:color="auto" w:fill="FFFFFF" w:themeFill="background1"/>
            <w:vAlign w:val="bottom"/>
          </w:tcPr>
          <w:p w14:paraId="0C7FF14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-1.08</w:t>
            </w:r>
          </w:p>
        </w:tc>
        <w:tc>
          <w:tcPr>
            <w:tcW w:w="447" w:type="pct"/>
            <w:shd w:val="clear" w:color="auto" w:fill="FFFFFF" w:themeFill="background1"/>
            <w:vAlign w:val="bottom"/>
          </w:tcPr>
          <w:p w14:paraId="2358D25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-1.44</w:t>
            </w:r>
          </w:p>
        </w:tc>
        <w:tc>
          <w:tcPr>
            <w:tcW w:w="445" w:type="pct"/>
            <w:shd w:val="clear" w:color="auto" w:fill="FFFFFF" w:themeFill="background1"/>
          </w:tcPr>
          <w:p w14:paraId="218941D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-2.87</w:t>
            </w:r>
            <w:r w:rsidRPr="00BA06B6">
              <w:rPr>
                <w:rFonts w:ascii="Times New Roman" w:eastAsia="Calibri" w:hAnsi="Times New Roman" w:cs="Times New Roman"/>
                <w:bCs/>
                <w:sz w:val="18"/>
                <w:szCs w:val="18"/>
                <w:vertAlign w:val="superscript"/>
              </w:rPr>
              <w:t>***</w:t>
            </w:r>
          </w:p>
        </w:tc>
      </w:tr>
      <w:tr w:rsidR="00BA06B6" w:rsidRPr="00BA06B6" w14:paraId="13AAFCF1" w14:textId="77777777" w:rsidTr="00B91469">
        <w:trPr>
          <w:trHeight w:val="20"/>
          <w:tblHeader/>
        </w:trPr>
        <w:tc>
          <w:tcPr>
            <w:tcW w:w="550" w:type="pct"/>
            <w:shd w:val="clear" w:color="auto" w:fill="FFFFFF" w:themeFill="background1"/>
            <w:vAlign w:val="bottom"/>
          </w:tcPr>
          <w:p w14:paraId="0028ED24"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3D1E3154"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4A5746A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(0.076)</w:t>
            </w:r>
          </w:p>
        </w:tc>
        <w:tc>
          <w:tcPr>
            <w:tcW w:w="375" w:type="pct"/>
            <w:shd w:val="clear" w:color="auto" w:fill="FFFFFF" w:themeFill="background1"/>
            <w:vAlign w:val="bottom"/>
          </w:tcPr>
          <w:p w14:paraId="113E1C1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(0.131)</w:t>
            </w:r>
          </w:p>
        </w:tc>
        <w:tc>
          <w:tcPr>
            <w:tcW w:w="448" w:type="pct"/>
            <w:shd w:val="clear" w:color="auto" w:fill="FFFFFF" w:themeFill="background1"/>
            <w:vAlign w:val="bottom"/>
          </w:tcPr>
          <w:p w14:paraId="16C819F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(0.092)</w:t>
            </w:r>
          </w:p>
        </w:tc>
        <w:tc>
          <w:tcPr>
            <w:tcW w:w="397" w:type="pct"/>
            <w:shd w:val="clear" w:color="auto" w:fill="FFFFFF" w:themeFill="background1"/>
            <w:vAlign w:val="bottom"/>
          </w:tcPr>
          <w:p w14:paraId="1597CA8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(0.247)</w:t>
            </w:r>
          </w:p>
        </w:tc>
        <w:tc>
          <w:tcPr>
            <w:tcW w:w="402" w:type="pct"/>
            <w:shd w:val="clear" w:color="auto" w:fill="FFFFFF" w:themeFill="background1"/>
            <w:vAlign w:val="bottom"/>
          </w:tcPr>
          <w:p w14:paraId="7B417BA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(0.432)</w:t>
            </w:r>
          </w:p>
        </w:tc>
        <w:tc>
          <w:tcPr>
            <w:tcW w:w="405" w:type="pct"/>
            <w:shd w:val="clear" w:color="auto" w:fill="FFFFFF" w:themeFill="background1"/>
            <w:vAlign w:val="bottom"/>
          </w:tcPr>
          <w:p w14:paraId="1A32858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(0.060)</w:t>
            </w:r>
          </w:p>
        </w:tc>
        <w:tc>
          <w:tcPr>
            <w:tcW w:w="347" w:type="pct"/>
            <w:shd w:val="clear" w:color="auto" w:fill="FFFFFF" w:themeFill="background1"/>
            <w:vAlign w:val="bottom"/>
          </w:tcPr>
          <w:p w14:paraId="1F38377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(0.781)</w:t>
            </w:r>
          </w:p>
        </w:tc>
        <w:tc>
          <w:tcPr>
            <w:tcW w:w="434" w:type="pct"/>
            <w:shd w:val="clear" w:color="auto" w:fill="FFFFFF" w:themeFill="background1"/>
            <w:vAlign w:val="bottom"/>
          </w:tcPr>
          <w:p w14:paraId="4AB4EAB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(0.279)</w:t>
            </w:r>
          </w:p>
        </w:tc>
        <w:tc>
          <w:tcPr>
            <w:tcW w:w="447" w:type="pct"/>
            <w:shd w:val="clear" w:color="auto" w:fill="FFFFFF" w:themeFill="background1"/>
            <w:vAlign w:val="bottom"/>
          </w:tcPr>
          <w:p w14:paraId="199DF69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(0.149)</w:t>
            </w:r>
          </w:p>
        </w:tc>
        <w:tc>
          <w:tcPr>
            <w:tcW w:w="445" w:type="pct"/>
            <w:shd w:val="clear" w:color="auto" w:fill="FFFFFF" w:themeFill="background1"/>
          </w:tcPr>
          <w:p w14:paraId="5C0A56A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(0.004)</w:t>
            </w:r>
          </w:p>
        </w:tc>
      </w:tr>
      <w:tr w:rsidR="00BA06B6" w:rsidRPr="00BA06B6" w14:paraId="5A070EA8" w14:textId="77777777" w:rsidTr="00B91469">
        <w:trPr>
          <w:trHeight w:val="20"/>
          <w:tblHeader/>
        </w:trPr>
        <w:tc>
          <w:tcPr>
            <w:tcW w:w="550" w:type="pct"/>
            <w:shd w:val="clear" w:color="auto" w:fill="FFFFFF" w:themeFill="background1"/>
            <w:vAlign w:val="bottom"/>
          </w:tcPr>
          <w:p w14:paraId="21B66CD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GDB</w:t>
            </w:r>
          </w:p>
        </w:tc>
        <w:tc>
          <w:tcPr>
            <w:tcW w:w="375" w:type="pct"/>
            <w:shd w:val="clear" w:color="auto" w:fill="FFFFFF" w:themeFill="background1"/>
            <w:vAlign w:val="bottom"/>
          </w:tcPr>
          <w:p w14:paraId="6E7A2BE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shd w:val="clear" w:color="auto" w:fill="FFFFFF" w:themeFill="background1"/>
            <w:vAlign w:val="bottom"/>
          </w:tcPr>
          <w:p w14:paraId="5FF4094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2.76</w:t>
            </w:r>
            <w:r w:rsidRPr="00BA06B6">
              <w:rPr>
                <w:rFonts w:ascii="Times New Roman" w:eastAsia="Calibri" w:hAnsi="Times New Roman" w:cs="Times New Roman"/>
                <w:bCs/>
                <w:sz w:val="18"/>
                <w:szCs w:val="18"/>
                <w:vertAlign w:val="superscript"/>
              </w:rPr>
              <w:t>***</w:t>
            </w:r>
          </w:p>
        </w:tc>
        <w:tc>
          <w:tcPr>
            <w:tcW w:w="375" w:type="pct"/>
            <w:shd w:val="clear" w:color="auto" w:fill="FFFFFF" w:themeFill="background1"/>
            <w:vAlign w:val="bottom"/>
          </w:tcPr>
          <w:p w14:paraId="30159F8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2.68</w:t>
            </w:r>
            <w:r w:rsidRPr="00BA06B6">
              <w:rPr>
                <w:rFonts w:ascii="Times New Roman" w:eastAsia="Calibri" w:hAnsi="Times New Roman" w:cs="Times New Roman"/>
                <w:bCs/>
                <w:sz w:val="18"/>
                <w:szCs w:val="18"/>
                <w:vertAlign w:val="superscript"/>
              </w:rPr>
              <w:t>***</w:t>
            </w:r>
          </w:p>
        </w:tc>
        <w:tc>
          <w:tcPr>
            <w:tcW w:w="448" w:type="pct"/>
            <w:shd w:val="clear" w:color="auto" w:fill="FFFFFF" w:themeFill="background1"/>
            <w:vAlign w:val="bottom"/>
          </w:tcPr>
          <w:p w14:paraId="4895954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2.79</w:t>
            </w:r>
            <w:r w:rsidRPr="00BA06B6">
              <w:rPr>
                <w:rFonts w:ascii="Times New Roman" w:eastAsia="Calibri" w:hAnsi="Times New Roman" w:cs="Times New Roman"/>
                <w:bCs/>
                <w:sz w:val="18"/>
                <w:szCs w:val="18"/>
                <w:vertAlign w:val="superscript"/>
              </w:rPr>
              <w:t>***</w:t>
            </w:r>
          </w:p>
        </w:tc>
        <w:tc>
          <w:tcPr>
            <w:tcW w:w="397" w:type="pct"/>
            <w:shd w:val="clear" w:color="auto" w:fill="FFFFFF" w:themeFill="background1"/>
            <w:vAlign w:val="bottom"/>
          </w:tcPr>
          <w:p w14:paraId="2D8C5DB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5.07</w:t>
            </w:r>
            <w:r w:rsidRPr="00BA06B6">
              <w:rPr>
                <w:rFonts w:ascii="Times New Roman" w:eastAsia="Calibri" w:hAnsi="Times New Roman" w:cs="Times New Roman"/>
                <w:bCs/>
                <w:sz w:val="18"/>
                <w:szCs w:val="18"/>
                <w:vertAlign w:val="superscript"/>
              </w:rPr>
              <w:t>***</w:t>
            </w:r>
          </w:p>
        </w:tc>
        <w:tc>
          <w:tcPr>
            <w:tcW w:w="402" w:type="pct"/>
            <w:shd w:val="clear" w:color="auto" w:fill="FFFFFF" w:themeFill="background1"/>
            <w:vAlign w:val="bottom"/>
          </w:tcPr>
          <w:p w14:paraId="7CF52E8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-2.26</w:t>
            </w:r>
            <w:r w:rsidRPr="00BA06B6">
              <w:rPr>
                <w:rFonts w:ascii="Times New Roman" w:eastAsia="Calibri" w:hAnsi="Times New Roman" w:cs="Times New Roman"/>
                <w:bCs/>
                <w:sz w:val="18"/>
                <w:szCs w:val="18"/>
                <w:vertAlign w:val="superscript"/>
              </w:rPr>
              <w:t>**</w:t>
            </w:r>
          </w:p>
        </w:tc>
        <w:tc>
          <w:tcPr>
            <w:tcW w:w="405" w:type="pct"/>
            <w:shd w:val="clear" w:color="auto" w:fill="FFFFFF" w:themeFill="background1"/>
            <w:vAlign w:val="bottom"/>
          </w:tcPr>
          <w:p w14:paraId="65067EC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0.98</w:t>
            </w:r>
          </w:p>
        </w:tc>
        <w:tc>
          <w:tcPr>
            <w:tcW w:w="347" w:type="pct"/>
            <w:shd w:val="clear" w:color="auto" w:fill="FFFFFF" w:themeFill="background1"/>
            <w:vAlign w:val="bottom"/>
          </w:tcPr>
          <w:p w14:paraId="4539953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0.47</w:t>
            </w:r>
          </w:p>
        </w:tc>
        <w:tc>
          <w:tcPr>
            <w:tcW w:w="434" w:type="pct"/>
            <w:shd w:val="clear" w:color="auto" w:fill="FFFFFF" w:themeFill="background1"/>
            <w:vAlign w:val="bottom"/>
          </w:tcPr>
          <w:p w14:paraId="4D1F514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2.82</w:t>
            </w:r>
            <w:r w:rsidRPr="00BA06B6">
              <w:rPr>
                <w:rFonts w:ascii="Times New Roman" w:eastAsia="Calibri" w:hAnsi="Times New Roman" w:cs="Times New Roman"/>
                <w:bCs/>
                <w:sz w:val="18"/>
                <w:szCs w:val="18"/>
                <w:vertAlign w:val="superscript"/>
              </w:rPr>
              <w:t>***</w:t>
            </w:r>
          </w:p>
        </w:tc>
        <w:tc>
          <w:tcPr>
            <w:tcW w:w="447" w:type="pct"/>
            <w:shd w:val="clear" w:color="auto" w:fill="FFFFFF" w:themeFill="background1"/>
            <w:vAlign w:val="bottom"/>
          </w:tcPr>
          <w:p w14:paraId="457DDDE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3.77</w:t>
            </w:r>
            <w:r w:rsidRPr="00BA06B6">
              <w:rPr>
                <w:rFonts w:ascii="Times New Roman" w:eastAsia="Calibri" w:hAnsi="Times New Roman" w:cs="Times New Roman"/>
                <w:bCs/>
                <w:sz w:val="18"/>
                <w:szCs w:val="18"/>
                <w:vertAlign w:val="superscript"/>
              </w:rPr>
              <w:t>***</w:t>
            </w:r>
          </w:p>
        </w:tc>
        <w:tc>
          <w:tcPr>
            <w:tcW w:w="445" w:type="pct"/>
            <w:shd w:val="clear" w:color="auto" w:fill="FFFFFF" w:themeFill="background1"/>
          </w:tcPr>
          <w:p w14:paraId="08B6708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0.06</w:t>
            </w:r>
          </w:p>
        </w:tc>
      </w:tr>
      <w:tr w:rsidR="00BA06B6" w:rsidRPr="00BA06B6" w14:paraId="32EA8AA5" w14:textId="77777777" w:rsidTr="00B91469">
        <w:trPr>
          <w:trHeight w:val="249"/>
          <w:tblHeader/>
        </w:trPr>
        <w:tc>
          <w:tcPr>
            <w:tcW w:w="550" w:type="pct"/>
            <w:shd w:val="clear" w:color="auto" w:fill="FFFFFF" w:themeFill="background1"/>
            <w:vAlign w:val="bottom"/>
          </w:tcPr>
          <w:p w14:paraId="5BCA1E4B"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73F90639"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3370B6E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(0.006)</w:t>
            </w:r>
          </w:p>
        </w:tc>
        <w:tc>
          <w:tcPr>
            <w:tcW w:w="375" w:type="pct"/>
            <w:shd w:val="clear" w:color="auto" w:fill="FFFFFF" w:themeFill="background1"/>
            <w:vAlign w:val="bottom"/>
          </w:tcPr>
          <w:p w14:paraId="0624F7D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(0.007)</w:t>
            </w:r>
          </w:p>
        </w:tc>
        <w:tc>
          <w:tcPr>
            <w:tcW w:w="448" w:type="pct"/>
            <w:shd w:val="clear" w:color="auto" w:fill="FFFFFF" w:themeFill="background1"/>
            <w:vAlign w:val="bottom"/>
          </w:tcPr>
          <w:p w14:paraId="534395C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(0.005)</w:t>
            </w:r>
          </w:p>
        </w:tc>
        <w:tc>
          <w:tcPr>
            <w:tcW w:w="397" w:type="pct"/>
            <w:shd w:val="clear" w:color="auto" w:fill="FFFFFF" w:themeFill="background1"/>
            <w:vAlign w:val="bottom"/>
          </w:tcPr>
          <w:p w14:paraId="62D56AA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02" w:type="pct"/>
            <w:shd w:val="clear" w:color="auto" w:fill="FFFFFF" w:themeFill="background1"/>
            <w:vAlign w:val="bottom"/>
          </w:tcPr>
          <w:p w14:paraId="306A4CF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(0.024)</w:t>
            </w:r>
          </w:p>
        </w:tc>
        <w:tc>
          <w:tcPr>
            <w:tcW w:w="405" w:type="pct"/>
            <w:shd w:val="clear" w:color="auto" w:fill="FFFFFF" w:themeFill="background1"/>
            <w:vAlign w:val="bottom"/>
          </w:tcPr>
          <w:p w14:paraId="7917323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(0.328)</w:t>
            </w:r>
          </w:p>
        </w:tc>
        <w:tc>
          <w:tcPr>
            <w:tcW w:w="347" w:type="pct"/>
            <w:shd w:val="clear" w:color="auto" w:fill="FFFFFF" w:themeFill="background1"/>
            <w:vAlign w:val="bottom"/>
          </w:tcPr>
          <w:p w14:paraId="09EF22D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(0.637)</w:t>
            </w:r>
          </w:p>
        </w:tc>
        <w:tc>
          <w:tcPr>
            <w:tcW w:w="434" w:type="pct"/>
            <w:shd w:val="clear" w:color="auto" w:fill="FFFFFF" w:themeFill="background1"/>
            <w:vAlign w:val="bottom"/>
          </w:tcPr>
          <w:p w14:paraId="361802B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(0.005)</w:t>
            </w:r>
          </w:p>
        </w:tc>
        <w:tc>
          <w:tcPr>
            <w:tcW w:w="447" w:type="pct"/>
            <w:shd w:val="clear" w:color="auto" w:fill="FFFFFF" w:themeFill="background1"/>
            <w:vAlign w:val="bottom"/>
          </w:tcPr>
          <w:p w14:paraId="522E2A2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45" w:type="pct"/>
            <w:shd w:val="clear" w:color="auto" w:fill="FFFFFF" w:themeFill="background1"/>
          </w:tcPr>
          <w:p w14:paraId="5014396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(0.956)</w:t>
            </w:r>
          </w:p>
        </w:tc>
      </w:tr>
      <w:tr w:rsidR="00BA06B6" w:rsidRPr="00BA06B6" w14:paraId="4F6B99A8" w14:textId="77777777" w:rsidTr="00B91469">
        <w:trPr>
          <w:trHeight w:val="249"/>
          <w:tblHeader/>
        </w:trPr>
        <w:tc>
          <w:tcPr>
            <w:tcW w:w="550" w:type="pct"/>
            <w:shd w:val="clear" w:color="auto" w:fill="FFFFFF" w:themeFill="background1"/>
            <w:vAlign w:val="bottom"/>
          </w:tcPr>
          <w:p w14:paraId="6AD5A33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BBID</w:t>
            </w:r>
          </w:p>
        </w:tc>
        <w:tc>
          <w:tcPr>
            <w:tcW w:w="375" w:type="pct"/>
            <w:shd w:val="clear" w:color="auto" w:fill="FFFFFF" w:themeFill="background1"/>
            <w:vAlign w:val="bottom"/>
          </w:tcPr>
          <w:p w14:paraId="20E2AB6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shd w:val="clear" w:color="auto" w:fill="FFFFFF" w:themeFill="background1"/>
            <w:vAlign w:val="bottom"/>
          </w:tcPr>
          <w:p w14:paraId="32D65A2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2.12</w:t>
            </w:r>
            <w:r w:rsidRPr="00BA06B6">
              <w:rPr>
                <w:rFonts w:ascii="Times New Roman" w:eastAsia="Calibri" w:hAnsi="Times New Roman" w:cs="Times New Roman"/>
                <w:bCs/>
                <w:sz w:val="18"/>
                <w:szCs w:val="18"/>
                <w:vertAlign w:val="superscript"/>
              </w:rPr>
              <w:t>**</w:t>
            </w:r>
          </w:p>
        </w:tc>
        <w:tc>
          <w:tcPr>
            <w:tcW w:w="375" w:type="pct"/>
            <w:shd w:val="clear" w:color="auto" w:fill="FFFFFF" w:themeFill="background1"/>
            <w:vAlign w:val="bottom"/>
          </w:tcPr>
          <w:p w14:paraId="644E15F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2.54</w:t>
            </w:r>
            <w:r w:rsidRPr="00BA06B6">
              <w:rPr>
                <w:rFonts w:ascii="Times New Roman" w:eastAsia="Calibri" w:hAnsi="Times New Roman" w:cs="Times New Roman"/>
                <w:bCs/>
                <w:sz w:val="18"/>
                <w:szCs w:val="18"/>
                <w:vertAlign w:val="superscript"/>
              </w:rPr>
              <w:t>**</w:t>
            </w:r>
          </w:p>
        </w:tc>
        <w:tc>
          <w:tcPr>
            <w:tcW w:w="448" w:type="pct"/>
            <w:shd w:val="clear" w:color="auto" w:fill="FFFFFF" w:themeFill="background1"/>
            <w:vAlign w:val="bottom"/>
          </w:tcPr>
          <w:p w14:paraId="22AD5F4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1.29</w:t>
            </w:r>
            <w:r w:rsidRPr="00BA06B6">
              <w:rPr>
                <w:rFonts w:ascii="Times New Roman" w:eastAsia="Calibri" w:hAnsi="Times New Roman" w:cs="Times New Roman"/>
                <w:bCs/>
                <w:sz w:val="18"/>
                <w:szCs w:val="18"/>
                <w:vertAlign w:val="superscript"/>
              </w:rPr>
              <w:t>*</w:t>
            </w:r>
          </w:p>
        </w:tc>
        <w:tc>
          <w:tcPr>
            <w:tcW w:w="397" w:type="pct"/>
            <w:shd w:val="clear" w:color="auto" w:fill="FFFFFF" w:themeFill="background1"/>
            <w:vAlign w:val="bottom"/>
          </w:tcPr>
          <w:p w14:paraId="702BEEC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3.39</w:t>
            </w:r>
            <w:r w:rsidRPr="00BA06B6">
              <w:rPr>
                <w:rFonts w:ascii="Times New Roman" w:eastAsia="Calibri" w:hAnsi="Times New Roman" w:cs="Times New Roman"/>
                <w:bCs/>
                <w:sz w:val="18"/>
                <w:szCs w:val="18"/>
                <w:vertAlign w:val="superscript"/>
              </w:rPr>
              <w:t>***</w:t>
            </w:r>
          </w:p>
        </w:tc>
        <w:tc>
          <w:tcPr>
            <w:tcW w:w="402" w:type="pct"/>
            <w:shd w:val="clear" w:color="auto" w:fill="FFFFFF" w:themeFill="background1"/>
            <w:vAlign w:val="bottom"/>
          </w:tcPr>
          <w:p w14:paraId="6073D13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2.40</w:t>
            </w:r>
            <w:r w:rsidRPr="00BA06B6">
              <w:rPr>
                <w:rFonts w:ascii="Times New Roman" w:eastAsia="Calibri" w:hAnsi="Times New Roman" w:cs="Times New Roman"/>
                <w:bCs/>
                <w:sz w:val="18"/>
                <w:szCs w:val="18"/>
                <w:vertAlign w:val="superscript"/>
              </w:rPr>
              <w:t>**</w:t>
            </w:r>
          </w:p>
        </w:tc>
        <w:tc>
          <w:tcPr>
            <w:tcW w:w="405" w:type="pct"/>
            <w:shd w:val="clear" w:color="auto" w:fill="FFFFFF" w:themeFill="background1"/>
            <w:vAlign w:val="bottom"/>
          </w:tcPr>
          <w:p w14:paraId="562DCFC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-0.81</w:t>
            </w:r>
          </w:p>
        </w:tc>
        <w:tc>
          <w:tcPr>
            <w:tcW w:w="347" w:type="pct"/>
            <w:shd w:val="clear" w:color="auto" w:fill="FFFFFF" w:themeFill="background1"/>
            <w:vAlign w:val="bottom"/>
          </w:tcPr>
          <w:p w14:paraId="3688998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0.80</w:t>
            </w:r>
          </w:p>
        </w:tc>
        <w:tc>
          <w:tcPr>
            <w:tcW w:w="434" w:type="pct"/>
            <w:shd w:val="clear" w:color="auto" w:fill="FFFFFF" w:themeFill="background1"/>
            <w:vAlign w:val="bottom"/>
          </w:tcPr>
          <w:p w14:paraId="3176852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3.79</w:t>
            </w:r>
            <w:r w:rsidRPr="00BA06B6">
              <w:rPr>
                <w:rFonts w:ascii="Times New Roman" w:eastAsia="Calibri" w:hAnsi="Times New Roman" w:cs="Times New Roman"/>
                <w:bCs/>
                <w:sz w:val="18"/>
                <w:szCs w:val="18"/>
                <w:vertAlign w:val="superscript"/>
              </w:rPr>
              <w:t>***</w:t>
            </w:r>
          </w:p>
        </w:tc>
        <w:tc>
          <w:tcPr>
            <w:tcW w:w="447" w:type="pct"/>
            <w:shd w:val="clear" w:color="auto" w:fill="FFFFFF" w:themeFill="background1"/>
            <w:vAlign w:val="bottom"/>
          </w:tcPr>
          <w:p w14:paraId="2ADF942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2.74</w:t>
            </w:r>
            <w:r w:rsidRPr="00BA06B6">
              <w:rPr>
                <w:rFonts w:ascii="Times New Roman" w:eastAsia="Calibri" w:hAnsi="Times New Roman" w:cs="Times New Roman"/>
                <w:bCs/>
                <w:sz w:val="18"/>
                <w:szCs w:val="18"/>
                <w:vertAlign w:val="superscript"/>
              </w:rPr>
              <w:t>***</w:t>
            </w:r>
          </w:p>
        </w:tc>
        <w:tc>
          <w:tcPr>
            <w:tcW w:w="445" w:type="pct"/>
            <w:shd w:val="clear" w:color="auto" w:fill="FFFFFF" w:themeFill="background1"/>
          </w:tcPr>
          <w:p w14:paraId="5E431AE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3.16</w:t>
            </w:r>
            <w:r w:rsidRPr="00BA06B6">
              <w:rPr>
                <w:rFonts w:ascii="Times New Roman" w:eastAsia="Calibri" w:hAnsi="Times New Roman" w:cs="Times New Roman"/>
                <w:bCs/>
                <w:sz w:val="18"/>
                <w:szCs w:val="18"/>
                <w:vertAlign w:val="superscript"/>
              </w:rPr>
              <w:t>***</w:t>
            </w:r>
          </w:p>
        </w:tc>
      </w:tr>
      <w:tr w:rsidR="00BA06B6" w:rsidRPr="00BA06B6" w14:paraId="66F755A7" w14:textId="77777777" w:rsidTr="00B91469">
        <w:trPr>
          <w:trHeight w:val="249"/>
          <w:tblHeader/>
        </w:trPr>
        <w:tc>
          <w:tcPr>
            <w:tcW w:w="550" w:type="pct"/>
            <w:shd w:val="clear" w:color="auto" w:fill="FFFFFF" w:themeFill="background1"/>
            <w:vAlign w:val="bottom"/>
          </w:tcPr>
          <w:p w14:paraId="6DF2B365"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12D92314"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2F2373A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(0.034)</w:t>
            </w:r>
          </w:p>
        </w:tc>
        <w:tc>
          <w:tcPr>
            <w:tcW w:w="375" w:type="pct"/>
            <w:shd w:val="clear" w:color="auto" w:fill="FFFFFF" w:themeFill="background1"/>
            <w:vAlign w:val="bottom"/>
          </w:tcPr>
          <w:p w14:paraId="7E17DE9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(0.011)</w:t>
            </w:r>
          </w:p>
        </w:tc>
        <w:tc>
          <w:tcPr>
            <w:tcW w:w="448" w:type="pct"/>
            <w:shd w:val="clear" w:color="auto" w:fill="FFFFFF" w:themeFill="background1"/>
            <w:vAlign w:val="bottom"/>
          </w:tcPr>
          <w:p w14:paraId="74C4729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(0.096)</w:t>
            </w:r>
          </w:p>
        </w:tc>
        <w:tc>
          <w:tcPr>
            <w:tcW w:w="397" w:type="pct"/>
            <w:shd w:val="clear" w:color="auto" w:fill="FFFFFF" w:themeFill="background1"/>
            <w:vAlign w:val="bottom"/>
          </w:tcPr>
          <w:p w14:paraId="2F6E172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(0.001)</w:t>
            </w:r>
          </w:p>
        </w:tc>
        <w:tc>
          <w:tcPr>
            <w:tcW w:w="402" w:type="pct"/>
            <w:shd w:val="clear" w:color="auto" w:fill="FFFFFF" w:themeFill="background1"/>
            <w:vAlign w:val="bottom"/>
          </w:tcPr>
          <w:p w14:paraId="2D7B017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(0.017)</w:t>
            </w:r>
          </w:p>
        </w:tc>
        <w:tc>
          <w:tcPr>
            <w:tcW w:w="405" w:type="pct"/>
            <w:shd w:val="clear" w:color="auto" w:fill="FFFFFF" w:themeFill="background1"/>
            <w:vAlign w:val="bottom"/>
          </w:tcPr>
          <w:p w14:paraId="62F42B5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(0.420)</w:t>
            </w:r>
          </w:p>
        </w:tc>
        <w:tc>
          <w:tcPr>
            <w:tcW w:w="347" w:type="pct"/>
            <w:shd w:val="clear" w:color="auto" w:fill="FFFFFF" w:themeFill="background1"/>
            <w:vAlign w:val="bottom"/>
          </w:tcPr>
          <w:p w14:paraId="4C2E8A4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(0.422)</w:t>
            </w:r>
          </w:p>
        </w:tc>
        <w:tc>
          <w:tcPr>
            <w:tcW w:w="434" w:type="pct"/>
            <w:shd w:val="clear" w:color="auto" w:fill="FFFFFF" w:themeFill="background1"/>
            <w:vAlign w:val="bottom"/>
          </w:tcPr>
          <w:p w14:paraId="307BCD6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47" w:type="pct"/>
            <w:shd w:val="clear" w:color="auto" w:fill="FFFFFF" w:themeFill="background1"/>
            <w:vAlign w:val="bottom"/>
          </w:tcPr>
          <w:p w14:paraId="18842C8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(0.006)</w:t>
            </w:r>
          </w:p>
        </w:tc>
        <w:tc>
          <w:tcPr>
            <w:tcW w:w="445" w:type="pct"/>
            <w:shd w:val="clear" w:color="auto" w:fill="FFFFFF" w:themeFill="background1"/>
          </w:tcPr>
          <w:p w14:paraId="21AC384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(0.002)</w:t>
            </w:r>
          </w:p>
        </w:tc>
      </w:tr>
      <w:tr w:rsidR="00BA06B6" w:rsidRPr="00BA06B6" w14:paraId="47260758" w14:textId="77777777" w:rsidTr="00B91469">
        <w:trPr>
          <w:trHeight w:val="249"/>
          <w:tblHeader/>
        </w:trPr>
        <w:tc>
          <w:tcPr>
            <w:tcW w:w="550" w:type="pct"/>
            <w:shd w:val="clear" w:color="auto" w:fill="FFFFFF" w:themeFill="background1"/>
            <w:vAlign w:val="bottom"/>
          </w:tcPr>
          <w:p w14:paraId="399DD66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SSB</w:t>
            </w:r>
          </w:p>
        </w:tc>
        <w:tc>
          <w:tcPr>
            <w:tcW w:w="375" w:type="pct"/>
            <w:shd w:val="clear" w:color="auto" w:fill="FFFFFF" w:themeFill="background1"/>
            <w:vAlign w:val="bottom"/>
          </w:tcPr>
          <w:p w14:paraId="773765D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375" w:type="pct"/>
            <w:shd w:val="clear" w:color="auto" w:fill="FFFFFF" w:themeFill="background1"/>
            <w:vAlign w:val="bottom"/>
          </w:tcPr>
          <w:p w14:paraId="2349DD7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5.00</w:t>
            </w:r>
            <w:r w:rsidRPr="00BA06B6">
              <w:rPr>
                <w:rFonts w:ascii="Times New Roman" w:eastAsia="Calibri" w:hAnsi="Times New Roman" w:cs="Times New Roman"/>
                <w:bCs/>
                <w:sz w:val="18"/>
                <w:szCs w:val="18"/>
                <w:vertAlign w:val="superscript"/>
              </w:rPr>
              <w:t>***</w:t>
            </w:r>
          </w:p>
        </w:tc>
        <w:tc>
          <w:tcPr>
            <w:tcW w:w="375" w:type="pct"/>
            <w:shd w:val="clear" w:color="auto" w:fill="FFFFFF" w:themeFill="background1"/>
            <w:vAlign w:val="bottom"/>
          </w:tcPr>
          <w:p w14:paraId="63C0FBB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4.89</w:t>
            </w:r>
            <w:r w:rsidRPr="00BA06B6">
              <w:rPr>
                <w:rFonts w:ascii="Times New Roman" w:eastAsia="Calibri" w:hAnsi="Times New Roman" w:cs="Times New Roman"/>
                <w:bCs/>
                <w:sz w:val="18"/>
                <w:szCs w:val="18"/>
                <w:vertAlign w:val="superscript"/>
              </w:rPr>
              <w:t>***</w:t>
            </w:r>
          </w:p>
        </w:tc>
        <w:tc>
          <w:tcPr>
            <w:tcW w:w="448" w:type="pct"/>
            <w:shd w:val="clear" w:color="auto" w:fill="FFFFFF" w:themeFill="background1"/>
            <w:vAlign w:val="bottom"/>
          </w:tcPr>
          <w:p w14:paraId="7D854FC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2.33</w:t>
            </w:r>
            <w:r w:rsidRPr="00BA06B6">
              <w:rPr>
                <w:rFonts w:ascii="Times New Roman" w:eastAsia="Calibri" w:hAnsi="Times New Roman" w:cs="Times New Roman"/>
                <w:bCs/>
                <w:sz w:val="18"/>
                <w:szCs w:val="18"/>
                <w:vertAlign w:val="superscript"/>
              </w:rPr>
              <w:t>**</w:t>
            </w:r>
          </w:p>
        </w:tc>
        <w:tc>
          <w:tcPr>
            <w:tcW w:w="397" w:type="pct"/>
            <w:shd w:val="clear" w:color="auto" w:fill="FFFFFF" w:themeFill="background1"/>
            <w:vAlign w:val="bottom"/>
          </w:tcPr>
          <w:p w14:paraId="7E527D4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sz w:val="18"/>
                <w:szCs w:val="18"/>
              </w:rPr>
              <w:t>-</w:t>
            </w:r>
          </w:p>
        </w:tc>
        <w:tc>
          <w:tcPr>
            <w:tcW w:w="402" w:type="pct"/>
            <w:shd w:val="clear" w:color="auto" w:fill="FFFFFF" w:themeFill="background1"/>
            <w:vAlign w:val="bottom"/>
          </w:tcPr>
          <w:p w14:paraId="3D9BF91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3.08</w:t>
            </w:r>
            <w:r w:rsidRPr="00BA06B6">
              <w:rPr>
                <w:rFonts w:ascii="Times New Roman" w:eastAsia="Calibri" w:hAnsi="Times New Roman" w:cs="Times New Roman"/>
                <w:bCs/>
                <w:sz w:val="18"/>
                <w:szCs w:val="18"/>
                <w:vertAlign w:val="superscript"/>
              </w:rPr>
              <w:t>***</w:t>
            </w:r>
          </w:p>
        </w:tc>
        <w:tc>
          <w:tcPr>
            <w:tcW w:w="405" w:type="pct"/>
            <w:shd w:val="clear" w:color="auto" w:fill="FFFFFF" w:themeFill="background1"/>
            <w:vAlign w:val="bottom"/>
          </w:tcPr>
          <w:p w14:paraId="23B0809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2.01</w:t>
            </w:r>
            <w:r w:rsidRPr="00BA06B6">
              <w:rPr>
                <w:rFonts w:ascii="Times New Roman" w:eastAsia="Calibri" w:hAnsi="Times New Roman" w:cs="Times New Roman"/>
                <w:bCs/>
                <w:sz w:val="18"/>
                <w:szCs w:val="18"/>
                <w:vertAlign w:val="superscript"/>
              </w:rPr>
              <w:t>**</w:t>
            </w:r>
          </w:p>
        </w:tc>
        <w:tc>
          <w:tcPr>
            <w:tcW w:w="347" w:type="pct"/>
            <w:shd w:val="clear" w:color="auto" w:fill="FFFFFF" w:themeFill="background1"/>
            <w:vAlign w:val="bottom"/>
          </w:tcPr>
          <w:p w14:paraId="4540E28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2.05</w:t>
            </w:r>
            <w:r w:rsidRPr="00BA06B6">
              <w:rPr>
                <w:rFonts w:ascii="Times New Roman" w:eastAsia="Calibri" w:hAnsi="Times New Roman" w:cs="Times New Roman"/>
                <w:bCs/>
                <w:sz w:val="18"/>
                <w:szCs w:val="18"/>
                <w:vertAlign w:val="superscript"/>
              </w:rPr>
              <w:t>**</w:t>
            </w:r>
          </w:p>
        </w:tc>
        <w:tc>
          <w:tcPr>
            <w:tcW w:w="434" w:type="pct"/>
            <w:shd w:val="clear" w:color="auto" w:fill="FFFFFF" w:themeFill="background1"/>
            <w:vAlign w:val="bottom"/>
          </w:tcPr>
          <w:p w14:paraId="653F93E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3.25</w:t>
            </w:r>
            <w:r w:rsidRPr="00BA06B6">
              <w:rPr>
                <w:rFonts w:ascii="Times New Roman" w:eastAsia="Calibri" w:hAnsi="Times New Roman" w:cs="Times New Roman"/>
                <w:bCs/>
                <w:sz w:val="18"/>
                <w:szCs w:val="18"/>
                <w:vertAlign w:val="superscript"/>
              </w:rPr>
              <w:t>***</w:t>
            </w:r>
          </w:p>
        </w:tc>
        <w:tc>
          <w:tcPr>
            <w:tcW w:w="447" w:type="pct"/>
            <w:shd w:val="clear" w:color="auto" w:fill="FFFFFF" w:themeFill="background1"/>
            <w:vAlign w:val="bottom"/>
          </w:tcPr>
          <w:p w14:paraId="5319377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1.63</w:t>
            </w:r>
            <w:r w:rsidRPr="00BA06B6">
              <w:rPr>
                <w:rFonts w:ascii="Times New Roman" w:eastAsia="Calibri" w:hAnsi="Times New Roman" w:cs="Times New Roman"/>
                <w:bCs/>
                <w:sz w:val="18"/>
                <w:szCs w:val="18"/>
                <w:vertAlign w:val="superscript"/>
              </w:rPr>
              <w:t>*</w:t>
            </w:r>
          </w:p>
        </w:tc>
        <w:tc>
          <w:tcPr>
            <w:tcW w:w="445" w:type="pct"/>
            <w:shd w:val="clear" w:color="auto" w:fill="FFFFFF" w:themeFill="background1"/>
          </w:tcPr>
          <w:p w14:paraId="0970CAF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1.26</w:t>
            </w:r>
          </w:p>
        </w:tc>
      </w:tr>
      <w:tr w:rsidR="00BA06B6" w:rsidRPr="00BA06B6" w14:paraId="216AE280" w14:textId="77777777" w:rsidTr="00B91469">
        <w:trPr>
          <w:trHeight w:val="249"/>
          <w:tblHeader/>
        </w:trPr>
        <w:tc>
          <w:tcPr>
            <w:tcW w:w="550" w:type="pct"/>
            <w:tcBorders>
              <w:bottom w:val="single" w:sz="12" w:space="0" w:color="auto"/>
            </w:tcBorders>
            <w:shd w:val="clear" w:color="auto" w:fill="FFFFFF" w:themeFill="background1"/>
            <w:vAlign w:val="bottom"/>
          </w:tcPr>
          <w:p w14:paraId="18F4909D"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tcBorders>
              <w:bottom w:val="single" w:sz="12" w:space="0" w:color="auto"/>
            </w:tcBorders>
            <w:shd w:val="clear" w:color="auto" w:fill="FFFFFF" w:themeFill="background1"/>
            <w:vAlign w:val="bottom"/>
          </w:tcPr>
          <w:p w14:paraId="795CA21C"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tcBorders>
              <w:bottom w:val="single" w:sz="12" w:space="0" w:color="auto"/>
            </w:tcBorders>
            <w:shd w:val="clear" w:color="auto" w:fill="FFFFFF" w:themeFill="background1"/>
            <w:vAlign w:val="bottom"/>
          </w:tcPr>
          <w:p w14:paraId="71C40C8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375" w:type="pct"/>
            <w:tcBorders>
              <w:bottom w:val="single" w:sz="12" w:space="0" w:color="auto"/>
            </w:tcBorders>
            <w:shd w:val="clear" w:color="auto" w:fill="FFFFFF" w:themeFill="background1"/>
            <w:vAlign w:val="bottom"/>
          </w:tcPr>
          <w:p w14:paraId="0921505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48" w:type="pct"/>
            <w:tcBorders>
              <w:bottom w:val="single" w:sz="12" w:space="0" w:color="auto"/>
            </w:tcBorders>
            <w:shd w:val="clear" w:color="auto" w:fill="FFFFFF" w:themeFill="background1"/>
            <w:vAlign w:val="bottom"/>
          </w:tcPr>
          <w:p w14:paraId="5E14D7F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(0.020)</w:t>
            </w:r>
          </w:p>
        </w:tc>
        <w:tc>
          <w:tcPr>
            <w:tcW w:w="397" w:type="pct"/>
            <w:tcBorders>
              <w:bottom w:val="single" w:sz="12" w:space="0" w:color="auto"/>
            </w:tcBorders>
            <w:shd w:val="clear" w:color="auto" w:fill="FFFFFF" w:themeFill="background1"/>
            <w:vAlign w:val="bottom"/>
          </w:tcPr>
          <w:p w14:paraId="60AE63A4" w14:textId="77777777" w:rsidR="00AA068C" w:rsidRPr="00BA06B6" w:rsidRDefault="00AA068C" w:rsidP="00BC341D">
            <w:pPr>
              <w:tabs>
                <w:tab w:val="left" w:pos="851"/>
              </w:tabs>
              <w:jc w:val="both"/>
              <w:rPr>
                <w:rFonts w:ascii="Times New Roman" w:eastAsia="Calibri" w:hAnsi="Times New Roman" w:cs="Times New Roman"/>
                <w:bCs/>
                <w:sz w:val="18"/>
                <w:szCs w:val="18"/>
              </w:rPr>
            </w:pPr>
          </w:p>
        </w:tc>
        <w:tc>
          <w:tcPr>
            <w:tcW w:w="402" w:type="pct"/>
            <w:tcBorders>
              <w:bottom w:val="single" w:sz="12" w:space="0" w:color="auto"/>
            </w:tcBorders>
            <w:shd w:val="clear" w:color="auto" w:fill="FFFFFF" w:themeFill="background1"/>
            <w:vAlign w:val="bottom"/>
          </w:tcPr>
          <w:p w14:paraId="1D3171E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(0.002)</w:t>
            </w:r>
          </w:p>
        </w:tc>
        <w:tc>
          <w:tcPr>
            <w:tcW w:w="405" w:type="pct"/>
            <w:tcBorders>
              <w:bottom w:val="single" w:sz="12" w:space="0" w:color="auto"/>
            </w:tcBorders>
            <w:shd w:val="clear" w:color="auto" w:fill="FFFFFF" w:themeFill="background1"/>
            <w:vAlign w:val="bottom"/>
          </w:tcPr>
          <w:p w14:paraId="0CEB974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(0.045)</w:t>
            </w:r>
          </w:p>
        </w:tc>
        <w:tc>
          <w:tcPr>
            <w:tcW w:w="347" w:type="pct"/>
            <w:tcBorders>
              <w:bottom w:val="single" w:sz="12" w:space="0" w:color="auto"/>
            </w:tcBorders>
            <w:shd w:val="clear" w:color="auto" w:fill="FFFFFF" w:themeFill="background1"/>
            <w:vAlign w:val="bottom"/>
          </w:tcPr>
          <w:p w14:paraId="4516D83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(0.040)</w:t>
            </w:r>
          </w:p>
        </w:tc>
        <w:tc>
          <w:tcPr>
            <w:tcW w:w="434" w:type="pct"/>
            <w:tcBorders>
              <w:bottom w:val="single" w:sz="12" w:space="0" w:color="auto"/>
            </w:tcBorders>
            <w:shd w:val="clear" w:color="auto" w:fill="FFFFFF" w:themeFill="background1"/>
            <w:vAlign w:val="bottom"/>
          </w:tcPr>
          <w:p w14:paraId="18712E3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(0.001)</w:t>
            </w:r>
          </w:p>
        </w:tc>
        <w:tc>
          <w:tcPr>
            <w:tcW w:w="447" w:type="pct"/>
            <w:tcBorders>
              <w:bottom w:val="single" w:sz="12" w:space="0" w:color="auto"/>
            </w:tcBorders>
            <w:shd w:val="clear" w:color="auto" w:fill="FFFFFF" w:themeFill="background1"/>
            <w:vAlign w:val="bottom"/>
          </w:tcPr>
          <w:p w14:paraId="4905C57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(0.094)</w:t>
            </w:r>
          </w:p>
        </w:tc>
        <w:tc>
          <w:tcPr>
            <w:tcW w:w="445" w:type="pct"/>
            <w:tcBorders>
              <w:bottom w:val="single" w:sz="12" w:space="0" w:color="auto"/>
            </w:tcBorders>
            <w:shd w:val="clear" w:color="auto" w:fill="FFFFFF" w:themeFill="background1"/>
          </w:tcPr>
          <w:p w14:paraId="7D758B3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(0.209)</w:t>
            </w:r>
          </w:p>
        </w:tc>
      </w:tr>
      <w:tr w:rsidR="00BA06B6" w:rsidRPr="00BA06B6" w14:paraId="5B871463" w14:textId="77777777" w:rsidTr="00B91469">
        <w:trPr>
          <w:trHeight w:val="249"/>
          <w:tblHeader/>
        </w:trPr>
        <w:tc>
          <w:tcPr>
            <w:tcW w:w="4555" w:type="pct"/>
            <w:gridSpan w:val="11"/>
            <w:tcBorders>
              <w:top w:val="single" w:sz="12" w:space="0" w:color="auto"/>
              <w:bottom w:val="single" w:sz="12" w:space="0" w:color="auto"/>
            </w:tcBorders>
            <w:shd w:val="clear" w:color="auto" w:fill="FFFFFF" w:themeFill="background1"/>
            <w:vAlign w:val="bottom"/>
          </w:tcPr>
          <w:p w14:paraId="1C80056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i/>
                <w:iCs/>
                <w:sz w:val="18"/>
                <w:szCs w:val="18"/>
              </w:rPr>
              <w:t>Panel D: Bank-level control variables</w:t>
            </w:r>
          </w:p>
        </w:tc>
        <w:tc>
          <w:tcPr>
            <w:tcW w:w="445" w:type="pct"/>
            <w:tcBorders>
              <w:top w:val="single" w:sz="12" w:space="0" w:color="auto"/>
              <w:bottom w:val="single" w:sz="12" w:space="0" w:color="auto"/>
            </w:tcBorders>
            <w:shd w:val="clear" w:color="auto" w:fill="FFFFFF" w:themeFill="background1"/>
          </w:tcPr>
          <w:p w14:paraId="765CA732" w14:textId="77777777" w:rsidR="00AA068C" w:rsidRPr="00BA06B6" w:rsidRDefault="00AA068C" w:rsidP="00BC341D">
            <w:pPr>
              <w:tabs>
                <w:tab w:val="left" w:pos="851"/>
              </w:tabs>
              <w:jc w:val="both"/>
              <w:rPr>
                <w:rFonts w:ascii="Times New Roman" w:eastAsia="Calibri" w:hAnsi="Times New Roman" w:cs="Times New Roman"/>
                <w:i/>
                <w:iCs/>
                <w:sz w:val="18"/>
                <w:szCs w:val="18"/>
              </w:rPr>
            </w:pPr>
          </w:p>
        </w:tc>
      </w:tr>
      <w:tr w:rsidR="00BA06B6" w:rsidRPr="00BA06B6" w14:paraId="449BB18B" w14:textId="77777777" w:rsidTr="00B91469">
        <w:trPr>
          <w:trHeight w:val="249"/>
          <w:tblHeader/>
        </w:trPr>
        <w:tc>
          <w:tcPr>
            <w:tcW w:w="550" w:type="pct"/>
            <w:tcBorders>
              <w:top w:val="single" w:sz="12" w:space="0" w:color="auto"/>
            </w:tcBorders>
            <w:shd w:val="clear" w:color="auto" w:fill="FFFFFF" w:themeFill="background1"/>
            <w:vAlign w:val="bottom"/>
          </w:tcPr>
          <w:p w14:paraId="6825F11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LNTA</w:t>
            </w:r>
          </w:p>
        </w:tc>
        <w:tc>
          <w:tcPr>
            <w:tcW w:w="375" w:type="pct"/>
            <w:tcBorders>
              <w:top w:val="single" w:sz="12" w:space="0" w:color="auto"/>
            </w:tcBorders>
            <w:shd w:val="clear" w:color="auto" w:fill="FFFFFF" w:themeFill="background1"/>
            <w:vAlign w:val="bottom"/>
          </w:tcPr>
          <w:p w14:paraId="129F7C2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17.75</w:t>
            </w:r>
            <w:r w:rsidRPr="00BA06B6">
              <w:rPr>
                <w:rFonts w:ascii="Times New Roman" w:eastAsia="Calibri" w:hAnsi="Times New Roman" w:cs="Times New Roman"/>
                <w:bCs/>
                <w:sz w:val="18"/>
                <w:szCs w:val="18"/>
                <w:vertAlign w:val="superscript"/>
              </w:rPr>
              <w:t>***</w:t>
            </w:r>
          </w:p>
        </w:tc>
        <w:tc>
          <w:tcPr>
            <w:tcW w:w="375" w:type="pct"/>
            <w:tcBorders>
              <w:top w:val="single" w:sz="12" w:space="0" w:color="auto"/>
            </w:tcBorders>
            <w:shd w:val="clear" w:color="auto" w:fill="FFFFFF" w:themeFill="background1"/>
            <w:vAlign w:val="bottom"/>
          </w:tcPr>
          <w:p w14:paraId="0B6B2B8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15.38</w:t>
            </w:r>
            <w:r w:rsidRPr="00BA06B6">
              <w:rPr>
                <w:rFonts w:ascii="Times New Roman" w:eastAsia="Calibri" w:hAnsi="Times New Roman" w:cs="Times New Roman"/>
                <w:bCs/>
                <w:sz w:val="18"/>
                <w:szCs w:val="18"/>
                <w:vertAlign w:val="superscript"/>
              </w:rPr>
              <w:t>***</w:t>
            </w:r>
          </w:p>
        </w:tc>
        <w:tc>
          <w:tcPr>
            <w:tcW w:w="375" w:type="pct"/>
            <w:tcBorders>
              <w:top w:val="single" w:sz="12" w:space="0" w:color="auto"/>
            </w:tcBorders>
            <w:shd w:val="clear" w:color="auto" w:fill="FFFFFF" w:themeFill="background1"/>
            <w:vAlign w:val="bottom"/>
          </w:tcPr>
          <w:p w14:paraId="2972A75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15.06</w:t>
            </w:r>
            <w:r w:rsidRPr="00BA06B6">
              <w:rPr>
                <w:rFonts w:ascii="Times New Roman" w:eastAsia="Calibri" w:hAnsi="Times New Roman" w:cs="Times New Roman"/>
                <w:bCs/>
                <w:sz w:val="18"/>
                <w:szCs w:val="18"/>
                <w:vertAlign w:val="superscript"/>
              </w:rPr>
              <w:t>***</w:t>
            </w:r>
          </w:p>
        </w:tc>
        <w:tc>
          <w:tcPr>
            <w:tcW w:w="448" w:type="pct"/>
            <w:tcBorders>
              <w:top w:val="single" w:sz="12" w:space="0" w:color="auto"/>
            </w:tcBorders>
            <w:shd w:val="clear" w:color="auto" w:fill="FFFFFF" w:themeFill="background1"/>
            <w:vAlign w:val="bottom"/>
          </w:tcPr>
          <w:p w14:paraId="2E89F29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6.20</w:t>
            </w:r>
            <w:r w:rsidRPr="00BA06B6">
              <w:rPr>
                <w:rFonts w:ascii="Times New Roman" w:eastAsia="Calibri" w:hAnsi="Times New Roman" w:cs="Times New Roman"/>
                <w:bCs/>
                <w:sz w:val="18"/>
                <w:szCs w:val="18"/>
                <w:vertAlign w:val="superscript"/>
              </w:rPr>
              <w:t>***</w:t>
            </w:r>
          </w:p>
        </w:tc>
        <w:tc>
          <w:tcPr>
            <w:tcW w:w="397" w:type="pct"/>
            <w:tcBorders>
              <w:top w:val="single" w:sz="12" w:space="0" w:color="auto"/>
            </w:tcBorders>
            <w:shd w:val="clear" w:color="auto" w:fill="FFFFFF" w:themeFill="background1"/>
            <w:vAlign w:val="bottom"/>
          </w:tcPr>
          <w:p w14:paraId="7D2C8A1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8.27</w:t>
            </w:r>
            <w:r w:rsidRPr="00BA06B6">
              <w:rPr>
                <w:rFonts w:ascii="Times New Roman" w:eastAsia="Calibri" w:hAnsi="Times New Roman" w:cs="Times New Roman"/>
                <w:bCs/>
                <w:sz w:val="18"/>
                <w:szCs w:val="18"/>
                <w:vertAlign w:val="superscript"/>
              </w:rPr>
              <w:t>***</w:t>
            </w:r>
          </w:p>
        </w:tc>
        <w:tc>
          <w:tcPr>
            <w:tcW w:w="402" w:type="pct"/>
            <w:tcBorders>
              <w:top w:val="single" w:sz="12" w:space="0" w:color="auto"/>
            </w:tcBorders>
            <w:shd w:val="clear" w:color="auto" w:fill="FFFFFF" w:themeFill="background1"/>
            <w:vAlign w:val="bottom"/>
          </w:tcPr>
          <w:p w14:paraId="30BA31C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6.95</w:t>
            </w:r>
            <w:r w:rsidRPr="00BA06B6">
              <w:rPr>
                <w:rFonts w:ascii="Times New Roman" w:eastAsia="Calibri" w:hAnsi="Times New Roman" w:cs="Times New Roman"/>
                <w:bCs/>
                <w:sz w:val="18"/>
                <w:szCs w:val="18"/>
                <w:vertAlign w:val="superscript"/>
              </w:rPr>
              <w:t>***</w:t>
            </w:r>
          </w:p>
        </w:tc>
        <w:tc>
          <w:tcPr>
            <w:tcW w:w="405" w:type="pct"/>
            <w:tcBorders>
              <w:top w:val="single" w:sz="12" w:space="0" w:color="auto"/>
            </w:tcBorders>
            <w:shd w:val="clear" w:color="auto" w:fill="FFFFFF" w:themeFill="background1"/>
            <w:vAlign w:val="bottom"/>
          </w:tcPr>
          <w:p w14:paraId="72156E2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4.40</w:t>
            </w:r>
            <w:r w:rsidRPr="00BA06B6">
              <w:rPr>
                <w:rFonts w:ascii="Times New Roman" w:eastAsia="Calibri" w:hAnsi="Times New Roman" w:cs="Times New Roman"/>
                <w:bCs/>
                <w:sz w:val="18"/>
                <w:szCs w:val="18"/>
                <w:vertAlign w:val="superscript"/>
              </w:rPr>
              <w:t>***</w:t>
            </w:r>
          </w:p>
        </w:tc>
        <w:tc>
          <w:tcPr>
            <w:tcW w:w="347" w:type="pct"/>
            <w:tcBorders>
              <w:top w:val="single" w:sz="12" w:space="0" w:color="auto"/>
            </w:tcBorders>
            <w:shd w:val="clear" w:color="auto" w:fill="FFFFFF" w:themeFill="background1"/>
            <w:vAlign w:val="bottom"/>
          </w:tcPr>
          <w:p w14:paraId="3B2F782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6.34</w:t>
            </w:r>
            <w:r w:rsidRPr="00BA06B6">
              <w:rPr>
                <w:rFonts w:ascii="Times New Roman" w:eastAsia="Calibri" w:hAnsi="Times New Roman" w:cs="Times New Roman"/>
                <w:bCs/>
                <w:sz w:val="18"/>
                <w:szCs w:val="18"/>
                <w:vertAlign w:val="superscript"/>
              </w:rPr>
              <w:t>***</w:t>
            </w:r>
          </w:p>
        </w:tc>
        <w:tc>
          <w:tcPr>
            <w:tcW w:w="434" w:type="pct"/>
            <w:tcBorders>
              <w:top w:val="single" w:sz="12" w:space="0" w:color="auto"/>
            </w:tcBorders>
            <w:shd w:val="clear" w:color="auto" w:fill="FFFFFF" w:themeFill="background1"/>
            <w:vAlign w:val="bottom"/>
          </w:tcPr>
          <w:p w14:paraId="2720590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12.20</w:t>
            </w:r>
            <w:r w:rsidRPr="00BA06B6">
              <w:rPr>
                <w:rFonts w:ascii="Times New Roman" w:eastAsia="Calibri" w:hAnsi="Times New Roman" w:cs="Times New Roman"/>
                <w:bCs/>
                <w:sz w:val="18"/>
                <w:szCs w:val="18"/>
                <w:vertAlign w:val="superscript"/>
              </w:rPr>
              <w:t>***</w:t>
            </w:r>
          </w:p>
        </w:tc>
        <w:tc>
          <w:tcPr>
            <w:tcW w:w="447" w:type="pct"/>
            <w:tcBorders>
              <w:top w:val="single" w:sz="12" w:space="0" w:color="auto"/>
            </w:tcBorders>
            <w:shd w:val="clear" w:color="auto" w:fill="FFFFFF" w:themeFill="background1"/>
            <w:vAlign w:val="bottom"/>
          </w:tcPr>
          <w:p w14:paraId="1F04A05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11.11</w:t>
            </w:r>
            <w:r w:rsidRPr="00BA06B6">
              <w:rPr>
                <w:rFonts w:ascii="Times New Roman" w:eastAsia="Calibri" w:hAnsi="Times New Roman" w:cs="Times New Roman"/>
                <w:bCs/>
                <w:sz w:val="18"/>
                <w:szCs w:val="18"/>
                <w:vertAlign w:val="superscript"/>
              </w:rPr>
              <w:t>***</w:t>
            </w:r>
          </w:p>
        </w:tc>
        <w:tc>
          <w:tcPr>
            <w:tcW w:w="445" w:type="pct"/>
            <w:tcBorders>
              <w:top w:val="single" w:sz="12" w:space="0" w:color="auto"/>
            </w:tcBorders>
            <w:shd w:val="clear" w:color="auto" w:fill="FFFFFF" w:themeFill="background1"/>
          </w:tcPr>
          <w:p w14:paraId="0F86E21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0.65</w:t>
            </w:r>
          </w:p>
        </w:tc>
      </w:tr>
      <w:tr w:rsidR="00BA06B6" w:rsidRPr="00BA06B6" w14:paraId="5C60C1BD" w14:textId="77777777" w:rsidTr="00B91469">
        <w:trPr>
          <w:trHeight w:val="249"/>
          <w:tblHeader/>
        </w:trPr>
        <w:tc>
          <w:tcPr>
            <w:tcW w:w="550" w:type="pct"/>
            <w:shd w:val="clear" w:color="auto" w:fill="FFFFFF" w:themeFill="background1"/>
            <w:vAlign w:val="bottom"/>
          </w:tcPr>
          <w:p w14:paraId="23F6F5A5"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543A6DB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375" w:type="pct"/>
            <w:shd w:val="clear" w:color="auto" w:fill="FFFFFF" w:themeFill="background1"/>
            <w:vAlign w:val="bottom"/>
          </w:tcPr>
          <w:p w14:paraId="6090F1B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375" w:type="pct"/>
            <w:shd w:val="clear" w:color="auto" w:fill="FFFFFF" w:themeFill="background1"/>
            <w:vAlign w:val="bottom"/>
          </w:tcPr>
          <w:p w14:paraId="339584D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48" w:type="pct"/>
            <w:shd w:val="clear" w:color="auto" w:fill="FFFFFF" w:themeFill="background1"/>
            <w:vAlign w:val="bottom"/>
          </w:tcPr>
          <w:p w14:paraId="0A1729D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397" w:type="pct"/>
            <w:shd w:val="clear" w:color="auto" w:fill="FFFFFF" w:themeFill="background1"/>
            <w:vAlign w:val="bottom"/>
          </w:tcPr>
          <w:p w14:paraId="35ADEEB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02" w:type="pct"/>
            <w:shd w:val="clear" w:color="auto" w:fill="FFFFFF" w:themeFill="background1"/>
            <w:vAlign w:val="bottom"/>
          </w:tcPr>
          <w:p w14:paraId="6CAC67E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05" w:type="pct"/>
            <w:shd w:val="clear" w:color="auto" w:fill="FFFFFF" w:themeFill="background1"/>
            <w:vAlign w:val="bottom"/>
          </w:tcPr>
          <w:p w14:paraId="2D1AFF4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347" w:type="pct"/>
            <w:shd w:val="clear" w:color="auto" w:fill="FFFFFF" w:themeFill="background1"/>
            <w:vAlign w:val="bottom"/>
          </w:tcPr>
          <w:p w14:paraId="7FC12CD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34" w:type="pct"/>
            <w:shd w:val="clear" w:color="auto" w:fill="FFFFFF" w:themeFill="background1"/>
            <w:vAlign w:val="bottom"/>
          </w:tcPr>
          <w:p w14:paraId="30E3698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47" w:type="pct"/>
            <w:shd w:val="clear" w:color="auto" w:fill="FFFFFF" w:themeFill="background1"/>
            <w:vAlign w:val="bottom"/>
          </w:tcPr>
          <w:p w14:paraId="1F5496C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45" w:type="pct"/>
            <w:shd w:val="clear" w:color="auto" w:fill="FFFFFF" w:themeFill="background1"/>
          </w:tcPr>
          <w:p w14:paraId="0B29C46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(0.517)</w:t>
            </w:r>
          </w:p>
        </w:tc>
      </w:tr>
      <w:tr w:rsidR="00BA06B6" w:rsidRPr="00BA06B6" w14:paraId="443E92D1" w14:textId="77777777" w:rsidTr="00B91469">
        <w:trPr>
          <w:trHeight w:val="249"/>
          <w:tblHeader/>
        </w:trPr>
        <w:tc>
          <w:tcPr>
            <w:tcW w:w="550" w:type="pct"/>
            <w:shd w:val="clear" w:color="auto" w:fill="FFFFFF" w:themeFill="background1"/>
            <w:vAlign w:val="bottom"/>
          </w:tcPr>
          <w:p w14:paraId="06F5687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ROAA</w:t>
            </w:r>
          </w:p>
        </w:tc>
        <w:tc>
          <w:tcPr>
            <w:tcW w:w="375" w:type="pct"/>
            <w:shd w:val="clear" w:color="auto" w:fill="FFFFFF" w:themeFill="background1"/>
            <w:vAlign w:val="bottom"/>
          </w:tcPr>
          <w:p w14:paraId="0FB4AFC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1.02</w:t>
            </w:r>
          </w:p>
        </w:tc>
        <w:tc>
          <w:tcPr>
            <w:tcW w:w="375" w:type="pct"/>
            <w:shd w:val="clear" w:color="auto" w:fill="FFFFFF" w:themeFill="background1"/>
            <w:vAlign w:val="bottom"/>
          </w:tcPr>
          <w:p w14:paraId="21C7973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0.96</w:t>
            </w:r>
          </w:p>
        </w:tc>
        <w:tc>
          <w:tcPr>
            <w:tcW w:w="375" w:type="pct"/>
            <w:shd w:val="clear" w:color="auto" w:fill="FFFFFF" w:themeFill="background1"/>
            <w:vAlign w:val="bottom"/>
          </w:tcPr>
          <w:p w14:paraId="01010ED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1.40</w:t>
            </w:r>
            <w:r w:rsidRPr="00BA06B6">
              <w:rPr>
                <w:rFonts w:ascii="Times New Roman" w:eastAsia="Calibri" w:hAnsi="Times New Roman" w:cs="Times New Roman"/>
                <w:bCs/>
                <w:sz w:val="18"/>
                <w:szCs w:val="18"/>
                <w:vertAlign w:val="superscript"/>
              </w:rPr>
              <w:t>*</w:t>
            </w:r>
          </w:p>
        </w:tc>
        <w:tc>
          <w:tcPr>
            <w:tcW w:w="448" w:type="pct"/>
            <w:shd w:val="clear" w:color="auto" w:fill="FFFFFF" w:themeFill="background1"/>
            <w:vAlign w:val="bottom"/>
          </w:tcPr>
          <w:p w14:paraId="20A3439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0.32</w:t>
            </w:r>
          </w:p>
        </w:tc>
        <w:tc>
          <w:tcPr>
            <w:tcW w:w="397" w:type="pct"/>
            <w:shd w:val="clear" w:color="auto" w:fill="FFFFFF" w:themeFill="background1"/>
            <w:vAlign w:val="bottom"/>
          </w:tcPr>
          <w:p w14:paraId="3264F0D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0.10</w:t>
            </w:r>
          </w:p>
        </w:tc>
        <w:tc>
          <w:tcPr>
            <w:tcW w:w="402" w:type="pct"/>
            <w:shd w:val="clear" w:color="auto" w:fill="FFFFFF" w:themeFill="background1"/>
            <w:vAlign w:val="bottom"/>
          </w:tcPr>
          <w:p w14:paraId="6579410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3.56</w:t>
            </w:r>
            <w:r w:rsidRPr="00BA06B6">
              <w:rPr>
                <w:rFonts w:ascii="Times New Roman" w:eastAsia="Calibri" w:hAnsi="Times New Roman" w:cs="Times New Roman"/>
                <w:bCs/>
                <w:sz w:val="18"/>
                <w:szCs w:val="18"/>
                <w:vertAlign w:val="superscript"/>
              </w:rPr>
              <w:t>***</w:t>
            </w:r>
          </w:p>
        </w:tc>
        <w:tc>
          <w:tcPr>
            <w:tcW w:w="405" w:type="pct"/>
            <w:shd w:val="clear" w:color="auto" w:fill="FFFFFF" w:themeFill="background1"/>
            <w:vAlign w:val="bottom"/>
          </w:tcPr>
          <w:p w14:paraId="77C0EA4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2.20</w:t>
            </w:r>
            <w:r w:rsidRPr="00BA06B6">
              <w:rPr>
                <w:rFonts w:ascii="Times New Roman" w:eastAsia="Calibri" w:hAnsi="Times New Roman" w:cs="Times New Roman"/>
                <w:bCs/>
                <w:sz w:val="18"/>
                <w:szCs w:val="18"/>
                <w:vertAlign w:val="superscript"/>
              </w:rPr>
              <w:t>**</w:t>
            </w:r>
          </w:p>
        </w:tc>
        <w:tc>
          <w:tcPr>
            <w:tcW w:w="347" w:type="pct"/>
            <w:shd w:val="clear" w:color="auto" w:fill="FFFFFF" w:themeFill="background1"/>
            <w:vAlign w:val="bottom"/>
          </w:tcPr>
          <w:p w14:paraId="3EE936A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0.74</w:t>
            </w:r>
          </w:p>
        </w:tc>
        <w:tc>
          <w:tcPr>
            <w:tcW w:w="434" w:type="pct"/>
            <w:shd w:val="clear" w:color="auto" w:fill="FFFFFF" w:themeFill="background1"/>
            <w:vAlign w:val="bottom"/>
          </w:tcPr>
          <w:p w14:paraId="13E39FB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0.96</w:t>
            </w:r>
          </w:p>
        </w:tc>
        <w:tc>
          <w:tcPr>
            <w:tcW w:w="447" w:type="pct"/>
            <w:shd w:val="clear" w:color="auto" w:fill="FFFFFF" w:themeFill="background1"/>
            <w:vAlign w:val="bottom"/>
          </w:tcPr>
          <w:p w14:paraId="1E739FB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1.65</w:t>
            </w:r>
            <w:r w:rsidRPr="00BA06B6">
              <w:rPr>
                <w:rFonts w:ascii="Times New Roman" w:eastAsia="Calibri" w:hAnsi="Times New Roman" w:cs="Times New Roman"/>
                <w:bCs/>
                <w:sz w:val="18"/>
                <w:szCs w:val="18"/>
                <w:vertAlign w:val="superscript"/>
              </w:rPr>
              <w:t>*</w:t>
            </w:r>
          </w:p>
        </w:tc>
        <w:tc>
          <w:tcPr>
            <w:tcW w:w="445" w:type="pct"/>
            <w:shd w:val="clear" w:color="auto" w:fill="FFFFFF" w:themeFill="background1"/>
          </w:tcPr>
          <w:p w14:paraId="54C27CE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1.35</w:t>
            </w:r>
          </w:p>
        </w:tc>
      </w:tr>
      <w:tr w:rsidR="00BA06B6" w:rsidRPr="00BA06B6" w14:paraId="040953FB" w14:textId="77777777" w:rsidTr="00B91469">
        <w:trPr>
          <w:trHeight w:val="249"/>
          <w:tblHeader/>
        </w:trPr>
        <w:tc>
          <w:tcPr>
            <w:tcW w:w="550" w:type="pct"/>
            <w:shd w:val="clear" w:color="auto" w:fill="FFFFFF" w:themeFill="background1"/>
            <w:vAlign w:val="bottom"/>
          </w:tcPr>
          <w:p w14:paraId="2F934128"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3F375E3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(0.310)</w:t>
            </w:r>
          </w:p>
        </w:tc>
        <w:tc>
          <w:tcPr>
            <w:tcW w:w="375" w:type="pct"/>
            <w:shd w:val="clear" w:color="auto" w:fill="FFFFFF" w:themeFill="background1"/>
            <w:vAlign w:val="bottom"/>
          </w:tcPr>
          <w:p w14:paraId="4A26572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(0.336)</w:t>
            </w:r>
          </w:p>
        </w:tc>
        <w:tc>
          <w:tcPr>
            <w:tcW w:w="375" w:type="pct"/>
            <w:shd w:val="clear" w:color="auto" w:fill="FFFFFF" w:themeFill="background1"/>
            <w:vAlign w:val="bottom"/>
          </w:tcPr>
          <w:p w14:paraId="3BEA074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(0.072)</w:t>
            </w:r>
          </w:p>
        </w:tc>
        <w:tc>
          <w:tcPr>
            <w:tcW w:w="448" w:type="pct"/>
            <w:shd w:val="clear" w:color="auto" w:fill="FFFFFF" w:themeFill="background1"/>
            <w:vAlign w:val="bottom"/>
          </w:tcPr>
          <w:p w14:paraId="1C24EFC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(0.752)</w:t>
            </w:r>
          </w:p>
        </w:tc>
        <w:tc>
          <w:tcPr>
            <w:tcW w:w="397" w:type="pct"/>
            <w:shd w:val="clear" w:color="auto" w:fill="FFFFFF" w:themeFill="background1"/>
            <w:vAlign w:val="bottom"/>
          </w:tcPr>
          <w:p w14:paraId="5010653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(0.922)</w:t>
            </w:r>
          </w:p>
        </w:tc>
        <w:tc>
          <w:tcPr>
            <w:tcW w:w="402" w:type="pct"/>
            <w:shd w:val="clear" w:color="auto" w:fill="FFFFFF" w:themeFill="background1"/>
            <w:vAlign w:val="bottom"/>
          </w:tcPr>
          <w:p w14:paraId="20089FD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05" w:type="pct"/>
            <w:shd w:val="clear" w:color="auto" w:fill="FFFFFF" w:themeFill="background1"/>
            <w:vAlign w:val="bottom"/>
          </w:tcPr>
          <w:p w14:paraId="05E9BEC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(0.028)</w:t>
            </w:r>
          </w:p>
        </w:tc>
        <w:tc>
          <w:tcPr>
            <w:tcW w:w="347" w:type="pct"/>
            <w:shd w:val="clear" w:color="auto" w:fill="FFFFFF" w:themeFill="background1"/>
            <w:vAlign w:val="bottom"/>
          </w:tcPr>
          <w:p w14:paraId="734965F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(0.457)</w:t>
            </w:r>
          </w:p>
        </w:tc>
        <w:tc>
          <w:tcPr>
            <w:tcW w:w="434" w:type="pct"/>
            <w:shd w:val="clear" w:color="auto" w:fill="FFFFFF" w:themeFill="background1"/>
            <w:vAlign w:val="bottom"/>
          </w:tcPr>
          <w:p w14:paraId="61D95DA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(0.337)</w:t>
            </w:r>
          </w:p>
        </w:tc>
        <w:tc>
          <w:tcPr>
            <w:tcW w:w="447" w:type="pct"/>
            <w:shd w:val="clear" w:color="auto" w:fill="FFFFFF" w:themeFill="background1"/>
            <w:vAlign w:val="bottom"/>
          </w:tcPr>
          <w:p w14:paraId="6AEA3D4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(0.099)</w:t>
            </w:r>
          </w:p>
        </w:tc>
        <w:tc>
          <w:tcPr>
            <w:tcW w:w="445" w:type="pct"/>
            <w:shd w:val="clear" w:color="auto" w:fill="FFFFFF" w:themeFill="background1"/>
          </w:tcPr>
          <w:p w14:paraId="373EECA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(0.178)</w:t>
            </w:r>
          </w:p>
        </w:tc>
      </w:tr>
      <w:tr w:rsidR="00BA06B6" w:rsidRPr="00BA06B6" w14:paraId="45113AD3" w14:textId="77777777" w:rsidTr="00B91469">
        <w:trPr>
          <w:trHeight w:val="249"/>
          <w:tblHeader/>
        </w:trPr>
        <w:tc>
          <w:tcPr>
            <w:tcW w:w="550" w:type="pct"/>
            <w:shd w:val="clear" w:color="auto" w:fill="FFFFFF" w:themeFill="background1"/>
            <w:vAlign w:val="bottom"/>
          </w:tcPr>
          <w:p w14:paraId="74E7761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INCD</w:t>
            </w:r>
          </w:p>
        </w:tc>
        <w:tc>
          <w:tcPr>
            <w:tcW w:w="375" w:type="pct"/>
            <w:shd w:val="clear" w:color="auto" w:fill="FFFFFF" w:themeFill="background1"/>
            <w:vAlign w:val="bottom"/>
          </w:tcPr>
          <w:p w14:paraId="6EAA02C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0.89</w:t>
            </w:r>
          </w:p>
        </w:tc>
        <w:tc>
          <w:tcPr>
            <w:tcW w:w="375" w:type="pct"/>
            <w:shd w:val="clear" w:color="auto" w:fill="FFFFFF" w:themeFill="background1"/>
            <w:vAlign w:val="bottom"/>
          </w:tcPr>
          <w:p w14:paraId="0B3995F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-0.32</w:t>
            </w:r>
          </w:p>
        </w:tc>
        <w:tc>
          <w:tcPr>
            <w:tcW w:w="375" w:type="pct"/>
            <w:shd w:val="clear" w:color="auto" w:fill="FFFFFF" w:themeFill="background1"/>
            <w:vAlign w:val="bottom"/>
          </w:tcPr>
          <w:p w14:paraId="3B39E59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-0.54</w:t>
            </w:r>
          </w:p>
        </w:tc>
        <w:tc>
          <w:tcPr>
            <w:tcW w:w="448" w:type="pct"/>
            <w:shd w:val="clear" w:color="auto" w:fill="FFFFFF" w:themeFill="background1"/>
            <w:vAlign w:val="bottom"/>
          </w:tcPr>
          <w:p w14:paraId="37299DA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-1.08</w:t>
            </w:r>
          </w:p>
        </w:tc>
        <w:tc>
          <w:tcPr>
            <w:tcW w:w="397" w:type="pct"/>
            <w:shd w:val="clear" w:color="auto" w:fill="FFFFFF" w:themeFill="background1"/>
            <w:vAlign w:val="bottom"/>
          </w:tcPr>
          <w:p w14:paraId="5293158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1.73</w:t>
            </w:r>
            <w:r w:rsidRPr="00BA06B6">
              <w:rPr>
                <w:rFonts w:ascii="Times New Roman" w:eastAsia="Calibri" w:hAnsi="Times New Roman" w:cs="Times New Roman"/>
                <w:bCs/>
                <w:sz w:val="18"/>
                <w:szCs w:val="18"/>
                <w:vertAlign w:val="superscript"/>
              </w:rPr>
              <w:t>*</w:t>
            </w:r>
          </w:p>
        </w:tc>
        <w:tc>
          <w:tcPr>
            <w:tcW w:w="402" w:type="pct"/>
            <w:shd w:val="clear" w:color="auto" w:fill="FFFFFF" w:themeFill="background1"/>
            <w:vAlign w:val="bottom"/>
          </w:tcPr>
          <w:p w14:paraId="6FAD6C1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0.31</w:t>
            </w:r>
          </w:p>
        </w:tc>
        <w:tc>
          <w:tcPr>
            <w:tcW w:w="405" w:type="pct"/>
            <w:shd w:val="clear" w:color="auto" w:fill="FFFFFF" w:themeFill="background1"/>
            <w:vAlign w:val="bottom"/>
          </w:tcPr>
          <w:p w14:paraId="6B18102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-0.98</w:t>
            </w:r>
          </w:p>
        </w:tc>
        <w:tc>
          <w:tcPr>
            <w:tcW w:w="347" w:type="pct"/>
            <w:shd w:val="clear" w:color="auto" w:fill="FFFFFF" w:themeFill="background1"/>
            <w:vAlign w:val="bottom"/>
          </w:tcPr>
          <w:p w14:paraId="1530C71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-0.94</w:t>
            </w:r>
          </w:p>
        </w:tc>
        <w:tc>
          <w:tcPr>
            <w:tcW w:w="434" w:type="pct"/>
            <w:shd w:val="clear" w:color="auto" w:fill="FFFFFF" w:themeFill="background1"/>
            <w:vAlign w:val="bottom"/>
          </w:tcPr>
          <w:p w14:paraId="0B52A13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-0.83</w:t>
            </w:r>
          </w:p>
        </w:tc>
        <w:tc>
          <w:tcPr>
            <w:tcW w:w="447" w:type="pct"/>
            <w:shd w:val="clear" w:color="auto" w:fill="FFFFFF" w:themeFill="background1"/>
            <w:vAlign w:val="bottom"/>
          </w:tcPr>
          <w:p w14:paraId="7C00598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-0.25</w:t>
            </w:r>
          </w:p>
        </w:tc>
        <w:tc>
          <w:tcPr>
            <w:tcW w:w="445" w:type="pct"/>
            <w:shd w:val="clear" w:color="auto" w:fill="FFFFFF" w:themeFill="background1"/>
          </w:tcPr>
          <w:p w14:paraId="34769A7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-2.29</w:t>
            </w:r>
            <w:r w:rsidRPr="00BA06B6">
              <w:rPr>
                <w:rFonts w:ascii="Times New Roman" w:eastAsia="Calibri" w:hAnsi="Times New Roman" w:cs="Times New Roman"/>
                <w:bCs/>
                <w:sz w:val="18"/>
                <w:szCs w:val="18"/>
                <w:vertAlign w:val="superscript"/>
              </w:rPr>
              <w:t>**</w:t>
            </w:r>
          </w:p>
        </w:tc>
      </w:tr>
      <w:tr w:rsidR="00BA06B6" w:rsidRPr="00BA06B6" w14:paraId="34EE4613" w14:textId="77777777" w:rsidTr="00B91469">
        <w:trPr>
          <w:trHeight w:val="249"/>
          <w:tblHeader/>
        </w:trPr>
        <w:tc>
          <w:tcPr>
            <w:tcW w:w="550" w:type="pct"/>
            <w:shd w:val="clear" w:color="auto" w:fill="FFFFFF" w:themeFill="background1"/>
            <w:vAlign w:val="bottom"/>
          </w:tcPr>
          <w:p w14:paraId="410A77D6"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49A415A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(0.373)</w:t>
            </w:r>
          </w:p>
        </w:tc>
        <w:tc>
          <w:tcPr>
            <w:tcW w:w="375" w:type="pct"/>
            <w:shd w:val="clear" w:color="auto" w:fill="FFFFFF" w:themeFill="background1"/>
            <w:vAlign w:val="bottom"/>
          </w:tcPr>
          <w:p w14:paraId="36DF510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(0.750)</w:t>
            </w:r>
          </w:p>
        </w:tc>
        <w:tc>
          <w:tcPr>
            <w:tcW w:w="375" w:type="pct"/>
            <w:shd w:val="clear" w:color="auto" w:fill="FFFFFF" w:themeFill="background1"/>
            <w:vAlign w:val="bottom"/>
          </w:tcPr>
          <w:p w14:paraId="30345D9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(0.586)</w:t>
            </w:r>
          </w:p>
        </w:tc>
        <w:tc>
          <w:tcPr>
            <w:tcW w:w="448" w:type="pct"/>
            <w:shd w:val="clear" w:color="auto" w:fill="FFFFFF" w:themeFill="background1"/>
            <w:vAlign w:val="bottom"/>
          </w:tcPr>
          <w:p w14:paraId="63F696A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(0.279)</w:t>
            </w:r>
          </w:p>
        </w:tc>
        <w:tc>
          <w:tcPr>
            <w:tcW w:w="397" w:type="pct"/>
            <w:shd w:val="clear" w:color="auto" w:fill="FFFFFF" w:themeFill="background1"/>
            <w:vAlign w:val="bottom"/>
          </w:tcPr>
          <w:p w14:paraId="05FF9FF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(0.084)</w:t>
            </w:r>
          </w:p>
        </w:tc>
        <w:tc>
          <w:tcPr>
            <w:tcW w:w="402" w:type="pct"/>
            <w:shd w:val="clear" w:color="auto" w:fill="FFFFFF" w:themeFill="background1"/>
            <w:vAlign w:val="bottom"/>
          </w:tcPr>
          <w:p w14:paraId="3AA8081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(0.756)</w:t>
            </w:r>
          </w:p>
        </w:tc>
        <w:tc>
          <w:tcPr>
            <w:tcW w:w="405" w:type="pct"/>
            <w:shd w:val="clear" w:color="auto" w:fill="FFFFFF" w:themeFill="background1"/>
            <w:vAlign w:val="bottom"/>
          </w:tcPr>
          <w:p w14:paraId="5B4B39E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(0.327)</w:t>
            </w:r>
          </w:p>
        </w:tc>
        <w:tc>
          <w:tcPr>
            <w:tcW w:w="347" w:type="pct"/>
            <w:shd w:val="clear" w:color="auto" w:fill="FFFFFF" w:themeFill="background1"/>
            <w:vAlign w:val="bottom"/>
          </w:tcPr>
          <w:p w14:paraId="6FF8AA0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(0.345)</w:t>
            </w:r>
          </w:p>
        </w:tc>
        <w:tc>
          <w:tcPr>
            <w:tcW w:w="434" w:type="pct"/>
            <w:shd w:val="clear" w:color="auto" w:fill="FFFFFF" w:themeFill="background1"/>
            <w:vAlign w:val="bottom"/>
          </w:tcPr>
          <w:p w14:paraId="319EE1D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(0.408)</w:t>
            </w:r>
          </w:p>
        </w:tc>
        <w:tc>
          <w:tcPr>
            <w:tcW w:w="447" w:type="pct"/>
            <w:shd w:val="clear" w:color="auto" w:fill="FFFFFF" w:themeFill="background1"/>
            <w:vAlign w:val="bottom"/>
          </w:tcPr>
          <w:p w14:paraId="374A201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(0.802)</w:t>
            </w:r>
          </w:p>
        </w:tc>
        <w:tc>
          <w:tcPr>
            <w:tcW w:w="445" w:type="pct"/>
            <w:shd w:val="clear" w:color="auto" w:fill="FFFFFF" w:themeFill="background1"/>
          </w:tcPr>
          <w:p w14:paraId="31BCD96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(0.022)</w:t>
            </w:r>
          </w:p>
        </w:tc>
      </w:tr>
      <w:tr w:rsidR="00BA06B6" w:rsidRPr="00BA06B6" w14:paraId="19CA996B" w14:textId="77777777" w:rsidTr="00B91469">
        <w:trPr>
          <w:trHeight w:val="249"/>
          <w:tblHeader/>
        </w:trPr>
        <w:tc>
          <w:tcPr>
            <w:tcW w:w="550" w:type="pct"/>
            <w:shd w:val="clear" w:color="auto" w:fill="FFFFFF" w:themeFill="background1"/>
            <w:vAlign w:val="bottom"/>
          </w:tcPr>
          <w:p w14:paraId="34031D1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LIQ</w:t>
            </w:r>
          </w:p>
        </w:tc>
        <w:tc>
          <w:tcPr>
            <w:tcW w:w="375" w:type="pct"/>
            <w:shd w:val="clear" w:color="auto" w:fill="FFFFFF" w:themeFill="background1"/>
            <w:vAlign w:val="bottom"/>
          </w:tcPr>
          <w:p w14:paraId="767F110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8.75</w:t>
            </w:r>
            <w:r w:rsidRPr="00BA06B6">
              <w:rPr>
                <w:rFonts w:ascii="Times New Roman" w:eastAsia="Calibri" w:hAnsi="Times New Roman" w:cs="Times New Roman"/>
                <w:bCs/>
                <w:sz w:val="18"/>
                <w:szCs w:val="18"/>
                <w:vertAlign w:val="superscript"/>
              </w:rPr>
              <w:t>***</w:t>
            </w:r>
          </w:p>
        </w:tc>
        <w:tc>
          <w:tcPr>
            <w:tcW w:w="375" w:type="pct"/>
            <w:shd w:val="clear" w:color="auto" w:fill="FFFFFF" w:themeFill="background1"/>
            <w:vAlign w:val="bottom"/>
          </w:tcPr>
          <w:p w14:paraId="03BD436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7.96</w:t>
            </w:r>
            <w:r w:rsidRPr="00BA06B6">
              <w:rPr>
                <w:rFonts w:ascii="Times New Roman" w:eastAsia="Calibri" w:hAnsi="Times New Roman" w:cs="Times New Roman"/>
                <w:bCs/>
                <w:sz w:val="18"/>
                <w:szCs w:val="18"/>
                <w:vertAlign w:val="superscript"/>
              </w:rPr>
              <w:t>***</w:t>
            </w:r>
          </w:p>
        </w:tc>
        <w:tc>
          <w:tcPr>
            <w:tcW w:w="375" w:type="pct"/>
            <w:shd w:val="clear" w:color="auto" w:fill="FFFFFF" w:themeFill="background1"/>
            <w:vAlign w:val="bottom"/>
          </w:tcPr>
          <w:p w14:paraId="0ECFF56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7.26</w:t>
            </w:r>
            <w:r w:rsidRPr="00BA06B6">
              <w:rPr>
                <w:rFonts w:ascii="Times New Roman" w:eastAsia="Calibri" w:hAnsi="Times New Roman" w:cs="Times New Roman"/>
                <w:bCs/>
                <w:sz w:val="18"/>
                <w:szCs w:val="18"/>
                <w:vertAlign w:val="superscript"/>
              </w:rPr>
              <w:t>***</w:t>
            </w:r>
          </w:p>
        </w:tc>
        <w:tc>
          <w:tcPr>
            <w:tcW w:w="448" w:type="pct"/>
            <w:shd w:val="clear" w:color="auto" w:fill="FFFFFF" w:themeFill="background1"/>
            <w:vAlign w:val="bottom"/>
          </w:tcPr>
          <w:p w14:paraId="5B0542B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1.72</w:t>
            </w:r>
            <w:r w:rsidRPr="00BA06B6">
              <w:rPr>
                <w:rFonts w:ascii="Times New Roman" w:eastAsia="Calibri" w:hAnsi="Times New Roman" w:cs="Times New Roman"/>
                <w:bCs/>
                <w:sz w:val="18"/>
                <w:szCs w:val="18"/>
                <w:vertAlign w:val="superscript"/>
              </w:rPr>
              <w:t>*</w:t>
            </w:r>
          </w:p>
        </w:tc>
        <w:tc>
          <w:tcPr>
            <w:tcW w:w="397" w:type="pct"/>
            <w:shd w:val="clear" w:color="auto" w:fill="FFFFFF" w:themeFill="background1"/>
            <w:vAlign w:val="bottom"/>
          </w:tcPr>
          <w:p w14:paraId="73DDFE7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5.47</w:t>
            </w:r>
            <w:r w:rsidRPr="00BA06B6">
              <w:rPr>
                <w:rFonts w:ascii="Times New Roman" w:eastAsia="Calibri" w:hAnsi="Times New Roman" w:cs="Times New Roman"/>
                <w:bCs/>
                <w:sz w:val="18"/>
                <w:szCs w:val="18"/>
                <w:vertAlign w:val="superscript"/>
              </w:rPr>
              <w:t>***</w:t>
            </w:r>
          </w:p>
        </w:tc>
        <w:tc>
          <w:tcPr>
            <w:tcW w:w="402" w:type="pct"/>
            <w:shd w:val="clear" w:color="auto" w:fill="FFFFFF" w:themeFill="background1"/>
            <w:vAlign w:val="bottom"/>
          </w:tcPr>
          <w:p w14:paraId="2678D33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0.17</w:t>
            </w:r>
          </w:p>
        </w:tc>
        <w:tc>
          <w:tcPr>
            <w:tcW w:w="405" w:type="pct"/>
            <w:shd w:val="clear" w:color="auto" w:fill="FFFFFF" w:themeFill="background1"/>
            <w:vAlign w:val="bottom"/>
          </w:tcPr>
          <w:p w14:paraId="044C65C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0.62</w:t>
            </w:r>
          </w:p>
        </w:tc>
        <w:tc>
          <w:tcPr>
            <w:tcW w:w="347" w:type="pct"/>
            <w:shd w:val="clear" w:color="auto" w:fill="FFFFFF" w:themeFill="background1"/>
            <w:vAlign w:val="bottom"/>
          </w:tcPr>
          <w:p w14:paraId="01E8AFD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2.05</w:t>
            </w:r>
            <w:r w:rsidRPr="00BA06B6">
              <w:rPr>
                <w:rFonts w:ascii="Times New Roman" w:eastAsia="Calibri" w:hAnsi="Times New Roman" w:cs="Times New Roman"/>
                <w:bCs/>
                <w:sz w:val="18"/>
                <w:szCs w:val="18"/>
                <w:vertAlign w:val="superscript"/>
              </w:rPr>
              <w:t>**</w:t>
            </w:r>
          </w:p>
        </w:tc>
        <w:tc>
          <w:tcPr>
            <w:tcW w:w="434" w:type="pct"/>
            <w:shd w:val="clear" w:color="auto" w:fill="FFFFFF" w:themeFill="background1"/>
            <w:vAlign w:val="bottom"/>
          </w:tcPr>
          <w:p w14:paraId="56ADFE2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5.05</w:t>
            </w:r>
            <w:r w:rsidRPr="00BA06B6">
              <w:rPr>
                <w:rFonts w:ascii="Times New Roman" w:eastAsia="Calibri" w:hAnsi="Times New Roman" w:cs="Times New Roman"/>
                <w:bCs/>
                <w:sz w:val="18"/>
                <w:szCs w:val="18"/>
                <w:vertAlign w:val="superscript"/>
              </w:rPr>
              <w:t>***</w:t>
            </w:r>
          </w:p>
        </w:tc>
        <w:tc>
          <w:tcPr>
            <w:tcW w:w="447" w:type="pct"/>
            <w:shd w:val="clear" w:color="auto" w:fill="FFFFFF" w:themeFill="background1"/>
            <w:vAlign w:val="bottom"/>
          </w:tcPr>
          <w:p w14:paraId="6BFC097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8.92</w:t>
            </w:r>
            <w:r w:rsidRPr="00BA06B6">
              <w:rPr>
                <w:rFonts w:ascii="Times New Roman" w:eastAsia="Calibri" w:hAnsi="Times New Roman" w:cs="Times New Roman"/>
                <w:bCs/>
                <w:sz w:val="18"/>
                <w:szCs w:val="18"/>
                <w:vertAlign w:val="superscript"/>
              </w:rPr>
              <w:t>***</w:t>
            </w:r>
          </w:p>
        </w:tc>
        <w:tc>
          <w:tcPr>
            <w:tcW w:w="445" w:type="pct"/>
            <w:shd w:val="clear" w:color="auto" w:fill="FFFFFF" w:themeFill="background1"/>
          </w:tcPr>
          <w:p w14:paraId="3F040F4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-1.53</w:t>
            </w:r>
          </w:p>
        </w:tc>
      </w:tr>
      <w:tr w:rsidR="00BA06B6" w:rsidRPr="00BA06B6" w14:paraId="697B3A7C" w14:textId="77777777" w:rsidTr="00B91469">
        <w:trPr>
          <w:trHeight w:val="249"/>
          <w:tblHeader/>
        </w:trPr>
        <w:tc>
          <w:tcPr>
            <w:tcW w:w="550" w:type="pct"/>
            <w:shd w:val="clear" w:color="auto" w:fill="FFFFFF" w:themeFill="background1"/>
            <w:vAlign w:val="bottom"/>
          </w:tcPr>
          <w:p w14:paraId="0C6C5F10"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34879D5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375" w:type="pct"/>
            <w:shd w:val="clear" w:color="auto" w:fill="FFFFFF" w:themeFill="background1"/>
            <w:vAlign w:val="bottom"/>
          </w:tcPr>
          <w:p w14:paraId="51ABD2B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375" w:type="pct"/>
            <w:shd w:val="clear" w:color="auto" w:fill="FFFFFF" w:themeFill="background1"/>
            <w:vAlign w:val="bottom"/>
          </w:tcPr>
          <w:p w14:paraId="47C0AF7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48" w:type="pct"/>
            <w:shd w:val="clear" w:color="auto" w:fill="FFFFFF" w:themeFill="background1"/>
            <w:vAlign w:val="bottom"/>
          </w:tcPr>
          <w:p w14:paraId="46177BE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(0.086)</w:t>
            </w:r>
          </w:p>
        </w:tc>
        <w:tc>
          <w:tcPr>
            <w:tcW w:w="397" w:type="pct"/>
            <w:shd w:val="clear" w:color="auto" w:fill="FFFFFF" w:themeFill="background1"/>
            <w:vAlign w:val="bottom"/>
          </w:tcPr>
          <w:p w14:paraId="0DF8744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02" w:type="pct"/>
            <w:shd w:val="clear" w:color="auto" w:fill="FFFFFF" w:themeFill="background1"/>
            <w:vAlign w:val="bottom"/>
          </w:tcPr>
          <w:p w14:paraId="0F91A63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(0.865)</w:t>
            </w:r>
          </w:p>
        </w:tc>
        <w:tc>
          <w:tcPr>
            <w:tcW w:w="405" w:type="pct"/>
            <w:shd w:val="clear" w:color="auto" w:fill="FFFFFF" w:themeFill="background1"/>
            <w:vAlign w:val="bottom"/>
          </w:tcPr>
          <w:p w14:paraId="61A1EDA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(0.534)</w:t>
            </w:r>
          </w:p>
        </w:tc>
        <w:tc>
          <w:tcPr>
            <w:tcW w:w="347" w:type="pct"/>
            <w:shd w:val="clear" w:color="auto" w:fill="FFFFFF" w:themeFill="background1"/>
            <w:vAlign w:val="bottom"/>
          </w:tcPr>
          <w:p w14:paraId="1C264A6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(0.041)</w:t>
            </w:r>
          </w:p>
        </w:tc>
        <w:tc>
          <w:tcPr>
            <w:tcW w:w="434" w:type="pct"/>
            <w:shd w:val="clear" w:color="auto" w:fill="FFFFFF" w:themeFill="background1"/>
            <w:vAlign w:val="bottom"/>
          </w:tcPr>
          <w:p w14:paraId="0401102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47" w:type="pct"/>
            <w:shd w:val="clear" w:color="auto" w:fill="FFFFFF" w:themeFill="background1"/>
            <w:vAlign w:val="bottom"/>
          </w:tcPr>
          <w:p w14:paraId="37D4C37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45" w:type="pct"/>
            <w:shd w:val="clear" w:color="auto" w:fill="FFFFFF" w:themeFill="background1"/>
          </w:tcPr>
          <w:p w14:paraId="785B814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(0.126)</w:t>
            </w:r>
          </w:p>
        </w:tc>
      </w:tr>
      <w:tr w:rsidR="00BA06B6" w:rsidRPr="00BA06B6" w14:paraId="4252237A" w14:textId="77777777" w:rsidTr="00B91469">
        <w:trPr>
          <w:trHeight w:val="249"/>
          <w:tblHeader/>
        </w:trPr>
        <w:tc>
          <w:tcPr>
            <w:tcW w:w="550" w:type="pct"/>
            <w:shd w:val="clear" w:color="auto" w:fill="FFFFFF" w:themeFill="background1"/>
            <w:vAlign w:val="bottom"/>
          </w:tcPr>
          <w:p w14:paraId="377FA22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COST</w:t>
            </w:r>
          </w:p>
        </w:tc>
        <w:tc>
          <w:tcPr>
            <w:tcW w:w="375" w:type="pct"/>
            <w:shd w:val="clear" w:color="auto" w:fill="FFFFFF" w:themeFill="background1"/>
            <w:vAlign w:val="bottom"/>
          </w:tcPr>
          <w:p w14:paraId="367C9CB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-1.16</w:t>
            </w:r>
          </w:p>
        </w:tc>
        <w:tc>
          <w:tcPr>
            <w:tcW w:w="375" w:type="pct"/>
            <w:shd w:val="clear" w:color="auto" w:fill="FFFFFF" w:themeFill="background1"/>
            <w:vAlign w:val="bottom"/>
          </w:tcPr>
          <w:p w14:paraId="6594FD8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-0.24</w:t>
            </w:r>
          </w:p>
        </w:tc>
        <w:tc>
          <w:tcPr>
            <w:tcW w:w="375" w:type="pct"/>
            <w:shd w:val="clear" w:color="auto" w:fill="FFFFFF" w:themeFill="background1"/>
            <w:vAlign w:val="bottom"/>
          </w:tcPr>
          <w:p w14:paraId="1FD0321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-0.13</w:t>
            </w:r>
          </w:p>
        </w:tc>
        <w:tc>
          <w:tcPr>
            <w:tcW w:w="448" w:type="pct"/>
            <w:shd w:val="clear" w:color="auto" w:fill="FFFFFF" w:themeFill="background1"/>
            <w:vAlign w:val="bottom"/>
          </w:tcPr>
          <w:p w14:paraId="111D64D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-0.40</w:t>
            </w:r>
          </w:p>
        </w:tc>
        <w:tc>
          <w:tcPr>
            <w:tcW w:w="397" w:type="pct"/>
            <w:shd w:val="clear" w:color="auto" w:fill="FFFFFF" w:themeFill="background1"/>
            <w:vAlign w:val="bottom"/>
          </w:tcPr>
          <w:p w14:paraId="2FB3059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-0.46</w:t>
            </w:r>
          </w:p>
        </w:tc>
        <w:tc>
          <w:tcPr>
            <w:tcW w:w="402" w:type="pct"/>
            <w:shd w:val="clear" w:color="auto" w:fill="FFFFFF" w:themeFill="background1"/>
            <w:vAlign w:val="bottom"/>
          </w:tcPr>
          <w:p w14:paraId="01EB52F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-2.86</w:t>
            </w:r>
            <w:r w:rsidRPr="00BA06B6">
              <w:rPr>
                <w:rFonts w:ascii="Times New Roman" w:eastAsia="Calibri" w:hAnsi="Times New Roman" w:cs="Times New Roman"/>
                <w:bCs/>
                <w:sz w:val="18"/>
                <w:szCs w:val="18"/>
                <w:vertAlign w:val="superscript"/>
              </w:rPr>
              <w:t>***</w:t>
            </w:r>
          </w:p>
        </w:tc>
        <w:tc>
          <w:tcPr>
            <w:tcW w:w="405" w:type="pct"/>
            <w:shd w:val="clear" w:color="auto" w:fill="FFFFFF" w:themeFill="background1"/>
            <w:vAlign w:val="bottom"/>
          </w:tcPr>
          <w:p w14:paraId="3BDBB6E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-1.00</w:t>
            </w:r>
          </w:p>
        </w:tc>
        <w:tc>
          <w:tcPr>
            <w:tcW w:w="347" w:type="pct"/>
            <w:shd w:val="clear" w:color="auto" w:fill="FFFFFF" w:themeFill="background1"/>
            <w:vAlign w:val="bottom"/>
          </w:tcPr>
          <w:p w14:paraId="7703E96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-0.10</w:t>
            </w:r>
          </w:p>
        </w:tc>
        <w:tc>
          <w:tcPr>
            <w:tcW w:w="434" w:type="pct"/>
            <w:shd w:val="clear" w:color="auto" w:fill="FFFFFF" w:themeFill="background1"/>
            <w:vAlign w:val="bottom"/>
          </w:tcPr>
          <w:p w14:paraId="6C1EC59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-0.22</w:t>
            </w:r>
          </w:p>
        </w:tc>
        <w:tc>
          <w:tcPr>
            <w:tcW w:w="447" w:type="pct"/>
            <w:shd w:val="clear" w:color="auto" w:fill="FFFFFF" w:themeFill="background1"/>
            <w:vAlign w:val="bottom"/>
          </w:tcPr>
          <w:p w14:paraId="738F780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-0.29</w:t>
            </w:r>
          </w:p>
        </w:tc>
        <w:tc>
          <w:tcPr>
            <w:tcW w:w="445" w:type="pct"/>
            <w:shd w:val="clear" w:color="auto" w:fill="FFFFFF" w:themeFill="background1"/>
          </w:tcPr>
          <w:p w14:paraId="61FD026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-0.28</w:t>
            </w:r>
          </w:p>
        </w:tc>
      </w:tr>
      <w:tr w:rsidR="00BA06B6" w:rsidRPr="00BA06B6" w14:paraId="7A1828D7" w14:textId="77777777" w:rsidTr="00B91469">
        <w:trPr>
          <w:trHeight w:val="249"/>
          <w:tblHeader/>
        </w:trPr>
        <w:tc>
          <w:tcPr>
            <w:tcW w:w="550" w:type="pct"/>
            <w:shd w:val="clear" w:color="auto" w:fill="FFFFFF" w:themeFill="background1"/>
            <w:vAlign w:val="bottom"/>
          </w:tcPr>
          <w:p w14:paraId="6427D509"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shd w:val="clear" w:color="auto" w:fill="FFFFFF" w:themeFill="background1"/>
            <w:vAlign w:val="bottom"/>
          </w:tcPr>
          <w:p w14:paraId="6724B2A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(0.245)</w:t>
            </w:r>
          </w:p>
        </w:tc>
        <w:tc>
          <w:tcPr>
            <w:tcW w:w="375" w:type="pct"/>
            <w:shd w:val="clear" w:color="auto" w:fill="FFFFFF" w:themeFill="background1"/>
            <w:vAlign w:val="bottom"/>
          </w:tcPr>
          <w:p w14:paraId="05E7931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(0.809)</w:t>
            </w:r>
          </w:p>
        </w:tc>
        <w:tc>
          <w:tcPr>
            <w:tcW w:w="375" w:type="pct"/>
            <w:shd w:val="clear" w:color="auto" w:fill="FFFFFF" w:themeFill="background1"/>
            <w:vAlign w:val="bottom"/>
          </w:tcPr>
          <w:p w14:paraId="2002464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(0.895)</w:t>
            </w:r>
          </w:p>
        </w:tc>
        <w:tc>
          <w:tcPr>
            <w:tcW w:w="448" w:type="pct"/>
            <w:shd w:val="clear" w:color="auto" w:fill="FFFFFF" w:themeFill="background1"/>
            <w:vAlign w:val="bottom"/>
          </w:tcPr>
          <w:p w14:paraId="124DD2E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(0.688)</w:t>
            </w:r>
          </w:p>
        </w:tc>
        <w:tc>
          <w:tcPr>
            <w:tcW w:w="397" w:type="pct"/>
            <w:shd w:val="clear" w:color="auto" w:fill="FFFFFF" w:themeFill="background1"/>
            <w:vAlign w:val="bottom"/>
          </w:tcPr>
          <w:p w14:paraId="4E9FBC1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(0.647)</w:t>
            </w:r>
          </w:p>
        </w:tc>
        <w:tc>
          <w:tcPr>
            <w:tcW w:w="402" w:type="pct"/>
            <w:shd w:val="clear" w:color="auto" w:fill="FFFFFF" w:themeFill="background1"/>
            <w:vAlign w:val="bottom"/>
          </w:tcPr>
          <w:p w14:paraId="610044C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(0.004)</w:t>
            </w:r>
          </w:p>
        </w:tc>
        <w:tc>
          <w:tcPr>
            <w:tcW w:w="405" w:type="pct"/>
            <w:shd w:val="clear" w:color="auto" w:fill="FFFFFF" w:themeFill="background1"/>
            <w:vAlign w:val="bottom"/>
          </w:tcPr>
          <w:p w14:paraId="625A7DF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(0.319)</w:t>
            </w:r>
          </w:p>
        </w:tc>
        <w:tc>
          <w:tcPr>
            <w:tcW w:w="347" w:type="pct"/>
            <w:shd w:val="clear" w:color="auto" w:fill="FFFFFF" w:themeFill="background1"/>
            <w:vAlign w:val="bottom"/>
          </w:tcPr>
          <w:p w14:paraId="44A0905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(0.923)</w:t>
            </w:r>
          </w:p>
        </w:tc>
        <w:tc>
          <w:tcPr>
            <w:tcW w:w="434" w:type="pct"/>
            <w:shd w:val="clear" w:color="auto" w:fill="FFFFFF" w:themeFill="background1"/>
            <w:vAlign w:val="bottom"/>
          </w:tcPr>
          <w:p w14:paraId="5ECDC78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(0.827)</w:t>
            </w:r>
          </w:p>
        </w:tc>
        <w:tc>
          <w:tcPr>
            <w:tcW w:w="447" w:type="pct"/>
            <w:shd w:val="clear" w:color="auto" w:fill="FFFFFF" w:themeFill="background1"/>
            <w:vAlign w:val="bottom"/>
          </w:tcPr>
          <w:p w14:paraId="176D285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(0.769)</w:t>
            </w:r>
          </w:p>
        </w:tc>
        <w:tc>
          <w:tcPr>
            <w:tcW w:w="445" w:type="pct"/>
            <w:shd w:val="clear" w:color="auto" w:fill="FFFFFF" w:themeFill="background1"/>
          </w:tcPr>
          <w:p w14:paraId="51B078D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(0.783)</w:t>
            </w:r>
          </w:p>
        </w:tc>
      </w:tr>
      <w:tr w:rsidR="00BA06B6" w:rsidRPr="00BA06B6" w14:paraId="1BEE8069" w14:textId="77777777" w:rsidTr="00B91469">
        <w:trPr>
          <w:trHeight w:val="249"/>
          <w:tblHeader/>
        </w:trPr>
        <w:tc>
          <w:tcPr>
            <w:tcW w:w="550" w:type="pct"/>
            <w:shd w:val="clear" w:color="auto" w:fill="FFFFFF" w:themeFill="background1"/>
            <w:vAlign w:val="bottom"/>
          </w:tcPr>
          <w:p w14:paraId="0BE3B96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CAP</w:t>
            </w:r>
          </w:p>
        </w:tc>
        <w:tc>
          <w:tcPr>
            <w:tcW w:w="375" w:type="pct"/>
            <w:shd w:val="clear" w:color="auto" w:fill="FFFFFF" w:themeFill="background1"/>
            <w:vAlign w:val="bottom"/>
          </w:tcPr>
          <w:p w14:paraId="3A4CF45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2.92</w:t>
            </w:r>
            <w:r w:rsidRPr="00BA06B6">
              <w:rPr>
                <w:rFonts w:ascii="Times New Roman" w:eastAsia="Calibri" w:hAnsi="Times New Roman" w:cs="Times New Roman"/>
                <w:bCs/>
                <w:sz w:val="18"/>
                <w:szCs w:val="18"/>
                <w:vertAlign w:val="superscript"/>
              </w:rPr>
              <w:t>***</w:t>
            </w:r>
          </w:p>
        </w:tc>
        <w:tc>
          <w:tcPr>
            <w:tcW w:w="375" w:type="pct"/>
            <w:shd w:val="clear" w:color="auto" w:fill="FFFFFF" w:themeFill="background1"/>
            <w:vAlign w:val="bottom"/>
          </w:tcPr>
          <w:p w14:paraId="3546AFD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1.88</w:t>
            </w:r>
            <w:r w:rsidRPr="00BA06B6">
              <w:rPr>
                <w:rFonts w:ascii="Times New Roman" w:eastAsia="Calibri" w:hAnsi="Times New Roman" w:cs="Times New Roman"/>
                <w:bCs/>
                <w:sz w:val="18"/>
                <w:szCs w:val="18"/>
                <w:vertAlign w:val="superscript"/>
              </w:rPr>
              <w:t>*</w:t>
            </w:r>
          </w:p>
        </w:tc>
        <w:tc>
          <w:tcPr>
            <w:tcW w:w="375" w:type="pct"/>
            <w:shd w:val="clear" w:color="auto" w:fill="FFFFFF" w:themeFill="background1"/>
            <w:vAlign w:val="bottom"/>
          </w:tcPr>
          <w:p w14:paraId="73D44C6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1.53</w:t>
            </w:r>
          </w:p>
        </w:tc>
        <w:tc>
          <w:tcPr>
            <w:tcW w:w="448" w:type="pct"/>
            <w:shd w:val="clear" w:color="auto" w:fill="FFFFFF" w:themeFill="background1"/>
            <w:vAlign w:val="bottom"/>
          </w:tcPr>
          <w:p w14:paraId="3283027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0.76</w:t>
            </w:r>
          </w:p>
        </w:tc>
        <w:tc>
          <w:tcPr>
            <w:tcW w:w="397" w:type="pct"/>
            <w:shd w:val="clear" w:color="auto" w:fill="FFFFFF" w:themeFill="background1"/>
            <w:vAlign w:val="bottom"/>
          </w:tcPr>
          <w:p w14:paraId="6701CE1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3.18</w:t>
            </w:r>
            <w:r w:rsidRPr="00BA06B6">
              <w:rPr>
                <w:rFonts w:ascii="Times New Roman" w:eastAsia="Calibri" w:hAnsi="Times New Roman" w:cs="Times New Roman"/>
                <w:bCs/>
                <w:sz w:val="18"/>
                <w:szCs w:val="18"/>
                <w:vertAlign w:val="superscript"/>
              </w:rPr>
              <w:t>***</w:t>
            </w:r>
          </w:p>
        </w:tc>
        <w:tc>
          <w:tcPr>
            <w:tcW w:w="402" w:type="pct"/>
            <w:shd w:val="clear" w:color="auto" w:fill="FFFFFF" w:themeFill="background1"/>
            <w:vAlign w:val="bottom"/>
          </w:tcPr>
          <w:p w14:paraId="4B4D34A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1.76</w:t>
            </w:r>
            <w:r w:rsidRPr="00BA06B6">
              <w:rPr>
                <w:rFonts w:ascii="Times New Roman" w:eastAsia="Calibri" w:hAnsi="Times New Roman" w:cs="Times New Roman"/>
                <w:bCs/>
                <w:sz w:val="18"/>
                <w:szCs w:val="18"/>
                <w:vertAlign w:val="superscript"/>
              </w:rPr>
              <w:t>*</w:t>
            </w:r>
          </w:p>
        </w:tc>
        <w:tc>
          <w:tcPr>
            <w:tcW w:w="405" w:type="pct"/>
            <w:shd w:val="clear" w:color="auto" w:fill="FFFFFF" w:themeFill="background1"/>
            <w:vAlign w:val="bottom"/>
          </w:tcPr>
          <w:p w14:paraId="6BE9F01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-2.90</w:t>
            </w:r>
            <w:r w:rsidRPr="00BA06B6">
              <w:rPr>
                <w:rFonts w:ascii="Times New Roman" w:eastAsia="Calibri" w:hAnsi="Times New Roman" w:cs="Times New Roman"/>
                <w:bCs/>
                <w:sz w:val="18"/>
                <w:szCs w:val="18"/>
                <w:vertAlign w:val="superscript"/>
              </w:rPr>
              <w:t>***</w:t>
            </w:r>
          </w:p>
        </w:tc>
        <w:tc>
          <w:tcPr>
            <w:tcW w:w="347" w:type="pct"/>
            <w:shd w:val="clear" w:color="auto" w:fill="FFFFFF" w:themeFill="background1"/>
            <w:vAlign w:val="bottom"/>
          </w:tcPr>
          <w:p w14:paraId="08AD75A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0.44</w:t>
            </w:r>
          </w:p>
        </w:tc>
        <w:tc>
          <w:tcPr>
            <w:tcW w:w="434" w:type="pct"/>
            <w:shd w:val="clear" w:color="auto" w:fill="FFFFFF" w:themeFill="background1"/>
            <w:vAlign w:val="bottom"/>
          </w:tcPr>
          <w:p w14:paraId="01868D5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1.94</w:t>
            </w:r>
            <w:r w:rsidRPr="00BA06B6">
              <w:rPr>
                <w:rFonts w:ascii="Times New Roman" w:eastAsia="Calibri" w:hAnsi="Times New Roman" w:cs="Times New Roman"/>
                <w:bCs/>
                <w:sz w:val="18"/>
                <w:szCs w:val="18"/>
                <w:vertAlign w:val="superscript"/>
              </w:rPr>
              <w:t>*</w:t>
            </w:r>
          </w:p>
        </w:tc>
        <w:tc>
          <w:tcPr>
            <w:tcW w:w="447" w:type="pct"/>
            <w:shd w:val="clear" w:color="auto" w:fill="FFFFFF" w:themeFill="background1"/>
            <w:vAlign w:val="bottom"/>
          </w:tcPr>
          <w:p w14:paraId="21E7F82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2.40</w:t>
            </w:r>
            <w:r w:rsidRPr="00BA06B6">
              <w:rPr>
                <w:rFonts w:ascii="Times New Roman" w:eastAsia="Calibri" w:hAnsi="Times New Roman" w:cs="Times New Roman"/>
                <w:bCs/>
                <w:sz w:val="18"/>
                <w:szCs w:val="18"/>
                <w:vertAlign w:val="superscript"/>
              </w:rPr>
              <w:t>**</w:t>
            </w:r>
          </w:p>
        </w:tc>
        <w:tc>
          <w:tcPr>
            <w:tcW w:w="445" w:type="pct"/>
            <w:shd w:val="clear" w:color="auto" w:fill="FFFFFF" w:themeFill="background1"/>
          </w:tcPr>
          <w:p w14:paraId="5B27AB9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1.25  </w:t>
            </w:r>
          </w:p>
        </w:tc>
      </w:tr>
      <w:tr w:rsidR="00BA06B6" w:rsidRPr="00BA06B6" w14:paraId="16507193" w14:textId="77777777" w:rsidTr="00B91469">
        <w:trPr>
          <w:trHeight w:val="249"/>
          <w:tblHeader/>
        </w:trPr>
        <w:tc>
          <w:tcPr>
            <w:tcW w:w="550" w:type="pct"/>
            <w:tcBorders>
              <w:bottom w:val="single" w:sz="12" w:space="0" w:color="auto"/>
            </w:tcBorders>
            <w:shd w:val="clear" w:color="auto" w:fill="FFFFFF" w:themeFill="background1"/>
            <w:vAlign w:val="bottom"/>
          </w:tcPr>
          <w:p w14:paraId="27C0EEF3"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375" w:type="pct"/>
            <w:tcBorders>
              <w:bottom w:val="single" w:sz="12" w:space="0" w:color="auto"/>
            </w:tcBorders>
            <w:shd w:val="clear" w:color="auto" w:fill="FFFFFF" w:themeFill="background1"/>
            <w:vAlign w:val="bottom"/>
          </w:tcPr>
          <w:p w14:paraId="2F9B999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(0.003)</w:t>
            </w:r>
          </w:p>
        </w:tc>
        <w:tc>
          <w:tcPr>
            <w:tcW w:w="375" w:type="pct"/>
            <w:tcBorders>
              <w:bottom w:val="single" w:sz="12" w:space="0" w:color="auto"/>
            </w:tcBorders>
            <w:shd w:val="clear" w:color="auto" w:fill="FFFFFF" w:themeFill="background1"/>
            <w:vAlign w:val="bottom"/>
          </w:tcPr>
          <w:p w14:paraId="7F605AB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(0.059)</w:t>
            </w:r>
          </w:p>
        </w:tc>
        <w:tc>
          <w:tcPr>
            <w:tcW w:w="375" w:type="pct"/>
            <w:tcBorders>
              <w:bottom w:val="single" w:sz="12" w:space="0" w:color="auto"/>
            </w:tcBorders>
            <w:shd w:val="clear" w:color="auto" w:fill="FFFFFF" w:themeFill="background1"/>
            <w:vAlign w:val="bottom"/>
          </w:tcPr>
          <w:p w14:paraId="2E844FE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(0.125)</w:t>
            </w:r>
          </w:p>
        </w:tc>
        <w:tc>
          <w:tcPr>
            <w:tcW w:w="448" w:type="pct"/>
            <w:tcBorders>
              <w:bottom w:val="single" w:sz="12" w:space="0" w:color="auto"/>
            </w:tcBorders>
            <w:shd w:val="clear" w:color="auto" w:fill="FFFFFF" w:themeFill="background1"/>
            <w:vAlign w:val="bottom"/>
          </w:tcPr>
          <w:p w14:paraId="24F9564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(0.447)</w:t>
            </w:r>
          </w:p>
        </w:tc>
        <w:tc>
          <w:tcPr>
            <w:tcW w:w="397" w:type="pct"/>
            <w:tcBorders>
              <w:bottom w:val="single" w:sz="12" w:space="0" w:color="auto"/>
            </w:tcBorders>
            <w:shd w:val="clear" w:color="auto" w:fill="FFFFFF" w:themeFill="background1"/>
            <w:vAlign w:val="bottom"/>
          </w:tcPr>
          <w:p w14:paraId="0C6F14E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(0.001)</w:t>
            </w:r>
          </w:p>
        </w:tc>
        <w:tc>
          <w:tcPr>
            <w:tcW w:w="402" w:type="pct"/>
            <w:tcBorders>
              <w:bottom w:val="single" w:sz="12" w:space="0" w:color="auto"/>
            </w:tcBorders>
            <w:shd w:val="clear" w:color="auto" w:fill="FFFFFF" w:themeFill="background1"/>
            <w:vAlign w:val="bottom"/>
          </w:tcPr>
          <w:p w14:paraId="1C82474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(0.079)</w:t>
            </w:r>
          </w:p>
        </w:tc>
        <w:tc>
          <w:tcPr>
            <w:tcW w:w="405" w:type="pct"/>
            <w:tcBorders>
              <w:bottom w:val="single" w:sz="12" w:space="0" w:color="auto"/>
            </w:tcBorders>
            <w:shd w:val="clear" w:color="auto" w:fill="FFFFFF" w:themeFill="background1"/>
            <w:vAlign w:val="bottom"/>
          </w:tcPr>
          <w:p w14:paraId="4CF5225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(0.004)</w:t>
            </w:r>
          </w:p>
        </w:tc>
        <w:tc>
          <w:tcPr>
            <w:tcW w:w="347" w:type="pct"/>
            <w:tcBorders>
              <w:bottom w:val="single" w:sz="12" w:space="0" w:color="auto"/>
            </w:tcBorders>
            <w:shd w:val="clear" w:color="auto" w:fill="FFFFFF" w:themeFill="background1"/>
            <w:vAlign w:val="bottom"/>
          </w:tcPr>
          <w:p w14:paraId="7333629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(0.663)</w:t>
            </w:r>
          </w:p>
        </w:tc>
        <w:tc>
          <w:tcPr>
            <w:tcW w:w="434" w:type="pct"/>
            <w:tcBorders>
              <w:bottom w:val="single" w:sz="12" w:space="0" w:color="auto"/>
            </w:tcBorders>
            <w:shd w:val="clear" w:color="auto" w:fill="FFFFFF" w:themeFill="background1"/>
            <w:vAlign w:val="bottom"/>
          </w:tcPr>
          <w:p w14:paraId="155ACFF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(0.052)</w:t>
            </w:r>
          </w:p>
        </w:tc>
        <w:tc>
          <w:tcPr>
            <w:tcW w:w="447" w:type="pct"/>
            <w:tcBorders>
              <w:bottom w:val="single" w:sz="12" w:space="0" w:color="auto"/>
            </w:tcBorders>
            <w:shd w:val="clear" w:color="auto" w:fill="FFFFFF" w:themeFill="background1"/>
            <w:vAlign w:val="bottom"/>
          </w:tcPr>
          <w:p w14:paraId="57E81F4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(0.017)</w:t>
            </w:r>
          </w:p>
        </w:tc>
        <w:tc>
          <w:tcPr>
            <w:tcW w:w="445" w:type="pct"/>
            <w:tcBorders>
              <w:bottom w:val="single" w:sz="12" w:space="0" w:color="auto"/>
            </w:tcBorders>
            <w:shd w:val="clear" w:color="auto" w:fill="FFFFFF" w:themeFill="background1"/>
          </w:tcPr>
          <w:p w14:paraId="7F05A32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(0.211)</w:t>
            </w:r>
          </w:p>
        </w:tc>
      </w:tr>
      <w:tr w:rsidR="00BA06B6" w:rsidRPr="00BA06B6" w14:paraId="058C5F53" w14:textId="77777777" w:rsidTr="00B91469">
        <w:trPr>
          <w:trHeight w:val="20"/>
          <w:tblHeader/>
        </w:trPr>
        <w:tc>
          <w:tcPr>
            <w:tcW w:w="4555" w:type="pct"/>
            <w:gridSpan w:val="11"/>
            <w:tcBorders>
              <w:top w:val="single" w:sz="12" w:space="0" w:color="auto"/>
            </w:tcBorders>
            <w:shd w:val="clear" w:color="auto" w:fill="FFFFFF" w:themeFill="background1"/>
            <w:vAlign w:val="bottom"/>
          </w:tcPr>
          <w:p w14:paraId="2721D19F" w14:textId="77777777" w:rsidR="00AA068C" w:rsidRPr="00BA06B6" w:rsidRDefault="00AA068C" w:rsidP="00BC341D">
            <w:pPr>
              <w:tabs>
                <w:tab w:val="left" w:pos="851"/>
              </w:tabs>
              <w:jc w:val="both"/>
              <w:rPr>
                <w:rFonts w:ascii="Times New Roman" w:eastAsia="Calibri" w:hAnsi="Times New Roman" w:cs="Times New Roman"/>
                <w:bCs/>
                <w:sz w:val="17"/>
                <w:szCs w:val="17"/>
              </w:rPr>
            </w:pPr>
          </w:p>
        </w:tc>
        <w:tc>
          <w:tcPr>
            <w:tcW w:w="445" w:type="pct"/>
            <w:tcBorders>
              <w:top w:val="single" w:sz="12" w:space="0" w:color="auto"/>
            </w:tcBorders>
            <w:shd w:val="clear" w:color="auto" w:fill="FFFFFF" w:themeFill="background1"/>
          </w:tcPr>
          <w:p w14:paraId="57738399" w14:textId="77777777" w:rsidR="00AA068C" w:rsidRPr="00BA06B6" w:rsidRDefault="00AA068C" w:rsidP="00BC341D">
            <w:pPr>
              <w:tabs>
                <w:tab w:val="left" w:pos="851"/>
              </w:tabs>
              <w:jc w:val="both"/>
              <w:rPr>
                <w:rFonts w:ascii="Times New Roman" w:eastAsia="Calibri" w:hAnsi="Times New Roman" w:cs="Times New Roman"/>
                <w:bCs/>
                <w:sz w:val="17"/>
                <w:szCs w:val="17"/>
              </w:rPr>
            </w:pPr>
          </w:p>
        </w:tc>
      </w:tr>
    </w:tbl>
    <w:p w14:paraId="7531A55A" w14:textId="77777777" w:rsidR="00AA068C" w:rsidRPr="00BA06B6" w:rsidRDefault="00AA068C" w:rsidP="00AA068C">
      <w:pPr>
        <w:tabs>
          <w:tab w:val="left" w:pos="851"/>
        </w:tabs>
        <w:spacing w:after="0" w:line="240" w:lineRule="auto"/>
        <w:jc w:val="both"/>
        <w:rPr>
          <w:rFonts w:ascii="Times New Roman" w:eastAsia="Calibri" w:hAnsi="Times New Roman" w:cs="Times New Roman"/>
          <w:sz w:val="18"/>
          <w:szCs w:val="18"/>
        </w:rPr>
      </w:pPr>
    </w:p>
    <w:p w14:paraId="0CA1625D" w14:textId="77777777" w:rsidR="00AA068C" w:rsidRPr="00BA06B6" w:rsidRDefault="00AA068C" w:rsidP="00AA068C">
      <w:pPr>
        <w:tabs>
          <w:tab w:val="left" w:pos="851"/>
        </w:tabs>
        <w:spacing w:after="0" w:line="240" w:lineRule="auto"/>
        <w:jc w:val="both"/>
        <w:rPr>
          <w:rFonts w:ascii="Times New Roman" w:eastAsia="Calibri" w:hAnsi="Times New Roman" w:cs="Times New Roman"/>
          <w:b/>
          <w:sz w:val="20"/>
          <w:szCs w:val="18"/>
        </w:rPr>
      </w:pPr>
    </w:p>
    <w:p w14:paraId="26473638" w14:textId="77777777" w:rsidR="00AA068C" w:rsidRPr="00BA06B6" w:rsidRDefault="00AA068C" w:rsidP="00AA068C">
      <w:pPr>
        <w:tabs>
          <w:tab w:val="left" w:pos="851"/>
        </w:tabs>
        <w:spacing w:after="0" w:line="240" w:lineRule="auto"/>
        <w:jc w:val="both"/>
        <w:rPr>
          <w:rFonts w:ascii="Times New Roman" w:eastAsia="Calibri" w:hAnsi="Times New Roman" w:cs="Times New Roman"/>
          <w:b/>
          <w:sz w:val="20"/>
          <w:szCs w:val="18"/>
        </w:rPr>
      </w:pPr>
    </w:p>
    <w:p w14:paraId="14F7D12C" w14:textId="77777777" w:rsidR="00AA068C" w:rsidRPr="00BA06B6" w:rsidRDefault="00AA068C" w:rsidP="00AA068C">
      <w:pPr>
        <w:tabs>
          <w:tab w:val="left" w:pos="851"/>
        </w:tabs>
        <w:spacing w:after="0" w:line="240" w:lineRule="auto"/>
        <w:ind w:left="-851"/>
        <w:jc w:val="both"/>
        <w:rPr>
          <w:rFonts w:ascii="Times New Roman" w:eastAsia="Calibri" w:hAnsi="Times New Roman" w:cs="Times New Roman"/>
          <w:sz w:val="20"/>
          <w:szCs w:val="18"/>
        </w:rPr>
      </w:pPr>
      <w:r w:rsidRPr="00BA06B6">
        <w:rPr>
          <w:rFonts w:ascii="Times New Roman" w:eastAsia="Calibri" w:hAnsi="Times New Roman" w:cs="Times New Roman"/>
          <w:b/>
          <w:sz w:val="20"/>
          <w:szCs w:val="18"/>
        </w:rPr>
        <w:lastRenderedPageBreak/>
        <w:t xml:space="preserve">TABLE 7   </w:t>
      </w:r>
      <w:r w:rsidRPr="00BA06B6">
        <w:rPr>
          <w:rFonts w:ascii="Times New Roman" w:eastAsia="Calibri" w:hAnsi="Times New Roman" w:cs="Times New Roman"/>
          <w:sz w:val="20"/>
          <w:szCs w:val="18"/>
        </w:rPr>
        <w:t>The moderating effect of governance structures on the relationship between risk disclosures and banks’ ratings using ordered logistic regression (continued)</w:t>
      </w:r>
      <w:r w:rsidRPr="00BA06B6" w:rsidDel="00917CE8">
        <w:rPr>
          <w:rFonts w:ascii="Times New Roman" w:eastAsia="Calibri" w:hAnsi="Times New Roman" w:cs="Times New Roman"/>
          <w:sz w:val="20"/>
          <w:szCs w:val="18"/>
        </w:rPr>
        <w:t xml:space="preserve"> </w:t>
      </w:r>
    </w:p>
    <w:tbl>
      <w:tblPr>
        <w:tblStyle w:val="TableGrid2"/>
        <w:tblW w:w="6106" w:type="pct"/>
        <w:jc w:val="center"/>
        <w:tblBorders>
          <w:top w:val="single" w:sz="12" w:space="0" w:color="auto"/>
          <w:left w:val="none" w:sz="0" w:space="0" w:color="auto"/>
          <w:bottom w:val="single" w:sz="12" w:space="0" w:color="auto"/>
          <w:right w:val="none" w:sz="0" w:space="0" w:color="auto"/>
          <w:insideH w:val="single" w:sz="12" w:space="0" w:color="auto"/>
          <w:insideV w:val="none" w:sz="0" w:space="0" w:color="auto"/>
        </w:tblBorders>
        <w:shd w:val="clear" w:color="auto" w:fill="FFFFFF" w:themeFill="background1"/>
        <w:tblLook w:val="04A0" w:firstRow="1" w:lastRow="0" w:firstColumn="1" w:lastColumn="0" w:noHBand="0" w:noVBand="1"/>
      </w:tblPr>
      <w:tblGrid>
        <w:gridCol w:w="956"/>
        <w:gridCol w:w="981"/>
        <w:gridCol w:w="117"/>
        <w:gridCol w:w="864"/>
        <w:gridCol w:w="981"/>
        <w:gridCol w:w="891"/>
        <w:gridCol w:w="891"/>
        <w:gridCol w:w="891"/>
        <w:gridCol w:w="896"/>
        <w:gridCol w:w="891"/>
        <w:gridCol w:w="981"/>
        <w:gridCol w:w="846"/>
        <w:gridCol w:w="891"/>
      </w:tblGrid>
      <w:tr w:rsidR="00BA06B6" w:rsidRPr="00BA06B6" w14:paraId="54315D91" w14:textId="77777777" w:rsidTr="00B91469">
        <w:trPr>
          <w:trHeight w:val="20"/>
          <w:tblHeader/>
          <w:jc w:val="center"/>
        </w:trPr>
        <w:tc>
          <w:tcPr>
            <w:tcW w:w="411" w:type="pct"/>
            <w:vMerge w:val="restart"/>
            <w:shd w:val="clear" w:color="auto" w:fill="FFFFFF" w:themeFill="background1"/>
          </w:tcPr>
          <w:p w14:paraId="02203BC3"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Variables</w:t>
            </w:r>
          </w:p>
        </w:tc>
        <w:tc>
          <w:tcPr>
            <w:tcW w:w="3801" w:type="pct"/>
            <w:gridSpan w:val="10"/>
            <w:tcBorders>
              <w:bottom w:val="single" w:sz="12" w:space="0" w:color="auto"/>
            </w:tcBorders>
            <w:shd w:val="clear" w:color="auto" w:fill="FFFFFF" w:themeFill="background1"/>
            <w:vAlign w:val="bottom"/>
          </w:tcPr>
          <w:p w14:paraId="29A152DA"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Dependent variable: Bank’s long term issuer default ratings (BCRs)</w:t>
            </w:r>
          </w:p>
        </w:tc>
        <w:tc>
          <w:tcPr>
            <w:tcW w:w="384" w:type="pct"/>
            <w:tcBorders>
              <w:bottom w:val="single" w:sz="12" w:space="0" w:color="auto"/>
            </w:tcBorders>
            <w:shd w:val="clear" w:color="auto" w:fill="FFFFFF" w:themeFill="background1"/>
            <w:vAlign w:val="bottom"/>
          </w:tcPr>
          <w:p w14:paraId="2CF432B7" w14:textId="77777777" w:rsidR="00AA068C" w:rsidRPr="00BA06B6" w:rsidRDefault="00AA068C" w:rsidP="00BC341D">
            <w:pPr>
              <w:tabs>
                <w:tab w:val="left" w:pos="851"/>
              </w:tabs>
              <w:rPr>
                <w:rFonts w:ascii="Times New Roman" w:eastAsia="Calibri" w:hAnsi="Times New Roman" w:cs="Times New Roman"/>
                <w:b/>
                <w:bCs/>
                <w:sz w:val="18"/>
                <w:szCs w:val="18"/>
              </w:rPr>
            </w:pPr>
          </w:p>
        </w:tc>
        <w:tc>
          <w:tcPr>
            <w:tcW w:w="404" w:type="pct"/>
            <w:tcBorders>
              <w:bottom w:val="single" w:sz="12" w:space="0" w:color="auto"/>
            </w:tcBorders>
            <w:shd w:val="clear" w:color="auto" w:fill="FFFFFF" w:themeFill="background1"/>
          </w:tcPr>
          <w:p w14:paraId="2F4A65D5" w14:textId="77777777" w:rsidR="00AA068C" w:rsidRPr="00BA06B6" w:rsidRDefault="00AA068C" w:rsidP="00BC341D">
            <w:pPr>
              <w:tabs>
                <w:tab w:val="left" w:pos="851"/>
              </w:tabs>
              <w:rPr>
                <w:rFonts w:ascii="Times New Roman" w:eastAsia="Calibri" w:hAnsi="Times New Roman" w:cs="Times New Roman"/>
                <w:b/>
                <w:bCs/>
                <w:sz w:val="18"/>
                <w:szCs w:val="18"/>
              </w:rPr>
            </w:pPr>
          </w:p>
        </w:tc>
      </w:tr>
      <w:tr w:rsidR="00BA06B6" w:rsidRPr="00BA06B6" w14:paraId="3DF7867A" w14:textId="77777777" w:rsidTr="00B91469">
        <w:trPr>
          <w:trHeight w:val="20"/>
          <w:tblHeader/>
          <w:jc w:val="center"/>
        </w:trPr>
        <w:tc>
          <w:tcPr>
            <w:tcW w:w="411" w:type="pct"/>
            <w:vMerge/>
            <w:shd w:val="clear" w:color="auto" w:fill="FFFFFF" w:themeFill="background1"/>
            <w:vAlign w:val="bottom"/>
          </w:tcPr>
          <w:p w14:paraId="04DF5E91" w14:textId="77777777" w:rsidR="00AA068C" w:rsidRPr="00BA06B6" w:rsidRDefault="00AA068C" w:rsidP="00BC341D">
            <w:pPr>
              <w:tabs>
                <w:tab w:val="left" w:pos="851"/>
              </w:tabs>
              <w:jc w:val="both"/>
              <w:rPr>
                <w:rFonts w:ascii="Times New Roman" w:eastAsia="Calibri" w:hAnsi="Times New Roman" w:cs="Times New Roman"/>
                <w:b/>
                <w:bCs/>
                <w:sz w:val="18"/>
                <w:szCs w:val="18"/>
              </w:rPr>
            </w:pPr>
          </w:p>
        </w:tc>
        <w:tc>
          <w:tcPr>
            <w:tcW w:w="498" w:type="pct"/>
            <w:gridSpan w:val="2"/>
            <w:tcBorders>
              <w:bottom w:val="nil"/>
            </w:tcBorders>
            <w:shd w:val="clear" w:color="auto" w:fill="FFFFFF" w:themeFill="background1"/>
            <w:vAlign w:val="bottom"/>
          </w:tcPr>
          <w:p w14:paraId="083BA0D1"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(1) </w:t>
            </w:r>
          </w:p>
        </w:tc>
        <w:tc>
          <w:tcPr>
            <w:tcW w:w="392" w:type="pct"/>
            <w:tcBorders>
              <w:bottom w:val="nil"/>
            </w:tcBorders>
            <w:shd w:val="clear" w:color="auto" w:fill="FFFFFF" w:themeFill="background1"/>
            <w:vAlign w:val="bottom"/>
          </w:tcPr>
          <w:p w14:paraId="729537FB"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(2) </w:t>
            </w:r>
          </w:p>
        </w:tc>
        <w:tc>
          <w:tcPr>
            <w:tcW w:w="445" w:type="pct"/>
            <w:tcBorders>
              <w:bottom w:val="nil"/>
            </w:tcBorders>
            <w:shd w:val="clear" w:color="auto" w:fill="FFFFFF" w:themeFill="background1"/>
            <w:vAlign w:val="bottom"/>
          </w:tcPr>
          <w:p w14:paraId="61919204"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(3) </w:t>
            </w:r>
          </w:p>
        </w:tc>
        <w:tc>
          <w:tcPr>
            <w:tcW w:w="404" w:type="pct"/>
            <w:tcBorders>
              <w:bottom w:val="nil"/>
            </w:tcBorders>
            <w:shd w:val="clear" w:color="auto" w:fill="FFFFFF" w:themeFill="background1"/>
            <w:vAlign w:val="bottom"/>
          </w:tcPr>
          <w:p w14:paraId="289B8AC8"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(4) </w:t>
            </w:r>
          </w:p>
        </w:tc>
        <w:tc>
          <w:tcPr>
            <w:tcW w:w="404" w:type="pct"/>
            <w:tcBorders>
              <w:bottom w:val="nil"/>
            </w:tcBorders>
            <w:shd w:val="clear" w:color="auto" w:fill="FFFFFF" w:themeFill="background1"/>
            <w:vAlign w:val="bottom"/>
          </w:tcPr>
          <w:p w14:paraId="7227E0A3"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(5) </w:t>
            </w:r>
          </w:p>
        </w:tc>
        <w:tc>
          <w:tcPr>
            <w:tcW w:w="404" w:type="pct"/>
            <w:tcBorders>
              <w:bottom w:val="nil"/>
            </w:tcBorders>
            <w:shd w:val="clear" w:color="auto" w:fill="FFFFFF" w:themeFill="background1"/>
            <w:vAlign w:val="bottom"/>
          </w:tcPr>
          <w:p w14:paraId="7EE1C014"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(6) </w:t>
            </w:r>
          </w:p>
        </w:tc>
        <w:tc>
          <w:tcPr>
            <w:tcW w:w="404" w:type="pct"/>
            <w:tcBorders>
              <w:bottom w:val="nil"/>
            </w:tcBorders>
            <w:shd w:val="clear" w:color="auto" w:fill="FFFFFF" w:themeFill="background1"/>
            <w:vAlign w:val="bottom"/>
          </w:tcPr>
          <w:p w14:paraId="3592AAA4"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(7) </w:t>
            </w:r>
          </w:p>
        </w:tc>
        <w:tc>
          <w:tcPr>
            <w:tcW w:w="404" w:type="pct"/>
            <w:tcBorders>
              <w:bottom w:val="nil"/>
            </w:tcBorders>
            <w:shd w:val="clear" w:color="auto" w:fill="FFFFFF" w:themeFill="background1"/>
            <w:vAlign w:val="bottom"/>
          </w:tcPr>
          <w:p w14:paraId="56A9144B"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(8) </w:t>
            </w:r>
          </w:p>
        </w:tc>
        <w:tc>
          <w:tcPr>
            <w:tcW w:w="445" w:type="pct"/>
            <w:tcBorders>
              <w:bottom w:val="nil"/>
            </w:tcBorders>
            <w:shd w:val="clear" w:color="auto" w:fill="FFFFFF" w:themeFill="background1"/>
            <w:vAlign w:val="bottom"/>
          </w:tcPr>
          <w:p w14:paraId="2F7C5C5C"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(9) </w:t>
            </w:r>
          </w:p>
        </w:tc>
        <w:tc>
          <w:tcPr>
            <w:tcW w:w="384" w:type="pct"/>
            <w:tcBorders>
              <w:bottom w:val="nil"/>
            </w:tcBorders>
            <w:shd w:val="clear" w:color="auto" w:fill="FFFFFF" w:themeFill="background1"/>
            <w:vAlign w:val="bottom"/>
          </w:tcPr>
          <w:p w14:paraId="50F00A77"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(10) </w:t>
            </w:r>
          </w:p>
        </w:tc>
        <w:tc>
          <w:tcPr>
            <w:tcW w:w="404" w:type="pct"/>
            <w:tcBorders>
              <w:bottom w:val="nil"/>
            </w:tcBorders>
            <w:shd w:val="clear" w:color="auto" w:fill="FFFFFF" w:themeFill="background1"/>
          </w:tcPr>
          <w:p w14:paraId="23CE574A"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(11)</w:t>
            </w:r>
          </w:p>
        </w:tc>
      </w:tr>
      <w:tr w:rsidR="00BA06B6" w:rsidRPr="00BA06B6" w14:paraId="5CA2BAEB" w14:textId="77777777" w:rsidTr="00B91469">
        <w:trPr>
          <w:trHeight w:val="20"/>
          <w:tblHeader/>
          <w:jc w:val="center"/>
        </w:trPr>
        <w:tc>
          <w:tcPr>
            <w:tcW w:w="411" w:type="pct"/>
            <w:vMerge/>
            <w:shd w:val="clear" w:color="auto" w:fill="FFFFFF" w:themeFill="background1"/>
            <w:vAlign w:val="bottom"/>
          </w:tcPr>
          <w:p w14:paraId="5BEED2EE" w14:textId="77777777" w:rsidR="00AA068C" w:rsidRPr="00BA06B6" w:rsidRDefault="00AA068C" w:rsidP="00BC341D">
            <w:pPr>
              <w:tabs>
                <w:tab w:val="left" w:pos="851"/>
              </w:tabs>
              <w:jc w:val="both"/>
              <w:rPr>
                <w:rFonts w:ascii="Times New Roman" w:eastAsia="Calibri" w:hAnsi="Times New Roman" w:cs="Times New Roman"/>
                <w:b/>
                <w:bCs/>
                <w:sz w:val="18"/>
                <w:szCs w:val="18"/>
              </w:rPr>
            </w:pPr>
          </w:p>
        </w:tc>
        <w:tc>
          <w:tcPr>
            <w:tcW w:w="498" w:type="pct"/>
            <w:gridSpan w:val="2"/>
            <w:tcBorders>
              <w:top w:val="nil"/>
            </w:tcBorders>
            <w:shd w:val="clear" w:color="auto" w:fill="FFFFFF" w:themeFill="background1"/>
            <w:vAlign w:val="bottom"/>
          </w:tcPr>
          <w:p w14:paraId="741EE1C7"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Full</w:t>
            </w:r>
          </w:p>
        </w:tc>
        <w:tc>
          <w:tcPr>
            <w:tcW w:w="392" w:type="pct"/>
            <w:tcBorders>
              <w:top w:val="nil"/>
            </w:tcBorders>
            <w:shd w:val="clear" w:color="auto" w:fill="FFFFFF" w:themeFill="background1"/>
            <w:vAlign w:val="bottom"/>
          </w:tcPr>
          <w:p w14:paraId="5FC89005"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Full</w:t>
            </w:r>
          </w:p>
        </w:tc>
        <w:tc>
          <w:tcPr>
            <w:tcW w:w="445" w:type="pct"/>
            <w:tcBorders>
              <w:top w:val="nil"/>
            </w:tcBorders>
            <w:shd w:val="clear" w:color="auto" w:fill="FFFFFF" w:themeFill="background1"/>
            <w:vAlign w:val="bottom"/>
          </w:tcPr>
          <w:p w14:paraId="2C49EC0E"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Full</w:t>
            </w:r>
          </w:p>
        </w:tc>
        <w:tc>
          <w:tcPr>
            <w:tcW w:w="404" w:type="pct"/>
            <w:tcBorders>
              <w:top w:val="nil"/>
            </w:tcBorders>
            <w:shd w:val="clear" w:color="auto" w:fill="FFFFFF" w:themeFill="background1"/>
            <w:vAlign w:val="bottom"/>
          </w:tcPr>
          <w:p w14:paraId="2AF19F91"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IBs</w:t>
            </w:r>
          </w:p>
        </w:tc>
        <w:tc>
          <w:tcPr>
            <w:tcW w:w="404" w:type="pct"/>
            <w:tcBorders>
              <w:top w:val="nil"/>
            </w:tcBorders>
            <w:shd w:val="clear" w:color="auto" w:fill="FFFFFF" w:themeFill="background1"/>
            <w:vAlign w:val="bottom"/>
          </w:tcPr>
          <w:p w14:paraId="12834649"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CBs</w:t>
            </w:r>
          </w:p>
        </w:tc>
        <w:tc>
          <w:tcPr>
            <w:tcW w:w="404" w:type="pct"/>
            <w:tcBorders>
              <w:top w:val="nil"/>
            </w:tcBorders>
            <w:shd w:val="clear" w:color="auto" w:fill="FFFFFF" w:themeFill="background1"/>
            <w:vAlign w:val="bottom"/>
          </w:tcPr>
          <w:p w14:paraId="512C125F"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DBs</w:t>
            </w:r>
          </w:p>
        </w:tc>
        <w:tc>
          <w:tcPr>
            <w:tcW w:w="404" w:type="pct"/>
            <w:tcBorders>
              <w:top w:val="nil"/>
            </w:tcBorders>
            <w:shd w:val="clear" w:color="auto" w:fill="FFFFFF" w:themeFill="background1"/>
            <w:vAlign w:val="bottom"/>
          </w:tcPr>
          <w:p w14:paraId="22C994AA"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Pre07/08</w:t>
            </w:r>
          </w:p>
        </w:tc>
        <w:tc>
          <w:tcPr>
            <w:tcW w:w="404" w:type="pct"/>
            <w:tcBorders>
              <w:top w:val="nil"/>
            </w:tcBorders>
            <w:shd w:val="clear" w:color="auto" w:fill="FFFFFF" w:themeFill="background1"/>
            <w:vAlign w:val="bottom"/>
          </w:tcPr>
          <w:p w14:paraId="2A59028B"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07/08</w:t>
            </w:r>
          </w:p>
        </w:tc>
        <w:tc>
          <w:tcPr>
            <w:tcW w:w="445" w:type="pct"/>
            <w:tcBorders>
              <w:top w:val="nil"/>
            </w:tcBorders>
            <w:shd w:val="clear" w:color="auto" w:fill="FFFFFF" w:themeFill="background1"/>
            <w:vAlign w:val="bottom"/>
          </w:tcPr>
          <w:p w14:paraId="33C35E98"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post07/08</w:t>
            </w:r>
          </w:p>
        </w:tc>
        <w:tc>
          <w:tcPr>
            <w:tcW w:w="384" w:type="pct"/>
            <w:tcBorders>
              <w:top w:val="nil"/>
            </w:tcBorders>
            <w:shd w:val="clear" w:color="auto" w:fill="FFFFFF" w:themeFill="background1"/>
            <w:vAlign w:val="bottom"/>
          </w:tcPr>
          <w:p w14:paraId="6910CDB9"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2SLS</w:t>
            </w:r>
          </w:p>
        </w:tc>
        <w:tc>
          <w:tcPr>
            <w:tcW w:w="404" w:type="pct"/>
            <w:tcBorders>
              <w:top w:val="nil"/>
            </w:tcBorders>
            <w:shd w:val="clear" w:color="auto" w:fill="FFFFFF" w:themeFill="background1"/>
          </w:tcPr>
          <w:p w14:paraId="44B1309C"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ΔBCRs</w:t>
            </w:r>
          </w:p>
        </w:tc>
      </w:tr>
      <w:tr w:rsidR="00BA06B6" w:rsidRPr="00BA06B6" w14:paraId="3AD28491" w14:textId="77777777" w:rsidTr="00B91469">
        <w:trPr>
          <w:trHeight w:val="20"/>
          <w:tblHeader/>
          <w:jc w:val="center"/>
        </w:trPr>
        <w:tc>
          <w:tcPr>
            <w:tcW w:w="4596" w:type="pct"/>
            <w:gridSpan w:val="12"/>
            <w:tcBorders>
              <w:top w:val="single" w:sz="4" w:space="0" w:color="auto"/>
              <w:bottom w:val="single" w:sz="4" w:space="0" w:color="auto"/>
            </w:tcBorders>
            <w:shd w:val="clear" w:color="auto" w:fill="FFFFFF" w:themeFill="background1"/>
            <w:vAlign w:val="bottom"/>
          </w:tcPr>
          <w:p w14:paraId="69E9B8F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i/>
                <w:iCs/>
                <w:sz w:val="18"/>
                <w:szCs w:val="18"/>
              </w:rPr>
              <w:t>Panel E: Country-level control variables</w:t>
            </w:r>
          </w:p>
        </w:tc>
        <w:tc>
          <w:tcPr>
            <w:tcW w:w="404" w:type="pct"/>
            <w:tcBorders>
              <w:top w:val="single" w:sz="4" w:space="0" w:color="auto"/>
              <w:bottom w:val="single" w:sz="4" w:space="0" w:color="auto"/>
            </w:tcBorders>
            <w:shd w:val="clear" w:color="auto" w:fill="FFFFFF" w:themeFill="background1"/>
          </w:tcPr>
          <w:p w14:paraId="4668BAC9" w14:textId="77777777" w:rsidR="00AA068C" w:rsidRPr="00BA06B6" w:rsidRDefault="00AA068C" w:rsidP="00BC341D">
            <w:pPr>
              <w:tabs>
                <w:tab w:val="left" w:pos="851"/>
              </w:tabs>
              <w:jc w:val="both"/>
              <w:rPr>
                <w:rFonts w:ascii="Times New Roman" w:eastAsia="Calibri" w:hAnsi="Times New Roman" w:cs="Times New Roman"/>
                <w:i/>
                <w:iCs/>
                <w:sz w:val="18"/>
                <w:szCs w:val="18"/>
              </w:rPr>
            </w:pPr>
          </w:p>
        </w:tc>
      </w:tr>
      <w:tr w:rsidR="00BA06B6" w:rsidRPr="00BA06B6" w14:paraId="019CA056" w14:textId="77777777" w:rsidTr="00B91469">
        <w:trPr>
          <w:trHeight w:val="20"/>
          <w:tblHeader/>
          <w:jc w:val="center"/>
        </w:trPr>
        <w:tc>
          <w:tcPr>
            <w:tcW w:w="411" w:type="pct"/>
            <w:tcBorders>
              <w:top w:val="single" w:sz="4" w:space="0" w:color="auto"/>
              <w:bottom w:val="nil"/>
            </w:tcBorders>
            <w:shd w:val="clear" w:color="auto" w:fill="FFFFFF" w:themeFill="background1"/>
            <w:vAlign w:val="bottom"/>
          </w:tcPr>
          <w:p w14:paraId="3934767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V&amp;A</w:t>
            </w:r>
          </w:p>
        </w:tc>
        <w:tc>
          <w:tcPr>
            <w:tcW w:w="445" w:type="pct"/>
            <w:tcBorders>
              <w:top w:val="single" w:sz="4" w:space="0" w:color="auto"/>
              <w:bottom w:val="nil"/>
            </w:tcBorders>
            <w:shd w:val="clear" w:color="auto" w:fill="FFFFFF" w:themeFill="background1"/>
            <w:vAlign w:val="bottom"/>
          </w:tcPr>
          <w:p w14:paraId="2CB140C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-7.17</w:t>
            </w:r>
            <w:r w:rsidRPr="00BA06B6">
              <w:rPr>
                <w:rFonts w:ascii="Times New Roman" w:eastAsia="Calibri" w:hAnsi="Times New Roman" w:cs="Times New Roman"/>
                <w:bCs/>
                <w:sz w:val="18"/>
                <w:szCs w:val="18"/>
                <w:vertAlign w:val="superscript"/>
              </w:rPr>
              <w:t>***</w:t>
            </w:r>
          </w:p>
        </w:tc>
        <w:tc>
          <w:tcPr>
            <w:tcW w:w="445" w:type="pct"/>
            <w:gridSpan w:val="2"/>
            <w:tcBorders>
              <w:top w:val="single" w:sz="4" w:space="0" w:color="auto"/>
              <w:bottom w:val="nil"/>
            </w:tcBorders>
            <w:shd w:val="clear" w:color="auto" w:fill="FFFFFF" w:themeFill="background1"/>
            <w:vAlign w:val="bottom"/>
          </w:tcPr>
          <w:p w14:paraId="270F80D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-4.98</w:t>
            </w:r>
            <w:r w:rsidRPr="00BA06B6">
              <w:rPr>
                <w:rFonts w:ascii="Times New Roman" w:eastAsia="Calibri" w:hAnsi="Times New Roman" w:cs="Times New Roman"/>
                <w:bCs/>
                <w:sz w:val="18"/>
                <w:szCs w:val="18"/>
                <w:vertAlign w:val="superscript"/>
              </w:rPr>
              <w:t>***</w:t>
            </w:r>
          </w:p>
        </w:tc>
        <w:tc>
          <w:tcPr>
            <w:tcW w:w="445" w:type="pct"/>
            <w:tcBorders>
              <w:top w:val="single" w:sz="4" w:space="0" w:color="auto"/>
              <w:bottom w:val="nil"/>
            </w:tcBorders>
            <w:shd w:val="clear" w:color="auto" w:fill="FFFFFF" w:themeFill="background1"/>
            <w:vAlign w:val="bottom"/>
          </w:tcPr>
          <w:p w14:paraId="18CF855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-5.76</w:t>
            </w:r>
            <w:r w:rsidRPr="00BA06B6">
              <w:rPr>
                <w:rFonts w:ascii="Times New Roman" w:eastAsia="Calibri" w:hAnsi="Times New Roman" w:cs="Times New Roman"/>
                <w:bCs/>
                <w:sz w:val="18"/>
                <w:szCs w:val="18"/>
                <w:vertAlign w:val="superscript"/>
              </w:rPr>
              <w:t>***</w:t>
            </w:r>
          </w:p>
        </w:tc>
        <w:tc>
          <w:tcPr>
            <w:tcW w:w="404" w:type="pct"/>
            <w:tcBorders>
              <w:top w:val="single" w:sz="4" w:space="0" w:color="auto"/>
              <w:bottom w:val="nil"/>
            </w:tcBorders>
            <w:shd w:val="clear" w:color="auto" w:fill="FFFFFF" w:themeFill="background1"/>
            <w:vAlign w:val="bottom"/>
          </w:tcPr>
          <w:p w14:paraId="6C3A1E8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-3.24</w:t>
            </w:r>
            <w:r w:rsidRPr="00BA06B6">
              <w:rPr>
                <w:rFonts w:ascii="Times New Roman" w:eastAsia="Calibri" w:hAnsi="Times New Roman" w:cs="Times New Roman"/>
                <w:bCs/>
                <w:sz w:val="18"/>
                <w:szCs w:val="18"/>
                <w:vertAlign w:val="superscript"/>
              </w:rPr>
              <w:t>***</w:t>
            </w:r>
          </w:p>
        </w:tc>
        <w:tc>
          <w:tcPr>
            <w:tcW w:w="404" w:type="pct"/>
            <w:tcBorders>
              <w:top w:val="single" w:sz="4" w:space="0" w:color="auto"/>
              <w:bottom w:val="nil"/>
            </w:tcBorders>
            <w:shd w:val="clear" w:color="auto" w:fill="FFFFFF" w:themeFill="background1"/>
            <w:vAlign w:val="bottom"/>
          </w:tcPr>
          <w:p w14:paraId="0CB24AC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-2.98</w:t>
            </w:r>
            <w:r w:rsidRPr="00BA06B6">
              <w:rPr>
                <w:rFonts w:ascii="Times New Roman" w:eastAsia="Calibri" w:hAnsi="Times New Roman" w:cs="Times New Roman"/>
                <w:bCs/>
                <w:sz w:val="18"/>
                <w:szCs w:val="18"/>
                <w:vertAlign w:val="superscript"/>
              </w:rPr>
              <w:t>***</w:t>
            </w:r>
          </w:p>
        </w:tc>
        <w:tc>
          <w:tcPr>
            <w:tcW w:w="404" w:type="pct"/>
            <w:tcBorders>
              <w:top w:val="single" w:sz="4" w:space="0" w:color="auto"/>
              <w:bottom w:val="nil"/>
            </w:tcBorders>
            <w:shd w:val="clear" w:color="auto" w:fill="FFFFFF" w:themeFill="background1"/>
            <w:vAlign w:val="bottom"/>
          </w:tcPr>
          <w:p w14:paraId="2EEAB7F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-3.70</w:t>
            </w:r>
            <w:r w:rsidRPr="00BA06B6">
              <w:rPr>
                <w:rFonts w:ascii="Times New Roman" w:eastAsia="Calibri" w:hAnsi="Times New Roman" w:cs="Times New Roman"/>
                <w:bCs/>
                <w:sz w:val="18"/>
                <w:szCs w:val="18"/>
                <w:vertAlign w:val="superscript"/>
              </w:rPr>
              <w:t>***</w:t>
            </w:r>
          </w:p>
        </w:tc>
        <w:tc>
          <w:tcPr>
            <w:tcW w:w="404" w:type="pct"/>
            <w:tcBorders>
              <w:top w:val="single" w:sz="4" w:space="0" w:color="auto"/>
              <w:bottom w:val="nil"/>
            </w:tcBorders>
            <w:shd w:val="clear" w:color="auto" w:fill="FFFFFF" w:themeFill="background1"/>
            <w:vAlign w:val="bottom"/>
          </w:tcPr>
          <w:p w14:paraId="7DA131A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-4.07</w:t>
            </w:r>
            <w:r w:rsidRPr="00BA06B6">
              <w:rPr>
                <w:rFonts w:ascii="Times New Roman" w:eastAsia="Calibri" w:hAnsi="Times New Roman" w:cs="Times New Roman"/>
                <w:bCs/>
                <w:sz w:val="18"/>
                <w:szCs w:val="18"/>
                <w:vertAlign w:val="superscript"/>
              </w:rPr>
              <w:t>***</w:t>
            </w:r>
          </w:p>
        </w:tc>
        <w:tc>
          <w:tcPr>
            <w:tcW w:w="404" w:type="pct"/>
            <w:tcBorders>
              <w:top w:val="single" w:sz="4" w:space="0" w:color="auto"/>
              <w:bottom w:val="nil"/>
            </w:tcBorders>
            <w:shd w:val="clear" w:color="auto" w:fill="FFFFFF" w:themeFill="background1"/>
            <w:vAlign w:val="bottom"/>
          </w:tcPr>
          <w:p w14:paraId="2BFA140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-5.00</w:t>
            </w:r>
            <w:r w:rsidRPr="00BA06B6">
              <w:rPr>
                <w:rFonts w:ascii="Times New Roman" w:eastAsia="Calibri" w:hAnsi="Times New Roman" w:cs="Times New Roman"/>
                <w:bCs/>
                <w:sz w:val="18"/>
                <w:szCs w:val="18"/>
                <w:vertAlign w:val="superscript"/>
              </w:rPr>
              <w:t>***</w:t>
            </w:r>
          </w:p>
        </w:tc>
        <w:tc>
          <w:tcPr>
            <w:tcW w:w="445" w:type="pct"/>
            <w:tcBorders>
              <w:top w:val="single" w:sz="4" w:space="0" w:color="auto"/>
              <w:bottom w:val="nil"/>
            </w:tcBorders>
            <w:shd w:val="clear" w:color="auto" w:fill="FFFFFF" w:themeFill="background1"/>
            <w:vAlign w:val="bottom"/>
          </w:tcPr>
          <w:p w14:paraId="33E02ED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-4.33</w:t>
            </w:r>
            <w:r w:rsidRPr="00BA06B6">
              <w:rPr>
                <w:rFonts w:ascii="Times New Roman" w:eastAsia="Calibri" w:hAnsi="Times New Roman" w:cs="Times New Roman"/>
                <w:bCs/>
                <w:sz w:val="18"/>
                <w:szCs w:val="18"/>
                <w:vertAlign w:val="superscript"/>
              </w:rPr>
              <w:t>***</w:t>
            </w:r>
          </w:p>
        </w:tc>
        <w:tc>
          <w:tcPr>
            <w:tcW w:w="384" w:type="pct"/>
            <w:tcBorders>
              <w:top w:val="single" w:sz="4" w:space="0" w:color="auto"/>
              <w:bottom w:val="nil"/>
            </w:tcBorders>
            <w:shd w:val="clear" w:color="auto" w:fill="FFFFFF" w:themeFill="background1"/>
            <w:vAlign w:val="bottom"/>
          </w:tcPr>
          <w:p w14:paraId="3A7181B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-7.04</w:t>
            </w:r>
            <w:r w:rsidRPr="00BA06B6">
              <w:rPr>
                <w:rFonts w:ascii="Times New Roman" w:eastAsia="Calibri" w:hAnsi="Times New Roman" w:cs="Times New Roman"/>
                <w:bCs/>
                <w:sz w:val="18"/>
                <w:szCs w:val="18"/>
                <w:vertAlign w:val="superscript"/>
              </w:rPr>
              <w:t>***</w:t>
            </w:r>
          </w:p>
        </w:tc>
        <w:tc>
          <w:tcPr>
            <w:tcW w:w="404" w:type="pct"/>
            <w:tcBorders>
              <w:top w:val="single" w:sz="4" w:space="0" w:color="auto"/>
              <w:bottom w:val="nil"/>
            </w:tcBorders>
            <w:shd w:val="clear" w:color="auto" w:fill="FFFFFF" w:themeFill="background1"/>
          </w:tcPr>
          <w:p w14:paraId="2F8AF9C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1.03</w:t>
            </w:r>
          </w:p>
        </w:tc>
      </w:tr>
      <w:tr w:rsidR="00BA06B6" w:rsidRPr="00BA06B6" w14:paraId="26A99BD7" w14:textId="77777777" w:rsidTr="00B91469">
        <w:trPr>
          <w:trHeight w:val="20"/>
          <w:tblHeader/>
          <w:jc w:val="center"/>
        </w:trPr>
        <w:tc>
          <w:tcPr>
            <w:tcW w:w="411" w:type="pct"/>
            <w:tcBorders>
              <w:top w:val="nil"/>
              <w:bottom w:val="nil"/>
            </w:tcBorders>
            <w:shd w:val="clear" w:color="auto" w:fill="FFFFFF" w:themeFill="background1"/>
            <w:vAlign w:val="bottom"/>
          </w:tcPr>
          <w:p w14:paraId="70BFA555"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45" w:type="pct"/>
            <w:tcBorders>
              <w:top w:val="nil"/>
              <w:bottom w:val="nil"/>
            </w:tcBorders>
            <w:shd w:val="clear" w:color="auto" w:fill="FFFFFF" w:themeFill="background1"/>
            <w:vAlign w:val="bottom"/>
          </w:tcPr>
          <w:p w14:paraId="0336A08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45" w:type="pct"/>
            <w:gridSpan w:val="2"/>
            <w:tcBorders>
              <w:top w:val="nil"/>
              <w:bottom w:val="nil"/>
            </w:tcBorders>
            <w:shd w:val="clear" w:color="auto" w:fill="FFFFFF" w:themeFill="background1"/>
            <w:vAlign w:val="bottom"/>
          </w:tcPr>
          <w:p w14:paraId="61B8F03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45" w:type="pct"/>
            <w:tcBorders>
              <w:top w:val="nil"/>
              <w:bottom w:val="nil"/>
            </w:tcBorders>
            <w:shd w:val="clear" w:color="auto" w:fill="FFFFFF" w:themeFill="background1"/>
            <w:vAlign w:val="bottom"/>
          </w:tcPr>
          <w:p w14:paraId="0EE58A3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04" w:type="pct"/>
            <w:tcBorders>
              <w:top w:val="nil"/>
              <w:bottom w:val="nil"/>
            </w:tcBorders>
            <w:shd w:val="clear" w:color="auto" w:fill="FFFFFF" w:themeFill="background1"/>
            <w:vAlign w:val="bottom"/>
          </w:tcPr>
          <w:p w14:paraId="16F51F7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(0.001)</w:t>
            </w:r>
          </w:p>
        </w:tc>
        <w:tc>
          <w:tcPr>
            <w:tcW w:w="404" w:type="pct"/>
            <w:tcBorders>
              <w:top w:val="nil"/>
              <w:bottom w:val="nil"/>
            </w:tcBorders>
            <w:shd w:val="clear" w:color="auto" w:fill="FFFFFF" w:themeFill="background1"/>
            <w:vAlign w:val="bottom"/>
          </w:tcPr>
          <w:p w14:paraId="54C5529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(0.003)</w:t>
            </w:r>
          </w:p>
        </w:tc>
        <w:tc>
          <w:tcPr>
            <w:tcW w:w="404" w:type="pct"/>
            <w:tcBorders>
              <w:top w:val="nil"/>
              <w:bottom w:val="nil"/>
            </w:tcBorders>
            <w:shd w:val="clear" w:color="auto" w:fill="FFFFFF" w:themeFill="background1"/>
            <w:vAlign w:val="bottom"/>
          </w:tcPr>
          <w:p w14:paraId="30FDC7A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04" w:type="pct"/>
            <w:tcBorders>
              <w:top w:val="nil"/>
              <w:bottom w:val="nil"/>
            </w:tcBorders>
            <w:shd w:val="clear" w:color="auto" w:fill="FFFFFF" w:themeFill="background1"/>
            <w:vAlign w:val="bottom"/>
          </w:tcPr>
          <w:p w14:paraId="12E0AA2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04" w:type="pct"/>
            <w:tcBorders>
              <w:top w:val="nil"/>
              <w:bottom w:val="nil"/>
            </w:tcBorders>
            <w:shd w:val="clear" w:color="auto" w:fill="FFFFFF" w:themeFill="background1"/>
            <w:vAlign w:val="bottom"/>
          </w:tcPr>
          <w:p w14:paraId="4FED8B1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45" w:type="pct"/>
            <w:tcBorders>
              <w:top w:val="nil"/>
              <w:bottom w:val="nil"/>
            </w:tcBorders>
            <w:shd w:val="clear" w:color="auto" w:fill="FFFFFF" w:themeFill="background1"/>
            <w:vAlign w:val="bottom"/>
          </w:tcPr>
          <w:p w14:paraId="66FEC0A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384" w:type="pct"/>
            <w:tcBorders>
              <w:top w:val="nil"/>
              <w:bottom w:val="nil"/>
            </w:tcBorders>
            <w:shd w:val="clear" w:color="auto" w:fill="FFFFFF" w:themeFill="background1"/>
            <w:vAlign w:val="bottom"/>
          </w:tcPr>
          <w:p w14:paraId="5631E72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04" w:type="pct"/>
            <w:tcBorders>
              <w:top w:val="nil"/>
              <w:bottom w:val="nil"/>
            </w:tcBorders>
            <w:shd w:val="clear" w:color="auto" w:fill="FFFFFF" w:themeFill="background1"/>
          </w:tcPr>
          <w:p w14:paraId="537E12F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(0.301)</w:t>
            </w:r>
          </w:p>
        </w:tc>
      </w:tr>
      <w:tr w:rsidR="00BA06B6" w:rsidRPr="00BA06B6" w14:paraId="1F1848D6" w14:textId="77777777" w:rsidTr="00B91469">
        <w:trPr>
          <w:trHeight w:val="20"/>
          <w:tblHeader/>
          <w:jc w:val="center"/>
        </w:trPr>
        <w:tc>
          <w:tcPr>
            <w:tcW w:w="411" w:type="pct"/>
            <w:tcBorders>
              <w:top w:val="nil"/>
              <w:bottom w:val="nil"/>
            </w:tcBorders>
            <w:shd w:val="clear" w:color="auto" w:fill="FFFFFF" w:themeFill="background1"/>
            <w:vAlign w:val="bottom"/>
          </w:tcPr>
          <w:p w14:paraId="53CC5D5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RQ</w:t>
            </w:r>
          </w:p>
        </w:tc>
        <w:tc>
          <w:tcPr>
            <w:tcW w:w="445" w:type="pct"/>
            <w:tcBorders>
              <w:top w:val="nil"/>
              <w:bottom w:val="nil"/>
            </w:tcBorders>
            <w:shd w:val="clear" w:color="auto" w:fill="FFFFFF" w:themeFill="background1"/>
            <w:vAlign w:val="bottom"/>
          </w:tcPr>
          <w:p w14:paraId="6225FBC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1.91</w:t>
            </w:r>
            <w:r w:rsidRPr="00BA06B6">
              <w:rPr>
                <w:rFonts w:ascii="Times New Roman" w:eastAsia="Calibri" w:hAnsi="Times New Roman" w:cs="Times New Roman"/>
                <w:bCs/>
                <w:sz w:val="18"/>
                <w:szCs w:val="18"/>
                <w:vertAlign w:val="superscript"/>
              </w:rPr>
              <w:t>*</w:t>
            </w:r>
          </w:p>
        </w:tc>
        <w:tc>
          <w:tcPr>
            <w:tcW w:w="445" w:type="pct"/>
            <w:gridSpan w:val="2"/>
            <w:tcBorders>
              <w:top w:val="nil"/>
              <w:bottom w:val="nil"/>
            </w:tcBorders>
            <w:shd w:val="clear" w:color="auto" w:fill="FFFFFF" w:themeFill="background1"/>
            <w:vAlign w:val="bottom"/>
          </w:tcPr>
          <w:p w14:paraId="66397A2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0.24</w:t>
            </w:r>
          </w:p>
        </w:tc>
        <w:tc>
          <w:tcPr>
            <w:tcW w:w="445" w:type="pct"/>
            <w:tcBorders>
              <w:top w:val="nil"/>
              <w:bottom w:val="nil"/>
            </w:tcBorders>
            <w:shd w:val="clear" w:color="auto" w:fill="FFFFFF" w:themeFill="background1"/>
            <w:vAlign w:val="bottom"/>
          </w:tcPr>
          <w:p w14:paraId="460F269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1.61</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vAlign w:val="bottom"/>
          </w:tcPr>
          <w:p w14:paraId="4E48708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1.24</w:t>
            </w:r>
          </w:p>
        </w:tc>
        <w:tc>
          <w:tcPr>
            <w:tcW w:w="404" w:type="pct"/>
            <w:tcBorders>
              <w:top w:val="nil"/>
              <w:bottom w:val="nil"/>
            </w:tcBorders>
            <w:shd w:val="clear" w:color="auto" w:fill="FFFFFF" w:themeFill="background1"/>
            <w:vAlign w:val="bottom"/>
          </w:tcPr>
          <w:p w14:paraId="4C12E18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2.67</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vAlign w:val="bottom"/>
          </w:tcPr>
          <w:p w14:paraId="0B63187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2.85</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vAlign w:val="bottom"/>
          </w:tcPr>
          <w:p w14:paraId="73AE62F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1.64</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vAlign w:val="bottom"/>
          </w:tcPr>
          <w:p w14:paraId="0416D65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0.23</w:t>
            </w:r>
          </w:p>
        </w:tc>
        <w:tc>
          <w:tcPr>
            <w:tcW w:w="445" w:type="pct"/>
            <w:tcBorders>
              <w:top w:val="nil"/>
              <w:bottom w:val="nil"/>
            </w:tcBorders>
            <w:shd w:val="clear" w:color="auto" w:fill="FFFFFF" w:themeFill="background1"/>
            <w:vAlign w:val="bottom"/>
          </w:tcPr>
          <w:p w14:paraId="7B29041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3.21</w:t>
            </w:r>
            <w:r w:rsidRPr="00BA06B6">
              <w:rPr>
                <w:rFonts w:ascii="Times New Roman" w:eastAsia="Calibri" w:hAnsi="Times New Roman" w:cs="Times New Roman"/>
                <w:bCs/>
                <w:sz w:val="18"/>
                <w:szCs w:val="18"/>
                <w:vertAlign w:val="superscript"/>
              </w:rPr>
              <w:t>***</w:t>
            </w:r>
          </w:p>
        </w:tc>
        <w:tc>
          <w:tcPr>
            <w:tcW w:w="384" w:type="pct"/>
            <w:tcBorders>
              <w:top w:val="nil"/>
              <w:bottom w:val="nil"/>
            </w:tcBorders>
            <w:shd w:val="clear" w:color="auto" w:fill="FFFFFF" w:themeFill="background1"/>
            <w:vAlign w:val="bottom"/>
          </w:tcPr>
          <w:p w14:paraId="6F8EF3A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1.99</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tcPr>
          <w:p w14:paraId="5A26D72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0.18</w:t>
            </w:r>
          </w:p>
        </w:tc>
      </w:tr>
      <w:tr w:rsidR="00BA06B6" w:rsidRPr="00BA06B6" w14:paraId="52476B1D" w14:textId="77777777" w:rsidTr="00B91469">
        <w:trPr>
          <w:trHeight w:val="20"/>
          <w:tblHeader/>
          <w:jc w:val="center"/>
        </w:trPr>
        <w:tc>
          <w:tcPr>
            <w:tcW w:w="411" w:type="pct"/>
            <w:tcBorders>
              <w:top w:val="nil"/>
              <w:bottom w:val="nil"/>
            </w:tcBorders>
            <w:shd w:val="clear" w:color="auto" w:fill="FFFFFF" w:themeFill="background1"/>
            <w:vAlign w:val="bottom"/>
          </w:tcPr>
          <w:p w14:paraId="01AEFB89"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45" w:type="pct"/>
            <w:tcBorders>
              <w:top w:val="nil"/>
              <w:bottom w:val="nil"/>
            </w:tcBorders>
            <w:shd w:val="clear" w:color="auto" w:fill="FFFFFF" w:themeFill="background1"/>
            <w:vAlign w:val="bottom"/>
          </w:tcPr>
          <w:p w14:paraId="30F4565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(0.056)</w:t>
            </w:r>
          </w:p>
        </w:tc>
        <w:tc>
          <w:tcPr>
            <w:tcW w:w="445" w:type="pct"/>
            <w:gridSpan w:val="2"/>
            <w:tcBorders>
              <w:top w:val="nil"/>
              <w:bottom w:val="nil"/>
            </w:tcBorders>
            <w:shd w:val="clear" w:color="auto" w:fill="FFFFFF" w:themeFill="background1"/>
            <w:vAlign w:val="bottom"/>
          </w:tcPr>
          <w:p w14:paraId="28A026F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(0.811)</w:t>
            </w:r>
          </w:p>
        </w:tc>
        <w:tc>
          <w:tcPr>
            <w:tcW w:w="445" w:type="pct"/>
            <w:tcBorders>
              <w:top w:val="nil"/>
              <w:bottom w:val="nil"/>
            </w:tcBorders>
            <w:shd w:val="clear" w:color="auto" w:fill="FFFFFF" w:themeFill="background1"/>
            <w:vAlign w:val="bottom"/>
          </w:tcPr>
          <w:p w14:paraId="23038B6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(0.084)</w:t>
            </w:r>
          </w:p>
        </w:tc>
        <w:tc>
          <w:tcPr>
            <w:tcW w:w="404" w:type="pct"/>
            <w:tcBorders>
              <w:top w:val="nil"/>
              <w:bottom w:val="nil"/>
            </w:tcBorders>
            <w:shd w:val="clear" w:color="auto" w:fill="FFFFFF" w:themeFill="background1"/>
            <w:vAlign w:val="bottom"/>
          </w:tcPr>
          <w:p w14:paraId="5A08A93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(0.213)</w:t>
            </w:r>
          </w:p>
        </w:tc>
        <w:tc>
          <w:tcPr>
            <w:tcW w:w="404" w:type="pct"/>
            <w:tcBorders>
              <w:top w:val="nil"/>
              <w:bottom w:val="nil"/>
            </w:tcBorders>
            <w:shd w:val="clear" w:color="auto" w:fill="FFFFFF" w:themeFill="background1"/>
            <w:vAlign w:val="bottom"/>
          </w:tcPr>
          <w:p w14:paraId="194F996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(0.008)</w:t>
            </w:r>
          </w:p>
        </w:tc>
        <w:tc>
          <w:tcPr>
            <w:tcW w:w="404" w:type="pct"/>
            <w:tcBorders>
              <w:top w:val="nil"/>
              <w:bottom w:val="nil"/>
            </w:tcBorders>
            <w:shd w:val="clear" w:color="auto" w:fill="FFFFFF" w:themeFill="background1"/>
            <w:vAlign w:val="bottom"/>
          </w:tcPr>
          <w:p w14:paraId="1DBD3E7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(0.004)</w:t>
            </w:r>
          </w:p>
        </w:tc>
        <w:tc>
          <w:tcPr>
            <w:tcW w:w="404" w:type="pct"/>
            <w:tcBorders>
              <w:top w:val="nil"/>
              <w:bottom w:val="nil"/>
            </w:tcBorders>
            <w:shd w:val="clear" w:color="auto" w:fill="FFFFFF" w:themeFill="background1"/>
            <w:vAlign w:val="bottom"/>
          </w:tcPr>
          <w:p w14:paraId="0012359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(0.081)</w:t>
            </w:r>
          </w:p>
        </w:tc>
        <w:tc>
          <w:tcPr>
            <w:tcW w:w="404" w:type="pct"/>
            <w:tcBorders>
              <w:top w:val="nil"/>
              <w:bottom w:val="nil"/>
            </w:tcBorders>
            <w:shd w:val="clear" w:color="auto" w:fill="FFFFFF" w:themeFill="background1"/>
            <w:vAlign w:val="bottom"/>
          </w:tcPr>
          <w:p w14:paraId="559EE44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(0.819)</w:t>
            </w:r>
          </w:p>
        </w:tc>
        <w:tc>
          <w:tcPr>
            <w:tcW w:w="445" w:type="pct"/>
            <w:tcBorders>
              <w:top w:val="nil"/>
              <w:bottom w:val="nil"/>
            </w:tcBorders>
            <w:shd w:val="clear" w:color="auto" w:fill="FFFFFF" w:themeFill="background1"/>
            <w:vAlign w:val="bottom"/>
          </w:tcPr>
          <w:p w14:paraId="4BA9673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(0.001)</w:t>
            </w:r>
          </w:p>
        </w:tc>
        <w:tc>
          <w:tcPr>
            <w:tcW w:w="384" w:type="pct"/>
            <w:tcBorders>
              <w:top w:val="nil"/>
              <w:bottom w:val="nil"/>
            </w:tcBorders>
            <w:shd w:val="clear" w:color="auto" w:fill="FFFFFF" w:themeFill="background1"/>
            <w:vAlign w:val="bottom"/>
          </w:tcPr>
          <w:p w14:paraId="3CEA940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(0.047)</w:t>
            </w:r>
          </w:p>
        </w:tc>
        <w:tc>
          <w:tcPr>
            <w:tcW w:w="404" w:type="pct"/>
            <w:tcBorders>
              <w:top w:val="nil"/>
              <w:bottom w:val="nil"/>
            </w:tcBorders>
            <w:shd w:val="clear" w:color="auto" w:fill="FFFFFF" w:themeFill="background1"/>
          </w:tcPr>
          <w:p w14:paraId="0E3CEC7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(0.861)</w:t>
            </w:r>
          </w:p>
        </w:tc>
      </w:tr>
      <w:tr w:rsidR="00BA06B6" w:rsidRPr="00BA06B6" w14:paraId="6B9372BC" w14:textId="77777777" w:rsidTr="00B91469">
        <w:trPr>
          <w:trHeight w:val="20"/>
          <w:tblHeader/>
          <w:jc w:val="center"/>
        </w:trPr>
        <w:tc>
          <w:tcPr>
            <w:tcW w:w="411" w:type="pct"/>
            <w:tcBorders>
              <w:top w:val="nil"/>
              <w:bottom w:val="nil"/>
            </w:tcBorders>
            <w:shd w:val="clear" w:color="auto" w:fill="FFFFFF" w:themeFill="background1"/>
            <w:vAlign w:val="bottom"/>
          </w:tcPr>
          <w:p w14:paraId="18E51CF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RL</w:t>
            </w:r>
          </w:p>
        </w:tc>
        <w:tc>
          <w:tcPr>
            <w:tcW w:w="445" w:type="pct"/>
            <w:tcBorders>
              <w:top w:val="nil"/>
              <w:bottom w:val="nil"/>
            </w:tcBorders>
            <w:shd w:val="clear" w:color="auto" w:fill="FFFFFF" w:themeFill="background1"/>
            <w:vAlign w:val="bottom"/>
          </w:tcPr>
          <w:p w14:paraId="2895ED8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3.74</w:t>
            </w:r>
            <w:r w:rsidRPr="00BA06B6">
              <w:rPr>
                <w:rFonts w:ascii="Times New Roman" w:eastAsia="Calibri" w:hAnsi="Times New Roman" w:cs="Times New Roman"/>
                <w:bCs/>
                <w:sz w:val="18"/>
                <w:szCs w:val="18"/>
                <w:vertAlign w:val="superscript"/>
              </w:rPr>
              <w:t>***</w:t>
            </w:r>
          </w:p>
        </w:tc>
        <w:tc>
          <w:tcPr>
            <w:tcW w:w="445" w:type="pct"/>
            <w:gridSpan w:val="2"/>
            <w:tcBorders>
              <w:top w:val="nil"/>
              <w:bottom w:val="nil"/>
            </w:tcBorders>
            <w:shd w:val="clear" w:color="auto" w:fill="FFFFFF" w:themeFill="background1"/>
            <w:vAlign w:val="bottom"/>
          </w:tcPr>
          <w:p w14:paraId="1AC52E4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3.99</w:t>
            </w:r>
            <w:r w:rsidRPr="00BA06B6">
              <w:rPr>
                <w:rFonts w:ascii="Times New Roman" w:eastAsia="Calibri" w:hAnsi="Times New Roman" w:cs="Times New Roman"/>
                <w:bCs/>
                <w:sz w:val="18"/>
                <w:szCs w:val="18"/>
                <w:vertAlign w:val="superscript"/>
              </w:rPr>
              <w:t>***</w:t>
            </w:r>
          </w:p>
        </w:tc>
        <w:tc>
          <w:tcPr>
            <w:tcW w:w="445" w:type="pct"/>
            <w:tcBorders>
              <w:top w:val="nil"/>
              <w:bottom w:val="nil"/>
            </w:tcBorders>
            <w:shd w:val="clear" w:color="auto" w:fill="FFFFFF" w:themeFill="background1"/>
            <w:vAlign w:val="bottom"/>
          </w:tcPr>
          <w:p w14:paraId="198E21E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4.24</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vAlign w:val="bottom"/>
          </w:tcPr>
          <w:p w14:paraId="7CB7844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2.16</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vAlign w:val="bottom"/>
          </w:tcPr>
          <w:p w14:paraId="275A0D6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1.88</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vAlign w:val="bottom"/>
          </w:tcPr>
          <w:p w14:paraId="44C012A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3.70</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vAlign w:val="bottom"/>
          </w:tcPr>
          <w:p w14:paraId="1797CD3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2.06</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vAlign w:val="bottom"/>
          </w:tcPr>
          <w:p w14:paraId="35A93E5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2.54</w:t>
            </w:r>
            <w:r w:rsidRPr="00BA06B6">
              <w:rPr>
                <w:rFonts w:ascii="Times New Roman" w:eastAsia="Calibri" w:hAnsi="Times New Roman" w:cs="Times New Roman"/>
                <w:bCs/>
                <w:sz w:val="18"/>
                <w:szCs w:val="18"/>
                <w:vertAlign w:val="superscript"/>
              </w:rPr>
              <w:t>**</w:t>
            </w:r>
          </w:p>
        </w:tc>
        <w:tc>
          <w:tcPr>
            <w:tcW w:w="445" w:type="pct"/>
            <w:tcBorders>
              <w:top w:val="nil"/>
              <w:bottom w:val="nil"/>
            </w:tcBorders>
            <w:shd w:val="clear" w:color="auto" w:fill="FFFFFF" w:themeFill="background1"/>
            <w:vAlign w:val="bottom"/>
          </w:tcPr>
          <w:p w14:paraId="38C9EE7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4.92</w:t>
            </w:r>
            <w:r w:rsidRPr="00BA06B6">
              <w:rPr>
                <w:rFonts w:ascii="Times New Roman" w:eastAsia="Calibri" w:hAnsi="Times New Roman" w:cs="Times New Roman"/>
                <w:bCs/>
                <w:sz w:val="18"/>
                <w:szCs w:val="18"/>
                <w:vertAlign w:val="superscript"/>
              </w:rPr>
              <w:t>***</w:t>
            </w:r>
          </w:p>
        </w:tc>
        <w:tc>
          <w:tcPr>
            <w:tcW w:w="384" w:type="pct"/>
            <w:tcBorders>
              <w:top w:val="nil"/>
              <w:bottom w:val="nil"/>
            </w:tcBorders>
            <w:shd w:val="clear" w:color="auto" w:fill="FFFFFF" w:themeFill="background1"/>
            <w:vAlign w:val="bottom"/>
          </w:tcPr>
          <w:p w14:paraId="35CD468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2.65</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tcPr>
          <w:p w14:paraId="1F17B55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-0.89</w:t>
            </w:r>
          </w:p>
        </w:tc>
      </w:tr>
      <w:tr w:rsidR="00BA06B6" w:rsidRPr="00BA06B6" w14:paraId="104E34EE" w14:textId="77777777" w:rsidTr="00B91469">
        <w:trPr>
          <w:trHeight w:val="20"/>
          <w:tblHeader/>
          <w:jc w:val="center"/>
        </w:trPr>
        <w:tc>
          <w:tcPr>
            <w:tcW w:w="411" w:type="pct"/>
            <w:tcBorders>
              <w:top w:val="nil"/>
              <w:bottom w:val="nil"/>
            </w:tcBorders>
            <w:shd w:val="clear" w:color="auto" w:fill="FFFFFF" w:themeFill="background1"/>
            <w:vAlign w:val="bottom"/>
          </w:tcPr>
          <w:p w14:paraId="12A58ABD"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45" w:type="pct"/>
            <w:tcBorders>
              <w:top w:val="nil"/>
              <w:bottom w:val="nil"/>
            </w:tcBorders>
            <w:shd w:val="clear" w:color="auto" w:fill="FFFFFF" w:themeFill="background1"/>
            <w:vAlign w:val="bottom"/>
          </w:tcPr>
          <w:p w14:paraId="73C8329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45" w:type="pct"/>
            <w:gridSpan w:val="2"/>
            <w:tcBorders>
              <w:top w:val="nil"/>
              <w:bottom w:val="nil"/>
            </w:tcBorders>
            <w:shd w:val="clear" w:color="auto" w:fill="FFFFFF" w:themeFill="background1"/>
            <w:vAlign w:val="bottom"/>
          </w:tcPr>
          <w:p w14:paraId="624B064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45" w:type="pct"/>
            <w:tcBorders>
              <w:top w:val="nil"/>
              <w:bottom w:val="nil"/>
            </w:tcBorders>
            <w:shd w:val="clear" w:color="auto" w:fill="FFFFFF" w:themeFill="background1"/>
            <w:vAlign w:val="bottom"/>
          </w:tcPr>
          <w:p w14:paraId="733CD03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04" w:type="pct"/>
            <w:tcBorders>
              <w:top w:val="nil"/>
              <w:bottom w:val="nil"/>
            </w:tcBorders>
            <w:shd w:val="clear" w:color="auto" w:fill="FFFFFF" w:themeFill="background1"/>
            <w:vAlign w:val="bottom"/>
          </w:tcPr>
          <w:p w14:paraId="7F0BF86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(0.031)</w:t>
            </w:r>
          </w:p>
        </w:tc>
        <w:tc>
          <w:tcPr>
            <w:tcW w:w="404" w:type="pct"/>
            <w:tcBorders>
              <w:top w:val="nil"/>
              <w:bottom w:val="nil"/>
            </w:tcBorders>
            <w:shd w:val="clear" w:color="auto" w:fill="FFFFFF" w:themeFill="background1"/>
            <w:vAlign w:val="bottom"/>
          </w:tcPr>
          <w:p w14:paraId="0945C3D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(0.061)</w:t>
            </w:r>
          </w:p>
        </w:tc>
        <w:tc>
          <w:tcPr>
            <w:tcW w:w="404" w:type="pct"/>
            <w:tcBorders>
              <w:top w:val="nil"/>
              <w:bottom w:val="nil"/>
            </w:tcBorders>
            <w:shd w:val="clear" w:color="auto" w:fill="FFFFFF" w:themeFill="background1"/>
            <w:vAlign w:val="bottom"/>
          </w:tcPr>
          <w:p w14:paraId="5477C88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04" w:type="pct"/>
            <w:tcBorders>
              <w:top w:val="nil"/>
              <w:bottom w:val="nil"/>
            </w:tcBorders>
            <w:shd w:val="clear" w:color="auto" w:fill="FFFFFF" w:themeFill="background1"/>
            <w:vAlign w:val="bottom"/>
          </w:tcPr>
          <w:p w14:paraId="1254DBA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(0.039)</w:t>
            </w:r>
          </w:p>
        </w:tc>
        <w:tc>
          <w:tcPr>
            <w:tcW w:w="404" w:type="pct"/>
            <w:tcBorders>
              <w:top w:val="nil"/>
              <w:bottom w:val="nil"/>
            </w:tcBorders>
            <w:shd w:val="clear" w:color="auto" w:fill="FFFFFF" w:themeFill="background1"/>
            <w:vAlign w:val="bottom"/>
          </w:tcPr>
          <w:p w14:paraId="5C7C669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(0.011)</w:t>
            </w:r>
          </w:p>
        </w:tc>
        <w:tc>
          <w:tcPr>
            <w:tcW w:w="445" w:type="pct"/>
            <w:tcBorders>
              <w:top w:val="nil"/>
              <w:bottom w:val="nil"/>
            </w:tcBorders>
            <w:shd w:val="clear" w:color="auto" w:fill="FFFFFF" w:themeFill="background1"/>
            <w:vAlign w:val="bottom"/>
          </w:tcPr>
          <w:p w14:paraId="2B79B56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384" w:type="pct"/>
            <w:tcBorders>
              <w:top w:val="nil"/>
              <w:bottom w:val="nil"/>
            </w:tcBorders>
            <w:shd w:val="clear" w:color="auto" w:fill="FFFFFF" w:themeFill="background1"/>
            <w:vAlign w:val="bottom"/>
          </w:tcPr>
          <w:p w14:paraId="77303F5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(0.008)</w:t>
            </w:r>
          </w:p>
        </w:tc>
        <w:tc>
          <w:tcPr>
            <w:tcW w:w="404" w:type="pct"/>
            <w:tcBorders>
              <w:top w:val="nil"/>
              <w:bottom w:val="nil"/>
            </w:tcBorders>
            <w:shd w:val="clear" w:color="auto" w:fill="FFFFFF" w:themeFill="background1"/>
          </w:tcPr>
          <w:p w14:paraId="10FB35D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(0.374)</w:t>
            </w:r>
          </w:p>
        </w:tc>
      </w:tr>
      <w:tr w:rsidR="00BA06B6" w:rsidRPr="00BA06B6" w14:paraId="656A64E8" w14:textId="77777777" w:rsidTr="00B91469">
        <w:trPr>
          <w:trHeight w:val="20"/>
          <w:tblHeader/>
          <w:jc w:val="center"/>
        </w:trPr>
        <w:tc>
          <w:tcPr>
            <w:tcW w:w="411" w:type="pct"/>
            <w:tcBorders>
              <w:top w:val="nil"/>
              <w:bottom w:val="nil"/>
            </w:tcBorders>
            <w:shd w:val="clear" w:color="auto" w:fill="FFFFFF" w:themeFill="background1"/>
            <w:vAlign w:val="bottom"/>
          </w:tcPr>
          <w:p w14:paraId="2351598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INFL</w:t>
            </w:r>
          </w:p>
        </w:tc>
        <w:tc>
          <w:tcPr>
            <w:tcW w:w="445" w:type="pct"/>
            <w:tcBorders>
              <w:top w:val="nil"/>
              <w:bottom w:val="nil"/>
            </w:tcBorders>
            <w:shd w:val="clear" w:color="auto" w:fill="FFFFFF" w:themeFill="background1"/>
            <w:vAlign w:val="bottom"/>
          </w:tcPr>
          <w:p w14:paraId="02E4DD2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-1.32</w:t>
            </w:r>
          </w:p>
        </w:tc>
        <w:tc>
          <w:tcPr>
            <w:tcW w:w="445" w:type="pct"/>
            <w:gridSpan w:val="2"/>
            <w:tcBorders>
              <w:top w:val="nil"/>
              <w:bottom w:val="nil"/>
            </w:tcBorders>
            <w:shd w:val="clear" w:color="auto" w:fill="FFFFFF" w:themeFill="background1"/>
            <w:vAlign w:val="bottom"/>
          </w:tcPr>
          <w:p w14:paraId="2103CDD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-0.01</w:t>
            </w:r>
          </w:p>
        </w:tc>
        <w:tc>
          <w:tcPr>
            <w:tcW w:w="445" w:type="pct"/>
            <w:tcBorders>
              <w:top w:val="nil"/>
              <w:bottom w:val="nil"/>
            </w:tcBorders>
            <w:shd w:val="clear" w:color="auto" w:fill="FFFFFF" w:themeFill="background1"/>
            <w:vAlign w:val="bottom"/>
          </w:tcPr>
          <w:p w14:paraId="29FDB52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-0.53</w:t>
            </w:r>
          </w:p>
        </w:tc>
        <w:tc>
          <w:tcPr>
            <w:tcW w:w="404" w:type="pct"/>
            <w:tcBorders>
              <w:top w:val="nil"/>
              <w:bottom w:val="nil"/>
            </w:tcBorders>
            <w:shd w:val="clear" w:color="auto" w:fill="FFFFFF" w:themeFill="background1"/>
            <w:vAlign w:val="bottom"/>
          </w:tcPr>
          <w:p w14:paraId="051BCBE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-0.54</w:t>
            </w:r>
          </w:p>
        </w:tc>
        <w:tc>
          <w:tcPr>
            <w:tcW w:w="404" w:type="pct"/>
            <w:tcBorders>
              <w:top w:val="nil"/>
              <w:bottom w:val="nil"/>
            </w:tcBorders>
            <w:shd w:val="clear" w:color="auto" w:fill="FFFFFF" w:themeFill="background1"/>
            <w:vAlign w:val="bottom"/>
          </w:tcPr>
          <w:p w14:paraId="16690C0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-2.62</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vAlign w:val="bottom"/>
          </w:tcPr>
          <w:p w14:paraId="56FEE5C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-3.29</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vAlign w:val="bottom"/>
          </w:tcPr>
          <w:p w14:paraId="0BC19B2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-2.54</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vAlign w:val="bottom"/>
          </w:tcPr>
          <w:p w14:paraId="1D68C4F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-1.29</w:t>
            </w:r>
          </w:p>
        </w:tc>
        <w:tc>
          <w:tcPr>
            <w:tcW w:w="445" w:type="pct"/>
            <w:tcBorders>
              <w:top w:val="nil"/>
              <w:bottom w:val="nil"/>
            </w:tcBorders>
            <w:shd w:val="clear" w:color="auto" w:fill="FFFFFF" w:themeFill="background1"/>
            <w:vAlign w:val="bottom"/>
          </w:tcPr>
          <w:p w14:paraId="5758DCE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-1.94</w:t>
            </w:r>
            <w:r w:rsidRPr="00BA06B6">
              <w:rPr>
                <w:rFonts w:ascii="Times New Roman" w:eastAsia="Calibri" w:hAnsi="Times New Roman" w:cs="Times New Roman"/>
                <w:bCs/>
                <w:sz w:val="18"/>
                <w:szCs w:val="18"/>
                <w:vertAlign w:val="superscript"/>
              </w:rPr>
              <w:t>*</w:t>
            </w:r>
          </w:p>
        </w:tc>
        <w:tc>
          <w:tcPr>
            <w:tcW w:w="384" w:type="pct"/>
            <w:tcBorders>
              <w:top w:val="nil"/>
              <w:bottom w:val="nil"/>
            </w:tcBorders>
            <w:shd w:val="clear" w:color="auto" w:fill="FFFFFF" w:themeFill="background1"/>
            <w:vAlign w:val="bottom"/>
          </w:tcPr>
          <w:p w14:paraId="071F1AA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-3.24</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tcPr>
          <w:p w14:paraId="4F4D595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-1.56</w:t>
            </w:r>
          </w:p>
        </w:tc>
      </w:tr>
      <w:tr w:rsidR="00BA06B6" w:rsidRPr="00BA06B6" w14:paraId="6723429D" w14:textId="77777777" w:rsidTr="00B91469">
        <w:trPr>
          <w:trHeight w:val="20"/>
          <w:tblHeader/>
          <w:jc w:val="center"/>
        </w:trPr>
        <w:tc>
          <w:tcPr>
            <w:tcW w:w="411" w:type="pct"/>
            <w:tcBorders>
              <w:top w:val="nil"/>
              <w:bottom w:val="nil"/>
            </w:tcBorders>
            <w:shd w:val="clear" w:color="auto" w:fill="FFFFFF" w:themeFill="background1"/>
            <w:vAlign w:val="bottom"/>
          </w:tcPr>
          <w:p w14:paraId="3DADF87D"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45" w:type="pct"/>
            <w:tcBorders>
              <w:top w:val="nil"/>
              <w:bottom w:val="nil"/>
            </w:tcBorders>
            <w:shd w:val="clear" w:color="auto" w:fill="FFFFFF" w:themeFill="background1"/>
            <w:vAlign w:val="bottom"/>
          </w:tcPr>
          <w:p w14:paraId="5622B5F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(0.186)</w:t>
            </w:r>
          </w:p>
        </w:tc>
        <w:tc>
          <w:tcPr>
            <w:tcW w:w="445" w:type="pct"/>
            <w:gridSpan w:val="2"/>
            <w:tcBorders>
              <w:top w:val="nil"/>
              <w:bottom w:val="nil"/>
            </w:tcBorders>
            <w:shd w:val="clear" w:color="auto" w:fill="FFFFFF" w:themeFill="background1"/>
            <w:vAlign w:val="bottom"/>
          </w:tcPr>
          <w:p w14:paraId="0CAAB2E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(0.989)</w:t>
            </w:r>
          </w:p>
        </w:tc>
        <w:tc>
          <w:tcPr>
            <w:tcW w:w="445" w:type="pct"/>
            <w:tcBorders>
              <w:top w:val="nil"/>
              <w:bottom w:val="nil"/>
            </w:tcBorders>
            <w:shd w:val="clear" w:color="auto" w:fill="FFFFFF" w:themeFill="background1"/>
            <w:vAlign w:val="bottom"/>
          </w:tcPr>
          <w:p w14:paraId="0B9ECF7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(0.595)</w:t>
            </w:r>
          </w:p>
        </w:tc>
        <w:tc>
          <w:tcPr>
            <w:tcW w:w="404" w:type="pct"/>
            <w:tcBorders>
              <w:top w:val="nil"/>
              <w:bottom w:val="nil"/>
            </w:tcBorders>
            <w:shd w:val="clear" w:color="auto" w:fill="FFFFFF" w:themeFill="background1"/>
            <w:vAlign w:val="bottom"/>
          </w:tcPr>
          <w:p w14:paraId="6688F55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(0.591)</w:t>
            </w:r>
          </w:p>
        </w:tc>
        <w:tc>
          <w:tcPr>
            <w:tcW w:w="404" w:type="pct"/>
            <w:tcBorders>
              <w:top w:val="nil"/>
              <w:bottom w:val="nil"/>
            </w:tcBorders>
            <w:shd w:val="clear" w:color="auto" w:fill="FFFFFF" w:themeFill="background1"/>
            <w:vAlign w:val="bottom"/>
          </w:tcPr>
          <w:p w14:paraId="2F3A16C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(0.009)</w:t>
            </w:r>
          </w:p>
        </w:tc>
        <w:tc>
          <w:tcPr>
            <w:tcW w:w="404" w:type="pct"/>
            <w:tcBorders>
              <w:top w:val="nil"/>
              <w:bottom w:val="nil"/>
            </w:tcBorders>
            <w:shd w:val="clear" w:color="auto" w:fill="FFFFFF" w:themeFill="background1"/>
            <w:vAlign w:val="bottom"/>
          </w:tcPr>
          <w:p w14:paraId="6287AA6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(0.001)</w:t>
            </w:r>
          </w:p>
        </w:tc>
        <w:tc>
          <w:tcPr>
            <w:tcW w:w="404" w:type="pct"/>
            <w:tcBorders>
              <w:top w:val="nil"/>
              <w:bottom w:val="nil"/>
            </w:tcBorders>
            <w:shd w:val="clear" w:color="auto" w:fill="FFFFFF" w:themeFill="background1"/>
            <w:vAlign w:val="bottom"/>
          </w:tcPr>
          <w:p w14:paraId="09A1056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(0.011)</w:t>
            </w:r>
          </w:p>
        </w:tc>
        <w:tc>
          <w:tcPr>
            <w:tcW w:w="404" w:type="pct"/>
            <w:tcBorders>
              <w:top w:val="nil"/>
              <w:bottom w:val="nil"/>
            </w:tcBorders>
            <w:shd w:val="clear" w:color="auto" w:fill="FFFFFF" w:themeFill="background1"/>
            <w:vAlign w:val="bottom"/>
          </w:tcPr>
          <w:p w14:paraId="01597EB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(0.196)</w:t>
            </w:r>
          </w:p>
        </w:tc>
        <w:tc>
          <w:tcPr>
            <w:tcW w:w="445" w:type="pct"/>
            <w:tcBorders>
              <w:top w:val="nil"/>
              <w:bottom w:val="nil"/>
            </w:tcBorders>
            <w:shd w:val="clear" w:color="auto" w:fill="FFFFFF" w:themeFill="background1"/>
            <w:vAlign w:val="bottom"/>
          </w:tcPr>
          <w:p w14:paraId="615FDA3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(0.053)</w:t>
            </w:r>
          </w:p>
        </w:tc>
        <w:tc>
          <w:tcPr>
            <w:tcW w:w="384" w:type="pct"/>
            <w:tcBorders>
              <w:top w:val="nil"/>
              <w:bottom w:val="nil"/>
            </w:tcBorders>
            <w:shd w:val="clear" w:color="auto" w:fill="FFFFFF" w:themeFill="background1"/>
            <w:vAlign w:val="bottom"/>
          </w:tcPr>
          <w:p w14:paraId="3543941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(0.001)</w:t>
            </w:r>
          </w:p>
        </w:tc>
        <w:tc>
          <w:tcPr>
            <w:tcW w:w="404" w:type="pct"/>
            <w:tcBorders>
              <w:top w:val="nil"/>
              <w:bottom w:val="nil"/>
            </w:tcBorders>
            <w:shd w:val="clear" w:color="auto" w:fill="FFFFFF" w:themeFill="background1"/>
          </w:tcPr>
          <w:p w14:paraId="7C947A4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(0.120)</w:t>
            </w:r>
          </w:p>
        </w:tc>
      </w:tr>
      <w:tr w:rsidR="00BA06B6" w:rsidRPr="00BA06B6" w14:paraId="64B4F59D" w14:textId="77777777" w:rsidTr="00B91469">
        <w:trPr>
          <w:trHeight w:val="20"/>
          <w:tblHeader/>
          <w:jc w:val="center"/>
        </w:trPr>
        <w:tc>
          <w:tcPr>
            <w:tcW w:w="411" w:type="pct"/>
            <w:tcBorders>
              <w:top w:val="nil"/>
              <w:bottom w:val="nil"/>
            </w:tcBorders>
            <w:shd w:val="clear" w:color="auto" w:fill="FFFFFF" w:themeFill="background1"/>
            <w:vAlign w:val="bottom"/>
          </w:tcPr>
          <w:p w14:paraId="4EBF7EF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GDPC</w:t>
            </w:r>
          </w:p>
        </w:tc>
        <w:tc>
          <w:tcPr>
            <w:tcW w:w="445" w:type="pct"/>
            <w:tcBorders>
              <w:top w:val="nil"/>
              <w:bottom w:val="nil"/>
            </w:tcBorders>
            <w:shd w:val="clear" w:color="auto" w:fill="FFFFFF" w:themeFill="background1"/>
            <w:vAlign w:val="bottom"/>
          </w:tcPr>
          <w:p w14:paraId="237796B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4.14</w:t>
            </w:r>
            <w:r w:rsidRPr="00BA06B6">
              <w:rPr>
                <w:rFonts w:ascii="Times New Roman" w:eastAsia="Calibri" w:hAnsi="Times New Roman" w:cs="Times New Roman"/>
                <w:bCs/>
                <w:sz w:val="18"/>
                <w:szCs w:val="18"/>
                <w:vertAlign w:val="superscript"/>
              </w:rPr>
              <w:t>***</w:t>
            </w:r>
          </w:p>
        </w:tc>
        <w:tc>
          <w:tcPr>
            <w:tcW w:w="445" w:type="pct"/>
            <w:gridSpan w:val="2"/>
            <w:tcBorders>
              <w:top w:val="nil"/>
              <w:bottom w:val="nil"/>
            </w:tcBorders>
            <w:shd w:val="clear" w:color="auto" w:fill="FFFFFF" w:themeFill="background1"/>
            <w:vAlign w:val="bottom"/>
          </w:tcPr>
          <w:p w14:paraId="3DDDA60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3.11</w:t>
            </w:r>
            <w:r w:rsidRPr="00BA06B6">
              <w:rPr>
                <w:rFonts w:ascii="Times New Roman" w:eastAsia="Calibri" w:hAnsi="Times New Roman" w:cs="Times New Roman"/>
                <w:bCs/>
                <w:sz w:val="18"/>
                <w:szCs w:val="18"/>
                <w:vertAlign w:val="superscript"/>
              </w:rPr>
              <w:t>***</w:t>
            </w:r>
          </w:p>
        </w:tc>
        <w:tc>
          <w:tcPr>
            <w:tcW w:w="445" w:type="pct"/>
            <w:tcBorders>
              <w:top w:val="nil"/>
              <w:bottom w:val="nil"/>
            </w:tcBorders>
            <w:shd w:val="clear" w:color="auto" w:fill="FFFFFF" w:themeFill="background1"/>
            <w:vAlign w:val="bottom"/>
          </w:tcPr>
          <w:p w14:paraId="7B3803B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3.89</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vAlign w:val="bottom"/>
          </w:tcPr>
          <w:p w14:paraId="2EF31F6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1.51</w:t>
            </w:r>
          </w:p>
        </w:tc>
        <w:tc>
          <w:tcPr>
            <w:tcW w:w="404" w:type="pct"/>
            <w:tcBorders>
              <w:top w:val="nil"/>
              <w:bottom w:val="nil"/>
            </w:tcBorders>
            <w:shd w:val="clear" w:color="auto" w:fill="FFFFFF" w:themeFill="background1"/>
            <w:vAlign w:val="bottom"/>
          </w:tcPr>
          <w:p w14:paraId="40098F5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3.60</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vAlign w:val="bottom"/>
          </w:tcPr>
          <w:p w14:paraId="49CD927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0.01</w:t>
            </w:r>
          </w:p>
        </w:tc>
        <w:tc>
          <w:tcPr>
            <w:tcW w:w="404" w:type="pct"/>
            <w:tcBorders>
              <w:top w:val="nil"/>
              <w:bottom w:val="nil"/>
            </w:tcBorders>
            <w:shd w:val="clear" w:color="auto" w:fill="FFFFFF" w:themeFill="background1"/>
            <w:vAlign w:val="bottom"/>
          </w:tcPr>
          <w:p w14:paraId="6E77C09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2.61</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vAlign w:val="bottom"/>
          </w:tcPr>
          <w:p w14:paraId="0324E60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3.33</w:t>
            </w:r>
            <w:r w:rsidRPr="00BA06B6">
              <w:rPr>
                <w:rFonts w:ascii="Times New Roman" w:eastAsia="Calibri" w:hAnsi="Times New Roman" w:cs="Times New Roman"/>
                <w:bCs/>
                <w:sz w:val="18"/>
                <w:szCs w:val="18"/>
                <w:vertAlign w:val="superscript"/>
              </w:rPr>
              <w:t>***</w:t>
            </w:r>
          </w:p>
        </w:tc>
        <w:tc>
          <w:tcPr>
            <w:tcW w:w="445" w:type="pct"/>
            <w:tcBorders>
              <w:top w:val="nil"/>
              <w:bottom w:val="nil"/>
            </w:tcBorders>
            <w:shd w:val="clear" w:color="auto" w:fill="FFFFFF" w:themeFill="background1"/>
            <w:vAlign w:val="bottom"/>
          </w:tcPr>
          <w:p w14:paraId="399A88B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0.75</w:t>
            </w:r>
          </w:p>
        </w:tc>
        <w:tc>
          <w:tcPr>
            <w:tcW w:w="384" w:type="pct"/>
            <w:tcBorders>
              <w:top w:val="nil"/>
              <w:bottom w:val="nil"/>
            </w:tcBorders>
            <w:shd w:val="clear" w:color="auto" w:fill="FFFFFF" w:themeFill="background1"/>
            <w:vAlign w:val="bottom"/>
          </w:tcPr>
          <w:p w14:paraId="787BC85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4.19</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tcPr>
          <w:p w14:paraId="3FC0DB9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1.38</w:t>
            </w:r>
          </w:p>
        </w:tc>
      </w:tr>
      <w:tr w:rsidR="00BA06B6" w:rsidRPr="00BA06B6" w14:paraId="343BDBAA" w14:textId="77777777" w:rsidTr="00B91469">
        <w:trPr>
          <w:trHeight w:val="20"/>
          <w:tblHeader/>
          <w:jc w:val="center"/>
        </w:trPr>
        <w:tc>
          <w:tcPr>
            <w:tcW w:w="411" w:type="pct"/>
            <w:tcBorders>
              <w:top w:val="nil"/>
              <w:bottom w:val="nil"/>
            </w:tcBorders>
            <w:shd w:val="clear" w:color="auto" w:fill="FFFFFF" w:themeFill="background1"/>
            <w:vAlign w:val="bottom"/>
          </w:tcPr>
          <w:p w14:paraId="0D3F6600"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45" w:type="pct"/>
            <w:tcBorders>
              <w:top w:val="nil"/>
              <w:bottom w:val="nil"/>
            </w:tcBorders>
            <w:shd w:val="clear" w:color="auto" w:fill="FFFFFF" w:themeFill="background1"/>
            <w:vAlign w:val="bottom"/>
          </w:tcPr>
          <w:p w14:paraId="5438B8E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45" w:type="pct"/>
            <w:gridSpan w:val="2"/>
            <w:tcBorders>
              <w:top w:val="nil"/>
              <w:bottom w:val="nil"/>
            </w:tcBorders>
            <w:shd w:val="clear" w:color="auto" w:fill="FFFFFF" w:themeFill="background1"/>
            <w:vAlign w:val="bottom"/>
          </w:tcPr>
          <w:p w14:paraId="1F1B85B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(0.002)</w:t>
            </w:r>
          </w:p>
        </w:tc>
        <w:tc>
          <w:tcPr>
            <w:tcW w:w="445" w:type="pct"/>
            <w:tcBorders>
              <w:top w:val="nil"/>
              <w:bottom w:val="nil"/>
            </w:tcBorders>
            <w:shd w:val="clear" w:color="auto" w:fill="FFFFFF" w:themeFill="background1"/>
            <w:vAlign w:val="bottom"/>
          </w:tcPr>
          <w:p w14:paraId="7DE6602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04" w:type="pct"/>
            <w:tcBorders>
              <w:top w:val="nil"/>
              <w:bottom w:val="nil"/>
            </w:tcBorders>
            <w:shd w:val="clear" w:color="auto" w:fill="FFFFFF" w:themeFill="background1"/>
            <w:vAlign w:val="bottom"/>
          </w:tcPr>
          <w:p w14:paraId="0A029BD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(0.130)</w:t>
            </w:r>
          </w:p>
        </w:tc>
        <w:tc>
          <w:tcPr>
            <w:tcW w:w="404" w:type="pct"/>
            <w:tcBorders>
              <w:top w:val="nil"/>
              <w:bottom w:val="nil"/>
            </w:tcBorders>
            <w:shd w:val="clear" w:color="auto" w:fill="FFFFFF" w:themeFill="background1"/>
            <w:vAlign w:val="bottom"/>
          </w:tcPr>
          <w:p w14:paraId="2122716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04" w:type="pct"/>
            <w:tcBorders>
              <w:top w:val="nil"/>
              <w:bottom w:val="nil"/>
            </w:tcBorders>
            <w:shd w:val="clear" w:color="auto" w:fill="FFFFFF" w:themeFill="background1"/>
            <w:vAlign w:val="bottom"/>
          </w:tcPr>
          <w:p w14:paraId="41649F5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(0.995)</w:t>
            </w:r>
          </w:p>
        </w:tc>
        <w:tc>
          <w:tcPr>
            <w:tcW w:w="404" w:type="pct"/>
            <w:tcBorders>
              <w:top w:val="nil"/>
              <w:bottom w:val="nil"/>
            </w:tcBorders>
            <w:shd w:val="clear" w:color="auto" w:fill="FFFFFF" w:themeFill="background1"/>
            <w:vAlign w:val="bottom"/>
          </w:tcPr>
          <w:p w14:paraId="4C424F5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(0.009)</w:t>
            </w:r>
          </w:p>
        </w:tc>
        <w:tc>
          <w:tcPr>
            <w:tcW w:w="404" w:type="pct"/>
            <w:tcBorders>
              <w:top w:val="nil"/>
              <w:bottom w:val="nil"/>
            </w:tcBorders>
            <w:shd w:val="clear" w:color="auto" w:fill="FFFFFF" w:themeFill="background1"/>
            <w:vAlign w:val="bottom"/>
          </w:tcPr>
          <w:p w14:paraId="26EA519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(0.001)</w:t>
            </w:r>
          </w:p>
        </w:tc>
        <w:tc>
          <w:tcPr>
            <w:tcW w:w="445" w:type="pct"/>
            <w:tcBorders>
              <w:top w:val="nil"/>
              <w:bottom w:val="nil"/>
            </w:tcBorders>
            <w:shd w:val="clear" w:color="auto" w:fill="FFFFFF" w:themeFill="background1"/>
            <w:vAlign w:val="bottom"/>
          </w:tcPr>
          <w:p w14:paraId="0648BBF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(0.456)</w:t>
            </w:r>
          </w:p>
        </w:tc>
        <w:tc>
          <w:tcPr>
            <w:tcW w:w="384" w:type="pct"/>
            <w:tcBorders>
              <w:top w:val="nil"/>
              <w:bottom w:val="nil"/>
            </w:tcBorders>
            <w:shd w:val="clear" w:color="auto" w:fill="FFFFFF" w:themeFill="background1"/>
            <w:vAlign w:val="bottom"/>
          </w:tcPr>
          <w:p w14:paraId="2F5EB4D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04" w:type="pct"/>
            <w:tcBorders>
              <w:top w:val="nil"/>
              <w:bottom w:val="nil"/>
            </w:tcBorders>
            <w:shd w:val="clear" w:color="auto" w:fill="FFFFFF" w:themeFill="background1"/>
          </w:tcPr>
          <w:p w14:paraId="5F4D517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(0.167)</w:t>
            </w:r>
          </w:p>
        </w:tc>
      </w:tr>
      <w:tr w:rsidR="00BA06B6" w:rsidRPr="00BA06B6" w14:paraId="0D446420" w14:textId="77777777" w:rsidTr="00B91469">
        <w:trPr>
          <w:trHeight w:val="20"/>
          <w:tblHeader/>
          <w:jc w:val="center"/>
        </w:trPr>
        <w:tc>
          <w:tcPr>
            <w:tcW w:w="411" w:type="pct"/>
            <w:tcBorders>
              <w:top w:val="nil"/>
              <w:bottom w:val="nil"/>
            </w:tcBorders>
            <w:shd w:val="clear" w:color="auto" w:fill="FFFFFF" w:themeFill="background1"/>
            <w:vAlign w:val="bottom"/>
          </w:tcPr>
          <w:p w14:paraId="7766C58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YD</w:t>
            </w:r>
          </w:p>
        </w:tc>
        <w:tc>
          <w:tcPr>
            <w:tcW w:w="445" w:type="pct"/>
            <w:tcBorders>
              <w:top w:val="nil"/>
              <w:bottom w:val="nil"/>
            </w:tcBorders>
            <w:shd w:val="clear" w:color="auto" w:fill="FFFFFF" w:themeFill="background1"/>
            <w:vAlign w:val="bottom"/>
          </w:tcPr>
          <w:p w14:paraId="3CB48B6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Included</w:t>
            </w:r>
          </w:p>
        </w:tc>
        <w:tc>
          <w:tcPr>
            <w:tcW w:w="445" w:type="pct"/>
            <w:gridSpan w:val="2"/>
            <w:tcBorders>
              <w:top w:val="nil"/>
              <w:bottom w:val="nil"/>
            </w:tcBorders>
            <w:shd w:val="clear" w:color="auto" w:fill="FFFFFF" w:themeFill="background1"/>
            <w:vAlign w:val="bottom"/>
          </w:tcPr>
          <w:p w14:paraId="7555EE9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Included</w:t>
            </w:r>
          </w:p>
        </w:tc>
        <w:tc>
          <w:tcPr>
            <w:tcW w:w="445" w:type="pct"/>
            <w:tcBorders>
              <w:top w:val="nil"/>
              <w:bottom w:val="nil"/>
            </w:tcBorders>
            <w:shd w:val="clear" w:color="auto" w:fill="FFFFFF" w:themeFill="background1"/>
            <w:vAlign w:val="bottom"/>
          </w:tcPr>
          <w:p w14:paraId="7CAE61A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Included</w:t>
            </w:r>
          </w:p>
        </w:tc>
        <w:tc>
          <w:tcPr>
            <w:tcW w:w="404" w:type="pct"/>
            <w:tcBorders>
              <w:top w:val="nil"/>
              <w:bottom w:val="nil"/>
            </w:tcBorders>
            <w:shd w:val="clear" w:color="auto" w:fill="FFFFFF" w:themeFill="background1"/>
            <w:vAlign w:val="bottom"/>
          </w:tcPr>
          <w:p w14:paraId="48E5455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Included</w:t>
            </w:r>
          </w:p>
        </w:tc>
        <w:tc>
          <w:tcPr>
            <w:tcW w:w="404" w:type="pct"/>
            <w:tcBorders>
              <w:top w:val="nil"/>
              <w:bottom w:val="nil"/>
            </w:tcBorders>
            <w:shd w:val="clear" w:color="auto" w:fill="FFFFFF" w:themeFill="background1"/>
            <w:vAlign w:val="bottom"/>
          </w:tcPr>
          <w:p w14:paraId="1EA3112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Included</w:t>
            </w:r>
          </w:p>
        </w:tc>
        <w:tc>
          <w:tcPr>
            <w:tcW w:w="404" w:type="pct"/>
            <w:tcBorders>
              <w:top w:val="nil"/>
              <w:bottom w:val="nil"/>
            </w:tcBorders>
            <w:shd w:val="clear" w:color="auto" w:fill="FFFFFF" w:themeFill="background1"/>
            <w:vAlign w:val="bottom"/>
          </w:tcPr>
          <w:p w14:paraId="70D69FA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Included</w:t>
            </w:r>
          </w:p>
        </w:tc>
        <w:tc>
          <w:tcPr>
            <w:tcW w:w="404" w:type="pct"/>
            <w:tcBorders>
              <w:top w:val="nil"/>
              <w:bottom w:val="nil"/>
            </w:tcBorders>
            <w:shd w:val="clear" w:color="auto" w:fill="FFFFFF" w:themeFill="background1"/>
            <w:vAlign w:val="bottom"/>
          </w:tcPr>
          <w:p w14:paraId="74B774E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Included</w:t>
            </w:r>
          </w:p>
        </w:tc>
        <w:tc>
          <w:tcPr>
            <w:tcW w:w="404" w:type="pct"/>
            <w:tcBorders>
              <w:top w:val="nil"/>
              <w:bottom w:val="nil"/>
            </w:tcBorders>
            <w:shd w:val="clear" w:color="auto" w:fill="FFFFFF" w:themeFill="background1"/>
            <w:vAlign w:val="bottom"/>
          </w:tcPr>
          <w:p w14:paraId="3D0C946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Included</w:t>
            </w:r>
          </w:p>
        </w:tc>
        <w:tc>
          <w:tcPr>
            <w:tcW w:w="445" w:type="pct"/>
            <w:tcBorders>
              <w:top w:val="nil"/>
              <w:bottom w:val="nil"/>
            </w:tcBorders>
            <w:shd w:val="clear" w:color="auto" w:fill="FFFFFF" w:themeFill="background1"/>
            <w:vAlign w:val="bottom"/>
          </w:tcPr>
          <w:p w14:paraId="26A67FE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Included</w:t>
            </w:r>
          </w:p>
        </w:tc>
        <w:tc>
          <w:tcPr>
            <w:tcW w:w="384" w:type="pct"/>
            <w:tcBorders>
              <w:top w:val="nil"/>
              <w:bottom w:val="nil"/>
            </w:tcBorders>
            <w:shd w:val="clear" w:color="auto" w:fill="FFFFFF" w:themeFill="background1"/>
            <w:vAlign w:val="bottom"/>
          </w:tcPr>
          <w:p w14:paraId="5C8568C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Included</w:t>
            </w:r>
          </w:p>
        </w:tc>
        <w:tc>
          <w:tcPr>
            <w:tcW w:w="404" w:type="pct"/>
            <w:tcBorders>
              <w:top w:val="nil"/>
              <w:bottom w:val="nil"/>
            </w:tcBorders>
            <w:shd w:val="clear" w:color="auto" w:fill="FFFFFF" w:themeFill="background1"/>
          </w:tcPr>
          <w:p w14:paraId="05118C6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Included</w:t>
            </w:r>
          </w:p>
        </w:tc>
      </w:tr>
      <w:tr w:rsidR="00BA06B6" w:rsidRPr="00BA06B6" w14:paraId="60BBDA9B" w14:textId="77777777" w:rsidTr="00B91469">
        <w:trPr>
          <w:trHeight w:val="20"/>
          <w:tblHeader/>
          <w:jc w:val="center"/>
        </w:trPr>
        <w:tc>
          <w:tcPr>
            <w:tcW w:w="411" w:type="pct"/>
            <w:tcBorders>
              <w:top w:val="nil"/>
              <w:bottom w:val="nil"/>
            </w:tcBorders>
            <w:shd w:val="clear" w:color="auto" w:fill="FFFFFF" w:themeFill="background1"/>
            <w:vAlign w:val="bottom"/>
          </w:tcPr>
          <w:p w14:paraId="13C1DA26" w14:textId="77777777" w:rsidR="00AA068C" w:rsidRPr="00BA06B6" w:rsidRDefault="00AA068C" w:rsidP="00BC341D">
            <w:pPr>
              <w:tabs>
                <w:tab w:val="left" w:pos="851"/>
                <w:tab w:val="left" w:pos="1275"/>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LR chi2</w:t>
            </w:r>
          </w:p>
        </w:tc>
        <w:tc>
          <w:tcPr>
            <w:tcW w:w="445" w:type="pct"/>
            <w:tcBorders>
              <w:top w:val="nil"/>
              <w:bottom w:val="nil"/>
            </w:tcBorders>
            <w:shd w:val="clear" w:color="auto" w:fill="FFFFFF" w:themeFill="background1"/>
            <w:vAlign w:val="bottom"/>
          </w:tcPr>
          <w:p w14:paraId="0EDA91F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1489.75</w:t>
            </w:r>
            <w:r w:rsidRPr="00BA06B6">
              <w:rPr>
                <w:rFonts w:ascii="Times New Roman" w:eastAsia="Calibri" w:hAnsi="Times New Roman" w:cs="Times New Roman"/>
                <w:bCs/>
                <w:sz w:val="18"/>
                <w:szCs w:val="18"/>
                <w:vertAlign w:val="superscript"/>
              </w:rPr>
              <w:t>***</w:t>
            </w:r>
          </w:p>
        </w:tc>
        <w:tc>
          <w:tcPr>
            <w:tcW w:w="445" w:type="pct"/>
            <w:gridSpan w:val="2"/>
            <w:tcBorders>
              <w:top w:val="nil"/>
              <w:bottom w:val="nil"/>
            </w:tcBorders>
            <w:shd w:val="clear" w:color="auto" w:fill="FFFFFF" w:themeFill="background1"/>
            <w:vAlign w:val="bottom"/>
          </w:tcPr>
          <w:p w14:paraId="721E600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1574.11</w:t>
            </w:r>
            <w:r w:rsidRPr="00BA06B6">
              <w:rPr>
                <w:rFonts w:ascii="Times New Roman" w:eastAsia="Calibri" w:hAnsi="Times New Roman" w:cs="Times New Roman"/>
                <w:bCs/>
                <w:sz w:val="18"/>
                <w:szCs w:val="18"/>
                <w:vertAlign w:val="superscript"/>
              </w:rPr>
              <w:t>***</w:t>
            </w:r>
          </w:p>
        </w:tc>
        <w:tc>
          <w:tcPr>
            <w:tcW w:w="445" w:type="pct"/>
            <w:tcBorders>
              <w:top w:val="nil"/>
              <w:bottom w:val="nil"/>
            </w:tcBorders>
            <w:shd w:val="clear" w:color="auto" w:fill="FFFFFF" w:themeFill="background1"/>
            <w:vAlign w:val="bottom"/>
          </w:tcPr>
          <w:p w14:paraId="12561E2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1611.44</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vAlign w:val="bottom"/>
          </w:tcPr>
          <w:p w14:paraId="0CD031C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450.64</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vAlign w:val="bottom"/>
          </w:tcPr>
          <w:p w14:paraId="2A11CD0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694.51</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vAlign w:val="bottom"/>
          </w:tcPr>
          <w:p w14:paraId="07F3281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600.29</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vAlign w:val="bottom"/>
          </w:tcPr>
          <w:p w14:paraId="1655A3B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217.04</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vAlign w:val="bottom"/>
          </w:tcPr>
          <w:p w14:paraId="6E76878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399.16</w:t>
            </w:r>
            <w:r w:rsidRPr="00BA06B6">
              <w:rPr>
                <w:rFonts w:ascii="Times New Roman" w:eastAsia="Calibri" w:hAnsi="Times New Roman" w:cs="Times New Roman"/>
                <w:bCs/>
                <w:sz w:val="18"/>
                <w:szCs w:val="18"/>
                <w:vertAlign w:val="superscript"/>
              </w:rPr>
              <w:t>***</w:t>
            </w:r>
          </w:p>
        </w:tc>
        <w:tc>
          <w:tcPr>
            <w:tcW w:w="445" w:type="pct"/>
            <w:tcBorders>
              <w:top w:val="nil"/>
              <w:bottom w:val="nil"/>
            </w:tcBorders>
            <w:shd w:val="clear" w:color="auto" w:fill="FFFFFF" w:themeFill="background1"/>
            <w:vAlign w:val="bottom"/>
          </w:tcPr>
          <w:p w14:paraId="543972D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1114.78</w:t>
            </w:r>
            <w:r w:rsidRPr="00BA06B6">
              <w:rPr>
                <w:rFonts w:ascii="Times New Roman" w:eastAsia="Calibri" w:hAnsi="Times New Roman" w:cs="Times New Roman"/>
                <w:bCs/>
                <w:sz w:val="18"/>
                <w:szCs w:val="18"/>
                <w:vertAlign w:val="superscript"/>
              </w:rPr>
              <w:t>***</w:t>
            </w:r>
          </w:p>
        </w:tc>
        <w:tc>
          <w:tcPr>
            <w:tcW w:w="384" w:type="pct"/>
            <w:tcBorders>
              <w:top w:val="nil"/>
              <w:bottom w:val="nil"/>
            </w:tcBorders>
            <w:shd w:val="clear" w:color="auto" w:fill="FFFFFF" w:themeFill="background1"/>
            <w:vAlign w:val="bottom"/>
          </w:tcPr>
          <w:p w14:paraId="3AF8BD8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97.35</w:t>
            </w:r>
            <w:r w:rsidRPr="00BA06B6">
              <w:rPr>
                <w:rFonts w:ascii="Times New Roman" w:eastAsia="Calibri" w:hAnsi="Times New Roman" w:cs="Times New Roman"/>
                <w:bCs/>
                <w:sz w:val="18"/>
                <w:szCs w:val="18"/>
                <w:vertAlign w:val="superscript"/>
              </w:rPr>
              <w:t>***</w:t>
            </w:r>
          </w:p>
        </w:tc>
        <w:tc>
          <w:tcPr>
            <w:tcW w:w="404" w:type="pct"/>
            <w:tcBorders>
              <w:top w:val="nil"/>
              <w:bottom w:val="nil"/>
            </w:tcBorders>
            <w:shd w:val="clear" w:color="auto" w:fill="FFFFFF" w:themeFill="background1"/>
          </w:tcPr>
          <w:p w14:paraId="738C198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159.84</w:t>
            </w:r>
            <w:r w:rsidRPr="00BA06B6">
              <w:rPr>
                <w:rFonts w:ascii="Times New Roman" w:eastAsia="Calibri" w:hAnsi="Times New Roman" w:cs="Times New Roman"/>
                <w:bCs/>
                <w:sz w:val="18"/>
                <w:szCs w:val="18"/>
                <w:vertAlign w:val="superscript"/>
              </w:rPr>
              <w:t>***</w:t>
            </w:r>
          </w:p>
        </w:tc>
      </w:tr>
      <w:tr w:rsidR="00BA06B6" w:rsidRPr="00BA06B6" w14:paraId="2F66689A" w14:textId="77777777" w:rsidTr="00B91469">
        <w:trPr>
          <w:trHeight w:val="20"/>
          <w:tblHeader/>
          <w:jc w:val="center"/>
        </w:trPr>
        <w:tc>
          <w:tcPr>
            <w:tcW w:w="411" w:type="pct"/>
            <w:tcBorders>
              <w:top w:val="nil"/>
              <w:bottom w:val="nil"/>
            </w:tcBorders>
            <w:shd w:val="clear" w:color="auto" w:fill="FFFFFF" w:themeFill="background1"/>
            <w:vAlign w:val="bottom"/>
          </w:tcPr>
          <w:p w14:paraId="21BE5DAD" w14:textId="77777777" w:rsidR="00AA068C" w:rsidRPr="00BA06B6" w:rsidRDefault="00AA068C" w:rsidP="00BC341D">
            <w:pPr>
              <w:tabs>
                <w:tab w:val="left" w:pos="851"/>
                <w:tab w:val="left" w:pos="1275"/>
              </w:tabs>
              <w:jc w:val="both"/>
              <w:rPr>
                <w:rFonts w:ascii="Times New Roman" w:eastAsia="Calibri" w:hAnsi="Times New Roman" w:cs="Times New Roman"/>
                <w:sz w:val="18"/>
                <w:szCs w:val="18"/>
                <w:vertAlign w:val="superscript"/>
              </w:rPr>
            </w:pPr>
            <w:r w:rsidRPr="00BA06B6">
              <w:rPr>
                <w:rFonts w:ascii="Times New Roman" w:eastAsia="Calibri" w:hAnsi="Times New Roman" w:cs="Times New Roman"/>
                <w:sz w:val="18"/>
                <w:szCs w:val="18"/>
              </w:rPr>
              <w:t>Pseudo R</w:t>
            </w:r>
            <w:r w:rsidRPr="00BA06B6">
              <w:rPr>
                <w:rFonts w:ascii="Times New Roman" w:eastAsia="Calibri" w:hAnsi="Times New Roman" w:cs="Times New Roman"/>
                <w:sz w:val="18"/>
                <w:szCs w:val="18"/>
                <w:vertAlign w:val="superscript"/>
              </w:rPr>
              <w:t>2</w:t>
            </w:r>
          </w:p>
        </w:tc>
        <w:tc>
          <w:tcPr>
            <w:tcW w:w="445" w:type="pct"/>
            <w:tcBorders>
              <w:top w:val="nil"/>
              <w:bottom w:val="nil"/>
            </w:tcBorders>
            <w:shd w:val="clear" w:color="auto" w:fill="FFFFFF" w:themeFill="background1"/>
            <w:vAlign w:val="bottom"/>
          </w:tcPr>
          <w:p w14:paraId="1F1C88D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0.4717</w:t>
            </w:r>
          </w:p>
        </w:tc>
        <w:tc>
          <w:tcPr>
            <w:tcW w:w="445" w:type="pct"/>
            <w:gridSpan w:val="2"/>
            <w:tcBorders>
              <w:top w:val="nil"/>
              <w:bottom w:val="nil"/>
            </w:tcBorders>
            <w:shd w:val="clear" w:color="auto" w:fill="FFFFFF" w:themeFill="background1"/>
            <w:vAlign w:val="bottom"/>
          </w:tcPr>
          <w:p w14:paraId="24BB906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0.5000</w:t>
            </w:r>
          </w:p>
        </w:tc>
        <w:tc>
          <w:tcPr>
            <w:tcW w:w="445" w:type="pct"/>
            <w:tcBorders>
              <w:top w:val="nil"/>
              <w:bottom w:val="nil"/>
            </w:tcBorders>
            <w:shd w:val="clear" w:color="auto" w:fill="FFFFFF" w:themeFill="background1"/>
            <w:vAlign w:val="bottom"/>
          </w:tcPr>
          <w:p w14:paraId="4A9EAA0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0.5119</w:t>
            </w:r>
          </w:p>
        </w:tc>
        <w:tc>
          <w:tcPr>
            <w:tcW w:w="404" w:type="pct"/>
            <w:tcBorders>
              <w:top w:val="nil"/>
              <w:bottom w:val="nil"/>
            </w:tcBorders>
            <w:shd w:val="clear" w:color="auto" w:fill="FFFFFF" w:themeFill="background1"/>
            <w:vAlign w:val="bottom"/>
          </w:tcPr>
          <w:p w14:paraId="43ED079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0.6511</w:t>
            </w:r>
          </w:p>
        </w:tc>
        <w:tc>
          <w:tcPr>
            <w:tcW w:w="404" w:type="pct"/>
            <w:tcBorders>
              <w:top w:val="nil"/>
              <w:bottom w:val="nil"/>
            </w:tcBorders>
            <w:shd w:val="clear" w:color="auto" w:fill="FFFFFF" w:themeFill="background1"/>
            <w:vAlign w:val="bottom"/>
          </w:tcPr>
          <w:p w14:paraId="7748DEC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0.5539</w:t>
            </w:r>
          </w:p>
        </w:tc>
        <w:tc>
          <w:tcPr>
            <w:tcW w:w="404" w:type="pct"/>
            <w:tcBorders>
              <w:top w:val="nil"/>
              <w:bottom w:val="nil"/>
            </w:tcBorders>
            <w:shd w:val="clear" w:color="auto" w:fill="FFFFFF" w:themeFill="background1"/>
            <w:vAlign w:val="bottom"/>
          </w:tcPr>
          <w:p w14:paraId="4198727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0.6058</w:t>
            </w:r>
          </w:p>
        </w:tc>
        <w:tc>
          <w:tcPr>
            <w:tcW w:w="404" w:type="pct"/>
            <w:tcBorders>
              <w:top w:val="nil"/>
              <w:bottom w:val="nil"/>
            </w:tcBorders>
            <w:shd w:val="clear" w:color="auto" w:fill="FFFFFF" w:themeFill="background1"/>
            <w:vAlign w:val="bottom"/>
          </w:tcPr>
          <w:p w14:paraId="106BC27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0.6913</w:t>
            </w:r>
          </w:p>
        </w:tc>
        <w:tc>
          <w:tcPr>
            <w:tcW w:w="404" w:type="pct"/>
            <w:tcBorders>
              <w:top w:val="nil"/>
              <w:bottom w:val="nil"/>
            </w:tcBorders>
            <w:shd w:val="clear" w:color="auto" w:fill="FFFFFF" w:themeFill="background1"/>
            <w:vAlign w:val="bottom"/>
          </w:tcPr>
          <w:p w14:paraId="110FAEB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0.5735</w:t>
            </w:r>
          </w:p>
        </w:tc>
        <w:tc>
          <w:tcPr>
            <w:tcW w:w="445" w:type="pct"/>
            <w:tcBorders>
              <w:top w:val="nil"/>
              <w:bottom w:val="nil"/>
            </w:tcBorders>
            <w:shd w:val="clear" w:color="auto" w:fill="FFFFFF" w:themeFill="background1"/>
            <w:vAlign w:val="bottom"/>
          </w:tcPr>
          <w:p w14:paraId="21AE5C6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0.5326</w:t>
            </w:r>
          </w:p>
        </w:tc>
        <w:tc>
          <w:tcPr>
            <w:tcW w:w="384" w:type="pct"/>
            <w:tcBorders>
              <w:top w:val="nil"/>
              <w:bottom w:val="nil"/>
            </w:tcBorders>
            <w:shd w:val="clear" w:color="auto" w:fill="FFFFFF" w:themeFill="background1"/>
            <w:vAlign w:val="bottom"/>
          </w:tcPr>
          <w:p w14:paraId="391B9E8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0.8421</w:t>
            </w:r>
          </w:p>
        </w:tc>
        <w:tc>
          <w:tcPr>
            <w:tcW w:w="404" w:type="pct"/>
            <w:tcBorders>
              <w:top w:val="nil"/>
              <w:bottom w:val="nil"/>
            </w:tcBorders>
            <w:shd w:val="clear" w:color="auto" w:fill="FFFFFF" w:themeFill="background1"/>
          </w:tcPr>
          <w:p w14:paraId="739E7DD5" w14:textId="77777777" w:rsidR="00AA068C" w:rsidRPr="00BA06B6" w:rsidRDefault="00AA068C" w:rsidP="00BC341D">
            <w:pPr>
              <w:tabs>
                <w:tab w:val="left" w:pos="851"/>
              </w:tabs>
              <w:jc w:val="both"/>
              <w:rPr>
                <w:rFonts w:ascii="Times New Roman" w:eastAsia="Calibri" w:hAnsi="Times New Roman" w:cs="Times New Roman"/>
                <w:bCs/>
                <w:sz w:val="18"/>
                <w:szCs w:val="18"/>
              </w:rPr>
            </w:pPr>
          </w:p>
          <w:p w14:paraId="224E42D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0.2022</w:t>
            </w:r>
          </w:p>
        </w:tc>
      </w:tr>
      <w:tr w:rsidR="00BA06B6" w:rsidRPr="00BA06B6" w14:paraId="1ECCFCC7" w14:textId="77777777" w:rsidTr="00B91469">
        <w:trPr>
          <w:trHeight w:val="20"/>
          <w:tblHeader/>
          <w:jc w:val="center"/>
        </w:trPr>
        <w:tc>
          <w:tcPr>
            <w:tcW w:w="411" w:type="pct"/>
            <w:tcBorders>
              <w:top w:val="nil"/>
            </w:tcBorders>
            <w:shd w:val="clear" w:color="auto" w:fill="FFFFFF" w:themeFill="background1"/>
            <w:vAlign w:val="bottom"/>
          </w:tcPr>
          <w:p w14:paraId="06C7AE85" w14:textId="77777777" w:rsidR="00AA068C" w:rsidRPr="00BA06B6" w:rsidRDefault="00AA068C" w:rsidP="00BC341D">
            <w:pPr>
              <w:tabs>
                <w:tab w:val="left" w:pos="851"/>
              </w:tabs>
              <w:jc w:val="both"/>
              <w:rPr>
                <w:rFonts w:ascii="Times New Roman" w:eastAsia="Calibri" w:hAnsi="Times New Roman" w:cs="Times New Roman"/>
                <w:sz w:val="18"/>
                <w:szCs w:val="18"/>
                <w:vertAlign w:val="superscript"/>
              </w:rPr>
            </w:pPr>
            <w:r w:rsidRPr="00BA06B6">
              <w:rPr>
                <w:rFonts w:ascii="Times New Roman" w:eastAsia="Calibri" w:hAnsi="Times New Roman" w:cs="Times New Roman"/>
                <w:sz w:val="18"/>
                <w:szCs w:val="18"/>
              </w:rPr>
              <w:t xml:space="preserve">No of </w:t>
            </w:r>
            <w:proofErr w:type="spellStart"/>
            <w:r w:rsidRPr="00BA06B6">
              <w:rPr>
                <w:rFonts w:ascii="Times New Roman" w:eastAsia="Calibri" w:hAnsi="Times New Roman" w:cs="Times New Roman"/>
                <w:sz w:val="18"/>
                <w:szCs w:val="18"/>
              </w:rPr>
              <w:t>obs</w:t>
            </w:r>
            <w:proofErr w:type="spellEnd"/>
          </w:p>
        </w:tc>
        <w:tc>
          <w:tcPr>
            <w:tcW w:w="445" w:type="pct"/>
            <w:tcBorders>
              <w:top w:val="nil"/>
            </w:tcBorders>
            <w:shd w:val="clear" w:color="auto" w:fill="FFFFFF" w:themeFill="background1"/>
            <w:vAlign w:val="bottom"/>
          </w:tcPr>
          <w:p w14:paraId="357EDE3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677</w:t>
            </w:r>
          </w:p>
        </w:tc>
        <w:tc>
          <w:tcPr>
            <w:tcW w:w="445" w:type="pct"/>
            <w:gridSpan w:val="2"/>
            <w:tcBorders>
              <w:top w:val="nil"/>
            </w:tcBorders>
            <w:shd w:val="clear" w:color="auto" w:fill="FFFFFF" w:themeFill="background1"/>
            <w:vAlign w:val="bottom"/>
          </w:tcPr>
          <w:p w14:paraId="5F208D4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675</w:t>
            </w:r>
          </w:p>
        </w:tc>
        <w:tc>
          <w:tcPr>
            <w:tcW w:w="445" w:type="pct"/>
            <w:tcBorders>
              <w:top w:val="nil"/>
            </w:tcBorders>
            <w:shd w:val="clear" w:color="auto" w:fill="FFFFFF" w:themeFill="background1"/>
            <w:vAlign w:val="bottom"/>
          </w:tcPr>
          <w:p w14:paraId="7ED96CD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675</w:t>
            </w:r>
          </w:p>
        </w:tc>
        <w:tc>
          <w:tcPr>
            <w:tcW w:w="404" w:type="pct"/>
            <w:tcBorders>
              <w:top w:val="nil"/>
            </w:tcBorders>
            <w:shd w:val="clear" w:color="auto" w:fill="FFFFFF" w:themeFill="background1"/>
            <w:vAlign w:val="bottom"/>
          </w:tcPr>
          <w:p w14:paraId="7631FC0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174</w:t>
            </w:r>
          </w:p>
        </w:tc>
        <w:tc>
          <w:tcPr>
            <w:tcW w:w="404" w:type="pct"/>
            <w:tcBorders>
              <w:top w:val="nil"/>
            </w:tcBorders>
            <w:shd w:val="clear" w:color="auto" w:fill="FFFFFF" w:themeFill="background1"/>
            <w:vAlign w:val="bottom"/>
          </w:tcPr>
          <w:p w14:paraId="769D824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265</w:t>
            </w:r>
          </w:p>
        </w:tc>
        <w:tc>
          <w:tcPr>
            <w:tcW w:w="404" w:type="pct"/>
            <w:tcBorders>
              <w:top w:val="nil"/>
            </w:tcBorders>
            <w:shd w:val="clear" w:color="auto" w:fill="FFFFFF" w:themeFill="background1"/>
            <w:vAlign w:val="bottom"/>
          </w:tcPr>
          <w:p w14:paraId="139D09B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236</w:t>
            </w:r>
          </w:p>
        </w:tc>
        <w:tc>
          <w:tcPr>
            <w:tcW w:w="404" w:type="pct"/>
            <w:tcBorders>
              <w:top w:val="nil"/>
            </w:tcBorders>
            <w:shd w:val="clear" w:color="auto" w:fill="FFFFFF" w:themeFill="background1"/>
            <w:vAlign w:val="bottom"/>
          </w:tcPr>
          <w:p w14:paraId="0A8A4C1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73</w:t>
            </w:r>
          </w:p>
        </w:tc>
        <w:tc>
          <w:tcPr>
            <w:tcW w:w="404" w:type="pct"/>
            <w:tcBorders>
              <w:top w:val="nil"/>
            </w:tcBorders>
            <w:shd w:val="clear" w:color="auto" w:fill="FFFFFF" w:themeFill="background1"/>
            <w:vAlign w:val="bottom"/>
          </w:tcPr>
          <w:p w14:paraId="7695879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157</w:t>
            </w:r>
          </w:p>
        </w:tc>
        <w:tc>
          <w:tcPr>
            <w:tcW w:w="445" w:type="pct"/>
            <w:tcBorders>
              <w:top w:val="nil"/>
            </w:tcBorders>
            <w:shd w:val="clear" w:color="auto" w:fill="FFFFFF" w:themeFill="background1"/>
            <w:vAlign w:val="bottom"/>
          </w:tcPr>
          <w:p w14:paraId="61805E8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445</w:t>
            </w:r>
          </w:p>
        </w:tc>
        <w:tc>
          <w:tcPr>
            <w:tcW w:w="384" w:type="pct"/>
            <w:tcBorders>
              <w:top w:val="nil"/>
            </w:tcBorders>
            <w:shd w:val="clear" w:color="auto" w:fill="FFFFFF" w:themeFill="background1"/>
            <w:vAlign w:val="bottom"/>
          </w:tcPr>
          <w:p w14:paraId="14B7992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675</w:t>
            </w:r>
          </w:p>
        </w:tc>
        <w:tc>
          <w:tcPr>
            <w:tcW w:w="404" w:type="pct"/>
            <w:tcBorders>
              <w:top w:val="nil"/>
            </w:tcBorders>
            <w:shd w:val="clear" w:color="auto" w:fill="FFFFFF" w:themeFill="background1"/>
          </w:tcPr>
          <w:p w14:paraId="627ADF1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588</w:t>
            </w:r>
          </w:p>
        </w:tc>
      </w:tr>
    </w:tbl>
    <w:p w14:paraId="390A1118" w14:textId="77777777" w:rsidR="00AA068C" w:rsidRPr="00BA06B6" w:rsidRDefault="00AA068C" w:rsidP="00AA068C">
      <w:pPr>
        <w:tabs>
          <w:tab w:val="left" w:pos="851"/>
        </w:tabs>
        <w:spacing w:after="0" w:line="240" w:lineRule="auto"/>
        <w:ind w:left="-1134" w:right="-755"/>
        <w:jc w:val="both"/>
        <w:rPr>
          <w:rFonts w:ascii="Times New Roman" w:eastAsia="Calibri" w:hAnsi="Times New Roman" w:cs="Times New Roman"/>
          <w:b/>
          <w:bCs/>
          <w:sz w:val="20"/>
          <w:szCs w:val="20"/>
        </w:rPr>
      </w:pPr>
      <w:r w:rsidRPr="00BA06B6">
        <w:rPr>
          <w:rFonts w:ascii="Times New Roman" w:eastAsia="Times New Roman" w:hAnsi="Times New Roman" w:cs="Times New Roman"/>
          <w:i/>
          <w:iCs/>
          <w:sz w:val="17"/>
          <w:szCs w:val="17"/>
        </w:rPr>
        <w:t>Notes</w:t>
      </w:r>
      <w:r w:rsidRPr="00BA06B6">
        <w:rPr>
          <w:rFonts w:ascii="Times New Roman" w:eastAsia="Times New Roman" w:hAnsi="Times New Roman" w:cs="Times New Roman"/>
          <w:sz w:val="17"/>
          <w:szCs w:val="17"/>
        </w:rPr>
        <w:t xml:space="preserve">: </w:t>
      </w:r>
      <w:r w:rsidRPr="00BA06B6">
        <w:rPr>
          <w:rFonts w:ascii="Times New Roman" w:eastAsia="Times New Roman" w:hAnsi="Times New Roman" w:cs="Times New Roman"/>
          <w:i/>
          <w:sz w:val="17"/>
          <w:szCs w:val="17"/>
        </w:rPr>
        <w:t>P</w:t>
      </w:r>
      <w:r w:rsidRPr="00BA06B6">
        <w:rPr>
          <w:rFonts w:ascii="Times New Roman" w:eastAsia="Times New Roman" w:hAnsi="Times New Roman" w:cs="Times New Roman"/>
          <w:sz w:val="17"/>
          <w:szCs w:val="17"/>
        </w:rPr>
        <w:t xml:space="preserve">-values are in parentheses. ***, **, and * </w:t>
      </w:r>
      <w:r w:rsidRPr="00BA06B6">
        <w:rPr>
          <w:rFonts w:ascii="Times New Roman" w:eastAsia="Calibri" w:hAnsi="Times New Roman" w:cs="Times New Roman"/>
          <w:sz w:val="17"/>
          <w:szCs w:val="17"/>
        </w:rPr>
        <w:t>denote</w:t>
      </w:r>
      <w:r w:rsidRPr="00BA06B6">
        <w:rPr>
          <w:rFonts w:ascii="Times New Roman" w:eastAsia="Times New Roman" w:hAnsi="Times New Roman" w:cs="Times New Roman"/>
          <w:sz w:val="17"/>
          <w:szCs w:val="17"/>
        </w:rPr>
        <w:t xml:space="preserve"> regression is significance at the 1%, 5% and 10% levels, respectively. </w:t>
      </w:r>
      <w:r w:rsidRPr="00BA06B6">
        <w:rPr>
          <w:rFonts w:ascii="Times New Roman" w:eastAsia="Times New Roman" w:hAnsi="Times New Roman" w:cs="Times New Roman"/>
          <w:sz w:val="17"/>
          <w:szCs w:val="17"/>
          <w:lang w:eastAsia="en-GB"/>
        </w:rPr>
        <w:t xml:space="preserve">Our final sample covers 95 banks listed in 12 MENA stock exchanges as follows: </w:t>
      </w:r>
      <w:r w:rsidRPr="00BA06B6">
        <w:rPr>
          <w:rFonts w:ascii="Times New Roman" w:eastAsia="Times New Roman" w:hAnsi="Times New Roman" w:cs="Times New Roman"/>
          <w:iCs/>
          <w:sz w:val="17"/>
          <w:szCs w:val="17"/>
          <w:lang w:eastAsia="en-GB"/>
        </w:rPr>
        <w:t xml:space="preserve">Bahrain, Egypt, Jordan, Kuwait, Lebanon, Morocco, Oman, Qatar, Saudi Arabia, Syria, Tunisia and UAE. The final sample consists of 700 bank-year observations </w:t>
      </w:r>
      <w:r w:rsidRPr="00BA06B6">
        <w:rPr>
          <w:rFonts w:ascii="Times New Roman" w:eastAsia="Times New Roman" w:hAnsi="Times New Roman" w:cs="Times New Roman"/>
          <w:sz w:val="17"/>
          <w:szCs w:val="17"/>
          <w:lang w:eastAsia="en-GB"/>
        </w:rPr>
        <w:t>over eight fiscal years, from 2006 to 2013.</w:t>
      </w:r>
      <w:r w:rsidRPr="00BA06B6">
        <w:rPr>
          <w:rFonts w:ascii="Times New Roman" w:eastAsia="SimSun" w:hAnsi="Times New Roman" w:cs="Times New Roman"/>
          <w:bCs/>
          <w:sz w:val="17"/>
          <w:szCs w:val="17"/>
          <w:lang w:val="en-US" w:eastAsia="zh-CN"/>
        </w:rPr>
        <w:t xml:space="preserve"> </w:t>
      </w:r>
      <w:r w:rsidRPr="00BA06B6">
        <w:rPr>
          <w:rFonts w:ascii="Times New Roman" w:eastAsia="SimSun" w:hAnsi="Times New Roman" w:cs="Times New Roman"/>
          <w:sz w:val="18"/>
          <w:szCs w:val="18"/>
          <w:lang w:eastAsia="zh-CN"/>
        </w:rPr>
        <w:t>This table reports the following variables:</w:t>
      </w:r>
      <w:r w:rsidRPr="00BA06B6">
        <w:rPr>
          <w:rFonts w:ascii="Times New Roman" w:eastAsia="Times New Roman" w:hAnsi="Times New Roman" w:cs="Times New Roman"/>
          <w:bCs/>
          <w:i/>
          <w:sz w:val="17"/>
          <w:szCs w:val="17"/>
          <w:lang w:eastAsia="en-GB"/>
        </w:rPr>
        <w:t xml:space="preserve"> RATE</w:t>
      </w:r>
      <w:r w:rsidRPr="00BA06B6">
        <w:rPr>
          <w:rFonts w:ascii="Times New Roman" w:eastAsia="Times New Roman" w:hAnsi="Times New Roman" w:cs="Times New Roman"/>
          <w:bCs/>
          <w:sz w:val="17"/>
          <w:szCs w:val="17"/>
          <w:lang w:eastAsia="en-GB"/>
        </w:rPr>
        <w:t xml:space="preserve"> refers to </w:t>
      </w:r>
      <w:r w:rsidRPr="00BA06B6">
        <w:rPr>
          <w:rFonts w:ascii="Times New Roman" w:eastAsia="Times New Roman" w:hAnsi="Times New Roman" w:cs="Times New Roman"/>
          <w:sz w:val="17"/>
          <w:szCs w:val="17"/>
          <w:lang w:eastAsia="en-GB"/>
        </w:rPr>
        <w:t>Fitch</w:t>
      </w:r>
      <w:r w:rsidRPr="00BA06B6">
        <w:rPr>
          <w:rFonts w:ascii="Times New Roman" w:eastAsia="Times New Roman" w:hAnsi="Times New Roman" w:cs="Times New Roman"/>
          <w:bCs/>
          <w:sz w:val="17"/>
          <w:szCs w:val="17"/>
          <w:lang w:val="en-US" w:eastAsia="en-GB"/>
        </w:rPr>
        <w:t xml:space="preserve"> long-term issuer default ratings; </w:t>
      </w:r>
      <w:r w:rsidRPr="00BA06B6">
        <w:rPr>
          <w:rFonts w:ascii="Times New Roman" w:eastAsia="Times New Roman" w:hAnsi="Times New Roman" w:cs="Times New Roman"/>
          <w:bCs/>
          <w:i/>
          <w:iCs/>
          <w:sz w:val="17"/>
          <w:szCs w:val="17"/>
          <w:lang w:val="en-US" w:eastAsia="en-GB"/>
        </w:rPr>
        <w:t>RDI</w:t>
      </w:r>
      <w:r w:rsidRPr="00BA06B6">
        <w:rPr>
          <w:rFonts w:ascii="Times New Roman" w:eastAsia="Times New Roman" w:hAnsi="Times New Roman" w:cs="Times New Roman"/>
          <w:sz w:val="17"/>
          <w:szCs w:val="17"/>
          <w:lang w:eastAsia="en-GB"/>
        </w:rPr>
        <w:t xml:space="preserve"> </w:t>
      </w:r>
      <w:r w:rsidRPr="00BA06B6">
        <w:rPr>
          <w:rFonts w:ascii="Times New Roman" w:eastAsia="Times New Roman" w:hAnsi="Times New Roman" w:cs="Times New Roman"/>
          <w:bCs/>
          <w:sz w:val="17"/>
          <w:szCs w:val="17"/>
          <w:lang w:eastAsia="en-GB"/>
        </w:rPr>
        <w:t>refers to</w:t>
      </w:r>
      <w:r w:rsidRPr="00BA06B6">
        <w:rPr>
          <w:rFonts w:ascii="Times New Roman" w:eastAsia="Times New Roman" w:hAnsi="Times New Roman" w:cs="Times New Roman"/>
          <w:sz w:val="17"/>
          <w:szCs w:val="17"/>
          <w:lang w:eastAsia="en-GB"/>
        </w:rPr>
        <w:t xml:space="preserve"> risk disclosures index proxy for risk disclosure level; </w:t>
      </w:r>
      <w:r w:rsidRPr="00BA06B6">
        <w:rPr>
          <w:rFonts w:ascii="Times New Roman" w:eastAsia="Times New Roman" w:hAnsi="Times New Roman" w:cs="Times New Roman"/>
          <w:i/>
          <w:sz w:val="17"/>
          <w:szCs w:val="17"/>
          <w:lang w:eastAsia="en-GB"/>
        </w:rPr>
        <w:t>CG</w:t>
      </w:r>
      <w:r w:rsidRPr="00BA06B6">
        <w:rPr>
          <w:rFonts w:ascii="Times New Roman" w:eastAsia="Times New Roman" w:hAnsi="Times New Roman" w:cs="Times New Roman"/>
          <w:sz w:val="17"/>
          <w:szCs w:val="17"/>
          <w:lang w:eastAsia="en-GB"/>
        </w:rPr>
        <w:t xml:space="preserve"> refers to </w:t>
      </w:r>
      <w:r w:rsidRPr="00BA06B6">
        <w:rPr>
          <w:rFonts w:ascii="Times New Roman" w:eastAsia="Times New Roman" w:hAnsi="Times New Roman" w:cs="Times New Roman"/>
          <w:i/>
          <w:iCs/>
          <w:sz w:val="17"/>
          <w:szCs w:val="17"/>
          <w:lang w:eastAsia="en-GB"/>
        </w:rPr>
        <w:t>SSB,</w:t>
      </w:r>
      <w:r w:rsidRPr="00BA06B6">
        <w:rPr>
          <w:rFonts w:ascii="Times New Roman" w:eastAsia="Times New Roman" w:hAnsi="Times New Roman" w:cs="Times New Roman"/>
          <w:sz w:val="17"/>
          <w:szCs w:val="17"/>
          <w:lang w:eastAsia="en-GB"/>
        </w:rPr>
        <w:t xml:space="preserve"> </w:t>
      </w:r>
      <w:r w:rsidRPr="00BA06B6">
        <w:rPr>
          <w:rFonts w:ascii="Times New Roman" w:eastAsia="Times New Roman" w:hAnsi="Times New Roman" w:cs="Times New Roman"/>
          <w:i/>
          <w:iCs/>
          <w:sz w:val="17"/>
          <w:szCs w:val="17"/>
          <w:lang w:eastAsia="en-GB"/>
        </w:rPr>
        <w:t>BS</w:t>
      </w:r>
      <w:r w:rsidRPr="00BA06B6">
        <w:rPr>
          <w:rFonts w:ascii="Times New Roman" w:eastAsia="Times New Roman" w:hAnsi="Times New Roman" w:cs="Times New Roman"/>
          <w:sz w:val="17"/>
          <w:szCs w:val="17"/>
          <w:lang w:eastAsia="en-GB"/>
        </w:rPr>
        <w:t xml:space="preserve">, </w:t>
      </w:r>
      <w:r w:rsidRPr="00BA06B6">
        <w:rPr>
          <w:rFonts w:ascii="Times New Roman" w:eastAsia="Times New Roman" w:hAnsi="Times New Roman" w:cs="Times New Roman"/>
          <w:i/>
          <w:iCs/>
          <w:sz w:val="17"/>
          <w:szCs w:val="17"/>
          <w:lang w:eastAsia="en-GB"/>
        </w:rPr>
        <w:t>DUAL</w:t>
      </w:r>
      <w:r w:rsidRPr="00BA06B6">
        <w:rPr>
          <w:rFonts w:ascii="Times New Roman" w:eastAsia="Times New Roman" w:hAnsi="Times New Roman" w:cs="Times New Roman"/>
          <w:sz w:val="17"/>
          <w:szCs w:val="17"/>
          <w:lang w:eastAsia="en-GB"/>
        </w:rPr>
        <w:t xml:space="preserve">, </w:t>
      </w:r>
      <w:r w:rsidRPr="00BA06B6">
        <w:rPr>
          <w:rFonts w:ascii="Times New Roman" w:eastAsia="Times New Roman" w:hAnsi="Times New Roman" w:cs="Times New Roman"/>
          <w:i/>
          <w:iCs/>
          <w:sz w:val="17"/>
          <w:szCs w:val="17"/>
          <w:lang w:eastAsia="en-GB"/>
        </w:rPr>
        <w:t>GDB</w:t>
      </w:r>
      <w:r w:rsidRPr="00BA06B6">
        <w:rPr>
          <w:rFonts w:ascii="Times New Roman" w:eastAsia="Times New Roman" w:hAnsi="Times New Roman" w:cs="Times New Roman"/>
          <w:sz w:val="17"/>
          <w:szCs w:val="17"/>
          <w:lang w:eastAsia="en-GB"/>
        </w:rPr>
        <w:t xml:space="preserve">, </w:t>
      </w:r>
      <w:r w:rsidRPr="00BA06B6">
        <w:rPr>
          <w:rFonts w:ascii="Times New Roman" w:eastAsia="Times New Roman" w:hAnsi="Times New Roman" w:cs="Times New Roman"/>
          <w:i/>
          <w:sz w:val="17"/>
          <w:szCs w:val="17"/>
          <w:lang w:eastAsia="en-GB"/>
        </w:rPr>
        <w:t>BBID</w:t>
      </w:r>
      <w:r w:rsidRPr="00BA06B6">
        <w:rPr>
          <w:rFonts w:ascii="Times New Roman" w:eastAsia="Times New Roman" w:hAnsi="Times New Roman" w:cs="Times New Roman"/>
          <w:sz w:val="17"/>
          <w:szCs w:val="17"/>
          <w:lang w:eastAsia="en-GB"/>
        </w:rPr>
        <w:t xml:space="preserve">, </w:t>
      </w:r>
      <w:r w:rsidRPr="00BA06B6">
        <w:rPr>
          <w:rFonts w:ascii="Times New Roman" w:eastAsia="Times New Roman" w:hAnsi="Times New Roman" w:cs="Times New Roman"/>
          <w:i/>
          <w:iCs/>
          <w:sz w:val="17"/>
          <w:szCs w:val="17"/>
          <w:lang w:eastAsia="en-GB"/>
        </w:rPr>
        <w:t>BOWN</w:t>
      </w:r>
      <w:r w:rsidRPr="00BA06B6">
        <w:rPr>
          <w:rFonts w:ascii="Times New Roman" w:eastAsia="Times New Roman" w:hAnsi="Times New Roman" w:cs="Times New Roman"/>
          <w:sz w:val="17"/>
          <w:szCs w:val="17"/>
          <w:lang w:eastAsia="en-GB"/>
        </w:rPr>
        <w:t xml:space="preserve">, </w:t>
      </w:r>
      <w:r w:rsidRPr="00BA06B6">
        <w:rPr>
          <w:rFonts w:ascii="Times New Roman" w:eastAsia="Times New Roman" w:hAnsi="Times New Roman" w:cs="Times New Roman"/>
          <w:i/>
          <w:iCs/>
          <w:sz w:val="17"/>
          <w:szCs w:val="17"/>
          <w:lang w:eastAsia="en-GB"/>
        </w:rPr>
        <w:t>GOWN</w:t>
      </w:r>
      <w:r w:rsidRPr="00BA06B6">
        <w:rPr>
          <w:rFonts w:ascii="Times New Roman" w:eastAsia="Times New Roman" w:hAnsi="Times New Roman" w:cs="Times New Roman"/>
          <w:sz w:val="17"/>
          <w:szCs w:val="17"/>
          <w:lang w:eastAsia="en-GB"/>
        </w:rPr>
        <w:t xml:space="preserve">, and </w:t>
      </w:r>
      <w:r w:rsidRPr="00BA06B6">
        <w:rPr>
          <w:rFonts w:ascii="Times New Roman" w:eastAsia="Times New Roman" w:hAnsi="Times New Roman" w:cs="Times New Roman"/>
          <w:i/>
          <w:sz w:val="17"/>
          <w:szCs w:val="17"/>
          <w:lang w:eastAsia="en-GB"/>
        </w:rPr>
        <w:t>FOWN.</w:t>
      </w:r>
      <w:r w:rsidRPr="00BA06B6">
        <w:rPr>
          <w:rFonts w:ascii="Times New Roman" w:eastAsia="Times New Roman" w:hAnsi="Times New Roman" w:cs="Times New Roman"/>
          <w:sz w:val="17"/>
          <w:szCs w:val="17"/>
          <w:lang w:eastAsia="en-GB"/>
        </w:rPr>
        <w:t xml:space="preserve"> CONTROLS refers to the control variables, including </w:t>
      </w:r>
      <w:r w:rsidRPr="00BA06B6">
        <w:rPr>
          <w:rFonts w:ascii="Times New Roman" w:eastAsia="Times New Roman" w:hAnsi="Times New Roman" w:cs="Times New Roman"/>
          <w:i/>
          <w:iCs/>
          <w:sz w:val="17"/>
          <w:szCs w:val="17"/>
          <w:lang w:eastAsia="en-GB"/>
        </w:rPr>
        <w:t>LNTA</w:t>
      </w:r>
      <w:r w:rsidRPr="00BA06B6">
        <w:rPr>
          <w:rFonts w:ascii="Times New Roman" w:eastAsia="Times New Roman" w:hAnsi="Times New Roman" w:cs="Times New Roman"/>
          <w:sz w:val="17"/>
          <w:szCs w:val="17"/>
          <w:lang w:eastAsia="en-GB"/>
        </w:rPr>
        <w:t xml:space="preserve">, </w:t>
      </w:r>
      <w:r w:rsidRPr="00BA06B6">
        <w:rPr>
          <w:rFonts w:ascii="Times New Roman" w:eastAsia="Times New Roman" w:hAnsi="Times New Roman" w:cs="Times New Roman"/>
          <w:i/>
          <w:iCs/>
          <w:sz w:val="17"/>
          <w:szCs w:val="17"/>
          <w:lang w:eastAsia="en-GB"/>
        </w:rPr>
        <w:t>ROAA</w:t>
      </w:r>
      <w:r w:rsidRPr="00BA06B6">
        <w:rPr>
          <w:rFonts w:ascii="Times New Roman" w:eastAsia="Times New Roman" w:hAnsi="Times New Roman" w:cs="Times New Roman"/>
          <w:sz w:val="17"/>
          <w:szCs w:val="17"/>
          <w:lang w:eastAsia="en-GB"/>
        </w:rPr>
        <w:t xml:space="preserve">, </w:t>
      </w:r>
      <w:r w:rsidRPr="00BA06B6">
        <w:rPr>
          <w:rFonts w:ascii="Times New Roman" w:eastAsia="Times New Roman" w:hAnsi="Times New Roman" w:cs="Times New Roman"/>
          <w:bCs/>
          <w:i/>
          <w:iCs/>
          <w:sz w:val="17"/>
          <w:szCs w:val="17"/>
          <w:lang w:eastAsia="en-GB"/>
        </w:rPr>
        <w:t>LIQ</w:t>
      </w:r>
      <w:r w:rsidRPr="00BA06B6">
        <w:rPr>
          <w:rFonts w:ascii="Times New Roman" w:eastAsia="Times New Roman" w:hAnsi="Times New Roman" w:cs="Times New Roman"/>
          <w:sz w:val="17"/>
          <w:szCs w:val="17"/>
          <w:lang w:eastAsia="en-GB"/>
        </w:rPr>
        <w:t xml:space="preserve">, </w:t>
      </w:r>
      <w:r w:rsidRPr="00BA06B6">
        <w:rPr>
          <w:rFonts w:ascii="Times New Roman" w:eastAsia="Times New Roman" w:hAnsi="Times New Roman" w:cs="Times New Roman"/>
          <w:bCs/>
          <w:i/>
          <w:iCs/>
          <w:sz w:val="17"/>
          <w:szCs w:val="17"/>
          <w:lang w:eastAsia="en-GB"/>
        </w:rPr>
        <w:t>INCD</w:t>
      </w:r>
      <w:r w:rsidRPr="00BA06B6">
        <w:rPr>
          <w:rFonts w:ascii="Times New Roman" w:eastAsia="Times New Roman" w:hAnsi="Times New Roman" w:cs="Times New Roman"/>
          <w:sz w:val="17"/>
          <w:szCs w:val="17"/>
          <w:lang w:eastAsia="en-GB"/>
        </w:rPr>
        <w:t xml:space="preserve">, </w:t>
      </w:r>
      <w:r w:rsidRPr="00BA06B6">
        <w:rPr>
          <w:rFonts w:ascii="Times New Roman" w:eastAsia="Times New Roman" w:hAnsi="Times New Roman" w:cs="Times New Roman"/>
          <w:bCs/>
          <w:i/>
          <w:iCs/>
          <w:sz w:val="17"/>
          <w:szCs w:val="17"/>
          <w:lang w:eastAsia="en-GB"/>
        </w:rPr>
        <w:t>COST</w:t>
      </w:r>
      <w:r w:rsidRPr="00BA06B6">
        <w:rPr>
          <w:rFonts w:ascii="Times New Roman" w:eastAsia="Times New Roman" w:hAnsi="Times New Roman" w:cs="Times New Roman"/>
          <w:sz w:val="17"/>
          <w:szCs w:val="17"/>
          <w:lang w:eastAsia="en-GB"/>
        </w:rPr>
        <w:t xml:space="preserve">, </w:t>
      </w:r>
      <w:r w:rsidRPr="00BA06B6">
        <w:rPr>
          <w:rFonts w:ascii="Times New Roman" w:eastAsia="Times New Roman" w:hAnsi="Times New Roman" w:cs="Times New Roman"/>
          <w:bCs/>
          <w:i/>
          <w:iCs/>
          <w:sz w:val="17"/>
          <w:szCs w:val="17"/>
          <w:lang w:eastAsia="en-GB"/>
        </w:rPr>
        <w:t>CAP</w:t>
      </w:r>
      <w:r w:rsidRPr="00BA06B6">
        <w:rPr>
          <w:rFonts w:ascii="Times New Roman" w:eastAsia="Times New Roman" w:hAnsi="Times New Roman" w:cs="Times New Roman"/>
          <w:sz w:val="17"/>
          <w:szCs w:val="17"/>
          <w:lang w:eastAsia="en-GB"/>
        </w:rPr>
        <w:t xml:space="preserve">, </w:t>
      </w:r>
      <w:r w:rsidRPr="00BA06B6">
        <w:rPr>
          <w:rFonts w:ascii="Times New Roman" w:eastAsia="Times New Roman" w:hAnsi="Times New Roman" w:cs="Times New Roman"/>
          <w:bCs/>
          <w:i/>
          <w:iCs/>
          <w:sz w:val="17"/>
          <w:szCs w:val="17"/>
          <w:lang w:eastAsia="en-GB"/>
        </w:rPr>
        <w:t>V&amp;A</w:t>
      </w:r>
      <w:r w:rsidRPr="00BA06B6">
        <w:rPr>
          <w:rFonts w:ascii="Times New Roman" w:eastAsia="Times New Roman" w:hAnsi="Times New Roman" w:cs="Times New Roman"/>
          <w:bCs/>
          <w:sz w:val="17"/>
          <w:szCs w:val="17"/>
          <w:lang w:eastAsia="en-GB"/>
        </w:rPr>
        <w:t xml:space="preserve">, </w:t>
      </w:r>
      <w:r w:rsidRPr="00BA06B6">
        <w:rPr>
          <w:rFonts w:ascii="Times New Roman" w:eastAsia="Times New Roman" w:hAnsi="Times New Roman" w:cs="Times New Roman"/>
          <w:bCs/>
          <w:i/>
          <w:iCs/>
          <w:sz w:val="17"/>
          <w:szCs w:val="17"/>
          <w:lang w:eastAsia="en-GB"/>
        </w:rPr>
        <w:t>RQ</w:t>
      </w:r>
      <w:r w:rsidRPr="00BA06B6">
        <w:rPr>
          <w:rFonts w:ascii="Times New Roman" w:eastAsia="Times New Roman" w:hAnsi="Times New Roman" w:cs="Times New Roman"/>
          <w:bCs/>
          <w:sz w:val="17"/>
          <w:szCs w:val="17"/>
          <w:lang w:eastAsia="en-GB"/>
        </w:rPr>
        <w:t xml:space="preserve">, </w:t>
      </w:r>
      <w:r w:rsidRPr="00BA06B6">
        <w:rPr>
          <w:rFonts w:ascii="Times New Roman" w:eastAsia="Times New Roman" w:hAnsi="Times New Roman" w:cs="Times New Roman"/>
          <w:bCs/>
          <w:i/>
          <w:sz w:val="17"/>
          <w:szCs w:val="17"/>
          <w:lang w:val="en-US" w:eastAsia="en-GB"/>
        </w:rPr>
        <w:t>RL</w:t>
      </w:r>
      <w:r w:rsidRPr="00BA06B6">
        <w:rPr>
          <w:rFonts w:ascii="Times New Roman" w:eastAsia="Times New Roman" w:hAnsi="Times New Roman" w:cs="Times New Roman"/>
          <w:bCs/>
          <w:sz w:val="17"/>
          <w:szCs w:val="17"/>
          <w:lang w:val="en-US" w:eastAsia="en-GB"/>
        </w:rPr>
        <w:t xml:space="preserve">, </w:t>
      </w:r>
      <w:r w:rsidRPr="00BA06B6">
        <w:rPr>
          <w:rFonts w:ascii="Times New Roman" w:eastAsia="Times New Roman" w:hAnsi="Times New Roman" w:cs="Times New Roman"/>
          <w:i/>
          <w:sz w:val="17"/>
          <w:szCs w:val="17"/>
          <w:lang w:eastAsia="en-GB"/>
        </w:rPr>
        <w:t>YD</w:t>
      </w:r>
      <w:r w:rsidRPr="00BA06B6">
        <w:rPr>
          <w:rFonts w:ascii="Times New Roman" w:eastAsia="Times New Roman" w:hAnsi="Times New Roman" w:cs="Times New Roman"/>
          <w:sz w:val="17"/>
          <w:szCs w:val="17"/>
          <w:lang w:eastAsia="en-GB"/>
        </w:rPr>
        <w:t xml:space="preserve">, </w:t>
      </w:r>
      <w:r w:rsidRPr="00BA06B6">
        <w:rPr>
          <w:rFonts w:ascii="Times New Roman" w:eastAsia="Times New Roman" w:hAnsi="Times New Roman" w:cs="Times New Roman"/>
          <w:i/>
          <w:iCs/>
          <w:sz w:val="17"/>
          <w:szCs w:val="17"/>
          <w:lang w:eastAsia="en-GB"/>
        </w:rPr>
        <w:t>INFL</w:t>
      </w:r>
      <w:r w:rsidRPr="00BA06B6">
        <w:rPr>
          <w:rFonts w:ascii="Times New Roman" w:eastAsia="Times New Roman" w:hAnsi="Times New Roman" w:cs="Times New Roman"/>
          <w:sz w:val="17"/>
          <w:szCs w:val="17"/>
          <w:lang w:eastAsia="en-GB"/>
        </w:rPr>
        <w:t xml:space="preserve">, and </w:t>
      </w:r>
      <w:r w:rsidRPr="00BA06B6">
        <w:rPr>
          <w:rFonts w:ascii="Times New Roman" w:eastAsia="Times New Roman" w:hAnsi="Times New Roman" w:cs="Times New Roman"/>
          <w:i/>
          <w:iCs/>
          <w:sz w:val="17"/>
          <w:szCs w:val="17"/>
          <w:lang w:eastAsia="en-GB"/>
        </w:rPr>
        <w:t>GDP</w:t>
      </w:r>
      <w:r w:rsidRPr="00BA06B6">
        <w:rPr>
          <w:rFonts w:ascii="Times New Roman" w:eastAsia="Times New Roman" w:hAnsi="Times New Roman" w:cs="Times New Roman"/>
          <w:sz w:val="17"/>
          <w:szCs w:val="17"/>
          <w:lang w:eastAsia="en-GB"/>
        </w:rPr>
        <w:t xml:space="preserve">; </w:t>
      </w:r>
      <w:r w:rsidRPr="00BA06B6">
        <w:rPr>
          <w:rFonts w:ascii="Times New Roman" w:eastAsia="Calibri" w:hAnsi="Times New Roman" w:cs="Times New Roman"/>
          <w:position w:val="-6"/>
          <w:sz w:val="17"/>
          <w:szCs w:val="17"/>
        </w:rPr>
        <w:object w:dxaOrig="200" w:dyaOrig="220" w14:anchorId="2804AC26">
          <v:shape id="_x0000_i1028" type="#_x0000_t75" style="width:10.5pt;height:10.5pt" o:ole="">
            <v:imagedata r:id="rId29" o:title=""/>
          </v:shape>
          <o:OLEObject Type="Embed" ProgID="Equation.3" ShapeID="_x0000_i1028" DrawAspect="Content" ObjectID="_1654109776" r:id="rId30"/>
        </w:object>
      </w:r>
      <w:r w:rsidRPr="00BA06B6">
        <w:rPr>
          <w:rFonts w:ascii="Times New Roman" w:eastAsia="Calibri" w:hAnsi="Times New Roman" w:cs="Times New Roman"/>
          <w:sz w:val="17"/>
          <w:szCs w:val="17"/>
        </w:rPr>
        <w:t xml:space="preserve"> </w:t>
      </w:r>
      <w:r w:rsidRPr="00BA06B6">
        <w:rPr>
          <w:rFonts w:ascii="Times New Roman" w:eastAsia="Times New Roman" w:hAnsi="Times New Roman" w:cs="Times New Roman"/>
          <w:bCs/>
          <w:sz w:val="17"/>
          <w:szCs w:val="17"/>
          <w:lang w:eastAsia="en-GB"/>
        </w:rPr>
        <w:t>refers to</w:t>
      </w:r>
      <w:r w:rsidRPr="00BA06B6">
        <w:rPr>
          <w:rFonts w:ascii="Times New Roman" w:eastAsia="Times New Roman" w:hAnsi="Times New Roman" w:cs="Times New Roman"/>
          <w:sz w:val="17"/>
          <w:szCs w:val="17"/>
          <w:lang w:eastAsia="en-GB"/>
        </w:rPr>
        <w:t xml:space="preserve"> the error term; </w:t>
      </w:r>
      <m:oMath>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α</m:t>
            </m:r>
          </m:e>
          <m:sub>
            <m:r>
              <w:rPr>
                <w:rFonts w:ascii="Cambria Math" w:eastAsia="Calibri" w:hAnsi="Cambria Math" w:cs="Times New Roman"/>
                <w:sz w:val="17"/>
                <w:szCs w:val="17"/>
              </w:rPr>
              <m:t>0</m:t>
            </m:r>
          </m:sub>
        </m:sSub>
      </m:oMath>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bCs/>
          <w:sz w:val="17"/>
          <w:szCs w:val="17"/>
        </w:rPr>
        <w:t>refers to</w:t>
      </w:r>
      <w:r w:rsidRPr="00BA06B6">
        <w:rPr>
          <w:rFonts w:ascii="Times New Roman" w:eastAsia="Calibri" w:hAnsi="Times New Roman" w:cs="Times New Roman"/>
          <w:sz w:val="17"/>
          <w:szCs w:val="17"/>
        </w:rPr>
        <w:t xml:space="preserve"> the constant; </w:t>
      </w:r>
      <m:oMath>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β</m:t>
            </m:r>
          </m:e>
          <m:sub>
            <m:r>
              <w:rPr>
                <w:rFonts w:ascii="Cambria Math" w:eastAsia="Calibri" w:hAnsi="Cambria Math" w:cs="Times New Roman"/>
                <w:sz w:val="17"/>
                <w:szCs w:val="17"/>
              </w:rPr>
              <m:t>i</m:t>
            </m:r>
          </m:sub>
        </m:sSub>
      </m:oMath>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bCs/>
          <w:sz w:val="17"/>
          <w:szCs w:val="17"/>
        </w:rPr>
        <w:t xml:space="preserve">refers </w:t>
      </w:r>
      <w:r w:rsidRPr="00BA06B6">
        <w:rPr>
          <w:rFonts w:ascii="Times New Roman" w:eastAsia="Times New Roman" w:hAnsi="Times New Roman" w:cs="Times New Roman"/>
          <w:bCs/>
          <w:sz w:val="17"/>
          <w:szCs w:val="17"/>
          <w:lang w:eastAsia="en-GB"/>
        </w:rPr>
        <w:t>to</w:t>
      </w:r>
      <w:r w:rsidRPr="00BA06B6">
        <w:rPr>
          <w:rFonts w:ascii="Times New Roman" w:eastAsia="Times New Roman" w:hAnsi="Times New Roman" w:cs="Times New Roman"/>
          <w:sz w:val="17"/>
          <w:szCs w:val="17"/>
          <w:lang w:eastAsia="en-GB"/>
        </w:rPr>
        <w:t xml:space="preserve"> the vectors of coefficient estimates; </w:t>
      </w:r>
      <w:r w:rsidRPr="00BA06B6">
        <w:rPr>
          <w:rFonts w:ascii="Times New Roman" w:eastAsia="Times New Roman" w:hAnsi="Times New Roman" w:cs="Times New Roman"/>
          <w:i/>
          <w:iCs/>
          <w:sz w:val="17"/>
          <w:szCs w:val="17"/>
          <w:lang w:eastAsia="en-GB"/>
        </w:rPr>
        <w:t>b</w:t>
      </w:r>
      <w:r w:rsidRPr="00BA06B6">
        <w:rPr>
          <w:rFonts w:ascii="Times New Roman" w:eastAsia="Times New Roman" w:hAnsi="Times New Roman" w:cs="Times New Roman"/>
          <w:sz w:val="17"/>
          <w:szCs w:val="17"/>
          <w:lang w:eastAsia="en-GB"/>
        </w:rPr>
        <w:t xml:space="preserve"> is bank in </w:t>
      </w:r>
      <w:r w:rsidRPr="00BA06B6">
        <w:rPr>
          <w:rFonts w:ascii="Times New Roman" w:eastAsia="Times New Roman" w:hAnsi="Times New Roman" w:cs="Times New Roman"/>
          <w:i/>
          <w:iCs/>
          <w:sz w:val="17"/>
          <w:szCs w:val="17"/>
          <w:lang w:eastAsia="en-GB"/>
        </w:rPr>
        <w:t>t</w:t>
      </w:r>
      <w:r w:rsidRPr="00BA06B6">
        <w:rPr>
          <w:rFonts w:ascii="Times New Roman" w:eastAsia="Times New Roman" w:hAnsi="Times New Roman" w:cs="Times New Roman"/>
          <w:sz w:val="17"/>
          <w:szCs w:val="17"/>
          <w:lang w:eastAsia="en-GB"/>
        </w:rPr>
        <w:t xml:space="preserve"> time. </w:t>
      </w:r>
      <w:r w:rsidRPr="00BA06B6">
        <w:rPr>
          <w:rFonts w:ascii="Times New Roman" w:eastAsia="Calibri" w:hAnsi="Times New Roman" w:cs="Times New Roman"/>
          <w:sz w:val="17"/>
          <w:szCs w:val="17"/>
        </w:rPr>
        <w:t>Variables are defined as follows: Fitch long-term issuer default ratings (</w:t>
      </w:r>
      <w:r w:rsidRPr="00BA06B6">
        <w:rPr>
          <w:rFonts w:ascii="Times New Roman" w:eastAsia="Calibri" w:hAnsi="Times New Roman" w:cs="Times New Roman"/>
          <w:i/>
          <w:iCs/>
          <w:sz w:val="17"/>
          <w:szCs w:val="17"/>
        </w:rPr>
        <w:t>RATE</w:t>
      </w:r>
      <w:r w:rsidRPr="00BA06B6">
        <w:rPr>
          <w:rFonts w:ascii="Times New Roman" w:eastAsia="Calibri" w:hAnsi="Times New Roman" w:cs="Times New Roman"/>
          <w:sz w:val="17"/>
          <w:szCs w:val="17"/>
        </w:rPr>
        <w:t>); risk disclosures quality (</w:t>
      </w:r>
      <w:r w:rsidRPr="00BA06B6">
        <w:rPr>
          <w:rFonts w:ascii="Times New Roman" w:eastAsia="Calibri" w:hAnsi="Times New Roman" w:cs="Times New Roman"/>
          <w:i/>
          <w:iCs/>
          <w:sz w:val="17"/>
          <w:szCs w:val="17"/>
        </w:rPr>
        <w:t>RDI</w:t>
      </w:r>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i/>
          <w:iCs/>
          <w:sz w:val="17"/>
          <w:szCs w:val="17"/>
        </w:rPr>
        <w:t>Shariah</w:t>
      </w:r>
      <w:r w:rsidRPr="00BA06B6">
        <w:rPr>
          <w:rFonts w:ascii="Times New Roman" w:eastAsia="Calibri" w:hAnsi="Times New Roman" w:cs="Times New Roman"/>
          <w:sz w:val="17"/>
          <w:szCs w:val="17"/>
        </w:rPr>
        <w:t xml:space="preserve"> supervisory board (</w:t>
      </w:r>
      <w:r w:rsidRPr="00BA06B6">
        <w:rPr>
          <w:rFonts w:ascii="Times New Roman" w:eastAsia="Calibri" w:hAnsi="Times New Roman" w:cs="Times New Roman"/>
          <w:i/>
          <w:iCs/>
          <w:sz w:val="17"/>
          <w:szCs w:val="17"/>
        </w:rPr>
        <w:t>SSB</w:t>
      </w:r>
      <w:r w:rsidRPr="00BA06B6">
        <w:rPr>
          <w:rFonts w:ascii="Times New Roman" w:eastAsia="Calibri" w:hAnsi="Times New Roman" w:cs="Times New Roman"/>
          <w:sz w:val="17"/>
          <w:szCs w:val="17"/>
        </w:rPr>
        <w:t>); board size (</w:t>
      </w:r>
      <w:r w:rsidRPr="00BA06B6">
        <w:rPr>
          <w:rFonts w:ascii="Times New Roman" w:eastAsia="Calibri" w:hAnsi="Times New Roman" w:cs="Times New Roman"/>
          <w:i/>
          <w:iCs/>
          <w:sz w:val="17"/>
          <w:szCs w:val="17"/>
        </w:rPr>
        <w:t>BS</w:t>
      </w:r>
      <w:r w:rsidRPr="00BA06B6">
        <w:rPr>
          <w:rFonts w:ascii="Times New Roman" w:eastAsia="Calibri" w:hAnsi="Times New Roman" w:cs="Times New Roman"/>
          <w:sz w:val="17"/>
          <w:szCs w:val="17"/>
        </w:rPr>
        <w:t>); CEO duality (</w:t>
      </w:r>
      <w:r w:rsidRPr="00BA06B6">
        <w:rPr>
          <w:rFonts w:ascii="Times New Roman" w:eastAsia="Calibri" w:hAnsi="Times New Roman" w:cs="Times New Roman"/>
          <w:i/>
          <w:iCs/>
          <w:sz w:val="17"/>
          <w:szCs w:val="17"/>
        </w:rPr>
        <w:t>DUAL</w:t>
      </w:r>
      <w:r w:rsidRPr="00BA06B6">
        <w:rPr>
          <w:rFonts w:ascii="Times New Roman" w:eastAsia="Calibri" w:hAnsi="Times New Roman" w:cs="Times New Roman"/>
          <w:sz w:val="17"/>
          <w:szCs w:val="17"/>
        </w:rPr>
        <w:t>); gender diversity (</w:t>
      </w:r>
      <w:r w:rsidRPr="00BA06B6">
        <w:rPr>
          <w:rFonts w:ascii="Times New Roman" w:eastAsia="Calibri" w:hAnsi="Times New Roman" w:cs="Times New Roman"/>
          <w:i/>
          <w:iCs/>
          <w:sz w:val="17"/>
          <w:szCs w:val="17"/>
        </w:rPr>
        <w:t>GDB</w:t>
      </w:r>
      <w:r w:rsidRPr="00BA06B6">
        <w:rPr>
          <w:rFonts w:ascii="Times New Roman" w:eastAsia="Calibri" w:hAnsi="Times New Roman" w:cs="Times New Roman"/>
          <w:sz w:val="17"/>
          <w:szCs w:val="17"/>
        </w:rPr>
        <w:t xml:space="preserve">); percentage of </w:t>
      </w:r>
      <w:r w:rsidRPr="00BA06B6">
        <w:rPr>
          <w:rFonts w:ascii="Times New Roman" w:eastAsia="Calibri" w:hAnsi="Times New Roman" w:cs="Times New Roman"/>
          <w:bCs/>
          <w:sz w:val="17"/>
          <w:szCs w:val="17"/>
        </w:rPr>
        <w:t>non-executives directors (</w:t>
      </w:r>
      <w:r w:rsidRPr="00BA06B6">
        <w:rPr>
          <w:rFonts w:ascii="Times New Roman" w:eastAsia="Calibri" w:hAnsi="Times New Roman" w:cs="Times New Roman"/>
          <w:bCs/>
          <w:i/>
          <w:iCs/>
          <w:sz w:val="17"/>
          <w:szCs w:val="17"/>
        </w:rPr>
        <w:t>BBID</w:t>
      </w:r>
      <w:r w:rsidRPr="00BA06B6">
        <w:rPr>
          <w:rFonts w:ascii="Times New Roman" w:eastAsia="Calibri" w:hAnsi="Times New Roman" w:cs="Times New Roman"/>
          <w:bCs/>
          <w:sz w:val="17"/>
          <w:szCs w:val="17"/>
        </w:rPr>
        <w:t>)</w:t>
      </w:r>
      <w:r w:rsidRPr="00BA06B6">
        <w:rPr>
          <w:rFonts w:ascii="Times New Roman" w:eastAsia="Calibri" w:hAnsi="Times New Roman" w:cs="Times New Roman"/>
          <w:sz w:val="17"/>
          <w:szCs w:val="17"/>
        </w:rPr>
        <w:t>; block ownership (</w:t>
      </w:r>
      <w:r w:rsidRPr="00BA06B6">
        <w:rPr>
          <w:rFonts w:ascii="Times New Roman" w:eastAsia="Calibri" w:hAnsi="Times New Roman" w:cs="Times New Roman"/>
          <w:i/>
          <w:iCs/>
          <w:sz w:val="17"/>
          <w:szCs w:val="17"/>
        </w:rPr>
        <w:t>BOWN</w:t>
      </w:r>
      <w:r w:rsidRPr="00BA06B6">
        <w:rPr>
          <w:rFonts w:ascii="Times New Roman" w:eastAsia="Calibri" w:hAnsi="Times New Roman" w:cs="Times New Roman"/>
          <w:sz w:val="17"/>
          <w:szCs w:val="17"/>
        </w:rPr>
        <w:t>); government ownership (</w:t>
      </w:r>
      <w:r w:rsidRPr="00BA06B6">
        <w:rPr>
          <w:rFonts w:ascii="Times New Roman" w:eastAsia="Calibri" w:hAnsi="Times New Roman" w:cs="Times New Roman"/>
          <w:i/>
          <w:iCs/>
          <w:sz w:val="17"/>
          <w:szCs w:val="17"/>
        </w:rPr>
        <w:t>GOWN</w:t>
      </w:r>
      <w:r w:rsidRPr="00BA06B6">
        <w:rPr>
          <w:rFonts w:ascii="Times New Roman" w:eastAsia="Calibri" w:hAnsi="Times New Roman" w:cs="Times New Roman"/>
          <w:sz w:val="17"/>
          <w:szCs w:val="17"/>
        </w:rPr>
        <w:t>); foreign ownership (</w:t>
      </w:r>
      <w:r w:rsidRPr="00BA06B6">
        <w:rPr>
          <w:rFonts w:ascii="Times New Roman" w:eastAsia="Calibri" w:hAnsi="Times New Roman" w:cs="Times New Roman"/>
          <w:i/>
          <w:iCs/>
          <w:sz w:val="17"/>
          <w:szCs w:val="17"/>
        </w:rPr>
        <w:t>FOWN</w:t>
      </w:r>
      <w:r w:rsidRPr="00BA06B6">
        <w:rPr>
          <w:rFonts w:ascii="Times New Roman" w:eastAsia="Calibri" w:hAnsi="Times New Roman" w:cs="Times New Roman"/>
          <w:sz w:val="17"/>
          <w:szCs w:val="17"/>
        </w:rPr>
        <w:t>); bank size (</w:t>
      </w:r>
      <w:r w:rsidRPr="00BA06B6">
        <w:rPr>
          <w:rFonts w:ascii="Times New Roman" w:eastAsia="Calibri" w:hAnsi="Times New Roman" w:cs="Times New Roman"/>
          <w:i/>
          <w:iCs/>
          <w:sz w:val="17"/>
          <w:szCs w:val="17"/>
        </w:rPr>
        <w:t>LNTA</w:t>
      </w:r>
      <w:r w:rsidRPr="00BA06B6">
        <w:rPr>
          <w:rFonts w:ascii="Times New Roman" w:eastAsia="Calibri" w:hAnsi="Times New Roman" w:cs="Times New Roman"/>
          <w:sz w:val="17"/>
          <w:szCs w:val="17"/>
        </w:rPr>
        <w:t>); performance (</w:t>
      </w:r>
      <w:r w:rsidRPr="00BA06B6">
        <w:rPr>
          <w:rFonts w:ascii="Times New Roman" w:eastAsia="Calibri" w:hAnsi="Times New Roman" w:cs="Times New Roman"/>
          <w:i/>
          <w:iCs/>
          <w:sz w:val="17"/>
          <w:szCs w:val="17"/>
        </w:rPr>
        <w:t>ROAA</w:t>
      </w:r>
      <w:r w:rsidRPr="00BA06B6">
        <w:rPr>
          <w:rFonts w:ascii="Times New Roman" w:eastAsia="Calibri" w:hAnsi="Times New Roman" w:cs="Times New Roman"/>
          <w:sz w:val="17"/>
          <w:szCs w:val="17"/>
        </w:rPr>
        <w:t>); liquidity (</w:t>
      </w:r>
      <w:r w:rsidRPr="00BA06B6">
        <w:rPr>
          <w:rFonts w:ascii="Times New Roman" w:eastAsia="Calibri" w:hAnsi="Times New Roman" w:cs="Times New Roman"/>
          <w:i/>
          <w:iCs/>
          <w:sz w:val="17"/>
          <w:szCs w:val="17"/>
        </w:rPr>
        <w:t>LIQ</w:t>
      </w:r>
      <w:r w:rsidRPr="00BA06B6">
        <w:rPr>
          <w:rFonts w:ascii="Times New Roman" w:eastAsia="Calibri" w:hAnsi="Times New Roman" w:cs="Times New Roman"/>
          <w:sz w:val="17"/>
          <w:szCs w:val="17"/>
        </w:rPr>
        <w:t>); income diversity (</w:t>
      </w:r>
      <w:r w:rsidRPr="00BA06B6">
        <w:rPr>
          <w:rFonts w:ascii="Times New Roman" w:eastAsia="Calibri" w:hAnsi="Times New Roman" w:cs="Times New Roman"/>
          <w:i/>
          <w:iCs/>
          <w:sz w:val="17"/>
          <w:szCs w:val="17"/>
        </w:rPr>
        <w:t>INCD</w:t>
      </w:r>
      <w:r w:rsidRPr="00BA06B6">
        <w:rPr>
          <w:rFonts w:ascii="Times New Roman" w:eastAsia="Calibri" w:hAnsi="Times New Roman" w:cs="Times New Roman"/>
          <w:sz w:val="17"/>
          <w:szCs w:val="17"/>
        </w:rPr>
        <w:t>); operational efficiency (</w:t>
      </w:r>
      <w:r w:rsidRPr="00BA06B6">
        <w:rPr>
          <w:rFonts w:ascii="Times New Roman" w:eastAsia="Calibri" w:hAnsi="Times New Roman" w:cs="Times New Roman"/>
          <w:i/>
          <w:iCs/>
          <w:sz w:val="17"/>
          <w:szCs w:val="17"/>
        </w:rPr>
        <w:t>COST</w:t>
      </w:r>
      <w:r w:rsidRPr="00BA06B6">
        <w:rPr>
          <w:rFonts w:ascii="Times New Roman" w:eastAsia="Calibri" w:hAnsi="Times New Roman" w:cs="Times New Roman"/>
          <w:sz w:val="17"/>
          <w:szCs w:val="17"/>
        </w:rPr>
        <w:t>); capital (</w:t>
      </w:r>
      <w:r w:rsidRPr="00BA06B6">
        <w:rPr>
          <w:rFonts w:ascii="Times New Roman" w:eastAsia="Calibri" w:hAnsi="Times New Roman" w:cs="Times New Roman"/>
          <w:i/>
          <w:iCs/>
          <w:sz w:val="17"/>
          <w:szCs w:val="17"/>
        </w:rPr>
        <w:t>CAP</w:t>
      </w:r>
      <w:r w:rsidRPr="00BA06B6">
        <w:rPr>
          <w:rFonts w:ascii="Times New Roman" w:eastAsia="Calibri" w:hAnsi="Times New Roman" w:cs="Times New Roman"/>
          <w:sz w:val="17"/>
          <w:szCs w:val="17"/>
        </w:rPr>
        <w:t>);  voice and accountability (</w:t>
      </w:r>
      <w:r w:rsidRPr="00BA06B6">
        <w:rPr>
          <w:rFonts w:ascii="Times New Roman" w:eastAsia="Calibri" w:hAnsi="Times New Roman" w:cs="Times New Roman"/>
          <w:i/>
          <w:iCs/>
          <w:sz w:val="17"/>
          <w:szCs w:val="17"/>
        </w:rPr>
        <w:t>V&amp;A</w:t>
      </w:r>
      <w:r w:rsidRPr="00BA06B6">
        <w:rPr>
          <w:rFonts w:ascii="Times New Roman" w:eastAsia="Calibri" w:hAnsi="Times New Roman" w:cs="Times New Roman"/>
          <w:sz w:val="17"/>
          <w:szCs w:val="17"/>
        </w:rPr>
        <w:t>); regulatory quality (</w:t>
      </w:r>
      <w:r w:rsidRPr="00BA06B6">
        <w:rPr>
          <w:rFonts w:ascii="Times New Roman" w:eastAsia="Calibri" w:hAnsi="Times New Roman" w:cs="Times New Roman"/>
          <w:i/>
          <w:iCs/>
          <w:sz w:val="17"/>
          <w:szCs w:val="17"/>
        </w:rPr>
        <w:t>RQ</w:t>
      </w:r>
      <w:r w:rsidRPr="00BA06B6">
        <w:rPr>
          <w:rFonts w:ascii="Times New Roman" w:eastAsia="Calibri" w:hAnsi="Times New Roman" w:cs="Times New Roman"/>
          <w:sz w:val="17"/>
          <w:szCs w:val="17"/>
        </w:rPr>
        <w:t>); rule of low (</w:t>
      </w:r>
      <w:r w:rsidRPr="00BA06B6">
        <w:rPr>
          <w:rFonts w:ascii="Times New Roman" w:eastAsia="Calibri" w:hAnsi="Times New Roman" w:cs="Times New Roman"/>
          <w:i/>
          <w:iCs/>
          <w:sz w:val="17"/>
          <w:szCs w:val="17"/>
        </w:rPr>
        <w:t>RL</w:t>
      </w:r>
      <w:r w:rsidRPr="00BA06B6">
        <w:rPr>
          <w:rFonts w:ascii="Times New Roman" w:eastAsia="Calibri" w:hAnsi="Times New Roman" w:cs="Times New Roman"/>
          <w:sz w:val="17"/>
          <w:szCs w:val="17"/>
        </w:rPr>
        <w:t>); inflation (</w:t>
      </w:r>
      <w:r w:rsidRPr="00BA06B6">
        <w:rPr>
          <w:rFonts w:ascii="Times New Roman" w:eastAsia="Calibri" w:hAnsi="Times New Roman" w:cs="Times New Roman"/>
          <w:i/>
          <w:iCs/>
          <w:sz w:val="17"/>
          <w:szCs w:val="17"/>
        </w:rPr>
        <w:t>INFL</w:t>
      </w:r>
      <w:r w:rsidRPr="00BA06B6">
        <w:rPr>
          <w:rFonts w:ascii="Times New Roman" w:eastAsia="Calibri" w:hAnsi="Times New Roman" w:cs="Times New Roman"/>
          <w:sz w:val="17"/>
          <w:szCs w:val="17"/>
        </w:rPr>
        <w:t>) and GDP per capita (</w:t>
      </w:r>
      <w:r w:rsidRPr="00BA06B6">
        <w:rPr>
          <w:rFonts w:ascii="Times New Roman" w:eastAsia="Calibri" w:hAnsi="Times New Roman" w:cs="Times New Roman"/>
          <w:i/>
          <w:iCs/>
          <w:sz w:val="17"/>
          <w:szCs w:val="17"/>
        </w:rPr>
        <w:t>GDP</w:t>
      </w:r>
      <w:r w:rsidRPr="00BA06B6">
        <w:rPr>
          <w:rFonts w:ascii="Times New Roman" w:eastAsia="Calibri" w:hAnsi="Times New Roman" w:cs="Times New Roman"/>
          <w:sz w:val="17"/>
          <w:szCs w:val="17"/>
        </w:rPr>
        <w:t>). Table 3 fully defines all the variables used.</w:t>
      </w:r>
      <w:r w:rsidRPr="00BA06B6">
        <w:rPr>
          <w:rFonts w:ascii="Times New Roman" w:eastAsia="Calibri" w:hAnsi="Times New Roman" w:cs="Times New Roman"/>
          <w:sz w:val="17"/>
          <w:szCs w:val="17"/>
        </w:rPr>
        <w:tab/>
      </w:r>
      <w:r w:rsidRPr="00BA06B6">
        <w:rPr>
          <w:rFonts w:ascii="Times New Roman" w:eastAsia="Calibri" w:hAnsi="Times New Roman" w:cs="Times New Roman"/>
          <w:b/>
          <w:bCs/>
          <w:sz w:val="20"/>
          <w:szCs w:val="20"/>
        </w:rPr>
        <w:br w:type="page"/>
      </w:r>
      <w:r w:rsidRPr="00BA06B6">
        <w:rPr>
          <w:rFonts w:ascii="Times New Roman" w:eastAsia="Calibri" w:hAnsi="Times New Roman" w:cs="Times New Roman"/>
          <w:b/>
          <w:bCs/>
          <w:sz w:val="20"/>
          <w:szCs w:val="20"/>
        </w:rPr>
        <w:lastRenderedPageBreak/>
        <w:t xml:space="preserve">TABLE 8   </w:t>
      </w:r>
      <w:r w:rsidRPr="00BA06B6">
        <w:rPr>
          <w:rFonts w:ascii="Times New Roman" w:eastAsia="Calibri" w:hAnsi="Times New Roman" w:cs="Times New Roman"/>
          <w:sz w:val="20"/>
          <w:szCs w:val="20"/>
        </w:rPr>
        <w:t>The moderating effect of governance structures on the relationship between risk disclosures and banks’ ratings</w:t>
      </w:r>
      <w:r w:rsidRPr="00BA06B6">
        <w:rPr>
          <w:rFonts w:ascii="Calibri" w:eastAsia="Calibri" w:hAnsi="Calibri" w:cs="Arial"/>
        </w:rPr>
        <w:t xml:space="preserve"> </w:t>
      </w:r>
      <w:r w:rsidRPr="00BA06B6">
        <w:rPr>
          <w:rFonts w:ascii="Times New Roman" w:eastAsia="Calibri" w:hAnsi="Times New Roman" w:cs="Times New Roman"/>
          <w:sz w:val="20"/>
          <w:szCs w:val="20"/>
        </w:rPr>
        <w:t>using ordered logistic regression</w:t>
      </w:r>
    </w:p>
    <w:tbl>
      <w:tblPr>
        <w:tblStyle w:val="TableGrid2"/>
        <w:tblW w:w="640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93"/>
        <w:gridCol w:w="980"/>
        <w:gridCol w:w="984"/>
        <w:gridCol w:w="984"/>
        <w:gridCol w:w="984"/>
        <w:gridCol w:w="860"/>
        <w:gridCol w:w="973"/>
        <w:gridCol w:w="896"/>
        <w:gridCol w:w="746"/>
        <w:gridCol w:w="947"/>
        <w:gridCol w:w="857"/>
        <w:gridCol w:w="858"/>
      </w:tblGrid>
      <w:tr w:rsidR="00BA06B6" w:rsidRPr="00BA06B6" w14:paraId="1E08BA3A" w14:textId="77777777" w:rsidTr="00B91469">
        <w:trPr>
          <w:trHeight w:val="20"/>
          <w:tblHeader/>
          <w:jc w:val="center"/>
        </w:trPr>
        <w:tc>
          <w:tcPr>
            <w:tcW w:w="647" w:type="pct"/>
            <w:vMerge w:val="restart"/>
            <w:tcBorders>
              <w:top w:val="single" w:sz="12" w:space="0" w:color="auto"/>
            </w:tcBorders>
            <w:shd w:val="clear" w:color="auto" w:fill="FFFFFF" w:themeFill="background1"/>
          </w:tcPr>
          <w:p w14:paraId="523EA567"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Variables</w:t>
            </w:r>
          </w:p>
        </w:tc>
        <w:tc>
          <w:tcPr>
            <w:tcW w:w="3609" w:type="pct"/>
            <w:gridSpan w:val="9"/>
            <w:tcBorders>
              <w:top w:val="single" w:sz="12" w:space="0" w:color="auto"/>
              <w:bottom w:val="single" w:sz="4" w:space="0" w:color="auto"/>
            </w:tcBorders>
            <w:shd w:val="clear" w:color="auto" w:fill="FFFFFF" w:themeFill="background1"/>
            <w:vAlign w:val="bottom"/>
          </w:tcPr>
          <w:p w14:paraId="485C3889" w14:textId="77777777" w:rsidR="00AA068C" w:rsidRPr="00BA06B6" w:rsidRDefault="00AA068C" w:rsidP="00BC341D">
            <w:pPr>
              <w:tabs>
                <w:tab w:val="left" w:pos="851"/>
              </w:tabs>
              <w:jc w:val="both"/>
              <w:rPr>
                <w:rFonts w:ascii="Times New Roman" w:eastAsia="Calibri" w:hAnsi="Times New Roman" w:cs="Times New Roman"/>
                <w:b/>
                <w:bCs/>
                <w:i/>
                <w:sz w:val="18"/>
                <w:szCs w:val="18"/>
                <w:lang w:eastAsia="zh-CN"/>
              </w:rPr>
            </w:pPr>
            <w:r w:rsidRPr="00BA06B6">
              <w:rPr>
                <w:rFonts w:ascii="Times New Roman" w:eastAsia="Calibri" w:hAnsi="Times New Roman" w:cs="Times New Roman"/>
                <w:b/>
                <w:bCs/>
                <w:i/>
                <w:sz w:val="18"/>
                <w:szCs w:val="18"/>
                <w:lang w:eastAsia="zh-CN"/>
              </w:rPr>
              <w:t>Dependent variable: Bank’s long-term issuer default ratings (BCRs)</w:t>
            </w:r>
          </w:p>
        </w:tc>
        <w:tc>
          <w:tcPr>
            <w:tcW w:w="372" w:type="pct"/>
            <w:tcBorders>
              <w:top w:val="single" w:sz="12" w:space="0" w:color="auto"/>
              <w:bottom w:val="single" w:sz="4" w:space="0" w:color="auto"/>
            </w:tcBorders>
            <w:shd w:val="clear" w:color="auto" w:fill="FFFFFF" w:themeFill="background1"/>
            <w:vAlign w:val="bottom"/>
          </w:tcPr>
          <w:p w14:paraId="14F1AAA0" w14:textId="77777777" w:rsidR="00AA068C" w:rsidRPr="00BA06B6" w:rsidRDefault="00AA068C" w:rsidP="00BC341D">
            <w:pPr>
              <w:tabs>
                <w:tab w:val="left" w:pos="851"/>
              </w:tabs>
              <w:jc w:val="both"/>
              <w:rPr>
                <w:rFonts w:ascii="Times New Roman" w:eastAsia="Calibri" w:hAnsi="Times New Roman" w:cs="Times New Roman"/>
                <w:b/>
                <w:bCs/>
                <w:i/>
                <w:sz w:val="18"/>
                <w:szCs w:val="18"/>
                <w:lang w:eastAsia="zh-CN"/>
              </w:rPr>
            </w:pPr>
          </w:p>
        </w:tc>
        <w:tc>
          <w:tcPr>
            <w:tcW w:w="372" w:type="pct"/>
            <w:tcBorders>
              <w:top w:val="single" w:sz="12" w:space="0" w:color="auto"/>
              <w:bottom w:val="single" w:sz="4" w:space="0" w:color="auto"/>
            </w:tcBorders>
            <w:shd w:val="clear" w:color="auto" w:fill="FFFFFF" w:themeFill="background1"/>
          </w:tcPr>
          <w:p w14:paraId="162B8136" w14:textId="77777777" w:rsidR="00AA068C" w:rsidRPr="00BA06B6" w:rsidRDefault="00AA068C" w:rsidP="00BC341D">
            <w:pPr>
              <w:tabs>
                <w:tab w:val="left" w:pos="851"/>
              </w:tabs>
              <w:jc w:val="both"/>
              <w:rPr>
                <w:rFonts w:ascii="Times New Roman" w:eastAsia="Calibri" w:hAnsi="Times New Roman" w:cs="Times New Roman"/>
                <w:b/>
                <w:bCs/>
                <w:i/>
                <w:sz w:val="18"/>
                <w:szCs w:val="18"/>
                <w:lang w:eastAsia="zh-CN"/>
              </w:rPr>
            </w:pPr>
          </w:p>
        </w:tc>
      </w:tr>
      <w:tr w:rsidR="00BA06B6" w:rsidRPr="00BA06B6" w14:paraId="54DAAB7F" w14:textId="77777777" w:rsidTr="00B91469">
        <w:trPr>
          <w:trHeight w:val="20"/>
          <w:tblHeader/>
          <w:jc w:val="center"/>
        </w:trPr>
        <w:tc>
          <w:tcPr>
            <w:tcW w:w="647" w:type="pct"/>
            <w:vMerge/>
            <w:shd w:val="clear" w:color="auto" w:fill="FFFFFF" w:themeFill="background1"/>
            <w:vAlign w:val="bottom"/>
          </w:tcPr>
          <w:p w14:paraId="4FDD1318" w14:textId="77777777" w:rsidR="00AA068C" w:rsidRPr="00BA06B6" w:rsidRDefault="00AA068C" w:rsidP="00BC341D">
            <w:pPr>
              <w:tabs>
                <w:tab w:val="left" w:pos="851"/>
              </w:tabs>
              <w:jc w:val="both"/>
              <w:rPr>
                <w:rFonts w:ascii="Times New Roman" w:eastAsia="Calibri" w:hAnsi="Times New Roman" w:cs="Times New Roman"/>
                <w:b/>
                <w:bCs/>
                <w:sz w:val="18"/>
                <w:szCs w:val="18"/>
              </w:rPr>
            </w:pPr>
          </w:p>
        </w:tc>
        <w:tc>
          <w:tcPr>
            <w:tcW w:w="425" w:type="pct"/>
            <w:tcBorders>
              <w:top w:val="single" w:sz="4" w:space="0" w:color="auto"/>
            </w:tcBorders>
            <w:shd w:val="clear" w:color="auto" w:fill="FFFFFF" w:themeFill="background1"/>
            <w:vAlign w:val="bottom"/>
          </w:tcPr>
          <w:p w14:paraId="6F325941"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(1) </w:t>
            </w:r>
          </w:p>
        </w:tc>
        <w:tc>
          <w:tcPr>
            <w:tcW w:w="427" w:type="pct"/>
            <w:tcBorders>
              <w:top w:val="single" w:sz="4" w:space="0" w:color="auto"/>
            </w:tcBorders>
            <w:shd w:val="clear" w:color="auto" w:fill="FFFFFF" w:themeFill="background1"/>
            <w:vAlign w:val="bottom"/>
          </w:tcPr>
          <w:p w14:paraId="79971523"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(2) </w:t>
            </w:r>
          </w:p>
        </w:tc>
        <w:tc>
          <w:tcPr>
            <w:tcW w:w="427" w:type="pct"/>
            <w:tcBorders>
              <w:top w:val="single" w:sz="4" w:space="0" w:color="auto"/>
            </w:tcBorders>
            <w:shd w:val="clear" w:color="auto" w:fill="FFFFFF" w:themeFill="background1"/>
            <w:vAlign w:val="bottom"/>
          </w:tcPr>
          <w:p w14:paraId="3412C9BD"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(3) </w:t>
            </w:r>
          </w:p>
        </w:tc>
        <w:tc>
          <w:tcPr>
            <w:tcW w:w="427" w:type="pct"/>
            <w:tcBorders>
              <w:top w:val="single" w:sz="4" w:space="0" w:color="auto"/>
            </w:tcBorders>
            <w:shd w:val="clear" w:color="auto" w:fill="FFFFFF" w:themeFill="background1"/>
            <w:vAlign w:val="bottom"/>
          </w:tcPr>
          <w:p w14:paraId="4FD23266"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(4) </w:t>
            </w:r>
          </w:p>
        </w:tc>
        <w:tc>
          <w:tcPr>
            <w:tcW w:w="373" w:type="pct"/>
            <w:tcBorders>
              <w:top w:val="single" w:sz="4" w:space="0" w:color="auto"/>
            </w:tcBorders>
            <w:shd w:val="clear" w:color="auto" w:fill="FFFFFF" w:themeFill="background1"/>
            <w:vAlign w:val="bottom"/>
          </w:tcPr>
          <w:p w14:paraId="4DE44B9F"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(5) </w:t>
            </w:r>
          </w:p>
        </w:tc>
        <w:tc>
          <w:tcPr>
            <w:tcW w:w="422" w:type="pct"/>
            <w:tcBorders>
              <w:top w:val="single" w:sz="4" w:space="0" w:color="auto"/>
            </w:tcBorders>
            <w:shd w:val="clear" w:color="auto" w:fill="FFFFFF" w:themeFill="background1"/>
            <w:vAlign w:val="bottom"/>
          </w:tcPr>
          <w:p w14:paraId="4A35E110"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(6) </w:t>
            </w:r>
          </w:p>
        </w:tc>
        <w:tc>
          <w:tcPr>
            <w:tcW w:w="375" w:type="pct"/>
            <w:tcBorders>
              <w:top w:val="single" w:sz="4" w:space="0" w:color="auto"/>
            </w:tcBorders>
            <w:shd w:val="clear" w:color="auto" w:fill="FFFFFF" w:themeFill="background1"/>
            <w:vAlign w:val="bottom"/>
          </w:tcPr>
          <w:p w14:paraId="1007F589"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(7) </w:t>
            </w:r>
          </w:p>
        </w:tc>
        <w:tc>
          <w:tcPr>
            <w:tcW w:w="324" w:type="pct"/>
            <w:tcBorders>
              <w:top w:val="single" w:sz="4" w:space="0" w:color="auto"/>
            </w:tcBorders>
            <w:shd w:val="clear" w:color="auto" w:fill="FFFFFF" w:themeFill="background1"/>
            <w:vAlign w:val="bottom"/>
          </w:tcPr>
          <w:p w14:paraId="1C6350A1"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(8) </w:t>
            </w:r>
          </w:p>
        </w:tc>
        <w:tc>
          <w:tcPr>
            <w:tcW w:w="409" w:type="pct"/>
            <w:tcBorders>
              <w:top w:val="single" w:sz="4" w:space="0" w:color="auto"/>
            </w:tcBorders>
            <w:shd w:val="clear" w:color="auto" w:fill="FFFFFF" w:themeFill="background1"/>
            <w:vAlign w:val="bottom"/>
          </w:tcPr>
          <w:p w14:paraId="2918EB62"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(9) </w:t>
            </w:r>
          </w:p>
        </w:tc>
        <w:tc>
          <w:tcPr>
            <w:tcW w:w="372" w:type="pct"/>
            <w:tcBorders>
              <w:top w:val="single" w:sz="4" w:space="0" w:color="auto"/>
            </w:tcBorders>
            <w:shd w:val="clear" w:color="auto" w:fill="FFFFFF" w:themeFill="background1"/>
            <w:vAlign w:val="bottom"/>
          </w:tcPr>
          <w:p w14:paraId="3C0ADF9A"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lang w:eastAsia="zh-CN"/>
              </w:rPr>
              <w:t xml:space="preserve">(10) </w:t>
            </w:r>
          </w:p>
        </w:tc>
        <w:tc>
          <w:tcPr>
            <w:tcW w:w="372" w:type="pct"/>
            <w:tcBorders>
              <w:top w:val="single" w:sz="4" w:space="0" w:color="auto"/>
            </w:tcBorders>
            <w:shd w:val="clear" w:color="auto" w:fill="FFFFFF" w:themeFill="background1"/>
          </w:tcPr>
          <w:p w14:paraId="0830D7FD"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(11)</w:t>
            </w:r>
          </w:p>
        </w:tc>
      </w:tr>
      <w:tr w:rsidR="00BA06B6" w:rsidRPr="00BA06B6" w14:paraId="390179AB" w14:textId="77777777" w:rsidTr="00B91469">
        <w:trPr>
          <w:trHeight w:val="20"/>
          <w:tblHeader/>
          <w:jc w:val="center"/>
        </w:trPr>
        <w:tc>
          <w:tcPr>
            <w:tcW w:w="647" w:type="pct"/>
            <w:vMerge/>
            <w:tcBorders>
              <w:bottom w:val="single" w:sz="12" w:space="0" w:color="auto"/>
            </w:tcBorders>
            <w:shd w:val="clear" w:color="auto" w:fill="FFFFFF" w:themeFill="background1"/>
            <w:vAlign w:val="bottom"/>
          </w:tcPr>
          <w:p w14:paraId="63F215E1" w14:textId="77777777" w:rsidR="00AA068C" w:rsidRPr="00BA06B6" w:rsidRDefault="00AA068C" w:rsidP="00BC341D">
            <w:pPr>
              <w:tabs>
                <w:tab w:val="left" w:pos="851"/>
              </w:tabs>
              <w:jc w:val="both"/>
              <w:rPr>
                <w:rFonts w:ascii="Times New Roman" w:eastAsia="Calibri" w:hAnsi="Times New Roman" w:cs="Times New Roman"/>
                <w:b/>
                <w:bCs/>
                <w:sz w:val="18"/>
                <w:szCs w:val="18"/>
              </w:rPr>
            </w:pPr>
          </w:p>
        </w:tc>
        <w:tc>
          <w:tcPr>
            <w:tcW w:w="425" w:type="pct"/>
            <w:tcBorders>
              <w:bottom w:val="single" w:sz="12" w:space="0" w:color="auto"/>
            </w:tcBorders>
            <w:shd w:val="clear" w:color="auto" w:fill="FFFFFF" w:themeFill="background1"/>
            <w:vAlign w:val="bottom"/>
          </w:tcPr>
          <w:p w14:paraId="593E4469"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Full</w:t>
            </w:r>
          </w:p>
        </w:tc>
        <w:tc>
          <w:tcPr>
            <w:tcW w:w="427" w:type="pct"/>
            <w:tcBorders>
              <w:bottom w:val="single" w:sz="12" w:space="0" w:color="auto"/>
            </w:tcBorders>
            <w:shd w:val="clear" w:color="auto" w:fill="FFFFFF" w:themeFill="background1"/>
            <w:vAlign w:val="bottom"/>
          </w:tcPr>
          <w:p w14:paraId="44D34AA8"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Full</w:t>
            </w:r>
          </w:p>
        </w:tc>
        <w:tc>
          <w:tcPr>
            <w:tcW w:w="427" w:type="pct"/>
            <w:tcBorders>
              <w:bottom w:val="single" w:sz="12" w:space="0" w:color="auto"/>
            </w:tcBorders>
            <w:shd w:val="clear" w:color="auto" w:fill="FFFFFF" w:themeFill="background1"/>
            <w:vAlign w:val="bottom"/>
          </w:tcPr>
          <w:p w14:paraId="78E3F90D"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Full</w:t>
            </w:r>
          </w:p>
        </w:tc>
        <w:tc>
          <w:tcPr>
            <w:tcW w:w="427" w:type="pct"/>
            <w:tcBorders>
              <w:bottom w:val="single" w:sz="12" w:space="0" w:color="auto"/>
            </w:tcBorders>
            <w:shd w:val="clear" w:color="auto" w:fill="FFFFFF" w:themeFill="background1"/>
            <w:vAlign w:val="bottom"/>
          </w:tcPr>
          <w:p w14:paraId="5CD668BF"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IBs</w:t>
            </w:r>
          </w:p>
        </w:tc>
        <w:tc>
          <w:tcPr>
            <w:tcW w:w="373" w:type="pct"/>
            <w:tcBorders>
              <w:bottom w:val="single" w:sz="12" w:space="0" w:color="auto"/>
            </w:tcBorders>
            <w:shd w:val="clear" w:color="auto" w:fill="FFFFFF" w:themeFill="background1"/>
            <w:vAlign w:val="bottom"/>
          </w:tcPr>
          <w:p w14:paraId="287D5F80"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CBs</w:t>
            </w:r>
          </w:p>
        </w:tc>
        <w:tc>
          <w:tcPr>
            <w:tcW w:w="422" w:type="pct"/>
            <w:tcBorders>
              <w:bottom w:val="single" w:sz="12" w:space="0" w:color="auto"/>
            </w:tcBorders>
            <w:shd w:val="clear" w:color="auto" w:fill="FFFFFF" w:themeFill="background1"/>
            <w:vAlign w:val="bottom"/>
          </w:tcPr>
          <w:p w14:paraId="6CC56B7E"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DBs</w:t>
            </w:r>
          </w:p>
        </w:tc>
        <w:tc>
          <w:tcPr>
            <w:tcW w:w="375" w:type="pct"/>
            <w:tcBorders>
              <w:bottom w:val="single" w:sz="12" w:space="0" w:color="auto"/>
            </w:tcBorders>
            <w:shd w:val="clear" w:color="auto" w:fill="FFFFFF" w:themeFill="background1"/>
            <w:vAlign w:val="bottom"/>
          </w:tcPr>
          <w:p w14:paraId="6CB9B13D" w14:textId="77777777" w:rsidR="00AA068C" w:rsidRPr="00BA06B6" w:rsidRDefault="00AA068C" w:rsidP="00BC341D">
            <w:pPr>
              <w:tabs>
                <w:tab w:val="left" w:pos="851"/>
              </w:tabs>
              <w:jc w:val="both"/>
              <w:rPr>
                <w:rFonts w:ascii="Times New Roman" w:eastAsia="Calibri" w:hAnsi="Times New Roman" w:cs="Times New Roman"/>
                <w:b/>
                <w:bCs/>
                <w:sz w:val="18"/>
                <w:szCs w:val="18"/>
                <w:lang w:eastAsia="zh-CN"/>
              </w:rPr>
            </w:pPr>
            <w:r w:rsidRPr="00BA06B6">
              <w:rPr>
                <w:rFonts w:ascii="Times New Roman" w:eastAsia="Calibri" w:hAnsi="Times New Roman" w:cs="Times New Roman"/>
                <w:b/>
                <w:bCs/>
                <w:sz w:val="18"/>
                <w:szCs w:val="18"/>
                <w:lang w:eastAsia="zh-CN"/>
              </w:rPr>
              <w:t>Pre07/08</w:t>
            </w:r>
          </w:p>
        </w:tc>
        <w:tc>
          <w:tcPr>
            <w:tcW w:w="324" w:type="pct"/>
            <w:tcBorders>
              <w:bottom w:val="single" w:sz="12" w:space="0" w:color="auto"/>
            </w:tcBorders>
            <w:shd w:val="clear" w:color="auto" w:fill="FFFFFF" w:themeFill="background1"/>
            <w:vAlign w:val="bottom"/>
          </w:tcPr>
          <w:p w14:paraId="2AD163BA" w14:textId="77777777" w:rsidR="00AA068C" w:rsidRPr="00BA06B6" w:rsidRDefault="00AA068C" w:rsidP="00BC341D">
            <w:pPr>
              <w:tabs>
                <w:tab w:val="left" w:pos="851"/>
              </w:tabs>
              <w:jc w:val="both"/>
              <w:rPr>
                <w:rFonts w:ascii="Times New Roman" w:eastAsia="Calibri" w:hAnsi="Times New Roman" w:cs="Times New Roman"/>
                <w:b/>
                <w:bCs/>
                <w:sz w:val="18"/>
                <w:szCs w:val="18"/>
                <w:lang w:eastAsia="zh-CN"/>
              </w:rPr>
            </w:pPr>
            <w:r w:rsidRPr="00BA06B6">
              <w:rPr>
                <w:rFonts w:ascii="Times New Roman" w:eastAsia="Calibri" w:hAnsi="Times New Roman" w:cs="Times New Roman"/>
                <w:b/>
                <w:bCs/>
                <w:sz w:val="18"/>
                <w:szCs w:val="18"/>
                <w:lang w:eastAsia="zh-CN"/>
              </w:rPr>
              <w:t>07/08</w:t>
            </w:r>
          </w:p>
        </w:tc>
        <w:tc>
          <w:tcPr>
            <w:tcW w:w="409" w:type="pct"/>
            <w:tcBorders>
              <w:bottom w:val="single" w:sz="12" w:space="0" w:color="auto"/>
            </w:tcBorders>
            <w:shd w:val="clear" w:color="auto" w:fill="FFFFFF" w:themeFill="background1"/>
            <w:vAlign w:val="bottom"/>
          </w:tcPr>
          <w:p w14:paraId="3DEBA612" w14:textId="77777777" w:rsidR="00AA068C" w:rsidRPr="00BA06B6" w:rsidRDefault="00AA068C" w:rsidP="00BC341D">
            <w:pPr>
              <w:tabs>
                <w:tab w:val="left" w:pos="851"/>
              </w:tabs>
              <w:jc w:val="both"/>
              <w:rPr>
                <w:rFonts w:ascii="Times New Roman" w:eastAsia="Calibri" w:hAnsi="Times New Roman" w:cs="Times New Roman"/>
                <w:b/>
                <w:bCs/>
                <w:sz w:val="18"/>
                <w:szCs w:val="18"/>
                <w:lang w:eastAsia="zh-CN"/>
              </w:rPr>
            </w:pPr>
            <w:r w:rsidRPr="00BA06B6">
              <w:rPr>
                <w:rFonts w:ascii="Times New Roman" w:eastAsia="Calibri" w:hAnsi="Times New Roman" w:cs="Times New Roman"/>
                <w:b/>
                <w:bCs/>
                <w:sz w:val="18"/>
                <w:szCs w:val="18"/>
                <w:lang w:eastAsia="zh-CN"/>
              </w:rPr>
              <w:t>post07/08</w:t>
            </w:r>
          </w:p>
        </w:tc>
        <w:tc>
          <w:tcPr>
            <w:tcW w:w="372" w:type="pct"/>
            <w:tcBorders>
              <w:bottom w:val="single" w:sz="12" w:space="0" w:color="auto"/>
            </w:tcBorders>
            <w:shd w:val="clear" w:color="auto" w:fill="FFFFFF" w:themeFill="background1"/>
            <w:vAlign w:val="bottom"/>
          </w:tcPr>
          <w:p w14:paraId="144ECFAB" w14:textId="77777777" w:rsidR="00AA068C" w:rsidRPr="00BA06B6" w:rsidRDefault="00AA068C" w:rsidP="00BC341D">
            <w:pPr>
              <w:tabs>
                <w:tab w:val="left" w:pos="851"/>
              </w:tabs>
              <w:jc w:val="both"/>
              <w:rPr>
                <w:rFonts w:ascii="Times New Roman" w:eastAsia="Calibri" w:hAnsi="Times New Roman" w:cs="Times New Roman"/>
                <w:b/>
                <w:bCs/>
                <w:sz w:val="18"/>
                <w:szCs w:val="18"/>
                <w:lang w:eastAsia="zh-CN"/>
              </w:rPr>
            </w:pPr>
            <w:r w:rsidRPr="00BA06B6">
              <w:rPr>
                <w:rFonts w:ascii="Times New Roman" w:eastAsia="Calibri" w:hAnsi="Times New Roman" w:cs="Times New Roman"/>
                <w:b/>
                <w:bCs/>
                <w:sz w:val="18"/>
                <w:szCs w:val="18"/>
                <w:lang w:eastAsia="zh-CN"/>
              </w:rPr>
              <w:t>2SLS</w:t>
            </w:r>
          </w:p>
        </w:tc>
        <w:tc>
          <w:tcPr>
            <w:tcW w:w="372" w:type="pct"/>
            <w:tcBorders>
              <w:bottom w:val="single" w:sz="12" w:space="0" w:color="auto"/>
            </w:tcBorders>
            <w:shd w:val="clear" w:color="auto" w:fill="FFFFFF" w:themeFill="background1"/>
          </w:tcPr>
          <w:p w14:paraId="2E817F68"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ΔBCRs</w:t>
            </w:r>
          </w:p>
        </w:tc>
      </w:tr>
      <w:tr w:rsidR="00BA06B6" w:rsidRPr="00BA06B6" w14:paraId="38C2D5A2" w14:textId="77777777" w:rsidTr="00B91469">
        <w:trPr>
          <w:trHeight w:val="20"/>
          <w:tblHeader/>
          <w:jc w:val="center"/>
        </w:trPr>
        <w:tc>
          <w:tcPr>
            <w:tcW w:w="4256" w:type="pct"/>
            <w:gridSpan w:val="10"/>
            <w:tcBorders>
              <w:top w:val="single" w:sz="12" w:space="0" w:color="auto"/>
              <w:bottom w:val="single" w:sz="12" w:space="0" w:color="auto"/>
            </w:tcBorders>
            <w:shd w:val="clear" w:color="auto" w:fill="FFFFFF" w:themeFill="background1"/>
            <w:vAlign w:val="bottom"/>
          </w:tcPr>
          <w:p w14:paraId="08A57A81"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i/>
                <w:sz w:val="18"/>
                <w:szCs w:val="18"/>
                <w:lang w:eastAsia="zh-CN"/>
              </w:rPr>
              <w:t>Panel A: Weighted RDI</w:t>
            </w:r>
          </w:p>
        </w:tc>
        <w:tc>
          <w:tcPr>
            <w:tcW w:w="372" w:type="pct"/>
            <w:tcBorders>
              <w:top w:val="single" w:sz="12" w:space="0" w:color="auto"/>
              <w:bottom w:val="single" w:sz="12" w:space="0" w:color="auto"/>
            </w:tcBorders>
            <w:shd w:val="clear" w:color="auto" w:fill="FFFFFF" w:themeFill="background1"/>
            <w:vAlign w:val="bottom"/>
          </w:tcPr>
          <w:p w14:paraId="4F59511F" w14:textId="77777777" w:rsidR="00AA068C" w:rsidRPr="00BA06B6" w:rsidRDefault="00AA068C" w:rsidP="00BC341D">
            <w:pPr>
              <w:tabs>
                <w:tab w:val="left" w:pos="851"/>
              </w:tabs>
              <w:jc w:val="both"/>
              <w:rPr>
                <w:rFonts w:ascii="Times New Roman" w:eastAsia="Calibri" w:hAnsi="Times New Roman" w:cs="Times New Roman"/>
                <w:b/>
                <w:bCs/>
                <w:i/>
                <w:sz w:val="18"/>
                <w:szCs w:val="18"/>
                <w:lang w:eastAsia="zh-CN"/>
              </w:rPr>
            </w:pPr>
          </w:p>
        </w:tc>
        <w:tc>
          <w:tcPr>
            <w:tcW w:w="372" w:type="pct"/>
            <w:tcBorders>
              <w:top w:val="single" w:sz="12" w:space="0" w:color="auto"/>
              <w:bottom w:val="single" w:sz="12" w:space="0" w:color="auto"/>
            </w:tcBorders>
            <w:shd w:val="clear" w:color="auto" w:fill="FFFFFF" w:themeFill="background1"/>
          </w:tcPr>
          <w:p w14:paraId="3089FD30" w14:textId="77777777" w:rsidR="00AA068C" w:rsidRPr="00BA06B6" w:rsidRDefault="00AA068C" w:rsidP="00BC341D">
            <w:pPr>
              <w:tabs>
                <w:tab w:val="left" w:pos="851"/>
              </w:tabs>
              <w:jc w:val="both"/>
              <w:rPr>
                <w:rFonts w:ascii="Times New Roman" w:eastAsia="Calibri" w:hAnsi="Times New Roman" w:cs="Times New Roman"/>
                <w:b/>
                <w:bCs/>
                <w:i/>
                <w:sz w:val="18"/>
                <w:szCs w:val="18"/>
                <w:lang w:eastAsia="zh-CN"/>
              </w:rPr>
            </w:pPr>
          </w:p>
        </w:tc>
      </w:tr>
      <w:tr w:rsidR="00BA06B6" w:rsidRPr="00BA06B6" w14:paraId="5B2FE291" w14:textId="77777777" w:rsidTr="00B91469">
        <w:trPr>
          <w:trHeight w:val="20"/>
          <w:tblHeader/>
          <w:jc w:val="center"/>
        </w:trPr>
        <w:tc>
          <w:tcPr>
            <w:tcW w:w="647" w:type="pct"/>
            <w:tcBorders>
              <w:top w:val="single" w:sz="12" w:space="0" w:color="auto"/>
            </w:tcBorders>
            <w:shd w:val="clear" w:color="auto" w:fill="FFFFFF" w:themeFill="background1"/>
          </w:tcPr>
          <w:p w14:paraId="258A6E5C" w14:textId="77777777" w:rsidR="00AA068C" w:rsidRPr="00BA06B6" w:rsidRDefault="00AA068C" w:rsidP="00BC341D">
            <w:pPr>
              <w:tabs>
                <w:tab w:val="left" w:pos="851"/>
              </w:tabs>
              <w:rPr>
                <w:rFonts w:ascii="Times New Roman" w:eastAsia="Calibri" w:hAnsi="Times New Roman" w:cs="Times New Roman"/>
                <w:sz w:val="18"/>
                <w:szCs w:val="18"/>
              </w:rPr>
            </w:pPr>
            <w:r w:rsidRPr="00BA06B6">
              <w:rPr>
                <w:rFonts w:ascii="Times New Roman" w:eastAsia="Calibri" w:hAnsi="Times New Roman" w:cs="Times New Roman"/>
                <w:sz w:val="18"/>
                <w:szCs w:val="18"/>
              </w:rPr>
              <w:t>W-RDI</w:t>
            </w:r>
          </w:p>
        </w:tc>
        <w:tc>
          <w:tcPr>
            <w:tcW w:w="425" w:type="pct"/>
            <w:tcBorders>
              <w:top w:val="single" w:sz="12" w:space="0" w:color="auto"/>
            </w:tcBorders>
            <w:shd w:val="clear" w:color="auto" w:fill="FFFFFF" w:themeFill="background1"/>
          </w:tcPr>
          <w:p w14:paraId="4AB89657" w14:textId="77777777" w:rsidR="00AA068C" w:rsidRPr="00BA06B6" w:rsidRDefault="00AA068C" w:rsidP="00BC341D">
            <w:pPr>
              <w:tabs>
                <w:tab w:val="left" w:pos="851"/>
              </w:tabs>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7.04</w:t>
            </w:r>
            <w:r w:rsidRPr="00BA06B6">
              <w:rPr>
                <w:rFonts w:ascii="Times New Roman" w:eastAsia="Calibri" w:hAnsi="Times New Roman" w:cs="Times New Roman"/>
                <w:bCs/>
                <w:sz w:val="18"/>
                <w:szCs w:val="18"/>
                <w:vertAlign w:val="superscript"/>
              </w:rPr>
              <w:t>***</w:t>
            </w:r>
          </w:p>
        </w:tc>
        <w:tc>
          <w:tcPr>
            <w:tcW w:w="427" w:type="pct"/>
            <w:tcBorders>
              <w:top w:val="single" w:sz="12" w:space="0" w:color="auto"/>
            </w:tcBorders>
            <w:shd w:val="clear" w:color="auto" w:fill="FFFFFF" w:themeFill="background1"/>
          </w:tcPr>
          <w:p w14:paraId="266C560F" w14:textId="77777777" w:rsidR="00AA068C" w:rsidRPr="00BA06B6" w:rsidRDefault="00AA068C" w:rsidP="00BC341D">
            <w:pPr>
              <w:tabs>
                <w:tab w:val="left" w:pos="851"/>
              </w:tabs>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5.81</w:t>
            </w:r>
            <w:r w:rsidRPr="00BA06B6">
              <w:rPr>
                <w:rFonts w:ascii="Times New Roman" w:eastAsia="Calibri" w:hAnsi="Times New Roman" w:cs="Times New Roman"/>
                <w:bCs/>
                <w:sz w:val="18"/>
                <w:szCs w:val="18"/>
                <w:vertAlign w:val="superscript"/>
              </w:rPr>
              <w:t>***</w:t>
            </w:r>
          </w:p>
        </w:tc>
        <w:tc>
          <w:tcPr>
            <w:tcW w:w="427" w:type="pct"/>
            <w:tcBorders>
              <w:top w:val="single" w:sz="12" w:space="0" w:color="auto"/>
            </w:tcBorders>
            <w:shd w:val="clear" w:color="auto" w:fill="FFFFFF" w:themeFill="background1"/>
          </w:tcPr>
          <w:p w14:paraId="252E37BF" w14:textId="77777777" w:rsidR="00AA068C" w:rsidRPr="00BA06B6" w:rsidRDefault="00AA068C" w:rsidP="00BC341D">
            <w:pPr>
              <w:tabs>
                <w:tab w:val="left" w:pos="851"/>
              </w:tabs>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5.82</w:t>
            </w:r>
            <w:r w:rsidRPr="00BA06B6">
              <w:rPr>
                <w:rFonts w:ascii="Times New Roman" w:eastAsia="Calibri" w:hAnsi="Times New Roman" w:cs="Times New Roman"/>
                <w:bCs/>
                <w:sz w:val="18"/>
                <w:szCs w:val="18"/>
                <w:vertAlign w:val="superscript"/>
              </w:rPr>
              <w:t>***</w:t>
            </w:r>
          </w:p>
        </w:tc>
        <w:tc>
          <w:tcPr>
            <w:tcW w:w="427" w:type="pct"/>
            <w:tcBorders>
              <w:top w:val="single" w:sz="12" w:space="0" w:color="auto"/>
            </w:tcBorders>
            <w:shd w:val="clear" w:color="auto" w:fill="FFFFFF" w:themeFill="background1"/>
          </w:tcPr>
          <w:p w14:paraId="791D59FF" w14:textId="77777777" w:rsidR="00AA068C" w:rsidRPr="00BA06B6" w:rsidRDefault="00AA068C" w:rsidP="00BC341D">
            <w:pPr>
              <w:tabs>
                <w:tab w:val="left" w:pos="851"/>
              </w:tabs>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2.10</w:t>
            </w:r>
            <w:r w:rsidRPr="00BA06B6">
              <w:rPr>
                <w:rFonts w:ascii="Times New Roman" w:eastAsia="Calibri" w:hAnsi="Times New Roman" w:cs="Times New Roman"/>
                <w:bCs/>
                <w:sz w:val="18"/>
                <w:szCs w:val="18"/>
                <w:vertAlign w:val="superscript"/>
              </w:rPr>
              <w:t>**</w:t>
            </w:r>
          </w:p>
        </w:tc>
        <w:tc>
          <w:tcPr>
            <w:tcW w:w="373" w:type="pct"/>
            <w:tcBorders>
              <w:top w:val="single" w:sz="12" w:space="0" w:color="auto"/>
            </w:tcBorders>
            <w:shd w:val="clear" w:color="auto" w:fill="FFFFFF" w:themeFill="background1"/>
          </w:tcPr>
          <w:p w14:paraId="76129401" w14:textId="77777777" w:rsidR="00AA068C" w:rsidRPr="00BA06B6" w:rsidRDefault="00AA068C" w:rsidP="00BC341D">
            <w:pPr>
              <w:tabs>
                <w:tab w:val="left" w:pos="851"/>
              </w:tabs>
              <w:rPr>
                <w:rFonts w:ascii="Times New Roman" w:eastAsia="Calibri" w:hAnsi="Times New Roman" w:cs="Times New Roman"/>
                <w:sz w:val="18"/>
                <w:szCs w:val="18"/>
              </w:rPr>
            </w:pPr>
            <w:r w:rsidRPr="00BA06B6">
              <w:rPr>
                <w:rFonts w:ascii="Times New Roman" w:eastAsia="Calibri" w:hAnsi="Times New Roman" w:cs="Times New Roman"/>
                <w:bCs/>
                <w:sz w:val="18"/>
                <w:szCs w:val="18"/>
              </w:rPr>
              <w:t>2.80</w:t>
            </w:r>
            <w:r w:rsidRPr="00BA06B6">
              <w:rPr>
                <w:rFonts w:ascii="Times New Roman" w:eastAsia="Calibri" w:hAnsi="Times New Roman" w:cs="Times New Roman"/>
                <w:bCs/>
                <w:sz w:val="18"/>
                <w:szCs w:val="18"/>
                <w:vertAlign w:val="superscript"/>
              </w:rPr>
              <w:t>***</w:t>
            </w:r>
          </w:p>
        </w:tc>
        <w:tc>
          <w:tcPr>
            <w:tcW w:w="422" w:type="pct"/>
            <w:tcBorders>
              <w:top w:val="single" w:sz="12" w:space="0" w:color="auto"/>
            </w:tcBorders>
            <w:shd w:val="clear" w:color="auto" w:fill="FFFFFF" w:themeFill="background1"/>
          </w:tcPr>
          <w:p w14:paraId="41C4DAAE" w14:textId="77777777" w:rsidR="00AA068C" w:rsidRPr="00BA06B6" w:rsidRDefault="00AA068C" w:rsidP="00BC341D">
            <w:pPr>
              <w:tabs>
                <w:tab w:val="left" w:pos="851"/>
              </w:tabs>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3.46</w:t>
            </w:r>
            <w:r w:rsidRPr="00BA06B6">
              <w:rPr>
                <w:rFonts w:ascii="Times New Roman" w:eastAsia="Calibri" w:hAnsi="Times New Roman" w:cs="Times New Roman"/>
                <w:bCs/>
                <w:sz w:val="18"/>
                <w:szCs w:val="18"/>
                <w:vertAlign w:val="superscript"/>
              </w:rPr>
              <w:t>***</w:t>
            </w:r>
          </w:p>
        </w:tc>
        <w:tc>
          <w:tcPr>
            <w:tcW w:w="375" w:type="pct"/>
            <w:tcBorders>
              <w:top w:val="single" w:sz="12" w:space="0" w:color="auto"/>
            </w:tcBorders>
            <w:shd w:val="clear" w:color="auto" w:fill="FFFFFF" w:themeFill="background1"/>
          </w:tcPr>
          <w:p w14:paraId="380629D7" w14:textId="77777777" w:rsidR="00AA068C" w:rsidRPr="00BA06B6" w:rsidRDefault="00AA068C" w:rsidP="00BC341D">
            <w:pPr>
              <w:tabs>
                <w:tab w:val="left" w:pos="851"/>
              </w:tabs>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2.28</w:t>
            </w:r>
            <w:r w:rsidRPr="00BA06B6">
              <w:rPr>
                <w:rFonts w:ascii="Times New Roman" w:eastAsia="Calibri" w:hAnsi="Times New Roman" w:cs="Times New Roman"/>
                <w:bCs/>
                <w:sz w:val="18"/>
                <w:szCs w:val="18"/>
                <w:vertAlign w:val="superscript"/>
              </w:rPr>
              <w:t>**</w:t>
            </w:r>
          </w:p>
        </w:tc>
        <w:tc>
          <w:tcPr>
            <w:tcW w:w="324" w:type="pct"/>
            <w:tcBorders>
              <w:top w:val="single" w:sz="12" w:space="0" w:color="auto"/>
            </w:tcBorders>
            <w:shd w:val="clear" w:color="auto" w:fill="FFFFFF" w:themeFill="background1"/>
          </w:tcPr>
          <w:p w14:paraId="5F7FF4C5" w14:textId="77777777" w:rsidR="00AA068C" w:rsidRPr="00BA06B6" w:rsidRDefault="00AA068C" w:rsidP="00BC341D">
            <w:pPr>
              <w:tabs>
                <w:tab w:val="left" w:pos="851"/>
              </w:tabs>
              <w:rPr>
                <w:rFonts w:ascii="Times New Roman" w:eastAsia="Calibri" w:hAnsi="Times New Roman" w:cs="Times New Roman"/>
                <w:sz w:val="18"/>
                <w:szCs w:val="18"/>
              </w:rPr>
            </w:pPr>
            <w:r w:rsidRPr="00BA06B6">
              <w:rPr>
                <w:rFonts w:ascii="Times New Roman" w:eastAsia="Calibri" w:hAnsi="Times New Roman" w:cs="Times New Roman"/>
                <w:bCs/>
                <w:sz w:val="18"/>
                <w:szCs w:val="18"/>
              </w:rPr>
              <w:t>2.78</w:t>
            </w:r>
            <w:r w:rsidRPr="00BA06B6">
              <w:rPr>
                <w:rFonts w:ascii="Times New Roman" w:eastAsia="Calibri" w:hAnsi="Times New Roman" w:cs="Times New Roman"/>
                <w:bCs/>
                <w:sz w:val="18"/>
                <w:szCs w:val="18"/>
                <w:vertAlign w:val="superscript"/>
              </w:rPr>
              <w:t>***</w:t>
            </w:r>
          </w:p>
        </w:tc>
        <w:tc>
          <w:tcPr>
            <w:tcW w:w="409" w:type="pct"/>
            <w:tcBorders>
              <w:top w:val="single" w:sz="12" w:space="0" w:color="auto"/>
            </w:tcBorders>
            <w:shd w:val="clear" w:color="auto" w:fill="FFFFFF" w:themeFill="background1"/>
          </w:tcPr>
          <w:p w14:paraId="4ADE1756" w14:textId="77777777" w:rsidR="00AA068C" w:rsidRPr="00BA06B6" w:rsidRDefault="00AA068C" w:rsidP="00BC341D">
            <w:pPr>
              <w:tabs>
                <w:tab w:val="left" w:pos="851"/>
              </w:tabs>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5.01</w:t>
            </w:r>
            <w:r w:rsidRPr="00BA06B6">
              <w:rPr>
                <w:rFonts w:ascii="Times New Roman" w:eastAsia="Calibri" w:hAnsi="Times New Roman" w:cs="Times New Roman"/>
                <w:bCs/>
                <w:sz w:val="18"/>
                <w:szCs w:val="18"/>
                <w:vertAlign w:val="superscript"/>
              </w:rPr>
              <w:t>***</w:t>
            </w:r>
          </w:p>
        </w:tc>
        <w:tc>
          <w:tcPr>
            <w:tcW w:w="372" w:type="pct"/>
            <w:tcBorders>
              <w:top w:val="single" w:sz="12" w:space="0" w:color="auto"/>
            </w:tcBorders>
            <w:shd w:val="clear" w:color="auto" w:fill="FFFFFF" w:themeFill="background1"/>
          </w:tcPr>
          <w:p w14:paraId="45321C0D" w14:textId="77777777" w:rsidR="00AA068C" w:rsidRPr="00BA06B6" w:rsidRDefault="00AA068C" w:rsidP="00BC341D">
            <w:pPr>
              <w:tabs>
                <w:tab w:val="left" w:pos="851"/>
              </w:tabs>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4.33</w:t>
            </w:r>
            <w:r w:rsidRPr="00BA06B6">
              <w:rPr>
                <w:rFonts w:ascii="Times New Roman" w:eastAsia="Calibri" w:hAnsi="Times New Roman" w:cs="Times New Roman"/>
                <w:bCs/>
                <w:sz w:val="18"/>
                <w:szCs w:val="18"/>
                <w:vertAlign w:val="superscript"/>
              </w:rPr>
              <w:t>***</w:t>
            </w:r>
          </w:p>
        </w:tc>
        <w:tc>
          <w:tcPr>
            <w:tcW w:w="372" w:type="pct"/>
            <w:tcBorders>
              <w:top w:val="single" w:sz="12" w:space="0" w:color="auto"/>
            </w:tcBorders>
            <w:shd w:val="clear" w:color="auto" w:fill="FFFFFF" w:themeFill="background1"/>
          </w:tcPr>
          <w:p w14:paraId="2E6B0873" w14:textId="77777777" w:rsidR="00AA068C" w:rsidRPr="00BA06B6" w:rsidRDefault="00AA068C" w:rsidP="00BC341D">
            <w:pPr>
              <w:tabs>
                <w:tab w:val="left" w:pos="851"/>
              </w:tabs>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7.68</w:t>
            </w:r>
          </w:p>
        </w:tc>
      </w:tr>
      <w:tr w:rsidR="00BA06B6" w:rsidRPr="00BA06B6" w14:paraId="6A81B74D" w14:textId="77777777" w:rsidTr="00B91469">
        <w:trPr>
          <w:trHeight w:val="20"/>
          <w:tblHeader/>
          <w:jc w:val="center"/>
        </w:trPr>
        <w:tc>
          <w:tcPr>
            <w:tcW w:w="647" w:type="pct"/>
            <w:tcBorders>
              <w:bottom w:val="single" w:sz="12" w:space="0" w:color="auto"/>
            </w:tcBorders>
            <w:shd w:val="clear" w:color="auto" w:fill="FFFFFF" w:themeFill="background1"/>
            <w:vAlign w:val="bottom"/>
          </w:tcPr>
          <w:p w14:paraId="5713B6C1"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tcBorders>
              <w:bottom w:val="single" w:sz="12" w:space="0" w:color="auto"/>
            </w:tcBorders>
            <w:shd w:val="clear" w:color="auto" w:fill="FFFFFF" w:themeFill="background1"/>
            <w:vAlign w:val="bottom"/>
          </w:tcPr>
          <w:p w14:paraId="2A57016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27" w:type="pct"/>
            <w:tcBorders>
              <w:bottom w:val="single" w:sz="12" w:space="0" w:color="auto"/>
            </w:tcBorders>
            <w:shd w:val="clear" w:color="auto" w:fill="FFFFFF" w:themeFill="background1"/>
            <w:vAlign w:val="bottom"/>
          </w:tcPr>
          <w:p w14:paraId="66DD867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27" w:type="pct"/>
            <w:tcBorders>
              <w:bottom w:val="single" w:sz="12" w:space="0" w:color="auto"/>
            </w:tcBorders>
            <w:shd w:val="clear" w:color="auto" w:fill="FFFFFF" w:themeFill="background1"/>
            <w:vAlign w:val="bottom"/>
          </w:tcPr>
          <w:p w14:paraId="5B7D3A7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27" w:type="pct"/>
            <w:tcBorders>
              <w:bottom w:val="single" w:sz="12" w:space="0" w:color="auto"/>
            </w:tcBorders>
            <w:shd w:val="clear" w:color="auto" w:fill="FFFFFF" w:themeFill="background1"/>
            <w:vAlign w:val="bottom"/>
          </w:tcPr>
          <w:p w14:paraId="6E396F0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(0.036)</w:t>
            </w:r>
          </w:p>
        </w:tc>
        <w:tc>
          <w:tcPr>
            <w:tcW w:w="373" w:type="pct"/>
            <w:tcBorders>
              <w:bottom w:val="single" w:sz="12" w:space="0" w:color="auto"/>
            </w:tcBorders>
            <w:shd w:val="clear" w:color="auto" w:fill="FFFFFF" w:themeFill="background1"/>
            <w:vAlign w:val="bottom"/>
          </w:tcPr>
          <w:p w14:paraId="2C6634E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(0.005)</w:t>
            </w:r>
          </w:p>
        </w:tc>
        <w:tc>
          <w:tcPr>
            <w:tcW w:w="422" w:type="pct"/>
            <w:tcBorders>
              <w:bottom w:val="single" w:sz="12" w:space="0" w:color="auto"/>
            </w:tcBorders>
            <w:shd w:val="clear" w:color="auto" w:fill="FFFFFF" w:themeFill="background1"/>
            <w:vAlign w:val="bottom"/>
          </w:tcPr>
          <w:p w14:paraId="6808E42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(0.001)</w:t>
            </w:r>
          </w:p>
        </w:tc>
        <w:tc>
          <w:tcPr>
            <w:tcW w:w="375" w:type="pct"/>
            <w:tcBorders>
              <w:bottom w:val="single" w:sz="12" w:space="0" w:color="auto"/>
            </w:tcBorders>
            <w:shd w:val="clear" w:color="auto" w:fill="FFFFFF" w:themeFill="background1"/>
            <w:vAlign w:val="bottom"/>
          </w:tcPr>
          <w:p w14:paraId="382487C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(0.023)</w:t>
            </w:r>
          </w:p>
        </w:tc>
        <w:tc>
          <w:tcPr>
            <w:tcW w:w="324" w:type="pct"/>
            <w:tcBorders>
              <w:bottom w:val="single" w:sz="12" w:space="0" w:color="auto"/>
            </w:tcBorders>
            <w:shd w:val="clear" w:color="auto" w:fill="FFFFFF" w:themeFill="background1"/>
            <w:vAlign w:val="bottom"/>
          </w:tcPr>
          <w:p w14:paraId="6C79A33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(0.005)</w:t>
            </w:r>
          </w:p>
        </w:tc>
        <w:tc>
          <w:tcPr>
            <w:tcW w:w="409" w:type="pct"/>
            <w:tcBorders>
              <w:bottom w:val="single" w:sz="12" w:space="0" w:color="auto"/>
            </w:tcBorders>
            <w:shd w:val="clear" w:color="auto" w:fill="FFFFFF" w:themeFill="background1"/>
            <w:vAlign w:val="bottom"/>
          </w:tcPr>
          <w:p w14:paraId="1176C76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372" w:type="pct"/>
            <w:tcBorders>
              <w:bottom w:val="single" w:sz="12" w:space="0" w:color="auto"/>
            </w:tcBorders>
            <w:shd w:val="clear" w:color="auto" w:fill="FFFFFF" w:themeFill="background1"/>
            <w:vAlign w:val="bottom"/>
          </w:tcPr>
          <w:p w14:paraId="14CD69A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372" w:type="pct"/>
            <w:tcBorders>
              <w:bottom w:val="single" w:sz="12" w:space="0" w:color="auto"/>
            </w:tcBorders>
            <w:shd w:val="clear" w:color="auto" w:fill="FFFFFF" w:themeFill="background1"/>
          </w:tcPr>
          <w:p w14:paraId="275B095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r>
      <w:tr w:rsidR="00BA06B6" w:rsidRPr="00BA06B6" w14:paraId="5166DA96" w14:textId="77777777" w:rsidTr="00B91469">
        <w:trPr>
          <w:trHeight w:val="20"/>
          <w:tblHeader/>
          <w:jc w:val="center"/>
        </w:trPr>
        <w:tc>
          <w:tcPr>
            <w:tcW w:w="4256" w:type="pct"/>
            <w:gridSpan w:val="10"/>
            <w:tcBorders>
              <w:top w:val="single" w:sz="12" w:space="0" w:color="auto"/>
              <w:bottom w:val="single" w:sz="12" w:space="0" w:color="auto"/>
            </w:tcBorders>
            <w:shd w:val="clear" w:color="auto" w:fill="FFFFFF" w:themeFill="background1"/>
            <w:vAlign w:val="bottom"/>
          </w:tcPr>
          <w:p w14:paraId="0D61F25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i/>
                <w:sz w:val="18"/>
                <w:szCs w:val="18"/>
              </w:rPr>
              <w:t xml:space="preserve">Panel B: Independent: </w:t>
            </w:r>
            <w:r w:rsidRPr="00BA06B6">
              <w:rPr>
                <w:rFonts w:ascii="Times New Roman" w:eastAsia="Calibri" w:hAnsi="Times New Roman" w:cs="Times New Roman"/>
                <w:sz w:val="18"/>
                <w:szCs w:val="18"/>
              </w:rPr>
              <w:t>Interaction variables</w:t>
            </w:r>
          </w:p>
        </w:tc>
        <w:tc>
          <w:tcPr>
            <w:tcW w:w="372" w:type="pct"/>
            <w:tcBorders>
              <w:top w:val="single" w:sz="12" w:space="0" w:color="auto"/>
              <w:bottom w:val="single" w:sz="12" w:space="0" w:color="auto"/>
            </w:tcBorders>
            <w:shd w:val="clear" w:color="auto" w:fill="FFFFFF" w:themeFill="background1"/>
            <w:vAlign w:val="bottom"/>
          </w:tcPr>
          <w:p w14:paraId="019BE17C" w14:textId="77777777" w:rsidR="00AA068C" w:rsidRPr="00BA06B6" w:rsidRDefault="00AA068C" w:rsidP="00BC341D">
            <w:pPr>
              <w:tabs>
                <w:tab w:val="left" w:pos="851"/>
              </w:tabs>
              <w:jc w:val="both"/>
              <w:rPr>
                <w:rFonts w:ascii="Times New Roman" w:eastAsia="Calibri" w:hAnsi="Times New Roman" w:cs="Times New Roman"/>
                <w:i/>
                <w:sz w:val="18"/>
                <w:szCs w:val="18"/>
              </w:rPr>
            </w:pPr>
          </w:p>
        </w:tc>
        <w:tc>
          <w:tcPr>
            <w:tcW w:w="372" w:type="pct"/>
            <w:tcBorders>
              <w:top w:val="single" w:sz="12" w:space="0" w:color="auto"/>
              <w:bottom w:val="single" w:sz="12" w:space="0" w:color="auto"/>
            </w:tcBorders>
            <w:shd w:val="clear" w:color="auto" w:fill="FFFFFF" w:themeFill="background1"/>
          </w:tcPr>
          <w:p w14:paraId="542603A6" w14:textId="77777777" w:rsidR="00AA068C" w:rsidRPr="00BA06B6" w:rsidRDefault="00AA068C" w:rsidP="00BC341D">
            <w:pPr>
              <w:tabs>
                <w:tab w:val="left" w:pos="851"/>
              </w:tabs>
              <w:jc w:val="both"/>
              <w:rPr>
                <w:rFonts w:ascii="Times New Roman" w:eastAsia="Calibri" w:hAnsi="Times New Roman" w:cs="Times New Roman"/>
                <w:i/>
                <w:sz w:val="18"/>
                <w:szCs w:val="18"/>
              </w:rPr>
            </w:pPr>
          </w:p>
        </w:tc>
      </w:tr>
      <w:tr w:rsidR="00BA06B6" w:rsidRPr="00BA06B6" w14:paraId="261C7E12" w14:textId="77777777" w:rsidTr="00B91469">
        <w:trPr>
          <w:trHeight w:val="20"/>
          <w:tblHeader/>
          <w:jc w:val="center"/>
        </w:trPr>
        <w:tc>
          <w:tcPr>
            <w:tcW w:w="647" w:type="pct"/>
            <w:tcBorders>
              <w:top w:val="single" w:sz="12" w:space="0" w:color="auto"/>
            </w:tcBorders>
            <w:shd w:val="clear" w:color="auto" w:fill="FFFFFF" w:themeFill="background1"/>
            <w:vAlign w:val="bottom"/>
          </w:tcPr>
          <w:p w14:paraId="71DC854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W-RDI*BOWN</w:t>
            </w:r>
          </w:p>
        </w:tc>
        <w:tc>
          <w:tcPr>
            <w:tcW w:w="425" w:type="pct"/>
            <w:tcBorders>
              <w:top w:val="single" w:sz="12" w:space="0" w:color="auto"/>
            </w:tcBorders>
            <w:shd w:val="clear" w:color="auto" w:fill="FFFFFF" w:themeFill="background1"/>
            <w:vAlign w:val="bottom"/>
          </w:tcPr>
          <w:p w14:paraId="33F1FE5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tcBorders>
              <w:top w:val="single" w:sz="12" w:space="0" w:color="auto"/>
            </w:tcBorders>
            <w:shd w:val="clear" w:color="auto" w:fill="FFFFFF" w:themeFill="background1"/>
            <w:vAlign w:val="bottom"/>
          </w:tcPr>
          <w:p w14:paraId="65B7FC2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tcBorders>
              <w:top w:val="single" w:sz="12" w:space="0" w:color="auto"/>
            </w:tcBorders>
            <w:shd w:val="clear" w:color="auto" w:fill="FFFFFF" w:themeFill="background1"/>
            <w:vAlign w:val="bottom"/>
          </w:tcPr>
          <w:p w14:paraId="5E50E06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-0.01</w:t>
            </w:r>
          </w:p>
        </w:tc>
        <w:tc>
          <w:tcPr>
            <w:tcW w:w="427" w:type="pct"/>
            <w:tcBorders>
              <w:top w:val="single" w:sz="12" w:space="0" w:color="auto"/>
            </w:tcBorders>
            <w:shd w:val="clear" w:color="auto" w:fill="FFFFFF" w:themeFill="background1"/>
            <w:vAlign w:val="bottom"/>
          </w:tcPr>
          <w:p w14:paraId="5FBE65E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-0.27</w:t>
            </w:r>
          </w:p>
        </w:tc>
        <w:tc>
          <w:tcPr>
            <w:tcW w:w="373" w:type="pct"/>
            <w:tcBorders>
              <w:top w:val="single" w:sz="12" w:space="0" w:color="auto"/>
            </w:tcBorders>
            <w:shd w:val="clear" w:color="auto" w:fill="FFFFFF" w:themeFill="background1"/>
            <w:vAlign w:val="bottom"/>
          </w:tcPr>
          <w:p w14:paraId="2659150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0.96</w:t>
            </w:r>
          </w:p>
        </w:tc>
        <w:tc>
          <w:tcPr>
            <w:tcW w:w="422" w:type="pct"/>
            <w:tcBorders>
              <w:top w:val="single" w:sz="12" w:space="0" w:color="auto"/>
            </w:tcBorders>
            <w:shd w:val="clear" w:color="auto" w:fill="FFFFFF" w:themeFill="background1"/>
            <w:vAlign w:val="bottom"/>
          </w:tcPr>
          <w:p w14:paraId="4287B46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-1.01</w:t>
            </w:r>
          </w:p>
        </w:tc>
        <w:tc>
          <w:tcPr>
            <w:tcW w:w="375" w:type="pct"/>
            <w:tcBorders>
              <w:top w:val="single" w:sz="12" w:space="0" w:color="auto"/>
            </w:tcBorders>
            <w:shd w:val="clear" w:color="auto" w:fill="FFFFFF" w:themeFill="background1"/>
            <w:vAlign w:val="bottom"/>
          </w:tcPr>
          <w:p w14:paraId="6B1FF87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-1.93</w:t>
            </w:r>
            <w:r w:rsidRPr="00BA06B6">
              <w:rPr>
                <w:rFonts w:ascii="Times New Roman" w:eastAsia="Calibri" w:hAnsi="Times New Roman" w:cs="Times New Roman"/>
                <w:bCs/>
                <w:sz w:val="18"/>
                <w:szCs w:val="18"/>
                <w:vertAlign w:val="superscript"/>
              </w:rPr>
              <w:t>*</w:t>
            </w:r>
          </w:p>
        </w:tc>
        <w:tc>
          <w:tcPr>
            <w:tcW w:w="324" w:type="pct"/>
            <w:tcBorders>
              <w:top w:val="single" w:sz="12" w:space="0" w:color="auto"/>
            </w:tcBorders>
            <w:shd w:val="clear" w:color="auto" w:fill="FFFFFF" w:themeFill="background1"/>
            <w:vAlign w:val="bottom"/>
          </w:tcPr>
          <w:p w14:paraId="448B66B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0.54</w:t>
            </w:r>
          </w:p>
        </w:tc>
        <w:tc>
          <w:tcPr>
            <w:tcW w:w="409" w:type="pct"/>
            <w:tcBorders>
              <w:top w:val="single" w:sz="12" w:space="0" w:color="auto"/>
            </w:tcBorders>
            <w:shd w:val="clear" w:color="auto" w:fill="FFFFFF" w:themeFill="background1"/>
            <w:vAlign w:val="bottom"/>
          </w:tcPr>
          <w:p w14:paraId="32F0359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-0.26</w:t>
            </w:r>
          </w:p>
        </w:tc>
        <w:tc>
          <w:tcPr>
            <w:tcW w:w="372" w:type="pct"/>
            <w:tcBorders>
              <w:top w:val="single" w:sz="12" w:space="0" w:color="auto"/>
            </w:tcBorders>
            <w:shd w:val="clear" w:color="auto" w:fill="FFFFFF" w:themeFill="background1"/>
            <w:vAlign w:val="bottom"/>
          </w:tcPr>
          <w:p w14:paraId="4445147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-0.47</w:t>
            </w:r>
          </w:p>
        </w:tc>
        <w:tc>
          <w:tcPr>
            <w:tcW w:w="372" w:type="pct"/>
            <w:tcBorders>
              <w:top w:val="single" w:sz="12" w:space="0" w:color="auto"/>
            </w:tcBorders>
            <w:shd w:val="clear" w:color="auto" w:fill="FFFFFF" w:themeFill="background1"/>
          </w:tcPr>
          <w:p w14:paraId="292FB41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0.15</w:t>
            </w:r>
          </w:p>
        </w:tc>
      </w:tr>
      <w:tr w:rsidR="00BA06B6" w:rsidRPr="00BA06B6" w14:paraId="7322649B" w14:textId="77777777" w:rsidTr="00B91469">
        <w:trPr>
          <w:trHeight w:val="20"/>
          <w:tblHeader/>
          <w:jc w:val="center"/>
        </w:trPr>
        <w:tc>
          <w:tcPr>
            <w:tcW w:w="647" w:type="pct"/>
            <w:shd w:val="clear" w:color="auto" w:fill="FFFFFF" w:themeFill="background1"/>
            <w:vAlign w:val="bottom"/>
          </w:tcPr>
          <w:p w14:paraId="2E1D365B"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shd w:val="clear" w:color="auto" w:fill="FFFFFF" w:themeFill="background1"/>
            <w:vAlign w:val="bottom"/>
          </w:tcPr>
          <w:p w14:paraId="31BB1547"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shd w:val="clear" w:color="auto" w:fill="FFFFFF" w:themeFill="background1"/>
            <w:vAlign w:val="bottom"/>
          </w:tcPr>
          <w:p w14:paraId="712C24EC"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shd w:val="clear" w:color="auto" w:fill="FFFFFF" w:themeFill="background1"/>
            <w:vAlign w:val="bottom"/>
          </w:tcPr>
          <w:p w14:paraId="459173A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(0.989)</w:t>
            </w:r>
          </w:p>
        </w:tc>
        <w:tc>
          <w:tcPr>
            <w:tcW w:w="427" w:type="pct"/>
            <w:shd w:val="clear" w:color="auto" w:fill="FFFFFF" w:themeFill="background1"/>
            <w:vAlign w:val="bottom"/>
          </w:tcPr>
          <w:p w14:paraId="780EF30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(0.789)</w:t>
            </w:r>
          </w:p>
        </w:tc>
        <w:tc>
          <w:tcPr>
            <w:tcW w:w="373" w:type="pct"/>
            <w:shd w:val="clear" w:color="auto" w:fill="FFFFFF" w:themeFill="background1"/>
            <w:vAlign w:val="bottom"/>
          </w:tcPr>
          <w:p w14:paraId="708E758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(0.338)</w:t>
            </w:r>
          </w:p>
        </w:tc>
        <w:tc>
          <w:tcPr>
            <w:tcW w:w="422" w:type="pct"/>
            <w:shd w:val="clear" w:color="auto" w:fill="FFFFFF" w:themeFill="background1"/>
            <w:vAlign w:val="bottom"/>
          </w:tcPr>
          <w:p w14:paraId="243FFDE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(0.314)</w:t>
            </w:r>
          </w:p>
        </w:tc>
        <w:tc>
          <w:tcPr>
            <w:tcW w:w="375" w:type="pct"/>
            <w:shd w:val="clear" w:color="auto" w:fill="FFFFFF" w:themeFill="background1"/>
            <w:vAlign w:val="bottom"/>
          </w:tcPr>
          <w:p w14:paraId="45FB9D5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(0.053)</w:t>
            </w:r>
          </w:p>
        </w:tc>
        <w:tc>
          <w:tcPr>
            <w:tcW w:w="324" w:type="pct"/>
            <w:shd w:val="clear" w:color="auto" w:fill="FFFFFF" w:themeFill="background1"/>
            <w:vAlign w:val="bottom"/>
          </w:tcPr>
          <w:p w14:paraId="60D0156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(0.590)</w:t>
            </w:r>
          </w:p>
        </w:tc>
        <w:tc>
          <w:tcPr>
            <w:tcW w:w="409" w:type="pct"/>
            <w:shd w:val="clear" w:color="auto" w:fill="FFFFFF" w:themeFill="background1"/>
            <w:vAlign w:val="bottom"/>
          </w:tcPr>
          <w:p w14:paraId="29D2FC5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(0.796)</w:t>
            </w:r>
          </w:p>
        </w:tc>
        <w:tc>
          <w:tcPr>
            <w:tcW w:w="372" w:type="pct"/>
            <w:shd w:val="clear" w:color="auto" w:fill="FFFFFF" w:themeFill="background1"/>
            <w:vAlign w:val="bottom"/>
          </w:tcPr>
          <w:p w14:paraId="1E279E9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(0.635)</w:t>
            </w:r>
          </w:p>
        </w:tc>
        <w:tc>
          <w:tcPr>
            <w:tcW w:w="372" w:type="pct"/>
            <w:shd w:val="clear" w:color="auto" w:fill="FFFFFF" w:themeFill="background1"/>
          </w:tcPr>
          <w:p w14:paraId="70FB48B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(0.883)</w:t>
            </w:r>
          </w:p>
        </w:tc>
      </w:tr>
      <w:tr w:rsidR="00BA06B6" w:rsidRPr="00BA06B6" w14:paraId="61F8FB76" w14:textId="77777777" w:rsidTr="00B91469">
        <w:trPr>
          <w:trHeight w:val="20"/>
          <w:tblHeader/>
          <w:jc w:val="center"/>
        </w:trPr>
        <w:tc>
          <w:tcPr>
            <w:tcW w:w="647" w:type="pct"/>
            <w:shd w:val="clear" w:color="auto" w:fill="FFFFFF" w:themeFill="background1"/>
            <w:vAlign w:val="bottom"/>
          </w:tcPr>
          <w:p w14:paraId="097A888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W-RDI*GOWN</w:t>
            </w:r>
          </w:p>
        </w:tc>
        <w:tc>
          <w:tcPr>
            <w:tcW w:w="425" w:type="pct"/>
            <w:shd w:val="clear" w:color="auto" w:fill="FFFFFF" w:themeFill="background1"/>
            <w:vAlign w:val="bottom"/>
          </w:tcPr>
          <w:p w14:paraId="3CD413A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shd w:val="clear" w:color="auto" w:fill="FFFFFF" w:themeFill="background1"/>
            <w:vAlign w:val="bottom"/>
          </w:tcPr>
          <w:p w14:paraId="2F03F15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shd w:val="clear" w:color="auto" w:fill="FFFFFF" w:themeFill="background1"/>
            <w:vAlign w:val="bottom"/>
          </w:tcPr>
          <w:p w14:paraId="454EB5D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2.44</w:t>
            </w:r>
            <w:r w:rsidRPr="00BA06B6">
              <w:rPr>
                <w:rFonts w:ascii="Times New Roman" w:eastAsia="Calibri" w:hAnsi="Times New Roman" w:cs="Times New Roman"/>
                <w:bCs/>
                <w:sz w:val="18"/>
                <w:szCs w:val="18"/>
                <w:vertAlign w:val="superscript"/>
              </w:rPr>
              <w:t>**</w:t>
            </w:r>
          </w:p>
        </w:tc>
        <w:tc>
          <w:tcPr>
            <w:tcW w:w="427" w:type="pct"/>
            <w:shd w:val="clear" w:color="auto" w:fill="FFFFFF" w:themeFill="background1"/>
            <w:vAlign w:val="bottom"/>
          </w:tcPr>
          <w:p w14:paraId="77A25F5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1.99</w:t>
            </w:r>
            <w:r w:rsidRPr="00BA06B6">
              <w:rPr>
                <w:rFonts w:ascii="Times New Roman" w:eastAsia="Calibri" w:hAnsi="Times New Roman" w:cs="Times New Roman"/>
                <w:bCs/>
                <w:sz w:val="18"/>
                <w:szCs w:val="18"/>
                <w:vertAlign w:val="superscript"/>
              </w:rPr>
              <w:t>**</w:t>
            </w:r>
          </w:p>
        </w:tc>
        <w:tc>
          <w:tcPr>
            <w:tcW w:w="373" w:type="pct"/>
            <w:shd w:val="clear" w:color="auto" w:fill="FFFFFF" w:themeFill="background1"/>
            <w:vAlign w:val="bottom"/>
          </w:tcPr>
          <w:p w14:paraId="2B30072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0.10</w:t>
            </w:r>
          </w:p>
        </w:tc>
        <w:tc>
          <w:tcPr>
            <w:tcW w:w="422" w:type="pct"/>
            <w:shd w:val="clear" w:color="auto" w:fill="FFFFFF" w:themeFill="background1"/>
            <w:vAlign w:val="bottom"/>
          </w:tcPr>
          <w:p w14:paraId="6C8E99A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1.37</w:t>
            </w:r>
          </w:p>
        </w:tc>
        <w:tc>
          <w:tcPr>
            <w:tcW w:w="375" w:type="pct"/>
            <w:shd w:val="clear" w:color="auto" w:fill="FFFFFF" w:themeFill="background1"/>
            <w:vAlign w:val="bottom"/>
          </w:tcPr>
          <w:p w14:paraId="35A9E15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2.86</w:t>
            </w:r>
            <w:r w:rsidRPr="00BA06B6">
              <w:rPr>
                <w:rFonts w:ascii="Times New Roman" w:eastAsia="Calibri" w:hAnsi="Times New Roman" w:cs="Times New Roman"/>
                <w:bCs/>
                <w:sz w:val="18"/>
                <w:szCs w:val="18"/>
                <w:vertAlign w:val="superscript"/>
              </w:rPr>
              <w:t>***</w:t>
            </w:r>
          </w:p>
        </w:tc>
        <w:tc>
          <w:tcPr>
            <w:tcW w:w="324" w:type="pct"/>
            <w:shd w:val="clear" w:color="auto" w:fill="FFFFFF" w:themeFill="background1"/>
            <w:vAlign w:val="bottom"/>
          </w:tcPr>
          <w:p w14:paraId="513633F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1.04</w:t>
            </w:r>
          </w:p>
        </w:tc>
        <w:tc>
          <w:tcPr>
            <w:tcW w:w="409" w:type="pct"/>
            <w:shd w:val="clear" w:color="auto" w:fill="FFFFFF" w:themeFill="background1"/>
            <w:vAlign w:val="bottom"/>
          </w:tcPr>
          <w:p w14:paraId="2773C25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1.33</w:t>
            </w:r>
          </w:p>
        </w:tc>
        <w:tc>
          <w:tcPr>
            <w:tcW w:w="372" w:type="pct"/>
            <w:shd w:val="clear" w:color="auto" w:fill="FFFFFF" w:themeFill="background1"/>
            <w:vAlign w:val="bottom"/>
          </w:tcPr>
          <w:p w14:paraId="1EF3BEB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1.95</w:t>
            </w:r>
            <w:r w:rsidRPr="00BA06B6">
              <w:rPr>
                <w:rFonts w:ascii="Times New Roman" w:eastAsia="Calibri" w:hAnsi="Times New Roman" w:cs="Times New Roman"/>
                <w:bCs/>
                <w:sz w:val="18"/>
                <w:szCs w:val="18"/>
                <w:vertAlign w:val="superscript"/>
              </w:rPr>
              <w:t>*</w:t>
            </w:r>
          </w:p>
        </w:tc>
        <w:tc>
          <w:tcPr>
            <w:tcW w:w="372" w:type="pct"/>
            <w:shd w:val="clear" w:color="auto" w:fill="FFFFFF" w:themeFill="background1"/>
          </w:tcPr>
          <w:p w14:paraId="07E7C83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1.09</w:t>
            </w:r>
          </w:p>
        </w:tc>
      </w:tr>
      <w:tr w:rsidR="00BA06B6" w:rsidRPr="00BA06B6" w14:paraId="7503FC52" w14:textId="77777777" w:rsidTr="00B91469">
        <w:trPr>
          <w:trHeight w:val="20"/>
          <w:tblHeader/>
          <w:jc w:val="center"/>
        </w:trPr>
        <w:tc>
          <w:tcPr>
            <w:tcW w:w="647" w:type="pct"/>
            <w:shd w:val="clear" w:color="auto" w:fill="FFFFFF" w:themeFill="background1"/>
            <w:vAlign w:val="bottom"/>
          </w:tcPr>
          <w:p w14:paraId="27D3C605"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shd w:val="clear" w:color="auto" w:fill="FFFFFF" w:themeFill="background1"/>
            <w:vAlign w:val="bottom"/>
          </w:tcPr>
          <w:p w14:paraId="026073BB"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shd w:val="clear" w:color="auto" w:fill="FFFFFF" w:themeFill="background1"/>
            <w:vAlign w:val="bottom"/>
          </w:tcPr>
          <w:p w14:paraId="49446C1B"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shd w:val="clear" w:color="auto" w:fill="FFFFFF" w:themeFill="background1"/>
            <w:vAlign w:val="bottom"/>
          </w:tcPr>
          <w:p w14:paraId="60F410D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(0.015)</w:t>
            </w:r>
          </w:p>
        </w:tc>
        <w:tc>
          <w:tcPr>
            <w:tcW w:w="427" w:type="pct"/>
            <w:shd w:val="clear" w:color="auto" w:fill="FFFFFF" w:themeFill="background1"/>
            <w:vAlign w:val="bottom"/>
          </w:tcPr>
          <w:p w14:paraId="0E37E2F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(0.047)</w:t>
            </w:r>
          </w:p>
        </w:tc>
        <w:tc>
          <w:tcPr>
            <w:tcW w:w="373" w:type="pct"/>
            <w:shd w:val="clear" w:color="auto" w:fill="FFFFFF" w:themeFill="background1"/>
            <w:vAlign w:val="bottom"/>
          </w:tcPr>
          <w:p w14:paraId="110A570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(0.924)</w:t>
            </w:r>
          </w:p>
        </w:tc>
        <w:tc>
          <w:tcPr>
            <w:tcW w:w="422" w:type="pct"/>
            <w:shd w:val="clear" w:color="auto" w:fill="FFFFFF" w:themeFill="background1"/>
            <w:vAlign w:val="bottom"/>
          </w:tcPr>
          <w:p w14:paraId="54B862D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(0.170)</w:t>
            </w:r>
          </w:p>
        </w:tc>
        <w:tc>
          <w:tcPr>
            <w:tcW w:w="375" w:type="pct"/>
            <w:shd w:val="clear" w:color="auto" w:fill="FFFFFF" w:themeFill="background1"/>
            <w:vAlign w:val="bottom"/>
          </w:tcPr>
          <w:p w14:paraId="40B54CD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(0.004)</w:t>
            </w:r>
          </w:p>
        </w:tc>
        <w:tc>
          <w:tcPr>
            <w:tcW w:w="324" w:type="pct"/>
            <w:shd w:val="clear" w:color="auto" w:fill="FFFFFF" w:themeFill="background1"/>
            <w:vAlign w:val="bottom"/>
          </w:tcPr>
          <w:p w14:paraId="0650BEE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(0.298)</w:t>
            </w:r>
          </w:p>
        </w:tc>
        <w:tc>
          <w:tcPr>
            <w:tcW w:w="409" w:type="pct"/>
            <w:shd w:val="clear" w:color="auto" w:fill="FFFFFF" w:themeFill="background1"/>
            <w:vAlign w:val="bottom"/>
          </w:tcPr>
          <w:p w14:paraId="62B94B2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(0.185)</w:t>
            </w:r>
          </w:p>
        </w:tc>
        <w:tc>
          <w:tcPr>
            <w:tcW w:w="372" w:type="pct"/>
            <w:shd w:val="clear" w:color="auto" w:fill="FFFFFF" w:themeFill="background1"/>
            <w:vAlign w:val="bottom"/>
          </w:tcPr>
          <w:p w14:paraId="79844AA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(0.051)</w:t>
            </w:r>
          </w:p>
        </w:tc>
        <w:tc>
          <w:tcPr>
            <w:tcW w:w="372" w:type="pct"/>
            <w:shd w:val="clear" w:color="auto" w:fill="FFFFFF" w:themeFill="background1"/>
          </w:tcPr>
          <w:p w14:paraId="63314A8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(0.278)</w:t>
            </w:r>
          </w:p>
        </w:tc>
      </w:tr>
      <w:tr w:rsidR="00BA06B6" w:rsidRPr="00BA06B6" w14:paraId="325B4856" w14:textId="77777777" w:rsidTr="00B91469">
        <w:trPr>
          <w:trHeight w:val="20"/>
          <w:tblHeader/>
          <w:jc w:val="center"/>
        </w:trPr>
        <w:tc>
          <w:tcPr>
            <w:tcW w:w="647" w:type="pct"/>
            <w:shd w:val="clear" w:color="auto" w:fill="FFFFFF" w:themeFill="background1"/>
            <w:vAlign w:val="bottom"/>
          </w:tcPr>
          <w:p w14:paraId="34F3BE3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W-RDI*FOWN</w:t>
            </w:r>
          </w:p>
        </w:tc>
        <w:tc>
          <w:tcPr>
            <w:tcW w:w="425" w:type="pct"/>
            <w:shd w:val="clear" w:color="auto" w:fill="FFFFFF" w:themeFill="background1"/>
            <w:vAlign w:val="bottom"/>
          </w:tcPr>
          <w:p w14:paraId="05D60C1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shd w:val="clear" w:color="auto" w:fill="FFFFFF" w:themeFill="background1"/>
            <w:vAlign w:val="bottom"/>
          </w:tcPr>
          <w:p w14:paraId="7F9AB7B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shd w:val="clear" w:color="auto" w:fill="FFFFFF" w:themeFill="background1"/>
            <w:vAlign w:val="bottom"/>
          </w:tcPr>
          <w:p w14:paraId="6D865D1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-1.95</w:t>
            </w:r>
            <w:r w:rsidRPr="00BA06B6">
              <w:rPr>
                <w:rFonts w:ascii="Times New Roman" w:eastAsia="Calibri" w:hAnsi="Times New Roman" w:cs="Times New Roman"/>
                <w:bCs/>
                <w:sz w:val="18"/>
                <w:szCs w:val="18"/>
                <w:vertAlign w:val="superscript"/>
              </w:rPr>
              <w:t>*</w:t>
            </w:r>
          </w:p>
        </w:tc>
        <w:tc>
          <w:tcPr>
            <w:tcW w:w="427" w:type="pct"/>
            <w:shd w:val="clear" w:color="auto" w:fill="FFFFFF" w:themeFill="background1"/>
            <w:vAlign w:val="bottom"/>
          </w:tcPr>
          <w:p w14:paraId="56AD259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-0.88</w:t>
            </w:r>
          </w:p>
        </w:tc>
        <w:tc>
          <w:tcPr>
            <w:tcW w:w="373" w:type="pct"/>
            <w:shd w:val="clear" w:color="auto" w:fill="FFFFFF" w:themeFill="background1"/>
            <w:vAlign w:val="bottom"/>
          </w:tcPr>
          <w:p w14:paraId="4B874E7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-1.70</w:t>
            </w:r>
            <w:r w:rsidRPr="00BA06B6">
              <w:rPr>
                <w:rFonts w:ascii="Times New Roman" w:eastAsia="Calibri" w:hAnsi="Times New Roman" w:cs="Times New Roman"/>
                <w:bCs/>
                <w:sz w:val="18"/>
                <w:szCs w:val="18"/>
                <w:vertAlign w:val="superscript"/>
              </w:rPr>
              <w:t>*</w:t>
            </w:r>
          </w:p>
        </w:tc>
        <w:tc>
          <w:tcPr>
            <w:tcW w:w="422" w:type="pct"/>
            <w:shd w:val="clear" w:color="auto" w:fill="FFFFFF" w:themeFill="background1"/>
            <w:vAlign w:val="bottom"/>
          </w:tcPr>
          <w:p w14:paraId="20DB2CA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-1.09</w:t>
            </w:r>
          </w:p>
        </w:tc>
        <w:tc>
          <w:tcPr>
            <w:tcW w:w="375" w:type="pct"/>
            <w:shd w:val="clear" w:color="auto" w:fill="FFFFFF" w:themeFill="background1"/>
            <w:vAlign w:val="bottom"/>
          </w:tcPr>
          <w:p w14:paraId="134D370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-1.34</w:t>
            </w:r>
          </w:p>
        </w:tc>
        <w:tc>
          <w:tcPr>
            <w:tcW w:w="324" w:type="pct"/>
            <w:shd w:val="clear" w:color="auto" w:fill="FFFFFF" w:themeFill="background1"/>
            <w:vAlign w:val="bottom"/>
          </w:tcPr>
          <w:p w14:paraId="14449CA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-1.24</w:t>
            </w:r>
          </w:p>
        </w:tc>
        <w:tc>
          <w:tcPr>
            <w:tcW w:w="409" w:type="pct"/>
            <w:shd w:val="clear" w:color="auto" w:fill="FFFFFF" w:themeFill="background1"/>
            <w:vAlign w:val="bottom"/>
          </w:tcPr>
          <w:p w14:paraId="273B54D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-0.86</w:t>
            </w:r>
          </w:p>
        </w:tc>
        <w:tc>
          <w:tcPr>
            <w:tcW w:w="372" w:type="pct"/>
            <w:shd w:val="clear" w:color="auto" w:fill="FFFFFF" w:themeFill="background1"/>
            <w:vAlign w:val="bottom"/>
          </w:tcPr>
          <w:p w14:paraId="2A338F1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-1.65</w:t>
            </w:r>
            <w:r w:rsidRPr="00BA06B6">
              <w:rPr>
                <w:rFonts w:ascii="Times New Roman" w:eastAsia="Calibri" w:hAnsi="Times New Roman" w:cs="Times New Roman"/>
                <w:bCs/>
                <w:sz w:val="18"/>
                <w:szCs w:val="18"/>
                <w:vertAlign w:val="superscript"/>
              </w:rPr>
              <w:t>*</w:t>
            </w:r>
          </w:p>
        </w:tc>
        <w:tc>
          <w:tcPr>
            <w:tcW w:w="372" w:type="pct"/>
            <w:shd w:val="clear" w:color="auto" w:fill="FFFFFF" w:themeFill="background1"/>
          </w:tcPr>
          <w:p w14:paraId="1704E89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-1.65</w:t>
            </w:r>
            <w:r w:rsidRPr="00BA06B6">
              <w:rPr>
                <w:rFonts w:ascii="Times New Roman" w:eastAsia="Calibri" w:hAnsi="Times New Roman" w:cs="Times New Roman"/>
                <w:bCs/>
                <w:sz w:val="18"/>
                <w:szCs w:val="18"/>
                <w:vertAlign w:val="superscript"/>
              </w:rPr>
              <w:t>*</w:t>
            </w:r>
          </w:p>
        </w:tc>
      </w:tr>
      <w:tr w:rsidR="00BA06B6" w:rsidRPr="00BA06B6" w14:paraId="4532065C" w14:textId="77777777" w:rsidTr="00B91469">
        <w:trPr>
          <w:trHeight w:val="20"/>
          <w:tblHeader/>
          <w:jc w:val="center"/>
        </w:trPr>
        <w:tc>
          <w:tcPr>
            <w:tcW w:w="647" w:type="pct"/>
            <w:shd w:val="clear" w:color="auto" w:fill="FFFFFF" w:themeFill="background1"/>
            <w:vAlign w:val="bottom"/>
          </w:tcPr>
          <w:p w14:paraId="72F2EB86"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shd w:val="clear" w:color="auto" w:fill="FFFFFF" w:themeFill="background1"/>
            <w:vAlign w:val="bottom"/>
          </w:tcPr>
          <w:p w14:paraId="6C425D2D"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shd w:val="clear" w:color="auto" w:fill="FFFFFF" w:themeFill="background1"/>
            <w:vAlign w:val="bottom"/>
          </w:tcPr>
          <w:p w14:paraId="48FD7DF5"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shd w:val="clear" w:color="auto" w:fill="FFFFFF" w:themeFill="background1"/>
            <w:vAlign w:val="bottom"/>
          </w:tcPr>
          <w:p w14:paraId="3FD60E8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(0.053)</w:t>
            </w:r>
          </w:p>
        </w:tc>
        <w:tc>
          <w:tcPr>
            <w:tcW w:w="427" w:type="pct"/>
            <w:shd w:val="clear" w:color="auto" w:fill="FFFFFF" w:themeFill="background1"/>
            <w:vAlign w:val="bottom"/>
          </w:tcPr>
          <w:p w14:paraId="11F8017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(0.380)</w:t>
            </w:r>
          </w:p>
        </w:tc>
        <w:tc>
          <w:tcPr>
            <w:tcW w:w="373" w:type="pct"/>
            <w:shd w:val="clear" w:color="auto" w:fill="FFFFFF" w:themeFill="background1"/>
            <w:vAlign w:val="bottom"/>
          </w:tcPr>
          <w:p w14:paraId="725C594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(0.090)</w:t>
            </w:r>
          </w:p>
        </w:tc>
        <w:tc>
          <w:tcPr>
            <w:tcW w:w="422" w:type="pct"/>
            <w:shd w:val="clear" w:color="auto" w:fill="FFFFFF" w:themeFill="background1"/>
            <w:vAlign w:val="bottom"/>
          </w:tcPr>
          <w:p w14:paraId="5BDA54C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(0.276)</w:t>
            </w:r>
          </w:p>
        </w:tc>
        <w:tc>
          <w:tcPr>
            <w:tcW w:w="375" w:type="pct"/>
            <w:shd w:val="clear" w:color="auto" w:fill="FFFFFF" w:themeFill="background1"/>
            <w:vAlign w:val="bottom"/>
          </w:tcPr>
          <w:p w14:paraId="61F361E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(0.179)</w:t>
            </w:r>
          </w:p>
        </w:tc>
        <w:tc>
          <w:tcPr>
            <w:tcW w:w="324" w:type="pct"/>
            <w:shd w:val="clear" w:color="auto" w:fill="FFFFFF" w:themeFill="background1"/>
            <w:vAlign w:val="bottom"/>
          </w:tcPr>
          <w:p w14:paraId="50FF042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(0.215)</w:t>
            </w:r>
          </w:p>
        </w:tc>
        <w:tc>
          <w:tcPr>
            <w:tcW w:w="409" w:type="pct"/>
            <w:shd w:val="clear" w:color="auto" w:fill="FFFFFF" w:themeFill="background1"/>
            <w:vAlign w:val="bottom"/>
          </w:tcPr>
          <w:p w14:paraId="624F18F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(0.389)</w:t>
            </w:r>
          </w:p>
        </w:tc>
        <w:tc>
          <w:tcPr>
            <w:tcW w:w="372" w:type="pct"/>
            <w:shd w:val="clear" w:color="auto" w:fill="FFFFFF" w:themeFill="background1"/>
            <w:vAlign w:val="bottom"/>
          </w:tcPr>
          <w:p w14:paraId="0F7DC2E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(0.100)</w:t>
            </w:r>
          </w:p>
        </w:tc>
        <w:tc>
          <w:tcPr>
            <w:tcW w:w="372" w:type="pct"/>
            <w:shd w:val="clear" w:color="auto" w:fill="FFFFFF" w:themeFill="background1"/>
          </w:tcPr>
          <w:p w14:paraId="66AAE57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(0.098)</w:t>
            </w:r>
          </w:p>
        </w:tc>
      </w:tr>
      <w:tr w:rsidR="00BA06B6" w:rsidRPr="00BA06B6" w14:paraId="3BC2953F" w14:textId="77777777" w:rsidTr="00B91469">
        <w:trPr>
          <w:trHeight w:val="20"/>
          <w:tblHeader/>
          <w:jc w:val="center"/>
        </w:trPr>
        <w:tc>
          <w:tcPr>
            <w:tcW w:w="647" w:type="pct"/>
            <w:shd w:val="clear" w:color="auto" w:fill="FFFFFF" w:themeFill="background1"/>
            <w:vAlign w:val="bottom"/>
          </w:tcPr>
          <w:p w14:paraId="2B2AC22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W-RDI*BS</w:t>
            </w:r>
          </w:p>
        </w:tc>
        <w:tc>
          <w:tcPr>
            <w:tcW w:w="425" w:type="pct"/>
            <w:shd w:val="clear" w:color="auto" w:fill="FFFFFF" w:themeFill="background1"/>
            <w:vAlign w:val="bottom"/>
          </w:tcPr>
          <w:p w14:paraId="2266232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shd w:val="clear" w:color="auto" w:fill="FFFFFF" w:themeFill="background1"/>
            <w:vAlign w:val="bottom"/>
          </w:tcPr>
          <w:p w14:paraId="435EC39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shd w:val="clear" w:color="auto" w:fill="FFFFFF" w:themeFill="background1"/>
            <w:vAlign w:val="bottom"/>
          </w:tcPr>
          <w:p w14:paraId="258160F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2.29</w:t>
            </w:r>
            <w:r w:rsidRPr="00BA06B6">
              <w:rPr>
                <w:rFonts w:ascii="Times New Roman" w:eastAsia="Calibri" w:hAnsi="Times New Roman" w:cs="Times New Roman"/>
                <w:bCs/>
                <w:sz w:val="18"/>
                <w:szCs w:val="18"/>
                <w:vertAlign w:val="superscript"/>
              </w:rPr>
              <w:t>**</w:t>
            </w:r>
          </w:p>
        </w:tc>
        <w:tc>
          <w:tcPr>
            <w:tcW w:w="427" w:type="pct"/>
            <w:shd w:val="clear" w:color="auto" w:fill="FFFFFF" w:themeFill="background1"/>
            <w:vAlign w:val="bottom"/>
          </w:tcPr>
          <w:p w14:paraId="6F712AD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0.16</w:t>
            </w:r>
          </w:p>
        </w:tc>
        <w:tc>
          <w:tcPr>
            <w:tcW w:w="373" w:type="pct"/>
            <w:shd w:val="clear" w:color="auto" w:fill="FFFFFF" w:themeFill="background1"/>
            <w:vAlign w:val="bottom"/>
          </w:tcPr>
          <w:p w14:paraId="638618E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0.35</w:t>
            </w:r>
          </w:p>
        </w:tc>
        <w:tc>
          <w:tcPr>
            <w:tcW w:w="422" w:type="pct"/>
            <w:shd w:val="clear" w:color="auto" w:fill="FFFFFF" w:themeFill="background1"/>
            <w:vAlign w:val="bottom"/>
          </w:tcPr>
          <w:p w14:paraId="2A77489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1.64</w:t>
            </w:r>
            <w:r w:rsidRPr="00BA06B6">
              <w:rPr>
                <w:rFonts w:ascii="Times New Roman" w:eastAsia="Calibri" w:hAnsi="Times New Roman" w:cs="Times New Roman"/>
                <w:bCs/>
                <w:sz w:val="18"/>
                <w:szCs w:val="18"/>
                <w:vertAlign w:val="superscript"/>
              </w:rPr>
              <w:t>*</w:t>
            </w:r>
          </w:p>
        </w:tc>
        <w:tc>
          <w:tcPr>
            <w:tcW w:w="375" w:type="pct"/>
            <w:shd w:val="clear" w:color="auto" w:fill="FFFFFF" w:themeFill="background1"/>
            <w:vAlign w:val="bottom"/>
          </w:tcPr>
          <w:p w14:paraId="3D28927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0.30</w:t>
            </w:r>
          </w:p>
        </w:tc>
        <w:tc>
          <w:tcPr>
            <w:tcW w:w="324" w:type="pct"/>
            <w:shd w:val="clear" w:color="auto" w:fill="FFFFFF" w:themeFill="background1"/>
            <w:vAlign w:val="bottom"/>
          </w:tcPr>
          <w:p w14:paraId="5886946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-0.26</w:t>
            </w:r>
          </w:p>
        </w:tc>
        <w:tc>
          <w:tcPr>
            <w:tcW w:w="409" w:type="pct"/>
            <w:shd w:val="clear" w:color="auto" w:fill="FFFFFF" w:themeFill="background1"/>
            <w:vAlign w:val="bottom"/>
          </w:tcPr>
          <w:p w14:paraId="3DF7F25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1.44</w:t>
            </w:r>
            <w:r w:rsidRPr="00BA06B6">
              <w:rPr>
                <w:rFonts w:ascii="Times New Roman" w:eastAsia="Calibri" w:hAnsi="Times New Roman" w:cs="Times New Roman"/>
                <w:bCs/>
                <w:sz w:val="18"/>
                <w:szCs w:val="18"/>
                <w:vertAlign w:val="superscript"/>
              </w:rPr>
              <w:t>*</w:t>
            </w:r>
          </w:p>
        </w:tc>
        <w:tc>
          <w:tcPr>
            <w:tcW w:w="372" w:type="pct"/>
            <w:shd w:val="clear" w:color="auto" w:fill="FFFFFF" w:themeFill="background1"/>
            <w:vAlign w:val="bottom"/>
          </w:tcPr>
          <w:p w14:paraId="6C197D1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1.94</w:t>
            </w:r>
            <w:r w:rsidRPr="00BA06B6">
              <w:rPr>
                <w:rFonts w:ascii="Times New Roman" w:eastAsia="Calibri" w:hAnsi="Times New Roman" w:cs="Times New Roman"/>
                <w:bCs/>
                <w:sz w:val="18"/>
                <w:szCs w:val="18"/>
                <w:vertAlign w:val="superscript"/>
              </w:rPr>
              <w:t>*</w:t>
            </w:r>
          </w:p>
        </w:tc>
        <w:tc>
          <w:tcPr>
            <w:tcW w:w="372" w:type="pct"/>
            <w:shd w:val="clear" w:color="auto" w:fill="FFFFFF" w:themeFill="background1"/>
          </w:tcPr>
          <w:p w14:paraId="28E030F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0.26</w:t>
            </w:r>
          </w:p>
        </w:tc>
      </w:tr>
      <w:tr w:rsidR="00BA06B6" w:rsidRPr="00BA06B6" w14:paraId="4A516179" w14:textId="77777777" w:rsidTr="00B91469">
        <w:trPr>
          <w:trHeight w:val="20"/>
          <w:tblHeader/>
          <w:jc w:val="center"/>
        </w:trPr>
        <w:tc>
          <w:tcPr>
            <w:tcW w:w="647" w:type="pct"/>
            <w:shd w:val="clear" w:color="auto" w:fill="FFFFFF" w:themeFill="background1"/>
            <w:vAlign w:val="bottom"/>
          </w:tcPr>
          <w:p w14:paraId="32E469DB"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shd w:val="clear" w:color="auto" w:fill="FFFFFF" w:themeFill="background1"/>
            <w:vAlign w:val="bottom"/>
          </w:tcPr>
          <w:p w14:paraId="7FBDB379"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shd w:val="clear" w:color="auto" w:fill="FFFFFF" w:themeFill="background1"/>
            <w:vAlign w:val="bottom"/>
          </w:tcPr>
          <w:p w14:paraId="2B9B1CA6"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shd w:val="clear" w:color="auto" w:fill="FFFFFF" w:themeFill="background1"/>
            <w:vAlign w:val="bottom"/>
          </w:tcPr>
          <w:p w14:paraId="78A6D12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(0.047)</w:t>
            </w:r>
          </w:p>
        </w:tc>
        <w:tc>
          <w:tcPr>
            <w:tcW w:w="427" w:type="pct"/>
            <w:shd w:val="clear" w:color="auto" w:fill="FFFFFF" w:themeFill="background1"/>
            <w:vAlign w:val="bottom"/>
          </w:tcPr>
          <w:p w14:paraId="32B30F5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(0.872)</w:t>
            </w:r>
          </w:p>
        </w:tc>
        <w:tc>
          <w:tcPr>
            <w:tcW w:w="373" w:type="pct"/>
            <w:shd w:val="clear" w:color="auto" w:fill="FFFFFF" w:themeFill="background1"/>
            <w:vAlign w:val="bottom"/>
          </w:tcPr>
          <w:p w14:paraId="1A5FBFB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(0.727)</w:t>
            </w:r>
          </w:p>
        </w:tc>
        <w:tc>
          <w:tcPr>
            <w:tcW w:w="422" w:type="pct"/>
            <w:shd w:val="clear" w:color="auto" w:fill="FFFFFF" w:themeFill="background1"/>
            <w:vAlign w:val="bottom"/>
          </w:tcPr>
          <w:p w14:paraId="6649A94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(0.084)</w:t>
            </w:r>
          </w:p>
        </w:tc>
        <w:tc>
          <w:tcPr>
            <w:tcW w:w="375" w:type="pct"/>
            <w:shd w:val="clear" w:color="auto" w:fill="FFFFFF" w:themeFill="background1"/>
            <w:vAlign w:val="bottom"/>
          </w:tcPr>
          <w:p w14:paraId="32F05A5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(0.765)</w:t>
            </w:r>
          </w:p>
        </w:tc>
        <w:tc>
          <w:tcPr>
            <w:tcW w:w="324" w:type="pct"/>
            <w:shd w:val="clear" w:color="auto" w:fill="FFFFFF" w:themeFill="background1"/>
            <w:vAlign w:val="bottom"/>
          </w:tcPr>
          <w:p w14:paraId="49C7A3D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(0.793)</w:t>
            </w:r>
          </w:p>
        </w:tc>
        <w:tc>
          <w:tcPr>
            <w:tcW w:w="409" w:type="pct"/>
            <w:shd w:val="clear" w:color="auto" w:fill="FFFFFF" w:themeFill="background1"/>
            <w:vAlign w:val="bottom"/>
          </w:tcPr>
          <w:p w14:paraId="0AE6155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(0.081)</w:t>
            </w:r>
          </w:p>
        </w:tc>
        <w:tc>
          <w:tcPr>
            <w:tcW w:w="372" w:type="pct"/>
            <w:shd w:val="clear" w:color="auto" w:fill="FFFFFF" w:themeFill="background1"/>
            <w:vAlign w:val="bottom"/>
          </w:tcPr>
          <w:p w14:paraId="37CDDCC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(0.052)</w:t>
            </w:r>
          </w:p>
        </w:tc>
        <w:tc>
          <w:tcPr>
            <w:tcW w:w="372" w:type="pct"/>
            <w:shd w:val="clear" w:color="auto" w:fill="FFFFFF" w:themeFill="background1"/>
          </w:tcPr>
          <w:p w14:paraId="6F9BE29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(0.797)</w:t>
            </w:r>
          </w:p>
        </w:tc>
      </w:tr>
      <w:tr w:rsidR="00BA06B6" w:rsidRPr="00BA06B6" w14:paraId="325860BC" w14:textId="77777777" w:rsidTr="00B91469">
        <w:trPr>
          <w:trHeight w:val="20"/>
          <w:tblHeader/>
          <w:jc w:val="center"/>
        </w:trPr>
        <w:tc>
          <w:tcPr>
            <w:tcW w:w="647" w:type="pct"/>
            <w:shd w:val="clear" w:color="auto" w:fill="FFFFFF" w:themeFill="background1"/>
            <w:vAlign w:val="bottom"/>
          </w:tcPr>
          <w:p w14:paraId="2F1540E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W-RDI*DUAL</w:t>
            </w:r>
          </w:p>
        </w:tc>
        <w:tc>
          <w:tcPr>
            <w:tcW w:w="425" w:type="pct"/>
            <w:shd w:val="clear" w:color="auto" w:fill="FFFFFF" w:themeFill="background1"/>
            <w:vAlign w:val="bottom"/>
          </w:tcPr>
          <w:p w14:paraId="5D672DD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shd w:val="clear" w:color="auto" w:fill="FFFFFF" w:themeFill="background1"/>
            <w:vAlign w:val="bottom"/>
          </w:tcPr>
          <w:p w14:paraId="5A556D3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shd w:val="clear" w:color="auto" w:fill="FFFFFF" w:themeFill="background1"/>
            <w:vAlign w:val="bottom"/>
          </w:tcPr>
          <w:p w14:paraId="1A4C8D7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-1.45</w:t>
            </w:r>
          </w:p>
        </w:tc>
        <w:tc>
          <w:tcPr>
            <w:tcW w:w="427" w:type="pct"/>
            <w:shd w:val="clear" w:color="auto" w:fill="FFFFFF" w:themeFill="background1"/>
            <w:vAlign w:val="bottom"/>
          </w:tcPr>
          <w:p w14:paraId="05DC9D1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-0.08</w:t>
            </w:r>
          </w:p>
        </w:tc>
        <w:tc>
          <w:tcPr>
            <w:tcW w:w="373" w:type="pct"/>
            <w:shd w:val="clear" w:color="auto" w:fill="FFFFFF" w:themeFill="background1"/>
            <w:vAlign w:val="bottom"/>
          </w:tcPr>
          <w:p w14:paraId="7B8393C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-1.52</w:t>
            </w:r>
          </w:p>
        </w:tc>
        <w:tc>
          <w:tcPr>
            <w:tcW w:w="422" w:type="pct"/>
            <w:shd w:val="clear" w:color="auto" w:fill="FFFFFF" w:themeFill="background1"/>
            <w:vAlign w:val="bottom"/>
          </w:tcPr>
          <w:p w14:paraId="01C864D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-0.03</w:t>
            </w:r>
          </w:p>
        </w:tc>
        <w:tc>
          <w:tcPr>
            <w:tcW w:w="375" w:type="pct"/>
            <w:shd w:val="clear" w:color="auto" w:fill="FFFFFF" w:themeFill="background1"/>
            <w:vAlign w:val="bottom"/>
          </w:tcPr>
          <w:p w14:paraId="7FD1BDE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-0.11</w:t>
            </w:r>
          </w:p>
        </w:tc>
        <w:tc>
          <w:tcPr>
            <w:tcW w:w="324" w:type="pct"/>
            <w:shd w:val="clear" w:color="auto" w:fill="FFFFFF" w:themeFill="background1"/>
            <w:vAlign w:val="bottom"/>
          </w:tcPr>
          <w:p w14:paraId="2C6F6EC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-0.34</w:t>
            </w:r>
          </w:p>
        </w:tc>
        <w:tc>
          <w:tcPr>
            <w:tcW w:w="409" w:type="pct"/>
            <w:shd w:val="clear" w:color="auto" w:fill="FFFFFF" w:themeFill="background1"/>
            <w:vAlign w:val="bottom"/>
          </w:tcPr>
          <w:p w14:paraId="49F8F49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-1.23</w:t>
            </w:r>
          </w:p>
        </w:tc>
        <w:tc>
          <w:tcPr>
            <w:tcW w:w="372" w:type="pct"/>
            <w:shd w:val="clear" w:color="auto" w:fill="FFFFFF" w:themeFill="background1"/>
            <w:vAlign w:val="bottom"/>
          </w:tcPr>
          <w:p w14:paraId="6ECC6F8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-1.05</w:t>
            </w:r>
          </w:p>
        </w:tc>
        <w:tc>
          <w:tcPr>
            <w:tcW w:w="372" w:type="pct"/>
            <w:shd w:val="clear" w:color="auto" w:fill="FFFFFF" w:themeFill="background1"/>
          </w:tcPr>
          <w:p w14:paraId="33DFF8C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-0.93</w:t>
            </w:r>
          </w:p>
        </w:tc>
      </w:tr>
      <w:tr w:rsidR="00BA06B6" w:rsidRPr="00BA06B6" w14:paraId="32F51055" w14:textId="77777777" w:rsidTr="00B91469">
        <w:trPr>
          <w:trHeight w:val="20"/>
          <w:tblHeader/>
          <w:jc w:val="center"/>
        </w:trPr>
        <w:tc>
          <w:tcPr>
            <w:tcW w:w="647" w:type="pct"/>
            <w:shd w:val="clear" w:color="auto" w:fill="FFFFFF" w:themeFill="background1"/>
            <w:vAlign w:val="bottom"/>
          </w:tcPr>
          <w:p w14:paraId="0383CFBD"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shd w:val="clear" w:color="auto" w:fill="FFFFFF" w:themeFill="background1"/>
            <w:vAlign w:val="bottom"/>
          </w:tcPr>
          <w:p w14:paraId="72C5250D"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shd w:val="clear" w:color="auto" w:fill="FFFFFF" w:themeFill="background1"/>
            <w:vAlign w:val="bottom"/>
          </w:tcPr>
          <w:p w14:paraId="102B680D"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shd w:val="clear" w:color="auto" w:fill="FFFFFF" w:themeFill="background1"/>
            <w:vAlign w:val="bottom"/>
          </w:tcPr>
          <w:p w14:paraId="6C4365C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(0.148)</w:t>
            </w:r>
          </w:p>
        </w:tc>
        <w:tc>
          <w:tcPr>
            <w:tcW w:w="427" w:type="pct"/>
            <w:shd w:val="clear" w:color="auto" w:fill="FFFFFF" w:themeFill="background1"/>
            <w:vAlign w:val="bottom"/>
          </w:tcPr>
          <w:p w14:paraId="70A57AA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(0.937)</w:t>
            </w:r>
          </w:p>
        </w:tc>
        <w:tc>
          <w:tcPr>
            <w:tcW w:w="373" w:type="pct"/>
            <w:shd w:val="clear" w:color="auto" w:fill="FFFFFF" w:themeFill="background1"/>
            <w:vAlign w:val="bottom"/>
          </w:tcPr>
          <w:p w14:paraId="1760665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(0.129)</w:t>
            </w:r>
          </w:p>
        </w:tc>
        <w:tc>
          <w:tcPr>
            <w:tcW w:w="422" w:type="pct"/>
            <w:shd w:val="clear" w:color="auto" w:fill="FFFFFF" w:themeFill="background1"/>
            <w:vAlign w:val="bottom"/>
          </w:tcPr>
          <w:p w14:paraId="6841E3B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(0.978)</w:t>
            </w:r>
          </w:p>
        </w:tc>
        <w:tc>
          <w:tcPr>
            <w:tcW w:w="375" w:type="pct"/>
            <w:shd w:val="clear" w:color="auto" w:fill="FFFFFF" w:themeFill="background1"/>
            <w:vAlign w:val="bottom"/>
          </w:tcPr>
          <w:p w14:paraId="42C945A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(0.909)</w:t>
            </w:r>
          </w:p>
        </w:tc>
        <w:tc>
          <w:tcPr>
            <w:tcW w:w="324" w:type="pct"/>
            <w:shd w:val="clear" w:color="auto" w:fill="FFFFFF" w:themeFill="background1"/>
            <w:vAlign w:val="bottom"/>
          </w:tcPr>
          <w:p w14:paraId="3E8232F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(0.735)</w:t>
            </w:r>
          </w:p>
        </w:tc>
        <w:tc>
          <w:tcPr>
            <w:tcW w:w="409" w:type="pct"/>
            <w:shd w:val="clear" w:color="auto" w:fill="FFFFFF" w:themeFill="background1"/>
            <w:vAlign w:val="bottom"/>
          </w:tcPr>
          <w:p w14:paraId="23EB28D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(0.218)</w:t>
            </w:r>
          </w:p>
        </w:tc>
        <w:tc>
          <w:tcPr>
            <w:tcW w:w="372" w:type="pct"/>
            <w:shd w:val="clear" w:color="auto" w:fill="FFFFFF" w:themeFill="background1"/>
            <w:vAlign w:val="bottom"/>
          </w:tcPr>
          <w:p w14:paraId="0F8BAA6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(0.294)</w:t>
            </w:r>
          </w:p>
        </w:tc>
        <w:tc>
          <w:tcPr>
            <w:tcW w:w="372" w:type="pct"/>
            <w:shd w:val="clear" w:color="auto" w:fill="FFFFFF" w:themeFill="background1"/>
          </w:tcPr>
          <w:p w14:paraId="7C14545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(0.351)</w:t>
            </w:r>
          </w:p>
        </w:tc>
      </w:tr>
      <w:tr w:rsidR="00BA06B6" w:rsidRPr="00BA06B6" w14:paraId="10BB6A8F" w14:textId="77777777" w:rsidTr="00B91469">
        <w:trPr>
          <w:trHeight w:val="20"/>
          <w:tblHeader/>
          <w:jc w:val="center"/>
        </w:trPr>
        <w:tc>
          <w:tcPr>
            <w:tcW w:w="647" w:type="pct"/>
            <w:shd w:val="clear" w:color="auto" w:fill="FFFFFF" w:themeFill="background1"/>
            <w:vAlign w:val="bottom"/>
          </w:tcPr>
          <w:p w14:paraId="7E806EA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W-RDI*GDB</w:t>
            </w:r>
          </w:p>
        </w:tc>
        <w:tc>
          <w:tcPr>
            <w:tcW w:w="425" w:type="pct"/>
            <w:shd w:val="clear" w:color="auto" w:fill="FFFFFF" w:themeFill="background1"/>
            <w:vAlign w:val="bottom"/>
          </w:tcPr>
          <w:p w14:paraId="202224C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shd w:val="clear" w:color="auto" w:fill="FFFFFF" w:themeFill="background1"/>
            <w:vAlign w:val="bottom"/>
          </w:tcPr>
          <w:p w14:paraId="58EAE3C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shd w:val="clear" w:color="auto" w:fill="FFFFFF" w:themeFill="background1"/>
            <w:vAlign w:val="bottom"/>
          </w:tcPr>
          <w:p w14:paraId="463032B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-1.45</w:t>
            </w:r>
          </w:p>
        </w:tc>
        <w:tc>
          <w:tcPr>
            <w:tcW w:w="427" w:type="pct"/>
            <w:shd w:val="clear" w:color="auto" w:fill="FFFFFF" w:themeFill="background1"/>
            <w:vAlign w:val="bottom"/>
          </w:tcPr>
          <w:p w14:paraId="4215600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-0.09</w:t>
            </w:r>
          </w:p>
        </w:tc>
        <w:tc>
          <w:tcPr>
            <w:tcW w:w="373" w:type="pct"/>
            <w:shd w:val="clear" w:color="auto" w:fill="FFFFFF" w:themeFill="background1"/>
            <w:vAlign w:val="bottom"/>
          </w:tcPr>
          <w:p w14:paraId="4911E16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-1.72</w:t>
            </w:r>
            <w:r w:rsidRPr="00BA06B6">
              <w:rPr>
                <w:rFonts w:ascii="Times New Roman" w:eastAsia="Calibri" w:hAnsi="Times New Roman" w:cs="Times New Roman"/>
                <w:bCs/>
                <w:sz w:val="18"/>
                <w:szCs w:val="18"/>
                <w:vertAlign w:val="superscript"/>
              </w:rPr>
              <w:t>*</w:t>
            </w:r>
          </w:p>
        </w:tc>
        <w:tc>
          <w:tcPr>
            <w:tcW w:w="422" w:type="pct"/>
            <w:shd w:val="clear" w:color="auto" w:fill="FFFFFF" w:themeFill="background1"/>
            <w:vAlign w:val="bottom"/>
          </w:tcPr>
          <w:p w14:paraId="4E02209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-2.63</w:t>
            </w:r>
            <w:r w:rsidRPr="00BA06B6">
              <w:rPr>
                <w:rFonts w:ascii="Times New Roman" w:eastAsia="Calibri" w:hAnsi="Times New Roman" w:cs="Times New Roman"/>
                <w:bCs/>
                <w:sz w:val="18"/>
                <w:szCs w:val="18"/>
                <w:vertAlign w:val="superscript"/>
              </w:rPr>
              <w:t>***</w:t>
            </w:r>
          </w:p>
        </w:tc>
        <w:tc>
          <w:tcPr>
            <w:tcW w:w="375" w:type="pct"/>
            <w:shd w:val="clear" w:color="auto" w:fill="FFFFFF" w:themeFill="background1"/>
            <w:vAlign w:val="bottom"/>
          </w:tcPr>
          <w:p w14:paraId="42A8FC5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1.74</w:t>
            </w:r>
            <w:r w:rsidRPr="00BA06B6">
              <w:rPr>
                <w:rFonts w:ascii="Times New Roman" w:eastAsia="Calibri" w:hAnsi="Times New Roman" w:cs="Times New Roman"/>
                <w:bCs/>
                <w:sz w:val="18"/>
                <w:szCs w:val="18"/>
                <w:vertAlign w:val="superscript"/>
              </w:rPr>
              <w:t>*</w:t>
            </w:r>
          </w:p>
        </w:tc>
        <w:tc>
          <w:tcPr>
            <w:tcW w:w="324" w:type="pct"/>
            <w:shd w:val="clear" w:color="auto" w:fill="FFFFFF" w:themeFill="background1"/>
            <w:vAlign w:val="bottom"/>
          </w:tcPr>
          <w:p w14:paraId="67E5C4B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-1.91</w:t>
            </w:r>
            <w:r w:rsidRPr="00BA06B6">
              <w:rPr>
                <w:rFonts w:ascii="Times New Roman" w:eastAsia="Calibri" w:hAnsi="Times New Roman" w:cs="Times New Roman"/>
                <w:bCs/>
                <w:sz w:val="18"/>
                <w:szCs w:val="18"/>
                <w:vertAlign w:val="superscript"/>
              </w:rPr>
              <w:t>*</w:t>
            </w:r>
          </w:p>
        </w:tc>
        <w:tc>
          <w:tcPr>
            <w:tcW w:w="409" w:type="pct"/>
            <w:shd w:val="clear" w:color="auto" w:fill="FFFFFF" w:themeFill="background1"/>
            <w:vAlign w:val="bottom"/>
          </w:tcPr>
          <w:p w14:paraId="74B866E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-1.11</w:t>
            </w:r>
          </w:p>
        </w:tc>
        <w:tc>
          <w:tcPr>
            <w:tcW w:w="372" w:type="pct"/>
            <w:shd w:val="clear" w:color="auto" w:fill="FFFFFF" w:themeFill="background1"/>
            <w:vAlign w:val="bottom"/>
          </w:tcPr>
          <w:p w14:paraId="6150EEF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-1.81</w:t>
            </w:r>
            <w:r w:rsidRPr="00BA06B6">
              <w:rPr>
                <w:rFonts w:ascii="Times New Roman" w:eastAsia="Calibri" w:hAnsi="Times New Roman" w:cs="Times New Roman"/>
                <w:bCs/>
                <w:sz w:val="18"/>
                <w:szCs w:val="18"/>
                <w:vertAlign w:val="superscript"/>
              </w:rPr>
              <w:t>*</w:t>
            </w:r>
          </w:p>
        </w:tc>
        <w:tc>
          <w:tcPr>
            <w:tcW w:w="372" w:type="pct"/>
            <w:shd w:val="clear" w:color="auto" w:fill="FFFFFF" w:themeFill="background1"/>
          </w:tcPr>
          <w:p w14:paraId="78EBFFA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-2.32</w:t>
            </w:r>
            <w:r w:rsidRPr="00BA06B6">
              <w:rPr>
                <w:rFonts w:ascii="Times New Roman" w:eastAsia="Calibri" w:hAnsi="Times New Roman" w:cs="Times New Roman"/>
                <w:bCs/>
                <w:sz w:val="18"/>
                <w:szCs w:val="18"/>
                <w:vertAlign w:val="superscript"/>
              </w:rPr>
              <w:t>**</w:t>
            </w:r>
          </w:p>
        </w:tc>
      </w:tr>
      <w:tr w:rsidR="00BA06B6" w:rsidRPr="00BA06B6" w14:paraId="56E0BCA8" w14:textId="77777777" w:rsidTr="00B91469">
        <w:trPr>
          <w:trHeight w:val="20"/>
          <w:tblHeader/>
          <w:jc w:val="center"/>
        </w:trPr>
        <w:tc>
          <w:tcPr>
            <w:tcW w:w="647" w:type="pct"/>
            <w:shd w:val="clear" w:color="auto" w:fill="FFFFFF" w:themeFill="background1"/>
            <w:vAlign w:val="bottom"/>
          </w:tcPr>
          <w:p w14:paraId="00F3AF1E"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shd w:val="clear" w:color="auto" w:fill="FFFFFF" w:themeFill="background1"/>
            <w:vAlign w:val="bottom"/>
          </w:tcPr>
          <w:p w14:paraId="1F91CA19"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shd w:val="clear" w:color="auto" w:fill="FFFFFF" w:themeFill="background1"/>
            <w:vAlign w:val="bottom"/>
          </w:tcPr>
          <w:p w14:paraId="3702DD67"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shd w:val="clear" w:color="auto" w:fill="FFFFFF" w:themeFill="background1"/>
            <w:vAlign w:val="bottom"/>
          </w:tcPr>
          <w:p w14:paraId="03F47FD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(0.146)</w:t>
            </w:r>
          </w:p>
        </w:tc>
        <w:tc>
          <w:tcPr>
            <w:tcW w:w="427" w:type="pct"/>
            <w:shd w:val="clear" w:color="auto" w:fill="FFFFFF" w:themeFill="background1"/>
            <w:vAlign w:val="bottom"/>
          </w:tcPr>
          <w:p w14:paraId="55DA0F5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(0.931)</w:t>
            </w:r>
          </w:p>
        </w:tc>
        <w:tc>
          <w:tcPr>
            <w:tcW w:w="373" w:type="pct"/>
            <w:shd w:val="clear" w:color="auto" w:fill="FFFFFF" w:themeFill="background1"/>
            <w:vAlign w:val="bottom"/>
          </w:tcPr>
          <w:p w14:paraId="298C209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(0.086)</w:t>
            </w:r>
          </w:p>
        </w:tc>
        <w:tc>
          <w:tcPr>
            <w:tcW w:w="422" w:type="pct"/>
            <w:shd w:val="clear" w:color="auto" w:fill="FFFFFF" w:themeFill="background1"/>
            <w:vAlign w:val="bottom"/>
          </w:tcPr>
          <w:p w14:paraId="7FCB882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(0.009)</w:t>
            </w:r>
          </w:p>
        </w:tc>
        <w:tc>
          <w:tcPr>
            <w:tcW w:w="375" w:type="pct"/>
            <w:shd w:val="clear" w:color="auto" w:fill="FFFFFF" w:themeFill="background1"/>
            <w:vAlign w:val="bottom"/>
          </w:tcPr>
          <w:p w14:paraId="3E33936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(0.082)</w:t>
            </w:r>
          </w:p>
        </w:tc>
        <w:tc>
          <w:tcPr>
            <w:tcW w:w="324" w:type="pct"/>
            <w:shd w:val="clear" w:color="auto" w:fill="FFFFFF" w:themeFill="background1"/>
            <w:vAlign w:val="bottom"/>
          </w:tcPr>
          <w:p w14:paraId="5BAA3EF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(0.056)</w:t>
            </w:r>
          </w:p>
        </w:tc>
        <w:tc>
          <w:tcPr>
            <w:tcW w:w="409" w:type="pct"/>
            <w:shd w:val="clear" w:color="auto" w:fill="FFFFFF" w:themeFill="background1"/>
            <w:vAlign w:val="bottom"/>
          </w:tcPr>
          <w:p w14:paraId="2D3E693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(0.269)</w:t>
            </w:r>
          </w:p>
        </w:tc>
        <w:tc>
          <w:tcPr>
            <w:tcW w:w="372" w:type="pct"/>
            <w:shd w:val="clear" w:color="auto" w:fill="FFFFFF" w:themeFill="background1"/>
            <w:vAlign w:val="bottom"/>
          </w:tcPr>
          <w:p w14:paraId="4E56400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(0.071)</w:t>
            </w:r>
          </w:p>
        </w:tc>
        <w:tc>
          <w:tcPr>
            <w:tcW w:w="372" w:type="pct"/>
            <w:shd w:val="clear" w:color="auto" w:fill="FFFFFF" w:themeFill="background1"/>
          </w:tcPr>
          <w:p w14:paraId="5DE28A4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(0.020)</w:t>
            </w:r>
          </w:p>
        </w:tc>
      </w:tr>
      <w:tr w:rsidR="00BA06B6" w:rsidRPr="00BA06B6" w14:paraId="62BA3F2C" w14:textId="77777777" w:rsidTr="00B91469">
        <w:trPr>
          <w:trHeight w:val="20"/>
          <w:tblHeader/>
          <w:jc w:val="center"/>
        </w:trPr>
        <w:tc>
          <w:tcPr>
            <w:tcW w:w="647" w:type="pct"/>
            <w:shd w:val="clear" w:color="auto" w:fill="FFFFFF" w:themeFill="background1"/>
            <w:vAlign w:val="bottom"/>
          </w:tcPr>
          <w:p w14:paraId="06B26F9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W-RDI*BBID</w:t>
            </w:r>
          </w:p>
        </w:tc>
        <w:tc>
          <w:tcPr>
            <w:tcW w:w="425" w:type="pct"/>
            <w:shd w:val="clear" w:color="auto" w:fill="FFFFFF" w:themeFill="background1"/>
            <w:vAlign w:val="bottom"/>
          </w:tcPr>
          <w:p w14:paraId="066EF52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shd w:val="clear" w:color="auto" w:fill="FFFFFF" w:themeFill="background1"/>
            <w:vAlign w:val="bottom"/>
          </w:tcPr>
          <w:p w14:paraId="69BFAD1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shd w:val="clear" w:color="auto" w:fill="FFFFFF" w:themeFill="background1"/>
            <w:vAlign w:val="bottom"/>
          </w:tcPr>
          <w:p w14:paraId="79600F9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1.66</w:t>
            </w:r>
            <w:r w:rsidRPr="00BA06B6">
              <w:rPr>
                <w:rFonts w:ascii="Times New Roman" w:eastAsia="Calibri" w:hAnsi="Times New Roman" w:cs="Times New Roman"/>
                <w:bCs/>
                <w:sz w:val="18"/>
                <w:szCs w:val="18"/>
                <w:vertAlign w:val="superscript"/>
              </w:rPr>
              <w:t>*</w:t>
            </w:r>
          </w:p>
        </w:tc>
        <w:tc>
          <w:tcPr>
            <w:tcW w:w="427" w:type="pct"/>
            <w:shd w:val="clear" w:color="auto" w:fill="FFFFFF" w:themeFill="background1"/>
            <w:vAlign w:val="bottom"/>
          </w:tcPr>
          <w:p w14:paraId="7543E61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1.15</w:t>
            </w:r>
          </w:p>
        </w:tc>
        <w:tc>
          <w:tcPr>
            <w:tcW w:w="373" w:type="pct"/>
            <w:shd w:val="clear" w:color="auto" w:fill="FFFFFF" w:themeFill="background1"/>
            <w:vAlign w:val="bottom"/>
          </w:tcPr>
          <w:p w14:paraId="48DE8AC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1.59</w:t>
            </w:r>
            <w:r w:rsidRPr="00BA06B6">
              <w:rPr>
                <w:rFonts w:ascii="Times New Roman" w:eastAsia="Calibri" w:hAnsi="Times New Roman" w:cs="Times New Roman"/>
                <w:bCs/>
                <w:sz w:val="18"/>
                <w:szCs w:val="18"/>
                <w:vertAlign w:val="superscript"/>
              </w:rPr>
              <w:t>*</w:t>
            </w:r>
          </w:p>
        </w:tc>
        <w:tc>
          <w:tcPr>
            <w:tcW w:w="422" w:type="pct"/>
            <w:shd w:val="clear" w:color="auto" w:fill="FFFFFF" w:themeFill="background1"/>
            <w:vAlign w:val="bottom"/>
          </w:tcPr>
          <w:p w14:paraId="1C7E8B0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1.78</w:t>
            </w:r>
            <w:r w:rsidRPr="00BA06B6">
              <w:rPr>
                <w:rFonts w:ascii="Times New Roman" w:eastAsia="Calibri" w:hAnsi="Times New Roman" w:cs="Times New Roman"/>
                <w:bCs/>
                <w:sz w:val="18"/>
                <w:szCs w:val="18"/>
                <w:vertAlign w:val="superscript"/>
              </w:rPr>
              <w:t>*</w:t>
            </w:r>
          </w:p>
        </w:tc>
        <w:tc>
          <w:tcPr>
            <w:tcW w:w="375" w:type="pct"/>
            <w:shd w:val="clear" w:color="auto" w:fill="FFFFFF" w:themeFill="background1"/>
            <w:vAlign w:val="bottom"/>
          </w:tcPr>
          <w:p w14:paraId="3DA733E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0.41</w:t>
            </w:r>
          </w:p>
        </w:tc>
        <w:tc>
          <w:tcPr>
            <w:tcW w:w="324" w:type="pct"/>
            <w:shd w:val="clear" w:color="auto" w:fill="FFFFFF" w:themeFill="background1"/>
            <w:vAlign w:val="bottom"/>
          </w:tcPr>
          <w:p w14:paraId="527EE18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0.49</w:t>
            </w:r>
          </w:p>
        </w:tc>
        <w:tc>
          <w:tcPr>
            <w:tcW w:w="409" w:type="pct"/>
            <w:shd w:val="clear" w:color="auto" w:fill="FFFFFF" w:themeFill="background1"/>
            <w:vAlign w:val="bottom"/>
          </w:tcPr>
          <w:p w14:paraId="689F1C9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0.78</w:t>
            </w:r>
          </w:p>
        </w:tc>
        <w:tc>
          <w:tcPr>
            <w:tcW w:w="372" w:type="pct"/>
            <w:shd w:val="clear" w:color="auto" w:fill="FFFFFF" w:themeFill="background1"/>
            <w:vAlign w:val="bottom"/>
          </w:tcPr>
          <w:p w14:paraId="3B187BD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0.68</w:t>
            </w:r>
          </w:p>
        </w:tc>
        <w:tc>
          <w:tcPr>
            <w:tcW w:w="372" w:type="pct"/>
            <w:shd w:val="clear" w:color="auto" w:fill="FFFFFF" w:themeFill="background1"/>
          </w:tcPr>
          <w:p w14:paraId="3553965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0.75</w:t>
            </w:r>
          </w:p>
        </w:tc>
      </w:tr>
      <w:tr w:rsidR="00BA06B6" w:rsidRPr="00BA06B6" w14:paraId="5B9C39EC" w14:textId="77777777" w:rsidTr="00B91469">
        <w:trPr>
          <w:trHeight w:val="20"/>
          <w:tblHeader/>
          <w:jc w:val="center"/>
        </w:trPr>
        <w:tc>
          <w:tcPr>
            <w:tcW w:w="647" w:type="pct"/>
            <w:shd w:val="clear" w:color="auto" w:fill="FFFFFF" w:themeFill="background1"/>
            <w:vAlign w:val="bottom"/>
          </w:tcPr>
          <w:p w14:paraId="1E165919"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shd w:val="clear" w:color="auto" w:fill="FFFFFF" w:themeFill="background1"/>
            <w:vAlign w:val="bottom"/>
          </w:tcPr>
          <w:p w14:paraId="5A64CCF4"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shd w:val="clear" w:color="auto" w:fill="FFFFFF" w:themeFill="background1"/>
            <w:vAlign w:val="bottom"/>
          </w:tcPr>
          <w:p w14:paraId="6817814F"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shd w:val="clear" w:color="auto" w:fill="FFFFFF" w:themeFill="background1"/>
            <w:vAlign w:val="bottom"/>
          </w:tcPr>
          <w:p w14:paraId="68C8974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(0.065)</w:t>
            </w:r>
          </w:p>
        </w:tc>
        <w:tc>
          <w:tcPr>
            <w:tcW w:w="427" w:type="pct"/>
            <w:shd w:val="clear" w:color="auto" w:fill="FFFFFF" w:themeFill="background1"/>
            <w:vAlign w:val="bottom"/>
          </w:tcPr>
          <w:p w14:paraId="726067F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(0.250)</w:t>
            </w:r>
          </w:p>
        </w:tc>
        <w:tc>
          <w:tcPr>
            <w:tcW w:w="373" w:type="pct"/>
            <w:shd w:val="clear" w:color="auto" w:fill="FFFFFF" w:themeFill="background1"/>
            <w:vAlign w:val="bottom"/>
          </w:tcPr>
          <w:p w14:paraId="7782560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(0.092)</w:t>
            </w:r>
          </w:p>
        </w:tc>
        <w:tc>
          <w:tcPr>
            <w:tcW w:w="422" w:type="pct"/>
            <w:shd w:val="clear" w:color="auto" w:fill="FFFFFF" w:themeFill="background1"/>
            <w:vAlign w:val="bottom"/>
          </w:tcPr>
          <w:p w14:paraId="5E2A89B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(0.074)</w:t>
            </w:r>
          </w:p>
        </w:tc>
        <w:tc>
          <w:tcPr>
            <w:tcW w:w="375" w:type="pct"/>
            <w:shd w:val="clear" w:color="auto" w:fill="FFFFFF" w:themeFill="background1"/>
            <w:vAlign w:val="bottom"/>
          </w:tcPr>
          <w:p w14:paraId="20F2A04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(0.685)</w:t>
            </w:r>
          </w:p>
        </w:tc>
        <w:tc>
          <w:tcPr>
            <w:tcW w:w="324" w:type="pct"/>
            <w:shd w:val="clear" w:color="auto" w:fill="FFFFFF" w:themeFill="background1"/>
            <w:vAlign w:val="bottom"/>
          </w:tcPr>
          <w:p w14:paraId="16FB995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(0.626)</w:t>
            </w:r>
          </w:p>
        </w:tc>
        <w:tc>
          <w:tcPr>
            <w:tcW w:w="409" w:type="pct"/>
            <w:shd w:val="clear" w:color="auto" w:fill="FFFFFF" w:themeFill="background1"/>
            <w:vAlign w:val="bottom"/>
          </w:tcPr>
          <w:p w14:paraId="4D3748E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(0.437)</w:t>
            </w:r>
          </w:p>
        </w:tc>
        <w:tc>
          <w:tcPr>
            <w:tcW w:w="372" w:type="pct"/>
            <w:shd w:val="clear" w:color="auto" w:fill="FFFFFF" w:themeFill="background1"/>
            <w:vAlign w:val="bottom"/>
          </w:tcPr>
          <w:p w14:paraId="5CF4574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(0.498)</w:t>
            </w:r>
          </w:p>
        </w:tc>
        <w:tc>
          <w:tcPr>
            <w:tcW w:w="372" w:type="pct"/>
            <w:shd w:val="clear" w:color="auto" w:fill="FFFFFF" w:themeFill="background1"/>
          </w:tcPr>
          <w:p w14:paraId="24C6043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(0.450)</w:t>
            </w:r>
          </w:p>
        </w:tc>
      </w:tr>
      <w:tr w:rsidR="00BA06B6" w:rsidRPr="00BA06B6" w14:paraId="28F93E0D" w14:textId="77777777" w:rsidTr="00B91469">
        <w:trPr>
          <w:trHeight w:val="20"/>
          <w:tblHeader/>
          <w:jc w:val="center"/>
        </w:trPr>
        <w:tc>
          <w:tcPr>
            <w:tcW w:w="647" w:type="pct"/>
            <w:shd w:val="clear" w:color="auto" w:fill="FFFFFF" w:themeFill="background1"/>
            <w:vAlign w:val="bottom"/>
          </w:tcPr>
          <w:p w14:paraId="1366F65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W-RDI*SSB</w:t>
            </w:r>
          </w:p>
        </w:tc>
        <w:tc>
          <w:tcPr>
            <w:tcW w:w="425" w:type="pct"/>
            <w:shd w:val="clear" w:color="auto" w:fill="FFFFFF" w:themeFill="background1"/>
            <w:vAlign w:val="bottom"/>
          </w:tcPr>
          <w:p w14:paraId="7004444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shd w:val="clear" w:color="auto" w:fill="FFFFFF" w:themeFill="background1"/>
            <w:vAlign w:val="bottom"/>
          </w:tcPr>
          <w:p w14:paraId="6EBB991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shd w:val="clear" w:color="auto" w:fill="FFFFFF" w:themeFill="background1"/>
            <w:vAlign w:val="bottom"/>
          </w:tcPr>
          <w:p w14:paraId="2DEC6CE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0.46</w:t>
            </w:r>
          </w:p>
        </w:tc>
        <w:tc>
          <w:tcPr>
            <w:tcW w:w="427" w:type="pct"/>
            <w:shd w:val="clear" w:color="auto" w:fill="FFFFFF" w:themeFill="background1"/>
            <w:vAlign w:val="bottom"/>
          </w:tcPr>
          <w:p w14:paraId="621AD59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1.39</w:t>
            </w:r>
          </w:p>
        </w:tc>
        <w:tc>
          <w:tcPr>
            <w:tcW w:w="373" w:type="pct"/>
            <w:shd w:val="clear" w:color="auto" w:fill="FFFFFF" w:themeFill="background1"/>
            <w:vAlign w:val="bottom"/>
          </w:tcPr>
          <w:p w14:paraId="3A8230B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w:t>
            </w:r>
          </w:p>
        </w:tc>
        <w:tc>
          <w:tcPr>
            <w:tcW w:w="422" w:type="pct"/>
            <w:shd w:val="clear" w:color="auto" w:fill="FFFFFF" w:themeFill="background1"/>
            <w:vAlign w:val="bottom"/>
          </w:tcPr>
          <w:p w14:paraId="2F92E0C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0.53</w:t>
            </w:r>
          </w:p>
        </w:tc>
        <w:tc>
          <w:tcPr>
            <w:tcW w:w="375" w:type="pct"/>
            <w:shd w:val="clear" w:color="auto" w:fill="FFFFFF" w:themeFill="background1"/>
            <w:vAlign w:val="bottom"/>
          </w:tcPr>
          <w:p w14:paraId="30C5EA0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0.41</w:t>
            </w:r>
          </w:p>
        </w:tc>
        <w:tc>
          <w:tcPr>
            <w:tcW w:w="324" w:type="pct"/>
            <w:shd w:val="clear" w:color="auto" w:fill="FFFFFF" w:themeFill="background1"/>
            <w:vAlign w:val="bottom"/>
          </w:tcPr>
          <w:p w14:paraId="33B060D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0.76</w:t>
            </w:r>
          </w:p>
        </w:tc>
        <w:tc>
          <w:tcPr>
            <w:tcW w:w="409" w:type="pct"/>
            <w:shd w:val="clear" w:color="auto" w:fill="FFFFFF" w:themeFill="background1"/>
            <w:vAlign w:val="bottom"/>
          </w:tcPr>
          <w:p w14:paraId="1080F95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0.12</w:t>
            </w:r>
          </w:p>
        </w:tc>
        <w:tc>
          <w:tcPr>
            <w:tcW w:w="372" w:type="pct"/>
            <w:shd w:val="clear" w:color="auto" w:fill="FFFFFF" w:themeFill="background1"/>
            <w:vAlign w:val="bottom"/>
          </w:tcPr>
          <w:p w14:paraId="3EE97C0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0.64</w:t>
            </w:r>
          </w:p>
        </w:tc>
        <w:tc>
          <w:tcPr>
            <w:tcW w:w="372" w:type="pct"/>
            <w:shd w:val="clear" w:color="auto" w:fill="FFFFFF" w:themeFill="background1"/>
          </w:tcPr>
          <w:p w14:paraId="1E471B9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1.01</w:t>
            </w:r>
          </w:p>
        </w:tc>
      </w:tr>
      <w:tr w:rsidR="00BA06B6" w:rsidRPr="00BA06B6" w14:paraId="7E14F087" w14:textId="77777777" w:rsidTr="00B91469">
        <w:trPr>
          <w:trHeight w:val="20"/>
          <w:tblHeader/>
          <w:jc w:val="center"/>
        </w:trPr>
        <w:tc>
          <w:tcPr>
            <w:tcW w:w="647" w:type="pct"/>
            <w:tcBorders>
              <w:bottom w:val="single" w:sz="12" w:space="0" w:color="auto"/>
            </w:tcBorders>
            <w:shd w:val="clear" w:color="auto" w:fill="FFFFFF" w:themeFill="background1"/>
            <w:vAlign w:val="bottom"/>
          </w:tcPr>
          <w:p w14:paraId="7CCE5149"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tcBorders>
              <w:bottom w:val="single" w:sz="12" w:space="0" w:color="auto"/>
            </w:tcBorders>
            <w:shd w:val="clear" w:color="auto" w:fill="FFFFFF" w:themeFill="background1"/>
            <w:vAlign w:val="bottom"/>
          </w:tcPr>
          <w:p w14:paraId="12115230"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tcBorders>
              <w:bottom w:val="single" w:sz="12" w:space="0" w:color="auto"/>
            </w:tcBorders>
            <w:shd w:val="clear" w:color="auto" w:fill="FFFFFF" w:themeFill="background1"/>
            <w:vAlign w:val="bottom"/>
          </w:tcPr>
          <w:p w14:paraId="3D8AA7DF"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tcBorders>
              <w:bottom w:val="single" w:sz="12" w:space="0" w:color="auto"/>
            </w:tcBorders>
            <w:shd w:val="clear" w:color="auto" w:fill="FFFFFF" w:themeFill="background1"/>
            <w:vAlign w:val="bottom"/>
          </w:tcPr>
          <w:p w14:paraId="0B56E4D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(0.646)</w:t>
            </w:r>
          </w:p>
        </w:tc>
        <w:tc>
          <w:tcPr>
            <w:tcW w:w="427" w:type="pct"/>
            <w:tcBorders>
              <w:bottom w:val="single" w:sz="12" w:space="0" w:color="auto"/>
            </w:tcBorders>
            <w:shd w:val="clear" w:color="auto" w:fill="FFFFFF" w:themeFill="background1"/>
            <w:vAlign w:val="bottom"/>
          </w:tcPr>
          <w:p w14:paraId="1F95C2E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(0.164)</w:t>
            </w:r>
          </w:p>
        </w:tc>
        <w:tc>
          <w:tcPr>
            <w:tcW w:w="373" w:type="pct"/>
            <w:tcBorders>
              <w:bottom w:val="single" w:sz="12" w:space="0" w:color="auto"/>
            </w:tcBorders>
            <w:shd w:val="clear" w:color="auto" w:fill="FFFFFF" w:themeFill="background1"/>
            <w:vAlign w:val="bottom"/>
          </w:tcPr>
          <w:p w14:paraId="4F62031C"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2" w:type="pct"/>
            <w:tcBorders>
              <w:bottom w:val="single" w:sz="12" w:space="0" w:color="auto"/>
            </w:tcBorders>
            <w:shd w:val="clear" w:color="auto" w:fill="FFFFFF" w:themeFill="background1"/>
            <w:vAlign w:val="bottom"/>
          </w:tcPr>
          <w:p w14:paraId="7E1E2D0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(0.599)</w:t>
            </w:r>
          </w:p>
        </w:tc>
        <w:tc>
          <w:tcPr>
            <w:tcW w:w="375" w:type="pct"/>
            <w:tcBorders>
              <w:bottom w:val="single" w:sz="12" w:space="0" w:color="auto"/>
            </w:tcBorders>
            <w:shd w:val="clear" w:color="auto" w:fill="FFFFFF" w:themeFill="background1"/>
            <w:vAlign w:val="bottom"/>
          </w:tcPr>
          <w:p w14:paraId="66B32A6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(0.684)</w:t>
            </w:r>
          </w:p>
        </w:tc>
        <w:tc>
          <w:tcPr>
            <w:tcW w:w="324" w:type="pct"/>
            <w:tcBorders>
              <w:bottom w:val="single" w:sz="12" w:space="0" w:color="auto"/>
            </w:tcBorders>
            <w:shd w:val="clear" w:color="auto" w:fill="FFFFFF" w:themeFill="background1"/>
            <w:vAlign w:val="bottom"/>
          </w:tcPr>
          <w:p w14:paraId="026FAE9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(0.450)</w:t>
            </w:r>
          </w:p>
        </w:tc>
        <w:tc>
          <w:tcPr>
            <w:tcW w:w="409" w:type="pct"/>
            <w:tcBorders>
              <w:bottom w:val="single" w:sz="12" w:space="0" w:color="auto"/>
            </w:tcBorders>
            <w:shd w:val="clear" w:color="auto" w:fill="FFFFFF" w:themeFill="background1"/>
            <w:vAlign w:val="bottom"/>
          </w:tcPr>
          <w:p w14:paraId="11893DD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(0.908)</w:t>
            </w:r>
          </w:p>
        </w:tc>
        <w:tc>
          <w:tcPr>
            <w:tcW w:w="372" w:type="pct"/>
            <w:tcBorders>
              <w:bottom w:val="single" w:sz="12" w:space="0" w:color="auto"/>
            </w:tcBorders>
            <w:shd w:val="clear" w:color="auto" w:fill="FFFFFF" w:themeFill="background1"/>
            <w:vAlign w:val="bottom"/>
          </w:tcPr>
          <w:p w14:paraId="5915D49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(0.523)</w:t>
            </w:r>
          </w:p>
        </w:tc>
        <w:tc>
          <w:tcPr>
            <w:tcW w:w="372" w:type="pct"/>
            <w:tcBorders>
              <w:bottom w:val="single" w:sz="12" w:space="0" w:color="auto"/>
            </w:tcBorders>
            <w:shd w:val="clear" w:color="auto" w:fill="FFFFFF" w:themeFill="background1"/>
          </w:tcPr>
          <w:p w14:paraId="3589AF4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(0.312)</w:t>
            </w:r>
          </w:p>
        </w:tc>
      </w:tr>
      <w:tr w:rsidR="00BA06B6" w:rsidRPr="00BA06B6" w14:paraId="66CCBD0E" w14:textId="77777777" w:rsidTr="00B91469">
        <w:trPr>
          <w:trHeight w:val="20"/>
          <w:tblHeader/>
          <w:jc w:val="center"/>
        </w:trPr>
        <w:tc>
          <w:tcPr>
            <w:tcW w:w="4256" w:type="pct"/>
            <w:gridSpan w:val="10"/>
            <w:tcBorders>
              <w:top w:val="single" w:sz="12" w:space="0" w:color="auto"/>
              <w:bottom w:val="single" w:sz="12" w:space="0" w:color="auto"/>
            </w:tcBorders>
            <w:shd w:val="clear" w:color="auto" w:fill="FFFFFF" w:themeFill="background1"/>
            <w:vAlign w:val="bottom"/>
          </w:tcPr>
          <w:p w14:paraId="045C79C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i/>
                <w:sz w:val="18"/>
                <w:szCs w:val="18"/>
              </w:rPr>
              <w:t xml:space="preserve">Panel C: </w:t>
            </w:r>
            <w:r w:rsidRPr="00BA06B6">
              <w:rPr>
                <w:rFonts w:ascii="Times New Roman" w:eastAsia="Calibri" w:hAnsi="Times New Roman" w:cs="Times New Roman"/>
                <w:sz w:val="18"/>
                <w:szCs w:val="18"/>
              </w:rPr>
              <w:t>Governance variables</w:t>
            </w:r>
          </w:p>
        </w:tc>
        <w:tc>
          <w:tcPr>
            <w:tcW w:w="372" w:type="pct"/>
            <w:tcBorders>
              <w:top w:val="single" w:sz="12" w:space="0" w:color="auto"/>
              <w:bottom w:val="single" w:sz="12" w:space="0" w:color="auto"/>
            </w:tcBorders>
            <w:shd w:val="clear" w:color="auto" w:fill="FFFFFF" w:themeFill="background1"/>
            <w:vAlign w:val="bottom"/>
          </w:tcPr>
          <w:p w14:paraId="6AB8C88B" w14:textId="77777777" w:rsidR="00AA068C" w:rsidRPr="00BA06B6" w:rsidRDefault="00AA068C" w:rsidP="00BC341D">
            <w:pPr>
              <w:tabs>
                <w:tab w:val="left" w:pos="851"/>
              </w:tabs>
              <w:jc w:val="both"/>
              <w:rPr>
                <w:rFonts w:ascii="Times New Roman" w:eastAsia="Calibri" w:hAnsi="Times New Roman" w:cs="Times New Roman"/>
                <w:i/>
                <w:sz w:val="18"/>
                <w:szCs w:val="18"/>
              </w:rPr>
            </w:pPr>
          </w:p>
        </w:tc>
        <w:tc>
          <w:tcPr>
            <w:tcW w:w="372" w:type="pct"/>
            <w:tcBorders>
              <w:top w:val="single" w:sz="12" w:space="0" w:color="auto"/>
              <w:bottom w:val="single" w:sz="12" w:space="0" w:color="auto"/>
            </w:tcBorders>
            <w:shd w:val="clear" w:color="auto" w:fill="FFFFFF" w:themeFill="background1"/>
          </w:tcPr>
          <w:p w14:paraId="4DF262FF" w14:textId="77777777" w:rsidR="00AA068C" w:rsidRPr="00BA06B6" w:rsidRDefault="00AA068C" w:rsidP="00BC341D">
            <w:pPr>
              <w:tabs>
                <w:tab w:val="left" w:pos="851"/>
              </w:tabs>
              <w:jc w:val="both"/>
              <w:rPr>
                <w:rFonts w:ascii="Times New Roman" w:eastAsia="Calibri" w:hAnsi="Times New Roman" w:cs="Times New Roman"/>
                <w:i/>
                <w:sz w:val="18"/>
                <w:szCs w:val="18"/>
              </w:rPr>
            </w:pPr>
          </w:p>
        </w:tc>
      </w:tr>
      <w:tr w:rsidR="00BA06B6" w:rsidRPr="00BA06B6" w14:paraId="733F32C7" w14:textId="77777777" w:rsidTr="00B91469">
        <w:trPr>
          <w:trHeight w:val="20"/>
          <w:tblHeader/>
          <w:jc w:val="center"/>
        </w:trPr>
        <w:tc>
          <w:tcPr>
            <w:tcW w:w="647" w:type="pct"/>
            <w:tcBorders>
              <w:top w:val="single" w:sz="12" w:space="0" w:color="auto"/>
            </w:tcBorders>
            <w:shd w:val="clear" w:color="auto" w:fill="FFFFFF" w:themeFill="background1"/>
            <w:vAlign w:val="bottom"/>
          </w:tcPr>
          <w:p w14:paraId="577DBBE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BOWN</w:t>
            </w:r>
          </w:p>
        </w:tc>
        <w:tc>
          <w:tcPr>
            <w:tcW w:w="425" w:type="pct"/>
            <w:tcBorders>
              <w:top w:val="single" w:sz="12" w:space="0" w:color="auto"/>
            </w:tcBorders>
            <w:shd w:val="clear" w:color="auto" w:fill="FFFFFF" w:themeFill="background1"/>
            <w:vAlign w:val="bottom"/>
          </w:tcPr>
          <w:p w14:paraId="0D9F0D8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tcBorders>
              <w:top w:val="single" w:sz="12" w:space="0" w:color="auto"/>
            </w:tcBorders>
            <w:shd w:val="clear" w:color="auto" w:fill="FFFFFF" w:themeFill="background1"/>
            <w:vAlign w:val="bottom"/>
          </w:tcPr>
          <w:p w14:paraId="29D7924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0.16</w:t>
            </w:r>
          </w:p>
        </w:tc>
        <w:tc>
          <w:tcPr>
            <w:tcW w:w="427" w:type="pct"/>
            <w:tcBorders>
              <w:top w:val="single" w:sz="12" w:space="0" w:color="auto"/>
            </w:tcBorders>
            <w:shd w:val="clear" w:color="auto" w:fill="FFFFFF" w:themeFill="background1"/>
            <w:vAlign w:val="bottom"/>
          </w:tcPr>
          <w:p w14:paraId="4E1335C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0.10</w:t>
            </w:r>
          </w:p>
        </w:tc>
        <w:tc>
          <w:tcPr>
            <w:tcW w:w="427" w:type="pct"/>
            <w:tcBorders>
              <w:top w:val="single" w:sz="12" w:space="0" w:color="auto"/>
            </w:tcBorders>
            <w:shd w:val="clear" w:color="auto" w:fill="FFFFFF" w:themeFill="background1"/>
            <w:vAlign w:val="bottom"/>
          </w:tcPr>
          <w:p w14:paraId="520430B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1.98</w:t>
            </w:r>
            <w:r w:rsidRPr="00BA06B6">
              <w:rPr>
                <w:rFonts w:ascii="Times New Roman" w:eastAsia="Calibri" w:hAnsi="Times New Roman" w:cs="Times New Roman"/>
                <w:bCs/>
                <w:sz w:val="18"/>
                <w:szCs w:val="18"/>
                <w:vertAlign w:val="superscript"/>
              </w:rPr>
              <w:t>**</w:t>
            </w:r>
          </w:p>
        </w:tc>
        <w:tc>
          <w:tcPr>
            <w:tcW w:w="373" w:type="pct"/>
            <w:tcBorders>
              <w:top w:val="single" w:sz="12" w:space="0" w:color="auto"/>
            </w:tcBorders>
            <w:shd w:val="clear" w:color="auto" w:fill="FFFFFF" w:themeFill="background1"/>
            <w:vAlign w:val="bottom"/>
          </w:tcPr>
          <w:p w14:paraId="05CEF47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1.36</w:t>
            </w:r>
          </w:p>
        </w:tc>
        <w:tc>
          <w:tcPr>
            <w:tcW w:w="422" w:type="pct"/>
            <w:tcBorders>
              <w:top w:val="single" w:sz="12" w:space="0" w:color="auto"/>
            </w:tcBorders>
            <w:shd w:val="clear" w:color="auto" w:fill="FFFFFF" w:themeFill="background1"/>
            <w:vAlign w:val="bottom"/>
          </w:tcPr>
          <w:p w14:paraId="6F85545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-1.84</w:t>
            </w:r>
            <w:r w:rsidRPr="00BA06B6">
              <w:rPr>
                <w:rFonts w:ascii="Times New Roman" w:eastAsia="Calibri" w:hAnsi="Times New Roman" w:cs="Times New Roman"/>
                <w:bCs/>
                <w:sz w:val="18"/>
                <w:szCs w:val="18"/>
                <w:vertAlign w:val="superscript"/>
              </w:rPr>
              <w:t>*</w:t>
            </w:r>
          </w:p>
        </w:tc>
        <w:tc>
          <w:tcPr>
            <w:tcW w:w="375" w:type="pct"/>
            <w:tcBorders>
              <w:top w:val="single" w:sz="12" w:space="0" w:color="auto"/>
            </w:tcBorders>
            <w:shd w:val="clear" w:color="auto" w:fill="FFFFFF" w:themeFill="background1"/>
            <w:vAlign w:val="bottom"/>
          </w:tcPr>
          <w:p w14:paraId="6901890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-0.76</w:t>
            </w:r>
          </w:p>
        </w:tc>
        <w:tc>
          <w:tcPr>
            <w:tcW w:w="324" w:type="pct"/>
            <w:tcBorders>
              <w:top w:val="single" w:sz="12" w:space="0" w:color="auto"/>
            </w:tcBorders>
            <w:shd w:val="clear" w:color="auto" w:fill="FFFFFF" w:themeFill="background1"/>
            <w:vAlign w:val="bottom"/>
          </w:tcPr>
          <w:p w14:paraId="7AF2183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1.51</w:t>
            </w:r>
          </w:p>
        </w:tc>
        <w:tc>
          <w:tcPr>
            <w:tcW w:w="409" w:type="pct"/>
            <w:tcBorders>
              <w:top w:val="single" w:sz="12" w:space="0" w:color="auto"/>
            </w:tcBorders>
            <w:shd w:val="clear" w:color="auto" w:fill="FFFFFF" w:themeFill="background1"/>
            <w:vAlign w:val="bottom"/>
          </w:tcPr>
          <w:p w14:paraId="34981E4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-0.39</w:t>
            </w:r>
          </w:p>
        </w:tc>
        <w:tc>
          <w:tcPr>
            <w:tcW w:w="372" w:type="pct"/>
            <w:tcBorders>
              <w:top w:val="single" w:sz="12" w:space="0" w:color="auto"/>
            </w:tcBorders>
            <w:shd w:val="clear" w:color="auto" w:fill="FFFFFF" w:themeFill="background1"/>
            <w:vAlign w:val="bottom"/>
          </w:tcPr>
          <w:p w14:paraId="4ACE15B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-1.06</w:t>
            </w:r>
          </w:p>
        </w:tc>
        <w:tc>
          <w:tcPr>
            <w:tcW w:w="372" w:type="pct"/>
            <w:tcBorders>
              <w:top w:val="single" w:sz="12" w:space="0" w:color="auto"/>
            </w:tcBorders>
            <w:shd w:val="clear" w:color="auto" w:fill="FFFFFF" w:themeFill="background1"/>
          </w:tcPr>
          <w:p w14:paraId="5F23960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1.94</w:t>
            </w:r>
            <w:r w:rsidRPr="00BA06B6">
              <w:rPr>
                <w:rFonts w:ascii="Times New Roman" w:eastAsia="Calibri" w:hAnsi="Times New Roman" w:cs="Times New Roman"/>
                <w:bCs/>
                <w:sz w:val="18"/>
                <w:szCs w:val="18"/>
                <w:vertAlign w:val="superscript"/>
              </w:rPr>
              <w:t>*</w:t>
            </w:r>
          </w:p>
        </w:tc>
      </w:tr>
      <w:tr w:rsidR="00BA06B6" w:rsidRPr="00BA06B6" w14:paraId="30B61131" w14:textId="77777777" w:rsidTr="00B91469">
        <w:trPr>
          <w:trHeight w:val="20"/>
          <w:tblHeader/>
          <w:jc w:val="center"/>
        </w:trPr>
        <w:tc>
          <w:tcPr>
            <w:tcW w:w="647" w:type="pct"/>
            <w:shd w:val="clear" w:color="auto" w:fill="FFFFFF" w:themeFill="background1"/>
            <w:vAlign w:val="bottom"/>
          </w:tcPr>
          <w:p w14:paraId="5A8BEAE3"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shd w:val="clear" w:color="auto" w:fill="FFFFFF" w:themeFill="background1"/>
            <w:vAlign w:val="bottom"/>
          </w:tcPr>
          <w:p w14:paraId="44BEE433"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shd w:val="clear" w:color="auto" w:fill="FFFFFF" w:themeFill="background1"/>
            <w:vAlign w:val="bottom"/>
          </w:tcPr>
          <w:p w14:paraId="6A455B4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(0.873)</w:t>
            </w:r>
          </w:p>
        </w:tc>
        <w:tc>
          <w:tcPr>
            <w:tcW w:w="427" w:type="pct"/>
            <w:shd w:val="clear" w:color="auto" w:fill="FFFFFF" w:themeFill="background1"/>
            <w:vAlign w:val="bottom"/>
          </w:tcPr>
          <w:p w14:paraId="01CBC26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(0.919)</w:t>
            </w:r>
          </w:p>
        </w:tc>
        <w:tc>
          <w:tcPr>
            <w:tcW w:w="427" w:type="pct"/>
            <w:shd w:val="clear" w:color="auto" w:fill="FFFFFF" w:themeFill="background1"/>
            <w:vAlign w:val="bottom"/>
          </w:tcPr>
          <w:p w14:paraId="00EED7A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(0.048)</w:t>
            </w:r>
          </w:p>
        </w:tc>
        <w:tc>
          <w:tcPr>
            <w:tcW w:w="373" w:type="pct"/>
            <w:shd w:val="clear" w:color="auto" w:fill="FFFFFF" w:themeFill="background1"/>
            <w:vAlign w:val="bottom"/>
          </w:tcPr>
          <w:p w14:paraId="65D48F9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(0.175)</w:t>
            </w:r>
          </w:p>
        </w:tc>
        <w:tc>
          <w:tcPr>
            <w:tcW w:w="422" w:type="pct"/>
            <w:shd w:val="clear" w:color="auto" w:fill="FFFFFF" w:themeFill="background1"/>
            <w:vAlign w:val="bottom"/>
          </w:tcPr>
          <w:p w14:paraId="2694935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(0.065)</w:t>
            </w:r>
          </w:p>
        </w:tc>
        <w:tc>
          <w:tcPr>
            <w:tcW w:w="375" w:type="pct"/>
            <w:shd w:val="clear" w:color="auto" w:fill="FFFFFF" w:themeFill="background1"/>
            <w:vAlign w:val="bottom"/>
          </w:tcPr>
          <w:p w14:paraId="2CE596B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(0.446)</w:t>
            </w:r>
          </w:p>
        </w:tc>
        <w:tc>
          <w:tcPr>
            <w:tcW w:w="324" w:type="pct"/>
            <w:shd w:val="clear" w:color="auto" w:fill="FFFFFF" w:themeFill="background1"/>
            <w:vAlign w:val="bottom"/>
          </w:tcPr>
          <w:p w14:paraId="7ED4056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(0.130)</w:t>
            </w:r>
          </w:p>
        </w:tc>
        <w:tc>
          <w:tcPr>
            <w:tcW w:w="409" w:type="pct"/>
            <w:shd w:val="clear" w:color="auto" w:fill="FFFFFF" w:themeFill="background1"/>
            <w:vAlign w:val="bottom"/>
          </w:tcPr>
          <w:p w14:paraId="26E13F1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(0.693)</w:t>
            </w:r>
          </w:p>
        </w:tc>
        <w:tc>
          <w:tcPr>
            <w:tcW w:w="372" w:type="pct"/>
            <w:shd w:val="clear" w:color="auto" w:fill="FFFFFF" w:themeFill="background1"/>
            <w:vAlign w:val="bottom"/>
          </w:tcPr>
          <w:p w14:paraId="2A3DAE5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(0.289)</w:t>
            </w:r>
          </w:p>
        </w:tc>
        <w:tc>
          <w:tcPr>
            <w:tcW w:w="372" w:type="pct"/>
            <w:shd w:val="clear" w:color="auto" w:fill="FFFFFF" w:themeFill="background1"/>
          </w:tcPr>
          <w:p w14:paraId="1B55414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(0.052)</w:t>
            </w:r>
          </w:p>
        </w:tc>
      </w:tr>
      <w:tr w:rsidR="00BA06B6" w:rsidRPr="00BA06B6" w14:paraId="27F33382" w14:textId="77777777" w:rsidTr="00B91469">
        <w:trPr>
          <w:trHeight w:val="20"/>
          <w:tblHeader/>
          <w:jc w:val="center"/>
        </w:trPr>
        <w:tc>
          <w:tcPr>
            <w:tcW w:w="647" w:type="pct"/>
            <w:shd w:val="clear" w:color="auto" w:fill="FFFFFF" w:themeFill="background1"/>
            <w:vAlign w:val="bottom"/>
          </w:tcPr>
          <w:p w14:paraId="53BE5AD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GOWN</w:t>
            </w:r>
          </w:p>
        </w:tc>
        <w:tc>
          <w:tcPr>
            <w:tcW w:w="425" w:type="pct"/>
            <w:shd w:val="clear" w:color="auto" w:fill="FFFFFF" w:themeFill="background1"/>
            <w:vAlign w:val="bottom"/>
          </w:tcPr>
          <w:p w14:paraId="48AEF1D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shd w:val="clear" w:color="auto" w:fill="FFFFFF" w:themeFill="background1"/>
            <w:vAlign w:val="bottom"/>
          </w:tcPr>
          <w:p w14:paraId="7A80D73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2.11</w:t>
            </w:r>
            <w:r w:rsidRPr="00BA06B6">
              <w:rPr>
                <w:rFonts w:ascii="Times New Roman" w:eastAsia="Calibri" w:hAnsi="Times New Roman" w:cs="Times New Roman"/>
                <w:bCs/>
                <w:sz w:val="18"/>
                <w:szCs w:val="18"/>
                <w:vertAlign w:val="superscript"/>
              </w:rPr>
              <w:t>**</w:t>
            </w:r>
          </w:p>
        </w:tc>
        <w:tc>
          <w:tcPr>
            <w:tcW w:w="427" w:type="pct"/>
            <w:shd w:val="clear" w:color="auto" w:fill="FFFFFF" w:themeFill="background1"/>
            <w:vAlign w:val="bottom"/>
          </w:tcPr>
          <w:p w14:paraId="3BCD3A7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1.99</w:t>
            </w:r>
            <w:r w:rsidRPr="00BA06B6">
              <w:rPr>
                <w:rFonts w:ascii="Times New Roman" w:eastAsia="Calibri" w:hAnsi="Times New Roman" w:cs="Times New Roman"/>
                <w:bCs/>
                <w:sz w:val="18"/>
                <w:szCs w:val="18"/>
                <w:vertAlign w:val="superscript"/>
              </w:rPr>
              <w:t>**</w:t>
            </w:r>
          </w:p>
        </w:tc>
        <w:tc>
          <w:tcPr>
            <w:tcW w:w="427" w:type="pct"/>
            <w:shd w:val="clear" w:color="auto" w:fill="FFFFFF" w:themeFill="background1"/>
            <w:vAlign w:val="bottom"/>
          </w:tcPr>
          <w:p w14:paraId="4B48A6D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0.04</w:t>
            </w:r>
          </w:p>
        </w:tc>
        <w:tc>
          <w:tcPr>
            <w:tcW w:w="373" w:type="pct"/>
            <w:shd w:val="clear" w:color="auto" w:fill="FFFFFF" w:themeFill="background1"/>
            <w:vAlign w:val="bottom"/>
          </w:tcPr>
          <w:p w14:paraId="3D358E7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0.63</w:t>
            </w:r>
          </w:p>
        </w:tc>
        <w:tc>
          <w:tcPr>
            <w:tcW w:w="422" w:type="pct"/>
            <w:shd w:val="clear" w:color="auto" w:fill="FFFFFF" w:themeFill="background1"/>
            <w:vAlign w:val="bottom"/>
          </w:tcPr>
          <w:p w14:paraId="4AA7A84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2.50</w:t>
            </w:r>
            <w:r w:rsidRPr="00BA06B6">
              <w:rPr>
                <w:rFonts w:ascii="Times New Roman" w:eastAsia="Calibri" w:hAnsi="Times New Roman" w:cs="Times New Roman"/>
                <w:bCs/>
                <w:sz w:val="18"/>
                <w:szCs w:val="18"/>
                <w:vertAlign w:val="superscript"/>
              </w:rPr>
              <w:t>**</w:t>
            </w:r>
          </w:p>
        </w:tc>
        <w:tc>
          <w:tcPr>
            <w:tcW w:w="375" w:type="pct"/>
            <w:shd w:val="clear" w:color="auto" w:fill="FFFFFF" w:themeFill="background1"/>
            <w:vAlign w:val="bottom"/>
          </w:tcPr>
          <w:p w14:paraId="1CEF69F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0.42</w:t>
            </w:r>
          </w:p>
        </w:tc>
        <w:tc>
          <w:tcPr>
            <w:tcW w:w="324" w:type="pct"/>
            <w:shd w:val="clear" w:color="auto" w:fill="FFFFFF" w:themeFill="background1"/>
            <w:vAlign w:val="bottom"/>
          </w:tcPr>
          <w:p w14:paraId="27C1B93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0.54</w:t>
            </w:r>
          </w:p>
        </w:tc>
        <w:tc>
          <w:tcPr>
            <w:tcW w:w="409" w:type="pct"/>
            <w:shd w:val="clear" w:color="auto" w:fill="FFFFFF" w:themeFill="background1"/>
            <w:vAlign w:val="bottom"/>
          </w:tcPr>
          <w:p w14:paraId="4DEC716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1.29</w:t>
            </w:r>
            <w:r w:rsidRPr="00BA06B6">
              <w:rPr>
                <w:rFonts w:ascii="Times New Roman" w:eastAsia="Calibri" w:hAnsi="Times New Roman" w:cs="Times New Roman"/>
                <w:bCs/>
                <w:sz w:val="18"/>
                <w:szCs w:val="18"/>
                <w:vertAlign w:val="superscript"/>
              </w:rPr>
              <w:t>*</w:t>
            </w:r>
          </w:p>
        </w:tc>
        <w:tc>
          <w:tcPr>
            <w:tcW w:w="372" w:type="pct"/>
            <w:shd w:val="clear" w:color="auto" w:fill="FFFFFF" w:themeFill="background1"/>
            <w:vAlign w:val="bottom"/>
          </w:tcPr>
          <w:p w14:paraId="02C7CCF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0.73</w:t>
            </w:r>
          </w:p>
        </w:tc>
        <w:tc>
          <w:tcPr>
            <w:tcW w:w="372" w:type="pct"/>
            <w:shd w:val="clear" w:color="auto" w:fill="FFFFFF" w:themeFill="background1"/>
          </w:tcPr>
          <w:p w14:paraId="460E26C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2.16</w:t>
            </w:r>
            <w:r w:rsidRPr="00BA06B6">
              <w:rPr>
                <w:rFonts w:ascii="Times New Roman" w:eastAsia="Calibri" w:hAnsi="Times New Roman" w:cs="Times New Roman"/>
                <w:bCs/>
                <w:sz w:val="18"/>
                <w:szCs w:val="18"/>
                <w:vertAlign w:val="superscript"/>
              </w:rPr>
              <w:t>**</w:t>
            </w:r>
          </w:p>
        </w:tc>
      </w:tr>
      <w:tr w:rsidR="00BA06B6" w:rsidRPr="00BA06B6" w14:paraId="025E2F3B" w14:textId="77777777" w:rsidTr="00B91469">
        <w:trPr>
          <w:trHeight w:val="20"/>
          <w:tblHeader/>
          <w:jc w:val="center"/>
        </w:trPr>
        <w:tc>
          <w:tcPr>
            <w:tcW w:w="647" w:type="pct"/>
            <w:shd w:val="clear" w:color="auto" w:fill="FFFFFF" w:themeFill="background1"/>
            <w:vAlign w:val="bottom"/>
          </w:tcPr>
          <w:p w14:paraId="380BD313"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shd w:val="clear" w:color="auto" w:fill="FFFFFF" w:themeFill="background1"/>
            <w:vAlign w:val="bottom"/>
          </w:tcPr>
          <w:p w14:paraId="38AD595E"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shd w:val="clear" w:color="auto" w:fill="FFFFFF" w:themeFill="background1"/>
            <w:vAlign w:val="bottom"/>
          </w:tcPr>
          <w:p w14:paraId="6D4A405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(0.035)</w:t>
            </w:r>
          </w:p>
        </w:tc>
        <w:tc>
          <w:tcPr>
            <w:tcW w:w="427" w:type="pct"/>
            <w:shd w:val="clear" w:color="auto" w:fill="FFFFFF" w:themeFill="background1"/>
            <w:vAlign w:val="bottom"/>
          </w:tcPr>
          <w:p w14:paraId="5493379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(0.046)</w:t>
            </w:r>
          </w:p>
        </w:tc>
        <w:tc>
          <w:tcPr>
            <w:tcW w:w="427" w:type="pct"/>
            <w:shd w:val="clear" w:color="auto" w:fill="FFFFFF" w:themeFill="background1"/>
            <w:vAlign w:val="bottom"/>
          </w:tcPr>
          <w:p w14:paraId="2EC8DB4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(0.968)</w:t>
            </w:r>
          </w:p>
        </w:tc>
        <w:tc>
          <w:tcPr>
            <w:tcW w:w="373" w:type="pct"/>
            <w:shd w:val="clear" w:color="auto" w:fill="FFFFFF" w:themeFill="background1"/>
            <w:vAlign w:val="bottom"/>
          </w:tcPr>
          <w:p w14:paraId="6A91CFF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(0.526)</w:t>
            </w:r>
          </w:p>
        </w:tc>
        <w:tc>
          <w:tcPr>
            <w:tcW w:w="422" w:type="pct"/>
            <w:shd w:val="clear" w:color="auto" w:fill="FFFFFF" w:themeFill="background1"/>
            <w:vAlign w:val="bottom"/>
          </w:tcPr>
          <w:p w14:paraId="76E4435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(0.013)</w:t>
            </w:r>
          </w:p>
        </w:tc>
        <w:tc>
          <w:tcPr>
            <w:tcW w:w="375" w:type="pct"/>
            <w:shd w:val="clear" w:color="auto" w:fill="FFFFFF" w:themeFill="background1"/>
            <w:vAlign w:val="bottom"/>
          </w:tcPr>
          <w:p w14:paraId="2DF96B0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(0.675)</w:t>
            </w:r>
          </w:p>
        </w:tc>
        <w:tc>
          <w:tcPr>
            <w:tcW w:w="324" w:type="pct"/>
            <w:shd w:val="clear" w:color="auto" w:fill="FFFFFF" w:themeFill="background1"/>
            <w:vAlign w:val="bottom"/>
          </w:tcPr>
          <w:p w14:paraId="548BCB6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(0.590)</w:t>
            </w:r>
          </w:p>
        </w:tc>
        <w:tc>
          <w:tcPr>
            <w:tcW w:w="409" w:type="pct"/>
            <w:shd w:val="clear" w:color="auto" w:fill="FFFFFF" w:themeFill="background1"/>
            <w:vAlign w:val="bottom"/>
          </w:tcPr>
          <w:p w14:paraId="120607E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(0.098)</w:t>
            </w:r>
          </w:p>
        </w:tc>
        <w:tc>
          <w:tcPr>
            <w:tcW w:w="372" w:type="pct"/>
            <w:shd w:val="clear" w:color="auto" w:fill="FFFFFF" w:themeFill="background1"/>
            <w:vAlign w:val="bottom"/>
          </w:tcPr>
          <w:p w14:paraId="0C6AF81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(0.466)</w:t>
            </w:r>
          </w:p>
        </w:tc>
        <w:tc>
          <w:tcPr>
            <w:tcW w:w="372" w:type="pct"/>
            <w:shd w:val="clear" w:color="auto" w:fill="FFFFFF" w:themeFill="background1"/>
          </w:tcPr>
          <w:p w14:paraId="7EBBB6B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(0.031)</w:t>
            </w:r>
          </w:p>
        </w:tc>
      </w:tr>
      <w:tr w:rsidR="00BA06B6" w:rsidRPr="00BA06B6" w14:paraId="5ADD1D84" w14:textId="77777777" w:rsidTr="00B91469">
        <w:trPr>
          <w:trHeight w:val="20"/>
          <w:tblHeader/>
          <w:jc w:val="center"/>
        </w:trPr>
        <w:tc>
          <w:tcPr>
            <w:tcW w:w="647" w:type="pct"/>
            <w:shd w:val="clear" w:color="auto" w:fill="FFFFFF" w:themeFill="background1"/>
            <w:vAlign w:val="bottom"/>
          </w:tcPr>
          <w:p w14:paraId="7246915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FOWN</w:t>
            </w:r>
          </w:p>
        </w:tc>
        <w:tc>
          <w:tcPr>
            <w:tcW w:w="425" w:type="pct"/>
            <w:shd w:val="clear" w:color="auto" w:fill="FFFFFF" w:themeFill="background1"/>
            <w:vAlign w:val="bottom"/>
          </w:tcPr>
          <w:p w14:paraId="1841DB0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shd w:val="clear" w:color="auto" w:fill="FFFFFF" w:themeFill="background1"/>
            <w:vAlign w:val="bottom"/>
          </w:tcPr>
          <w:p w14:paraId="317D274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-4.62</w:t>
            </w:r>
            <w:r w:rsidRPr="00BA06B6">
              <w:rPr>
                <w:rFonts w:ascii="Times New Roman" w:eastAsia="Calibri" w:hAnsi="Times New Roman" w:cs="Times New Roman"/>
                <w:bCs/>
                <w:sz w:val="18"/>
                <w:szCs w:val="18"/>
                <w:vertAlign w:val="superscript"/>
              </w:rPr>
              <w:t>***</w:t>
            </w:r>
          </w:p>
        </w:tc>
        <w:tc>
          <w:tcPr>
            <w:tcW w:w="427" w:type="pct"/>
            <w:shd w:val="clear" w:color="auto" w:fill="FFFFFF" w:themeFill="background1"/>
            <w:vAlign w:val="bottom"/>
          </w:tcPr>
          <w:p w14:paraId="29580F4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-4.66</w:t>
            </w:r>
            <w:r w:rsidRPr="00BA06B6">
              <w:rPr>
                <w:rFonts w:ascii="Times New Roman" w:eastAsia="Calibri" w:hAnsi="Times New Roman" w:cs="Times New Roman"/>
                <w:bCs/>
                <w:sz w:val="18"/>
                <w:szCs w:val="18"/>
                <w:vertAlign w:val="superscript"/>
              </w:rPr>
              <w:t>***</w:t>
            </w:r>
          </w:p>
        </w:tc>
        <w:tc>
          <w:tcPr>
            <w:tcW w:w="427" w:type="pct"/>
            <w:shd w:val="clear" w:color="auto" w:fill="FFFFFF" w:themeFill="background1"/>
            <w:vAlign w:val="bottom"/>
          </w:tcPr>
          <w:p w14:paraId="324E094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-2.79</w:t>
            </w:r>
            <w:r w:rsidRPr="00BA06B6">
              <w:rPr>
                <w:rFonts w:ascii="Times New Roman" w:eastAsia="Calibri" w:hAnsi="Times New Roman" w:cs="Times New Roman"/>
                <w:bCs/>
                <w:sz w:val="18"/>
                <w:szCs w:val="18"/>
                <w:vertAlign w:val="superscript"/>
              </w:rPr>
              <w:t>***</w:t>
            </w:r>
          </w:p>
        </w:tc>
        <w:tc>
          <w:tcPr>
            <w:tcW w:w="373" w:type="pct"/>
            <w:shd w:val="clear" w:color="auto" w:fill="FFFFFF" w:themeFill="background1"/>
            <w:vAlign w:val="bottom"/>
          </w:tcPr>
          <w:p w14:paraId="76C5D7E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-3.35</w:t>
            </w:r>
            <w:r w:rsidRPr="00BA06B6">
              <w:rPr>
                <w:rFonts w:ascii="Times New Roman" w:eastAsia="Calibri" w:hAnsi="Times New Roman" w:cs="Times New Roman"/>
                <w:bCs/>
                <w:sz w:val="18"/>
                <w:szCs w:val="18"/>
                <w:vertAlign w:val="superscript"/>
              </w:rPr>
              <w:t>***</w:t>
            </w:r>
          </w:p>
        </w:tc>
        <w:tc>
          <w:tcPr>
            <w:tcW w:w="422" w:type="pct"/>
            <w:shd w:val="clear" w:color="auto" w:fill="FFFFFF" w:themeFill="background1"/>
            <w:vAlign w:val="bottom"/>
          </w:tcPr>
          <w:p w14:paraId="1EF7C7B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-0.67</w:t>
            </w:r>
          </w:p>
        </w:tc>
        <w:tc>
          <w:tcPr>
            <w:tcW w:w="375" w:type="pct"/>
            <w:shd w:val="clear" w:color="auto" w:fill="FFFFFF" w:themeFill="background1"/>
            <w:vAlign w:val="bottom"/>
          </w:tcPr>
          <w:p w14:paraId="22B50CB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-2.01</w:t>
            </w:r>
            <w:r w:rsidRPr="00BA06B6">
              <w:rPr>
                <w:rFonts w:ascii="Times New Roman" w:eastAsia="Calibri" w:hAnsi="Times New Roman" w:cs="Times New Roman"/>
                <w:bCs/>
                <w:sz w:val="18"/>
                <w:szCs w:val="18"/>
                <w:vertAlign w:val="superscript"/>
              </w:rPr>
              <w:t>**</w:t>
            </w:r>
          </w:p>
        </w:tc>
        <w:tc>
          <w:tcPr>
            <w:tcW w:w="324" w:type="pct"/>
            <w:shd w:val="clear" w:color="auto" w:fill="FFFFFF" w:themeFill="background1"/>
            <w:vAlign w:val="bottom"/>
          </w:tcPr>
          <w:p w14:paraId="16B4ED5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-1.88</w:t>
            </w:r>
            <w:r w:rsidRPr="00BA06B6">
              <w:rPr>
                <w:rFonts w:ascii="Times New Roman" w:eastAsia="Calibri" w:hAnsi="Times New Roman" w:cs="Times New Roman"/>
                <w:bCs/>
                <w:sz w:val="18"/>
                <w:szCs w:val="18"/>
                <w:vertAlign w:val="superscript"/>
              </w:rPr>
              <w:t>*</w:t>
            </w:r>
          </w:p>
        </w:tc>
        <w:tc>
          <w:tcPr>
            <w:tcW w:w="409" w:type="pct"/>
            <w:shd w:val="clear" w:color="auto" w:fill="FFFFFF" w:themeFill="background1"/>
            <w:vAlign w:val="bottom"/>
          </w:tcPr>
          <w:p w14:paraId="36030DC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-4.19</w:t>
            </w:r>
            <w:r w:rsidRPr="00BA06B6">
              <w:rPr>
                <w:rFonts w:ascii="Times New Roman" w:eastAsia="Calibri" w:hAnsi="Times New Roman" w:cs="Times New Roman"/>
                <w:bCs/>
                <w:sz w:val="18"/>
                <w:szCs w:val="18"/>
                <w:vertAlign w:val="superscript"/>
              </w:rPr>
              <w:t>***</w:t>
            </w:r>
          </w:p>
        </w:tc>
        <w:tc>
          <w:tcPr>
            <w:tcW w:w="372" w:type="pct"/>
            <w:shd w:val="clear" w:color="auto" w:fill="FFFFFF" w:themeFill="background1"/>
            <w:vAlign w:val="bottom"/>
          </w:tcPr>
          <w:p w14:paraId="2E349B4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-3.28</w:t>
            </w:r>
            <w:r w:rsidRPr="00BA06B6">
              <w:rPr>
                <w:rFonts w:ascii="Times New Roman" w:eastAsia="Calibri" w:hAnsi="Times New Roman" w:cs="Times New Roman"/>
                <w:bCs/>
                <w:sz w:val="18"/>
                <w:szCs w:val="18"/>
                <w:vertAlign w:val="superscript"/>
              </w:rPr>
              <w:t>***</w:t>
            </w:r>
          </w:p>
        </w:tc>
        <w:tc>
          <w:tcPr>
            <w:tcW w:w="372" w:type="pct"/>
            <w:shd w:val="clear" w:color="auto" w:fill="FFFFFF" w:themeFill="background1"/>
          </w:tcPr>
          <w:p w14:paraId="3336DD8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-1.41</w:t>
            </w:r>
          </w:p>
        </w:tc>
      </w:tr>
      <w:tr w:rsidR="00BA06B6" w:rsidRPr="00BA06B6" w14:paraId="22459D3B" w14:textId="77777777" w:rsidTr="00B91469">
        <w:trPr>
          <w:trHeight w:val="20"/>
          <w:tblHeader/>
          <w:jc w:val="center"/>
        </w:trPr>
        <w:tc>
          <w:tcPr>
            <w:tcW w:w="647" w:type="pct"/>
            <w:shd w:val="clear" w:color="auto" w:fill="FFFFFF" w:themeFill="background1"/>
            <w:vAlign w:val="bottom"/>
          </w:tcPr>
          <w:p w14:paraId="6FC247DD"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shd w:val="clear" w:color="auto" w:fill="FFFFFF" w:themeFill="background1"/>
            <w:vAlign w:val="bottom"/>
          </w:tcPr>
          <w:p w14:paraId="0B4BCD3E"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shd w:val="clear" w:color="auto" w:fill="FFFFFF" w:themeFill="background1"/>
            <w:vAlign w:val="bottom"/>
          </w:tcPr>
          <w:p w14:paraId="760D82F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27" w:type="pct"/>
            <w:shd w:val="clear" w:color="auto" w:fill="FFFFFF" w:themeFill="background1"/>
            <w:vAlign w:val="bottom"/>
          </w:tcPr>
          <w:p w14:paraId="7F66F7F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27" w:type="pct"/>
            <w:shd w:val="clear" w:color="auto" w:fill="FFFFFF" w:themeFill="background1"/>
            <w:vAlign w:val="bottom"/>
          </w:tcPr>
          <w:p w14:paraId="2C442A8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(0.005)</w:t>
            </w:r>
          </w:p>
        </w:tc>
        <w:tc>
          <w:tcPr>
            <w:tcW w:w="373" w:type="pct"/>
            <w:shd w:val="clear" w:color="auto" w:fill="FFFFFF" w:themeFill="background1"/>
            <w:vAlign w:val="bottom"/>
          </w:tcPr>
          <w:p w14:paraId="4E206ED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(0.001)</w:t>
            </w:r>
          </w:p>
        </w:tc>
        <w:tc>
          <w:tcPr>
            <w:tcW w:w="422" w:type="pct"/>
            <w:shd w:val="clear" w:color="auto" w:fill="FFFFFF" w:themeFill="background1"/>
            <w:vAlign w:val="bottom"/>
          </w:tcPr>
          <w:p w14:paraId="4D49C46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(0.500)</w:t>
            </w:r>
          </w:p>
        </w:tc>
        <w:tc>
          <w:tcPr>
            <w:tcW w:w="375" w:type="pct"/>
            <w:shd w:val="clear" w:color="auto" w:fill="FFFFFF" w:themeFill="background1"/>
            <w:vAlign w:val="bottom"/>
          </w:tcPr>
          <w:p w14:paraId="21FFFB5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(0.045)</w:t>
            </w:r>
          </w:p>
        </w:tc>
        <w:tc>
          <w:tcPr>
            <w:tcW w:w="324" w:type="pct"/>
            <w:shd w:val="clear" w:color="auto" w:fill="FFFFFF" w:themeFill="background1"/>
            <w:vAlign w:val="bottom"/>
          </w:tcPr>
          <w:p w14:paraId="7459BEE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(0.060)</w:t>
            </w:r>
          </w:p>
        </w:tc>
        <w:tc>
          <w:tcPr>
            <w:tcW w:w="409" w:type="pct"/>
            <w:shd w:val="clear" w:color="auto" w:fill="FFFFFF" w:themeFill="background1"/>
            <w:vAlign w:val="bottom"/>
          </w:tcPr>
          <w:p w14:paraId="31FD614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372" w:type="pct"/>
            <w:shd w:val="clear" w:color="auto" w:fill="FFFFFF" w:themeFill="background1"/>
            <w:vAlign w:val="bottom"/>
          </w:tcPr>
          <w:p w14:paraId="6089FE5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(0.001)</w:t>
            </w:r>
          </w:p>
        </w:tc>
        <w:tc>
          <w:tcPr>
            <w:tcW w:w="372" w:type="pct"/>
            <w:shd w:val="clear" w:color="auto" w:fill="FFFFFF" w:themeFill="background1"/>
          </w:tcPr>
          <w:p w14:paraId="28F0359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(0.159)</w:t>
            </w:r>
          </w:p>
        </w:tc>
      </w:tr>
      <w:tr w:rsidR="00BA06B6" w:rsidRPr="00BA06B6" w14:paraId="05DB98D3" w14:textId="77777777" w:rsidTr="00B91469">
        <w:trPr>
          <w:trHeight w:val="20"/>
          <w:tblHeader/>
          <w:jc w:val="center"/>
        </w:trPr>
        <w:tc>
          <w:tcPr>
            <w:tcW w:w="647" w:type="pct"/>
            <w:shd w:val="clear" w:color="auto" w:fill="FFFFFF" w:themeFill="background1"/>
            <w:vAlign w:val="bottom"/>
          </w:tcPr>
          <w:p w14:paraId="63ADA81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BS</w:t>
            </w:r>
          </w:p>
        </w:tc>
        <w:tc>
          <w:tcPr>
            <w:tcW w:w="425" w:type="pct"/>
            <w:shd w:val="clear" w:color="auto" w:fill="FFFFFF" w:themeFill="background1"/>
            <w:vAlign w:val="bottom"/>
          </w:tcPr>
          <w:p w14:paraId="1815608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shd w:val="clear" w:color="auto" w:fill="FFFFFF" w:themeFill="background1"/>
            <w:vAlign w:val="bottom"/>
          </w:tcPr>
          <w:p w14:paraId="0724F86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1.27</w:t>
            </w:r>
          </w:p>
        </w:tc>
        <w:tc>
          <w:tcPr>
            <w:tcW w:w="427" w:type="pct"/>
            <w:shd w:val="clear" w:color="auto" w:fill="FFFFFF" w:themeFill="background1"/>
            <w:vAlign w:val="bottom"/>
          </w:tcPr>
          <w:p w14:paraId="305A6DB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1.61</w:t>
            </w:r>
            <w:r w:rsidRPr="00BA06B6">
              <w:rPr>
                <w:rFonts w:ascii="Times New Roman" w:eastAsia="Calibri" w:hAnsi="Times New Roman" w:cs="Times New Roman"/>
                <w:bCs/>
                <w:sz w:val="18"/>
                <w:szCs w:val="18"/>
                <w:vertAlign w:val="superscript"/>
              </w:rPr>
              <w:t>*</w:t>
            </w:r>
          </w:p>
        </w:tc>
        <w:tc>
          <w:tcPr>
            <w:tcW w:w="427" w:type="pct"/>
            <w:shd w:val="clear" w:color="auto" w:fill="FFFFFF" w:themeFill="background1"/>
            <w:vAlign w:val="bottom"/>
          </w:tcPr>
          <w:p w14:paraId="182F1D2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1.31</w:t>
            </w:r>
            <w:r w:rsidRPr="00BA06B6">
              <w:rPr>
                <w:rFonts w:ascii="Times New Roman" w:eastAsia="Calibri" w:hAnsi="Times New Roman" w:cs="Times New Roman"/>
                <w:bCs/>
                <w:sz w:val="18"/>
                <w:szCs w:val="18"/>
                <w:vertAlign w:val="superscript"/>
              </w:rPr>
              <w:t>*</w:t>
            </w:r>
          </w:p>
        </w:tc>
        <w:tc>
          <w:tcPr>
            <w:tcW w:w="373" w:type="pct"/>
            <w:shd w:val="clear" w:color="auto" w:fill="FFFFFF" w:themeFill="background1"/>
            <w:vAlign w:val="bottom"/>
          </w:tcPr>
          <w:p w14:paraId="627F4D8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2.74</w:t>
            </w:r>
            <w:r w:rsidRPr="00BA06B6">
              <w:rPr>
                <w:rFonts w:ascii="Times New Roman" w:eastAsia="Calibri" w:hAnsi="Times New Roman" w:cs="Times New Roman"/>
                <w:bCs/>
                <w:sz w:val="18"/>
                <w:szCs w:val="18"/>
                <w:vertAlign w:val="superscript"/>
              </w:rPr>
              <w:t>***</w:t>
            </w:r>
          </w:p>
        </w:tc>
        <w:tc>
          <w:tcPr>
            <w:tcW w:w="422" w:type="pct"/>
            <w:shd w:val="clear" w:color="auto" w:fill="FFFFFF" w:themeFill="background1"/>
            <w:vAlign w:val="bottom"/>
          </w:tcPr>
          <w:p w14:paraId="48CEB38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0.47</w:t>
            </w:r>
          </w:p>
        </w:tc>
        <w:tc>
          <w:tcPr>
            <w:tcW w:w="375" w:type="pct"/>
            <w:shd w:val="clear" w:color="auto" w:fill="FFFFFF" w:themeFill="background1"/>
            <w:vAlign w:val="bottom"/>
          </w:tcPr>
          <w:p w14:paraId="3CCAEAD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0.07</w:t>
            </w:r>
          </w:p>
        </w:tc>
        <w:tc>
          <w:tcPr>
            <w:tcW w:w="324" w:type="pct"/>
            <w:shd w:val="clear" w:color="auto" w:fill="FFFFFF" w:themeFill="background1"/>
            <w:vAlign w:val="bottom"/>
          </w:tcPr>
          <w:p w14:paraId="4F9FD99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1.60</w:t>
            </w:r>
          </w:p>
        </w:tc>
        <w:tc>
          <w:tcPr>
            <w:tcW w:w="409" w:type="pct"/>
            <w:shd w:val="clear" w:color="auto" w:fill="FFFFFF" w:themeFill="background1"/>
            <w:vAlign w:val="bottom"/>
          </w:tcPr>
          <w:p w14:paraId="426AC15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0.39</w:t>
            </w:r>
          </w:p>
        </w:tc>
        <w:tc>
          <w:tcPr>
            <w:tcW w:w="372" w:type="pct"/>
            <w:shd w:val="clear" w:color="auto" w:fill="FFFFFF" w:themeFill="background1"/>
            <w:vAlign w:val="bottom"/>
          </w:tcPr>
          <w:p w14:paraId="1487A70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2.31</w:t>
            </w:r>
            <w:r w:rsidRPr="00BA06B6">
              <w:rPr>
                <w:rFonts w:ascii="Times New Roman" w:eastAsia="Calibri" w:hAnsi="Times New Roman" w:cs="Times New Roman"/>
                <w:bCs/>
                <w:sz w:val="18"/>
                <w:szCs w:val="18"/>
                <w:vertAlign w:val="superscript"/>
              </w:rPr>
              <w:t>**</w:t>
            </w:r>
          </w:p>
        </w:tc>
        <w:tc>
          <w:tcPr>
            <w:tcW w:w="372" w:type="pct"/>
            <w:shd w:val="clear" w:color="auto" w:fill="FFFFFF" w:themeFill="background1"/>
          </w:tcPr>
          <w:p w14:paraId="3320A15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0.05</w:t>
            </w:r>
          </w:p>
        </w:tc>
      </w:tr>
      <w:tr w:rsidR="00BA06B6" w:rsidRPr="00BA06B6" w14:paraId="073D750A" w14:textId="77777777" w:rsidTr="00B91469">
        <w:trPr>
          <w:trHeight w:val="20"/>
          <w:tblHeader/>
          <w:jc w:val="center"/>
        </w:trPr>
        <w:tc>
          <w:tcPr>
            <w:tcW w:w="647" w:type="pct"/>
            <w:shd w:val="clear" w:color="auto" w:fill="FFFFFF" w:themeFill="background1"/>
            <w:vAlign w:val="bottom"/>
          </w:tcPr>
          <w:p w14:paraId="54828BED"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shd w:val="clear" w:color="auto" w:fill="FFFFFF" w:themeFill="background1"/>
            <w:vAlign w:val="bottom"/>
          </w:tcPr>
          <w:p w14:paraId="2F3EE28F"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shd w:val="clear" w:color="auto" w:fill="FFFFFF" w:themeFill="background1"/>
            <w:vAlign w:val="bottom"/>
          </w:tcPr>
          <w:p w14:paraId="1A864B2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(0.206)</w:t>
            </w:r>
          </w:p>
        </w:tc>
        <w:tc>
          <w:tcPr>
            <w:tcW w:w="427" w:type="pct"/>
            <w:shd w:val="clear" w:color="auto" w:fill="FFFFFF" w:themeFill="background1"/>
            <w:vAlign w:val="bottom"/>
          </w:tcPr>
          <w:p w14:paraId="2CFE3B1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(0.098)</w:t>
            </w:r>
          </w:p>
        </w:tc>
        <w:tc>
          <w:tcPr>
            <w:tcW w:w="427" w:type="pct"/>
            <w:shd w:val="clear" w:color="auto" w:fill="FFFFFF" w:themeFill="background1"/>
            <w:vAlign w:val="bottom"/>
          </w:tcPr>
          <w:p w14:paraId="302E8B7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(0.089)</w:t>
            </w:r>
          </w:p>
        </w:tc>
        <w:tc>
          <w:tcPr>
            <w:tcW w:w="373" w:type="pct"/>
            <w:shd w:val="clear" w:color="auto" w:fill="FFFFFF" w:themeFill="background1"/>
            <w:vAlign w:val="bottom"/>
          </w:tcPr>
          <w:p w14:paraId="04AA575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(0.006)</w:t>
            </w:r>
          </w:p>
        </w:tc>
        <w:tc>
          <w:tcPr>
            <w:tcW w:w="422" w:type="pct"/>
            <w:shd w:val="clear" w:color="auto" w:fill="FFFFFF" w:themeFill="background1"/>
            <w:vAlign w:val="bottom"/>
          </w:tcPr>
          <w:p w14:paraId="15E4592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(0.639)</w:t>
            </w:r>
          </w:p>
        </w:tc>
        <w:tc>
          <w:tcPr>
            <w:tcW w:w="375" w:type="pct"/>
            <w:shd w:val="clear" w:color="auto" w:fill="FFFFFF" w:themeFill="background1"/>
            <w:vAlign w:val="bottom"/>
          </w:tcPr>
          <w:p w14:paraId="743DE74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(0.948)</w:t>
            </w:r>
          </w:p>
        </w:tc>
        <w:tc>
          <w:tcPr>
            <w:tcW w:w="324" w:type="pct"/>
            <w:shd w:val="clear" w:color="auto" w:fill="FFFFFF" w:themeFill="background1"/>
            <w:vAlign w:val="bottom"/>
          </w:tcPr>
          <w:p w14:paraId="05DE065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(0.110)</w:t>
            </w:r>
          </w:p>
        </w:tc>
        <w:tc>
          <w:tcPr>
            <w:tcW w:w="409" w:type="pct"/>
            <w:shd w:val="clear" w:color="auto" w:fill="FFFFFF" w:themeFill="background1"/>
            <w:vAlign w:val="bottom"/>
          </w:tcPr>
          <w:p w14:paraId="31A58A4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(0.694)</w:t>
            </w:r>
          </w:p>
        </w:tc>
        <w:tc>
          <w:tcPr>
            <w:tcW w:w="372" w:type="pct"/>
            <w:shd w:val="clear" w:color="auto" w:fill="FFFFFF" w:themeFill="background1"/>
            <w:vAlign w:val="bottom"/>
          </w:tcPr>
          <w:p w14:paraId="36B67D6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(0.021)</w:t>
            </w:r>
          </w:p>
        </w:tc>
        <w:tc>
          <w:tcPr>
            <w:tcW w:w="372" w:type="pct"/>
            <w:shd w:val="clear" w:color="auto" w:fill="FFFFFF" w:themeFill="background1"/>
          </w:tcPr>
          <w:p w14:paraId="11F536A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(0.961)</w:t>
            </w:r>
          </w:p>
        </w:tc>
      </w:tr>
      <w:tr w:rsidR="00BA06B6" w:rsidRPr="00BA06B6" w14:paraId="6034075E" w14:textId="77777777" w:rsidTr="00B91469">
        <w:trPr>
          <w:trHeight w:val="20"/>
          <w:tblHeader/>
          <w:jc w:val="center"/>
        </w:trPr>
        <w:tc>
          <w:tcPr>
            <w:tcW w:w="647" w:type="pct"/>
            <w:shd w:val="clear" w:color="auto" w:fill="FFFFFF" w:themeFill="background1"/>
            <w:vAlign w:val="bottom"/>
          </w:tcPr>
          <w:p w14:paraId="5BBFBD1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DUAL</w:t>
            </w:r>
          </w:p>
        </w:tc>
        <w:tc>
          <w:tcPr>
            <w:tcW w:w="425" w:type="pct"/>
            <w:shd w:val="clear" w:color="auto" w:fill="FFFFFF" w:themeFill="background1"/>
            <w:vAlign w:val="bottom"/>
          </w:tcPr>
          <w:p w14:paraId="65C6585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shd w:val="clear" w:color="auto" w:fill="FFFFFF" w:themeFill="background1"/>
            <w:vAlign w:val="bottom"/>
          </w:tcPr>
          <w:p w14:paraId="053745B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-1.93</w:t>
            </w:r>
            <w:r w:rsidRPr="00BA06B6">
              <w:rPr>
                <w:rFonts w:ascii="Times New Roman" w:eastAsia="Calibri" w:hAnsi="Times New Roman" w:cs="Times New Roman"/>
                <w:bCs/>
                <w:sz w:val="18"/>
                <w:szCs w:val="18"/>
                <w:vertAlign w:val="superscript"/>
              </w:rPr>
              <w:t>*</w:t>
            </w:r>
          </w:p>
        </w:tc>
        <w:tc>
          <w:tcPr>
            <w:tcW w:w="427" w:type="pct"/>
            <w:shd w:val="clear" w:color="auto" w:fill="FFFFFF" w:themeFill="background1"/>
            <w:vAlign w:val="bottom"/>
          </w:tcPr>
          <w:p w14:paraId="347B387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-1.63</w:t>
            </w:r>
          </w:p>
        </w:tc>
        <w:tc>
          <w:tcPr>
            <w:tcW w:w="427" w:type="pct"/>
            <w:shd w:val="clear" w:color="auto" w:fill="FFFFFF" w:themeFill="background1"/>
            <w:vAlign w:val="bottom"/>
          </w:tcPr>
          <w:p w14:paraId="763291D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1.75</w:t>
            </w:r>
            <w:r w:rsidRPr="00BA06B6">
              <w:rPr>
                <w:rFonts w:ascii="Times New Roman" w:eastAsia="Calibri" w:hAnsi="Times New Roman" w:cs="Times New Roman"/>
                <w:bCs/>
                <w:sz w:val="18"/>
                <w:szCs w:val="18"/>
                <w:vertAlign w:val="superscript"/>
              </w:rPr>
              <w:t>*</w:t>
            </w:r>
          </w:p>
        </w:tc>
        <w:tc>
          <w:tcPr>
            <w:tcW w:w="373" w:type="pct"/>
            <w:shd w:val="clear" w:color="auto" w:fill="FFFFFF" w:themeFill="background1"/>
            <w:vAlign w:val="bottom"/>
          </w:tcPr>
          <w:p w14:paraId="0D119FB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-1.27</w:t>
            </w:r>
          </w:p>
        </w:tc>
        <w:tc>
          <w:tcPr>
            <w:tcW w:w="422" w:type="pct"/>
            <w:shd w:val="clear" w:color="auto" w:fill="FFFFFF" w:themeFill="background1"/>
            <w:vAlign w:val="bottom"/>
          </w:tcPr>
          <w:p w14:paraId="782871A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-0.88</w:t>
            </w:r>
          </w:p>
        </w:tc>
        <w:tc>
          <w:tcPr>
            <w:tcW w:w="375" w:type="pct"/>
            <w:shd w:val="clear" w:color="auto" w:fill="FFFFFF" w:themeFill="background1"/>
            <w:vAlign w:val="bottom"/>
          </w:tcPr>
          <w:p w14:paraId="429D663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2.08</w:t>
            </w:r>
            <w:r w:rsidRPr="00BA06B6">
              <w:rPr>
                <w:rFonts w:ascii="Times New Roman" w:eastAsia="Calibri" w:hAnsi="Times New Roman" w:cs="Times New Roman"/>
                <w:bCs/>
                <w:sz w:val="18"/>
                <w:szCs w:val="18"/>
                <w:vertAlign w:val="superscript"/>
              </w:rPr>
              <w:t>**</w:t>
            </w:r>
          </w:p>
        </w:tc>
        <w:tc>
          <w:tcPr>
            <w:tcW w:w="324" w:type="pct"/>
            <w:shd w:val="clear" w:color="auto" w:fill="FFFFFF" w:themeFill="background1"/>
            <w:vAlign w:val="bottom"/>
          </w:tcPr>
          <w:p w14:paraId="2B6735B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0.33</w:t>
            </w:r>
          </w:p>
        </w:tc>
        <w:tc>
          <w:tcPr>
            <w:tcW w:w="409" w:type="pct"/>
            <w:shd w:val="clear" w:color="auto" w:fill="FFFFFF" w:themeFill="background1"/>
            <w:vAlign w:val="bottom"/>
          </w:tcPr>
          <w:p w14:paraId="31841F8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-1.04</w:t>
            </w:r>
          </w:p>
        </w:tc>
        <w:tc>
          <w:tcPr>
            <w:tcW w:w="372" w:type="pct"/>
            <w:shd w:val="clear" w:color="auto" w:fill="FFFFFF" w:themeFill="background1"/>
            <w:vAlign w:val="bottom"/>
          </w:tcPr>
          <w:p w14:paraId="34BAF99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-1.52</w:t>
            </w:r>
          </w:p>
        </w:tc>
        <w:tc>
          <w:tcPr>
            <w:tcW w:w="372" w:type="pct"/>
            <w:shd w:val="clear" w:color="auto" w:fill="FFFFFF" w:themeFill="background1"/>
          </w:tcPr>
          <w:p w14:paraId="040573B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-3.10</w:t>
            </w:r>
            <w:r w:rsidRPr="00BA06B6">
              <w:rPr>
                <w:rFonts w:ascii="Times New Roman" w:eastAsia="Calibri" w:hAnsi="Times New Roman" w:cs="Times New Roman"/>
                <w:bCs/>
                <w:sz w:val="18"/>
                <w:szCs w:val="18"/>
                <w:vertAlign w:val="superscript"/>
              </w:rPr>
              <w:t>***</w:t>
            </w:r>
          </w:p>
        </w:tc>
      </w:tr>
      <w:tr w:rsidR="00BA06B6" w:rsidRPr="00BA06B6" w14:paraId="153D5658" w14:textId="77777777" w:rsidTr="00B91469">
        <w:trPr>
          <w:trHeight w:val="20"/>
          <w:tblHeader/>
          <w:jc w:val="center"/>
        </w:trPr>
        <w:tc>
          <w:tcPr>
            <w:tcW w:w="647" w:type="pct"/>
            <w:shd w:val="clear" w:color="auto" w:fill="FFFFFF" w:themeFill="background1"/>
            <w:vAlign w:val="bottom"/>
          </w:tcPr>
          <w:p w14:paraId="470B9896"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shd w:val="clear" w:color="auto" w:fill="FFFFFF" w:themeFill="background1"/>
            <w:vAlign w:val="bottom"/>
          </w:tcPr>
          <w:p w14:paraId="22E97A80"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shd w:val="clear" w:color="auto" w:fill="FFFFFF" w:themeFill="background1"/>
            <w:vAlign w:val="bottom"/>
          </w:tcPr>
          <w:p w14:paraId="720D495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(0.054)</w:t>
            </w:r>
          </w:p>
        </w:tc>
        <w:tc>
          <w:tcPr>
            <w:tcW w:w="427" w:type="pct"/>
            <w:shd w:val="clear" w:color="auto" w:fill="FFFFFF" w:themeFill="background1"/>
            <w:vAlign w:val="bottom"/>
          </w:tcPr>
          <w:p w14:paraId="02C30AA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(0.102)</w:t>
            </w:r>
          </w:p>
        </w:tc>
        <w:tc>
          <w:tcPr>
            <w:tcW w:w="427" w:type="pct"/>
            <w:shd w:val="clear" w:color="auto" w:fill="FFFFFF" w:themeFill="background1"/>
            <w:vAlign w:val="bottom"/>
          </w:tcPr>
          <w:p w14:paraId="0F7BD11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(0.079)</w:t>
            </w:r>
          </w:p>
        </w:tc>
        <w:tc>
          <w:tcPr>
            <w:tcW w:w="373" w:type="pct"/>
            <w:shd w:val="clear" w:color="auto" w:fill="FFFFFF" w:themeFill="background1"/>
            <w:vAlign w:val="bottom"/>
          </w:tcPr>
          <w:p w14:paraId="1C10B92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(0.205)</w:t>
            </w:r>
          </w:p>
        </w:tc>
        <w:tc>
          <w:tcPr>
            <w:tcW w:w="422" w:type="pct"/>
            <w:shd w:val="clear" w:color="auto" w:fill="FFFFFF" w:themeFill="background1"/>
            <w:vAlign w:val="bottom"/>
          </w:tcPr>
          <w:p w14:paraId="489B98D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(0.379)</w:t>
            </w:r>
          </w:p>
        </w:tc>
        <w:tc>
          <w:tcPr>
            <w:tcW w:w="375" w:type="pct"/>
            <w:shd w:val="clear" w:color="auto" w:fill="FFFFFF" w:themeFill="background1"/>
            <w:vAlign w:val="bottom"/>
          </w:tcPr>
          <w:p w14:paraId="1443F04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(0.037)</w:t>
            </w:r>
          </w:p>
        </w:tc>
        <w:tc>
          <w:tcPr>
            <w:tcW w:w="324" w:type="pct"/>
            <w:shd w:val="clear" w:color="auto" w:fill="FFFFFF" w:themeFill="background1"/>
            <w:vAlign w:val="bottom"/>
          </w:tcPr>
          <w:p w14:paraId="0D65FB7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(0.743)</w:t>
            </w:r>
          </w:p>
        </w:tc>
        <w:tc>
          <w:tcPr>
            <w:tcW w:w="409" w:type="pct"/>
            <w:shd w:val="clear" w:color="auto" w:fill="FFFFFF" w:themeFill="background1"/>
            <w:vAlign w:val="bottom"/>
          </w:tcPr>
          <w:p w14:paraId="1C6D8B2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(0.298)</w:t>
            </w:r>
          </w:p>
        </w:tc>
        <w:tc>
          <w:tcPr>
            <w:tcW w:w="372" w:type="pct"/>
            <w:shd w:val="clear" w:color="auto" w:fill="FFFFFF" w:themeFill="background1"/>
            <w:vAlign w:val="bottom"/>
          </w:tcPr>
          <w:p w14:paraId="31803F7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(0.128)</w:t>
            </w:r>
          </w:p>
        </w:tc>
        <w:tc>
          <w:tcPr>
            <w:tcW w:w="372" w:type="pct"/>
            <w:shd w:val="clear" w:color="auto" w:fill="FFFFFF" w:themeFill="background1"/>
          </w:tcPr>
          <w:p w14:paraId="200FB27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(0.002)</w:t>
            </w:r>
          </w:p>
        </w:tc>
      </w:tr>
      <w:tr w:rsidR="00BA06B6" w:rsidRPr="00BA06B6" w14:paraId="3FAAE247" w14:textId="77777777" w:rsidTr="00B91469">
        <w:trPr>
          <w:trHeight w:val="20"/>
          <w:tblHeader/>
          <w:jc w:val="center"/>
        </w:trPr>
        <w:tc>
          <w:tcPr>
            <w:tcW w:w="647" w:type="pct"/>
            <w:shd w:val="clear" w:color="auto" w:fill="FFFFFF" w:themeFill="background1"/>
            <w:vAlign w:val="bottom"/>
          </w:tcPr>
          <w:p w14:paraId="6D2637C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GDB</w:t>
            </w:r>
          </w:p>
        </w:tc>
        <w:tc>
          <w:tcPr>
            <w:tcW w:w="425" w:type="pct"/>
            <w:shd w:val="clear" w:color="auto" w:fill="FFFFFF" w:themeFill="background1"/>
            <w:vAlign w:val="bottom"/>
          </w:tcPr>
          <w:p w14:paraId="6E367D8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shd w:val="clear" w:color="auto" w:fill="FFFFFF" w:themeFill="background1"/>
            <w:vAlign w:val="bottom"/>
          </w:tcPr>
          <w:p w14:paraId="3B7B3CC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3.07</w:t>
            </w:r>
            <w:r w:rsidRPr="00BA06B6">
              <w:rPr>
                <w:rFonts w:ascii="Times New Roman" w:eastAsia="Calibri" w:hAnsi="Times New Roman" w:cs="Times New Roman"/>
                <w:bCs/>
                <w:sz w:val="18"/>
                <w:szCs w:val="18"/>
                <w:vertAlign w:val="superscript"/>
              </w:rPr>
              <w:t>***</w:t>
            </w:r>
          </w:p>
        </w:tc>
        <w:tc>
          <w:tcPr>
            <w:tcW w:w="427" w:type="pct"/>
            <w:shd w:val="clear" w:color="auto" w:fill="FFFFFF" w:themeFill="background1"/>
            <w:vAlign w:val="bottom"/>
          </w:tcPr>
          <w:p w14:paraId="01D84F5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2.70</w:t>
            </w:r>
            <w:r w:rsidRPr="00BA06B6">
              <w:rPr>
                <w:rFonts w:ascii="Times New Roman" w:eastAsia="Calibri" w:hAnsi="Times New Roman" w:cs="Times New Roman"/>
                <w:bCs/>
                <w:sz w:val="18"/>
                <w:szCs w:val="18"/>
                <w:vertAlign w:val="superscript"/>
              </w:rPr>
              <w:t>***</w:t>
            </w:r>
          </w:p>
        </w:tc>
        <w:tc>
          <w:tcPr>
            <w:tcW w:w="427" w:type="pct"/>
            <w:shd w:val="clear" w:color="auto" w:fill="FFFFFF" w:themeFill="background1"/>
            <w:vAlign w:val="bottom"/>
          </w:tcPr>
          <w:p w14:paraId="62680E9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2.94</w:t>
            </w:r>
            <w:r w:rsidRPr="00BA06B6">
              <w:rPr>
                <w:rFonts w:ascii="Times New Roman" w:eastAsia="Calibri" w:hAnsi="Times New Roman" w:cs="Times New Roman"/>
                <w:bCs/>
                <w:sz w:val="18"/>
                <w:szCs w:val="18"/>
                <w:vertAlign w:val="superscript"/>
              </w:rPr>
              <w:t>***</w:t>
            </w:r>
          </w:p>
        </w:tc>
        <w:tc>
          <w:tcPr>
            <w:tcW w:w="373" w:type="pct"/>
            <w:shd w:val="clear" w:color="auto" w:fill="FFFFFF" w:themeFill="background1"/>
            <w:vAlign w:val="bottom"/>
          </w:tcPr>
          <w:p w14:paraId="4D04EF8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4.62</w:t>
            </w:r>
            <w:r w:rsidRPr="00BA06B6">
              <w:rPr>
                <w:rFonts w:ascii="Times New Roman" w:eastAsia="Calibri" w:hAnsi="Times New Roman" w:cs="Times New Roman"/>
                <w:bCs/>
                <w:sz w:val="18"/>
                <w:szCs w:val="18"/>
                <w:vertAlign w:val="superscript"/>
              </w:rPr>
              <w:t>***</w:t>
            </w:r>
          </w:p>
        </w:tc>
        <w:tc>
          <w:tcPr>
            <w:tcW w:w="422" w:type="pct"/>
            <w:shd w:val="clear" w:color="auto" w:fill="FFFFFF" w:themeFill="background1"/>
            <w:vAlign w:val="bottom"/>
          </w:tcPr>
          <w:p w14:paraId="5167019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-2.51</w:t>
            </w:r>
            <w:r w:rsidRPr="00BA06B6">
              <w:rPr>
                <w:rFonts w:ascii="Times New Roman" w:eastAsia="Calibri" w:hAnsi="Times New Roman" w:cs="Times New Roman"/>
                <w:bCs/>
                <w:sz w:val="18"/>
                <w:szCs w:val="18"/>
                <w:vertAlign w:val="superscript"/>
              </w:rPr>
              <w:t>**</w:t>
            </w:r>
          </w:p>
        </w:tc>
        <w:tc>
          <w:tcPr>
            <w:tcW w:w="375" w:type="pct"/>
            <w:shd w:val="clear" w:color="auto" w:fill="FFFFFF" w:themeFill="background1"/>
            <w:vAlign w:val="bottom"/>
          </w:tcPr>
          <w:p w14:paraId="77B5B48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0.71</w:t>
            </w:r>
          </w:p>
        </w:tc>
        <w:tc>
          <w:tcPr>
            <w:tcW w:w="324" w:type="pct"/>
            <w:shd w:val="clear" w:color="auto" w:fill="FFFFFF" w:themeFill="background1"/>
            <w:vAlign w:val="bottom"/>
          </w:tcPr>
          <w:p w14:paraId="10DABC3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0.87</w:t>
            </w:r>
          </w:p>
        </w:tc>
        <w:tc>
          <w:tcPr>
            <w:tcW w:w="409" w:type="pct"/>
            <w:shd w:val="clear" w:color="auto" w:fill="FFFFFF" w:themeFill="background1"/>
            <w:vAlign w:val="bottom"/>
          </w:tcPr>
          <w:p w14:paraId="32734D7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2.95</w:t>
            </w:r>
            <w:r w:rsidRPr="00BA06B6">
              <w:rPr>
                <w:rFonts w:ascii="Times New Roman" w:eastAsia="Calibri" w:hAnsi="Times New Roman" w:cs="Times New Roman"/>
                <w:bCs/>
                <w:sz w:val="18"/>
                <w:szCs w:val="18"/>
                <w:vertAlign w:val="superscript"/>
              </w:rPr>
              <w:t>***</w:t>
            </w:r>
          </w:p>
        </w:tc>
        <w:tc>
          <w:tcPr>
            <w:tcW w:w="372" w:type="pct"/>
            <w:shd w:val="clear" w:color="auto" w:fill="FFFFFF" w:themeFill="background1"/>
            <w:vAlign w:val="bottom"/>
          </w:tcPr>
          <w:p w14:paraId="0C70A78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4.03</w:t>
            </w:r>
            <w:r w:rsidRPr="00BA06B6">
              <w:rPr>
                <w:rFonts w:ascii="Times New Roman" w:eastAsia="Calibri" w:hAnsi="Times New Roman" w:cs="Times New Roman"/>
                <w:bCs/>
                <w:sz w:val="18"/>
                <w:szCs w:val="18"/>
                <w:vertAlign w:val="superscript"/>
              </w:rPr>
              <w:t>***</w:t>
            </w:r>
          </w:p>
        </w:tc>
        <w:tc>
          <w:tcPr>
            <w:tcW w:w="372" w:type="pct"/>
            <w:shd w:val="clear" w:color="auto" w:fill="FFFFFF" w:themeFill="background1"/>
          </w:tcPr>
          <w:p w14:paraId="58D6B35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0.14</w:t>
            </w:r>
          </w:p>
        </w:tc>
      </w:tr>
      <w:tr w:rsidR="00BA06B6" w:rsidRPr="00BA06B6" w14:paraId="2F9494E7" w14:textId="77777777" w:rsidTr="00B91469">
        <w:trPr>
          <w:trHeight w:val="20"/>
          <w:tblHeader/>
          <w:jc w:val="center"/>
        </w:trPr>
        <w:tc>
          <w:tcPr>
            <w:tcW w:w="647" w:type="pct"/>
            <w:shd w:val="clear" w:color="auto" w:fill="FFFFFF" w:themeFill="background1"/>
            <w:vAlign w:val="bottom"/>
          </w:tcPr>
          <w:p w14:paraId="19B7972F"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shd w:val="clear" w:color="auto" w:fill="FFFFFF" w:themeFill="background1"/>
            <w:vAlign w:val="bottom"/>
          </w:tcPr>
          <w:p w14:paraId="332FB44D"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shd w:val="clear" w:color="auto" w:fill="FFFFFF" w:themeFill="background1"/>
            <w:vAlign w:val="bottom"/>
          </w:tcPr>
          <w:p w14:paraId="4824B9B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(0.002)</w:t>
            </w:r>
          </w:p>
        </w:tc>
        <w:tc>
          <w:tcPr>
            <w:tcW w:w="427" w:type="pct"/>
            <w:shd w:val="clear" w:color="auto" w:fill="FFFFFF" w:themeFill="background1"/>
            <w:vAlign w:val="bottom"/>
          </w:tcPr>
          <w:p w14:paraId="43F5E08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(0.007)</w:t>
            </w:r>
          </w:p>
        </w:tc>
        <w:tc>
          <w:tcPr>
            <w:tcW w:w="427" w:type="pct"/>
            <w:shd w:val="clear" w:color="auto" w:fill="FFFFFF" w:themeFill="background1"/>
            <w:vAlign w:val="bottom"/>
          </w:tcPr>
          <w:p w14:paraId="4AB43BB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(0.003)</w:t>
            </w:r>
          </w:p>
        </w:tc>
        <w:tc>
          <w:tcPr>
            <w:tcW w:w="373" w:type="pct"/>
            <w:shd w:val="clear" w:color="auto" w:fill="FFFFFF" w:themeFill="background1"/>
            <w:vAlign w:val="bottom"/>
          </w:tcPr>
          <w:p w14:paraId="7F64BC8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22" w:type="pct"/>
            <w:shd w:val="clear" w:color="auto" w:fill="FFFFFF" w:themeFill="background1"/>
            <w:vAlign w:val="bottom"/>
          </w:tcPr>
          <w:p w14:paraId="56A1F62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(0.012)</w:t>
            </w:r>
          </w:p>
        </w:tc>
        <w:tc>
          <w:tcPr>
            <w:tcW w:w="375" w:type="pct"/>
            <w:shd w:val="clear" w:color="auto" w:fill="FFFFFF" w:themeFill="background1"/>
            <w:vAlign w:val="bottom"/>
          </w:tcPr>
          <w:p w14:paraId="1E6C8E3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(0.476)</w:t>
            </w:r>
          </w:p>
        </w:tc>
        <w:tc>
          <w:tcPr>
            <w:tcW w:w="324" w:type="pct"/>
            <w:shd w:val="clear" w:color="auto" w:fill="FFFFFF" w:themeFill="background1"/>
            <w:vAlign w:val="bottom"/>
          </w:tcPr>
          <w:p w14:paraId="45994E6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(0.382)</w:t>
            </w:r>
          </w:p>
        </w:tc>
        <w:tc>
          <w:tcPr>
            <w:tcW w:w="409" w:type="pct"/>
            <w:shd w:val="clear" w:color="auto" w:fill="FFFFFF" w:themeFill="background1"/>
            <w:vAlign w:val="bottom"/>
          </w:tcPr>
          <w:p w14:paraId="25612DD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(0.003)</w:t>
            </w:r>
          </w:p>
        </w:tc>
        <w:tc>
          <w:tcPr>
            <w:tcW w:w="372" w:type="pct"/>
            <w:shd w:val="clear" w:color="auto" w:fill="FFFFFF" w:themeFill="background1"/>
            <w:vAlign w:val="bottom"/>
          </w:tcPr>
          <w:p w14:paraId="1C277C7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372" w:type="pct"/>
            <w:shd w:val="clear" w:color="auto" w:fill="FFFFFF" w:themeFill="background1"/>
          </w:tcPr>
          <w:p w14:paraId="31DE133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(0.891)</w:t>
            </w:r>
          </w:p>
        </w:tc>
      </w:tr>
      <w:tr w:rsidR="00BA06B6" w:rsidRPr="00BA06B6" w14:paraId="7A2E6EF5" w14:textId="77777777" w:rsidTr="00B91469">
        <w:trPr>
          <w:trHeight w:val="20"/>
          <w:tblHeader/>
          <w:jc w:val="center"/>
        </w:trPr>
        <w:tc>
          <w:tcPr>
            <w:tcW w:w="647" w:type="pct"/>
            <w:shd w:val="clear" w:color="auto" w:fill="FFFFFF" w:themeFill="background1"/>
            <w:vAlign w:val="bottom"/>
          </w:tcPr>
          <w:p w14:paraId="72212CE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BBID</w:t>
            </w:r>
          </w:p>
        </w:tc>
        <w:tc>
          <w:tcPr>
            <w:tcW w:w="425" w:type="pct"/>
            <w:shd w:val="clear" w:color="auto" w:fill="FFFFFF" w:themeFill="background1"/>
            <w:vAlign w:val="bottom"/>
          </w:tcPr>
          <w:p w14:paraId="7DC52CC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shd w:val="clear" w:color="auto" w:fill="FFFFFF" w:themeFill="background1"/>
            <w:vAlign w:val="bottom"/>
          </w:tcPr>
          <w:p w14:paraId="1052CBD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2.08</w:t>
            </w:r>
            <w:r w:rsidRPr="00BA06B6">
              <w:rPr>
                <w:rFonts w:ascii="Times New Roman" w:eastAsia="Calibri" w:hAnsi="Times New Roman" w:cs="Times New Roman"/>
                <w:bCs/>
                <w:sz w:val="18"/>
                <w:szCs w:val="18"/>
                <w:vertAlign w:val="superscript"/>
              </w:rPr>
              <w:t>**</w:t>
            </w:r>
          </w:p>
        </w:tc>
        <w:tc>
          <w:tcPr>
            <w:tcW w:w="427" w:type="pct"/>
            <w:shd w:val="clear" w:color="auto" w:fill="FFFFFF" w:themeFill="background1"/>
            <w:vAlign w:val="bottom"/>
          </w:tcPr>
          <w:p w14:paraId="5362EE5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2.30</w:t>
            </w:r>
            <w:r w:rsidRPr="00BA06B6">
              <w:rPr>
                <w:rFonts w:ascii="Times New Roman" w:eastAsia="Calibri" w:hAnsi="Times New Roman" w:cs="Times New Roman"/>
                <w:bCs/>
                <w:sz w:val="18"/>
                <w:szCs w:val="18"/>
                <w:vertAlign w:val="superscript"/>
              </w:rPr>
              <w:t>**</w:t>
            </w:r>
          </w:p>
        </w:tc>
        <w:tc>
          <w:tcPr>
            <w:tcW w:w="427" w:type="pct"/>
            <w:shd w:val="clear" w:color="auto" w:fill="FFFFFF" w:themeFill="background1"/>
            <w:vAlign w:val="bottom"/>
          </w:tcPr>
          <w:p w14:paraId="155D72E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1.57</w:t>
            </w:r>
            <w:r w:rsidRPr="00BA06B6">
              <w:rPr>
                <w:rFonts w:ascii="Times New Roman" w:eastAsia="Calibri" w:hAnsi="Times New Roman" w:cs="Times New Roman"/>
                <w:bCs/>
                <w:sz w:val="18"/>
                <w:szCs w:val="18"/>
                <w:vertAlign w:val="superscript"/>
              </w:rPr>
              <w:t>*</w:t>
            </w:r>
          </w:p>
        </w:tc>
        <w:tc>
          <w:tcPr>
            <w:tcW w:w="373" w:type="pct"/>
            <w:shd w:val="clear" w:color="auto" w:fill="FFFFFF" w:themeFill="background1"/>
            <w:vAlign w:val="bottom"/>
          </w:tcPr>
          <w:p w14:paraId="3D0D6A0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3.14</w:t>
            </w:r>
            <w:r w:rsidRPr="00BA06B6">
              <w:rPr>
                <w:rFonts w:ascii="Times New Roman" w:eastAsia="Calibri" w:hAnsi="Times New Roman" w:cs="Times New Roman"/>
                <w:bCs/>
                <w:sz w:val="18"/>
                <w:szCs w:val="18"/>
                <w:vertAlign w:val="superscript"/>
              </w:rPr>
              <w:t>***</w:t>
            </w:r>
          </w:p>
        </w:tc>
        <w:tc>
          <w:tcPr>
            <w:tcW w:w="422" w:type="pct"/>
            <w:shd w:val="clear" w:color="auto" w:fill="FFFFFF" w:themeFill="background1"/>
            <w:vAlign w:val="bottom"/>
          </w:tcPr>
          <w:p w14:paraId="46A92FD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2.57</w:t>
            </w:r>
            <w:r w:rsidRPr="00BA06B6">
              <w:rPr>
                <w:rFonts w:ascii="Times New Roman" w:eastAsia="Calibri" w:hAnsi="Times New Roman" w:cs="Times New Roman"/>
                <w:bCs/>
                <w:sz w:val="18"/>
                <w:szCs w:val="18"/>
                <w:vertAlign w:val="superscript"/>
              </w:rPr>
              <w:t>***</w:t>
            </w:r>
          </w:p>
        </w:tc>
        <w:tc>
          <w:tcPr>
            <w:tcW w:w="375" w:type="pct"/>
            <w:shd w:val="clear" w:color="auto" w:fill="FFFFFF" w:themeFill="background1"/>
            <w:vAlign w:val="bottom"/>
          </w:tcPr>
          <w:p w14:paraId="639C0AE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-0.67</w:t>
            </w:r>
          </w:p>
        </w:tc>
        <w:tc>
          <w:tcPr>
            <w:tcW w:w="324" w:type="pct"/>
            <w:shd w:val="clear" w:color="auto" w:fill="FFFFFF" w:themeFill="background1"/>
            <w:vAlign w:val="bottom"/>
          </w:tcPr>
          <w:p w14:paraId="745B905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0.58</w:t>
            </w:r>
          </w:p>
        </w:tc>
        <w:tc>
          <w:tcPr>
            <w:tcW w:w="409" w:type="pct"/>
            <w:shd w:val="clear" w:color="auto" w:fill="FFFFFF" w:themeFill="background1"/>
            <w:vAlign w:val="bottom"/>
          </w:tcPr>
          <w:p w14:paraId="77BE4C6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3.63</w:t>
            </w:r>
            <w:r w:rsidRPr="00BA06B6">
              <w:rPr>
                <w:rFonts w:ascii="Times New Roman" w:eastAsia="Calibri" w:hAnsi="Times New Roman" w:cs="Times New Roman"/>
                <w:bCs/>
                <w:sz w:val="18"/>
                <w:szCs w:val="18"/>
                <w:vertAlign w:val="superscript"/>
              </w:rPr>
              <w:t>***</w:t>
            </w:r>
          </w:p>
        </w:tc>
        <w:tc>
          <w:tcPr>
            <w:tcW w:w="372" w:type="pct"/>
            <w:shd w:val="clear" w:color="auto" w:fill="FFFFFF" w:themeFill="background1"/>
            <w:vAlign w:val="bottom"/>
          </w:tcPr>
          <w:p w14:paraId="5A86C93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2.73</w:t>
            </w:r>
            <w:r w:rsidRPr="00BA06B6">
              <w:rPr>
                <w:rFonts w:ascii="Times New Roman" w:eastAsia="Calibri" w:hAnsi="Times New Roman" w:cs="Times New Roman"/>
                <w:bCs/>
                <w:sz w:val="18"/>
                <w:szCs w:val="18"/>
                <w:vertAlign w:val="superscript"/>
              </w:rPr>
              <w:t>***</w:t>
            </w:r>
          </w:p>
        </w:tc>
        <w:tc>
          <w:tcPr>
            <w:tcW w:w="372" w:type="pct"/>
            <w:shd w:val="clear" w:color="auto" w:fill="FFFFFF" w:themeFill="background1"/>
          </w:tcPr>
          <w:p w14:paraId="7FE11D4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3.73</w:t>
            </w:r>
            <w:r w:rsidRPr="00BA06B6">
              <w:rPr>
                <w:rFonts w:ascii="Times New Roman" w:eastAsia="Calibri" w:hAnsi="Times New Roman" w:cs="Times New Roman"/>
                <w:bCs/>
                <w:sz w:val="18"/>
                <w:szCs w:val="18"/>
                <w:vertAlign w:val="superscript"/>
              </w:rPr>
              <w:t>***</w:t>
            </w:r>
          </w:p>
        </w:tc>
      </w:tr>
      <w:tr w:rsidR="00BA06B6" w:rsidRPr="00BA06B6" w14:paraId="45FC0C0F" w14:textId="77777777" w:rsidTr="00B91469">
        <w:trPr>
          <w:trHeight w:val="20"/>
          <w:tblHeader/>
          <w:jc w:val="center"/>
        </w:trPr>
        <w:tc>
          <w:tcPr>
            <w:tcW w:w="647" w:type="pct"/>
            <w:shd w:val="clear" w:color="auto" w:fill="FFFFFF" w:themeFill="background1"/>
            <w:vAlign w:val="bottom"/>
          </w:tcPr>
          <w:p w14:paraId="6263B898"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shd w:val="clear" w:color="auto" w:fill="FFFFFF" w:themeFill="background1"/>
            <w:vAlign w:val="bottom"/>
          </w:tcPr>
          <w:p w14:paraId="26AD8858"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shd w:val="clear" w:color="auto" w:fill="FFFFFF" w:themeFill="background1"/>
            <w:vAlign w:val="bottom"/>
          </w:tcPr>
          <w:p w14:paraId="6A546BB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(0.037)</w:t>
            </w:r>
          </w:p>
        </w:tc>
        <w:tc>
          <w:tcPr>
            <w:tcW w:w="427" w:type="pct"/>
            <w:shd w:val="clear" w:color="auto" w:fill="FFFFFF" w:themeFill="background1"/>
            <w:vAlign w:val="bottom"/>
          </w:tcPr>
          <w:p w14:paraId="43B60E5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(0.021)</w:t>
            </w:r>
          </w:p>
        </w:tc>
        <w:tc>
          <w:tcPr>
            <w:tcW w:w="427" w:type="pct"/>
            <w:shd w:val="clear" w:color="auto" w:fill="FFFFFF" w:themeFill="background1"/>
            <w:vAlign w:val="bottom"/>
          </w:tcPr>
          <w:p w14:paraId="3A513A4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(0.074)</w:t>
            </w:r>
          </w:p>
        </w:tc>
        <w:tc>
          <w:tcPr>
            <w:tcW w:w="373" w:type="pct"/>
            <w:shd w:val="clear" w:color="auto" w:fill="FFFFFF" w:themeFill="background1"/>
            <w:vAlign w:val="bottom"/>
          </w:tcPr>
          <w:p w14:paraId="5934CC3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(0.002)</w:t>
            </w:r>
          </w:p>
        </w:tc>
        <w:tc>
          <w:tcPr>
            <w:tcW w:w="422" w:type="pct"/>
            <w:shd w:val="clear" w:color="auto" w:fill="FFFFFF" w:themeFill="background1"/>
            <w:vAlign w:val="bottom"/>
          </w:tcPr>
          <w:p w14:paraId="598B5CC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(0.010)</w:t>
            </w:r>
          </w:p>
        </w:tc>
        <w:tc>
          <w:tcPr>
            <w:tcW w:w="375" w:type="pct"/>
            <w:shd w:val="clear" w:color="auto" w:fill="FFFFFF" w:themeFill="background1"/>
            <w:vAlign w:val="bottom"/>
          </w:tcPr>
          <w:p w14:paraId="52742A3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(0.501)</w:t>
            </w:r>
          </w:p>
        </w:tc>
        <w:tc>
          <w:tcPr>
            <w:tcW w:w="324" w:type="pct"/>
            <w:shd w:val="clear" w:color="auto" w:fill="FFFFFF" w:themeFill="background1"/>
            <w:vAlign w:val="bottom"/>
          </w:tcPr>
          <w:p w14:paraId="4D8488F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(0.563)</w:t>
            </w:r>
          </w:p>
        </w:tc>
        <w:tc>
          <w:tcPr>
            <w:tcW w:w="409" w:type="pct"/>
            <w:shd w:val="clear" w:color="auto" w:fill="FFFFFF" w:themeFill="background1"/>
            <w:vAlign w:val="bottom"/>
          </w:tcPr>
          <w:p w14:paraId="7086AD9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372" w:type="pct"/>
            <w:shd w:val="clear" w:color="auto" w:fill="FFFFFF" w:themeFill="background1"/>
            <w:vAlign w:val="bottom"/>
          </w:tcPr>
          <w:p w14:paraId="79BF49F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(0.006)</w:t>
            </w:r>
          </w:p>
        </w:tc>
        <w:tc>
          <w:tcPr>
            <w:tcW w:w="372" w:type="pct"/>
            <w:shd w:val="clear" w:color="auto" w:fill="FFFFFF" w:themeFill="background1"/>
          </w:tcPr>
          <w:p w14:paraId="3A861C6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r>
      <w:tr w:rsidR="00BA06B6" w:rsidRPr="00BA06B6" w14:paraId="19881080" w14:textId="77777777" w:rsidTr="00B91469">
        <w:trPr>
          <w:trHeight w:val="20"/>
          <w:tblHeader/>
          <w:jc w:val="center"/>
        </w:trPr>
        <w:tc>
          <w:tcPr>
            <w:tcW w:w="647" w:type="pct"/>
            <w:shd w:val="clear" w:color="auto" w:fill="FFFFFF" w:themeFill="background1"/>
            <w:vAlign w:val="bottom"/>
          </w:tcPr>
          <w:p w14:paraId="71676C3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SSB</w:t>
            </w:r>
          </w:p>
        </w:tc>
        <w:tc>
          <w:tcPr>
            <w:tcW w:w="425" w:type="pct"/>
            <w:shd w:val="clear" w:color="auto" w:fill="FFFFFF" w:themeFill="background1"/>
            <w:vAlign w:val="bottom"/>
          </w:tcPr>
          <w:p w14:paraId="27AF993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 xml:space="preserve">     -</w:t>
            </w:r>
          </w:p>
        </w:tc>
        <w:tc>
          <w:tcPr>
            <w:tcW w:w="427" w:type="pct"/>
            <w:shd w:val="clear" w:color="auto" w:fill="FFFFFF" w:themeFill="background1"/>
            <w:vAlign w:val="bottom"/>
          </w:tcPr>
          <w:p w14:paraId="1695394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3.86</w:t>
            </w:r>
            <w:r w:rsidRPr="00BA06B6">
              <w:rPr>
                <w:rFonts w:ascii="Times New Roman" w:eastAsia="Calibri" w:hAnsi="Times New Roman" w:cs="Times New Roman"/>
                <w:bCs/>
                <w:sz w:val="18"/>
                <w:szCs w:val="18"/>
                <w:vertAlign w:val="superscript"/>
              </w:rPr>
              <w:t>***</w:t>
            </w:r>
          </w:p>
        </w:tc>
        <w:tc>
          <w:tcPr>
            <w:tcW w:w="427" w:type="pct"/>
            <w:shd w:val="clear" w:color="auto" w:fill="FFFFFF" w:themeFill="background1"/>
            <w:vAlign w:val="bottom"/>
          </w:tcPr>
          <w:p w14:paraId="75C34D6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3.95</w:t>
            </w:r>
            <w:r w:rsidRPr="00BA06B6">
              <w:rPr>
                <w:rFonts w:ascii="Times New Roman" w:eastAsia="Calibri" w:hAnsi="Times New Roman" w:cs="Times New Roman"/>
                <w:bCs/>
                <w:sz w:val="18"/>
                <w:szCs w:val="18"/>
                <w:vertAlign w:val="superscript"/>
              </w:rPr>
              <w:t>***</w:t>
            </w:r>
          </w:p>
        </w:tc>
        <w:tc>
          <w:tcPr>
            <w:tcW w:w="427" w:type="pct"/>
            <w:shd w:val="clear" w:color="auto" w:fill="FFFFFF" w:themeFill="background1"/>
            <w:vAlign w:val="bottom"/>
          </w:tcPr>
          <w:p w14:paraId="607C745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2.61</w:t>
            </w:r>
            <w:r w:rsidRPr="00BA06B6">
              <w:rPr>
                <w:rFonts w:ascii="Times New Roman" w:eastAsia="Calibri" w:hAnsi="Times New Roman" w:cs="Times New Roman"/>
                <w:bCs/>
                <w:sz w:val="18"/>
                <w:szCs w:val="18"/>
                <w:vertAlign w:val="superscript"/>
              </w:rPr>
              <w:t>***</w:t>
            </w:r>
          </w:p>
        </w:tc>
        <w:tc>
          <w:tcPr>
            <w:tcW w:w="373" w:type="pct"/>
            <w:shd w:val="clear" w:color="auto" w:fill="FFFFFF" w:themeFill="background1"/>
            <w:vAlign w:val="bottom"/>
          </w:tcPr>
          <w:p w14:paraId="2188931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sz w:val="18"/>
                <w:szCs w:val="18"/>
              </w:rPr>
              <w:t>-</w:t>
            </w:r>
          </w:p>
        </w:tc>
        <w:tc>
          <w:tcPr>
            <w:tcW w:w="422" w:type="pct"/>
            <w:shd w:val="clear" w:color="auto" w:fill="FFFFFF" w:themeFill="background1"/>
            <w:vAlign w:val="bottom"/>
          </w:tcPr>
          <w:p w14:paraId="0F80810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2.29</w:t>
            </w:r>
            <w:r w:rsidRPr="00BA06B6">
              <w:rPr>
                <w:rFonts w:ascii="Times New Roman" w:eastAsia="Calibri" w:hAnsi="Times New Roman" w:cs="Times New Roman"/>
                <w:bCs/>
                <w:sz w:val="18"/>
                <w:szCs w:val="18"/>
                <w:vertAlign w:val="superscript"/>
              </w:rPr>
              <w:t>**</w:t>
            </w:r>
          </w:p>
        </w:tc>
        <w:tc>
          <w:tcPr>
            <w:tcW w:w="375" w:type="pct"/>
            <w:shd w:val="clear" w:color="auto" w:fill="FFFFFF" w:themeFill="background1"/>
            <w:vAlign w:val="bottom"/>
          </w:tcPr>
          <w:p w14:paraId="4FE2939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1.53</w:t>
            </w:r>
          </w:p>
        </w:tc>
        <w:tc>
          <w:tcPr>
            <w:tcW w:w="324" w:type="pct"/>
            <w:shd w:val="clear" w:color="auto" w:fill="FFFFFF" w:themeFill="background1"/>
            <w:vAlign w:val="bottom"/>
          </w:tcPr>
          <w:p w14:paraId="42446AC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1.93</w:t>
            </w:r>
            <w:r w:rsidRPr="00BA06B6">
              <w:rPr>
                <w:rFonts w:ascii="Times New Roman" w:eastAsia="Calibri" w:hAnsi="Times New Roman" w:cs="Times New Roman"/>
                <w:bCs/>
                <w:sz w:val="18"/>
                <w:szCs w:val="18"/>
                <w:vertAlign w:val="superscript"/>
              </w:rPr>
              <w:t>*</w:t>
            </w:r>
          </w:p>
        </w:tc>
        <w:tc>
          <w:tcPr>
            <w:tcW w:w="409" w:type="pct"/>
            <w:shd w:val="clear" w:color="auto" w:fill="FFFFFF" w:themeFill="background1"/>
            <w:vAlign w:val="bottom"/>
          </w:tcPr>
          <w:p w14:paraId="55C1689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2.54</w:t>
            </w:r>
            <w:r w:rsidRPr="00BA06B6">
              <w:rPr>
                <w:rFonts w:ascii="Times New Roman" w:eastAsia="Calibri" w:hAnsi="Times New Roman" w:cs="Times New Roman"/>
                <w:bCs/>
                <w:sz w:val="18"/>
                <w:szCs w:val="18"/>
                <w:vertAlign w:val="superscript"/>
              </w:rPr>
              <w:t>**</w:t>
            </w:r>
          </w:p>
        </w:tc>
        <w:tc>
          <w:tcPr>
            <w:tcW w:w="372" w:type="pct"/>
            <w:shd w:val="clear" w:color="auto" w:fill="FFFFFF" w:themeFill="background1"/>
            <w:vAlign w:val="bottom"/>
          </w:tcPr>
          <w:p w14:paraId="77D5BB2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0.59</w:t>
            </w:r>
          </w:p>
        </w:tc>
        <w:tc>
          <w:tcPr>
            <w:tcW w:w="372" w:type="pct"/>
            <w:shd w:val="clear" w:color="auto" w:fill="FFFFFF" w:themeFill="background1"/>
          </w:tcPr>
          <w:p w14:paraId="5D79824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0.90</w:t>
            </w:r>
          </w:p>
        </w:tc>
      </w:tr>
      <w:tr w:rsidR="00BA06B6" w:rsidRPr="00BA06B6" w14:paraId="448A117F" w14:textId="77777777" w:rsidTr="00B91469">
        <w:trPr>
          <w:trHeight w:val="20"/>
          <w:tblHeader/>
          <w:jc w:val="center"/>
        </w:trPr>
        <w:tc>
          <w:tcPr>
            <w:tcW w:w="647" w:type="pct"/>
            <w:tcBorders>
              <w:bottom w:val="single" w:sz="12" w:space="0" w:color="auto"/>
            </w:tcBorders>
            <w:shd w:val="clear" w:color="auto" w:fill="FFFFFF" w:themeFill="background1"/>
            <w:vAlign w:val="bottom"/>
          </w:tcPr>
          <w:p w14:paraId="13EDBA25"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tcBorders>
              <w:bottom w:val="single" w:sz="12" w:space="0" w:color="auto"/>
            </w:tcBorders>
            <w:shd w:val="clear" w:color="auto" w:fill="FFFFFF" w:themeFill="background1"/>
            <w:vAlign w:val="bottom"/>
          </w:tcPr>
          <w:p w14:paraId="220AE766"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7" w:type="pct"/>
            <w:tcBorders>
              <w:bottom w:val="single" w:sz="12" w:space="0" w:color="auto"/>
            </w:tcBorders>
            <w:shd w:val="clear" w:color="auto" w:fill="FFFFFF" w:themeFill="background1"/>
            <w:vAlign w:val="bottom"/>
          </w:tcPr>
          <w:p w14:paraId="175BF23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27" w:type="pct"/>
            <w:tcBorders>
              <w:bottom w:val="single" w:sz="12" w:space="0" w:color="auto"/>
            </w:tcBorders>
            <w:shd w:val="clear" w:color="auto" w:fill="FFFFFF" w:themeFill="background1"/>
            <w:vAlign w:val="bottom"/>
          </w:tcPr>
          <w:p w14:paraId="3D692B9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27" w:type="pct"/>
            <w:tcBorders>
              <w:bottom w:val="single" w:sz="12" w:space="0" w:color="auto"/>
            </w:tcBorders>
            <w:shd w:val="clear" w:color="auto" w:fill="FFFFFF" w:themeFill="background1"/>
            <w:vAlign w:val="bottom"/>
          </w:tcPr>
          <w:p w14:paraId="06B9E50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(0.009)</w:t>
            </w:r>
          </w:p>
        </w:tc>
        <w:tc>
          <w:tcPr>
            <w:tcW w:w="373" w:type="pct"/>
            <w:tcBorders>
              <w:bottom w:val="single" w:sz="12" w:space="0" w:color="auto"/>
            </w:tcBorders>
            <w:shd w:val="clear" w:color="auto" w:fill="FFFFFF" w:themeFill="background1"/>
            <w:vAlign w:val="bottom"/>
          </w:tcPr>
          <w:p w14:paraId="2493CE41" w14:textId="77777777" w:rsidR="00AA068C" w:rsidRPr="00BA06B6" w:rsidRDefault="00AA068C" w:rsidP="00BC341D">
            <w:pPr>
              <w:tabs>
                <w:tab w:val="left" w:pos="851"/>
              </w:tabs>
              <w:jc w:val="both"/>
              <w:rPr>
                <w:rFonts w:ascii="Times New Roman" w:eastAsia="Calibri" w:hAnsi="Times New Roman" w:cs="Times New Roman"/>
                <w:bCs/>
                <w:sz w:val="18"/>
                <w:szCs w:val="18"/>
              </w:rPr>
            </w:pPr>
          </w:p>
        </w:tc>
        <w:tc>
          <w:tcPr>
            <w:tcW w:w="422" w:type="pct"/>
            <w:tcBorders>
              <w:bottom w:val="single" w:sz="12" w:space="0" w:color="auto"/>
            </w:tcBorders>
            <w:shd w:val="clear" w:color="auto" w:fill="FFFFFF" w:themeFill="background1"/>
            <w:vAlign w:val="bottom"/>
          </w:tcPr>
          <w:p w14:paraId="555C5A7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(0.022)</w:t>
            </w:r>
          </w:p>
        </w:tc>
        <w:tc>
          <w:tcPr>
            <w:tcW w:w="375" w:type="pct"/>
            <w:tcBorders>
              <w:bottom w:val="single" w:sz="12" w:space="0" w:color="auto"/>
            </w:tcBorders>
            <w:shd w:val="clear" w:color="auto" w:fill="FFFFFF" w:themeFill="background1"/>
            <w:vAlign w:val="bottom"/>
          </w:tcPr>
          <w:p w14:paraId="53088D8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(0.126)</w:t>
            </w:r>
          </w:p>
        </w:tc>
        <w:tc>
          <w:tcPr>
            <w:tcW w:w="324" w:type="pct"/>
            <w:tcBorders>
              <w:bottom w:val="single" w:sz="12" w:space="0" w:color="auto"/>
            </w:tcBorders>
            <w:shd w:val="clear" w:color="auto" w:fill="FFFFFF" w:themeFill="background1"/>
            <w:vAlign w:val="bottom"/>
          </w:tcPr>
          <w:p w14:paraId="0A2A7A9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(0.053)</w:t>
            </w:r>
          </w:p>
        </w:tc>
        <w:tc>
          <w:tcPr>
            <w:tcW w:w="409" w:type="pct"/>
            <w:tcBorders>
              <w:bottom w:val="single" w:sz="12" w:space="0" w:color="auto"/>
            </w:tcBorders>
            <w:shd w:val="clear" w:color="auto" w:fill="FFFFFF" w:themeFill="background1"/>
            <w:vAlign w:val="bottom"/>
          </w:tcPr>
          <w:p w14:paraId="1AAEBB9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(0.011)</w:t>
            </w:r>
          </w:p>
        </w:tc>
        <w:tc>
          <w:tcPr>
            <w:tcW w:w="372" w:type="pct"/>
            <w:tcBorders>
              <w:bottom w:val="single" w:sz="12" w:space="0" w:color="auto"/>
            </w:tcBorders>
            <w:shd w:val="clear" w:color="auto" w:fill="FFFFFF" w:themeFill="background1"/>
            <w:vAlign w:val="bottom"/>
          </w:tcPr>
          <w:p w14:paraId="3C5E7E0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(0.556)</w:t>
            </w:r>
          </w:p>
        </w:tc>
        <w:tc>
          <w:tcPr>
            <w:tcW w:w="372" w:type="pct"/>
            <w:tcBorders>
              <w:bottom w:val="single" w:sz="12" w:space="0" w:color="auto"/>
            </w:tcBorders>
            <w:shd w:val="clear" w:color="auto" w:fill="FFFFFF" w:themeFill="background1"/>
          </w:tcPr>
          <w:p w14:paraId="10165A1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(0.370)</w:t>
            </w:r>
          </w:p>
        </w:tc>
      </w:tr>
      <w:tr w:rsidR="00BA06B6" w:rsidRPr="00BA06B6" w14:paraId="6BFF922F" w14:textId="77777777" w:rsidTr="00B91469">
        <w:trPr>
          <w:trHeight w:val="20"/>
          <w:tblHeader/>
          <w:jc w:val="center"/>
        </w:trPr>
        <w:tc>
          <w:tcPr>
            <w:tcW w:w="4628" w:type="pct"/>
            <w:gridSpan w:val="11"/>
            <w:tcBorders>
              <w:top w:val="single" w:sz="12" w:space="0" w:color="auto"/>
              <w:bottom w:val="single" w:sz="12" w:space="0" w:color="auto"/>
            </w:tcBorders>
            <w:shd w:val="clear" w:color="auto" w:fill="FFFFFF" w:themeFill="background1"/>
            <w:vAlign w:val="bottom"/>
          </w:tcPr>
          <w:p w14:paraId="7FCE0E5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i/>
                <w:sz w:val="18"/>
                <w:szCs w:val="18"/>
              </w:rPr>
              <w:t xml:space="preserve">Panel D: </w:t>
            </w:r>
            <w:r w:rsidRPr="00BA06B6">
              <w:rPr>
                <w:rFonts w:ascii="Times New Roman" w:eastAsia="Calibri" w:hAnsi="Times New Roman" w:cs="Times New Roman"/>
                <w:sz w:val="18"/>
                <w:szCs w:val="18"/>
              </w:rPr>
              <w:t>Bank-level control variables</w:t>
            </w:r>
          </w:p>
        </w:tc>
        <w:tc>
          <w:tcPr>
            <w:tcW w:w="372" w:type="pct"/>
            <w:tcBorders>
              <w:top w:val="single" w:sz="12" w:space="0" w:color="auto"/>
              <w:bottom w:val="single" w:sz="12" w:space="0" w:color="auto"/>
            </w:tcBorders>
            <w:shd w:val="clear" w:color="auto" w:fill="FFFFFF" w:themeFill="background1"/>
          </w:tcPr>
          <w:p w14:paraId="1F0A5F87" w14:textId="77777777" w:rsidR="00AA068C" w:rsidRPr="00BA06B6" w:rsidRDefault="00AA068C" w:rsidP="00BC341D">
            <w:pPr>
              <w:tabs>
                <w:tab w:val="left" w:pos="851"/>
              </w:tabs>
              <w:jc w:val="both"/>
              <w:rPr>
                <w:rFonts w:ascii="Times New Roman" w:eastAsia="Calibri" w:hAnsi="Times New Roman" w:cs="Times New Roman"/>
                <w:i/>
                <w:sz w:val="18"/>
                <w:szCs w:val="18"/>
              </w:rPr>
            </w:pPr>
          </w:p>
        </w:tc>
      </w:tr>
      <w:tr w:rsidR="00BA06B6" w:rsidRPr="00BA06B6" w14:paraId="7F28AE85" w14:textId="77777777" w:rsidTr="00B91469">
        <w:trPr>
          <w:trHeight w:val="20"/>
          <w:tblHeader/>
          <w:jc w:val="center"/>
        </w:trPr>
        <w:tc>
          <w:tcPr>
            <w:tcW w:w="647" w:type="pct"/>
            <w:tcBorders>
              <w:top w:val="single" w:sz="12" w:space="0" w:color="auto"/>
            </w:tcBorders>
            <w:shd w:val="clear" w:color="auto" w:fill="FFFFFF" w:themeFill="background1"/>
            <w:vAlign w:val="bottom"/>
          </w:tcPr>
          <w:p w14:paraId="4698149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LNTA</w:t>
            </w:r>
          </w:p>
        </w:tc>
        <w:tc>
          <w:tcPr>
            <w:tcW w:w="425" w:type="pct"/>
            <w:tcBorders>
              <w:top w:val="single" w:sz="12" w:space="0" w:color="auto"/>
            </w:tcBorders>
            <w:shd w:val="clear" w:color="auto" w:fill="FFFFFF" w:themeFill="background1"/>
            <w:vAlign w:val="bottom"/>
          </w:tcPr>
          <w:p w14:paraId="535B37C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15.19</w:t>
            </w:r>
            <w:r w:rsidRPr="00BA06B6">
              <w:rPr>
                <w:rFonts w:ascii="Times New Roman" w:eastAsia="Calibri" w:hAnsi="Times New Roman" w:cs="Times New Roman"/>
                <w:bCs/>
                <w:sz w:val="18"/>
                <w:szCs w:val="18"/>
                <w:vertAlign w:val="superscript"/>
              </w:rPr>
              <w:t>***</w:t>
            </w:r>
          </w:p>
        </w:tc>
        <w:tc>
          <w:tcPr>
            <w:tcW w:w="427" w:type="pct"/>
            <w:tcBorders>
              <w:top w:val="single" w:sz="12" w:space="0" w:color="auto"/>
            </w:tcBorders>
            <w:shd w:val="clear" w:color="auto" w:fill="FFFFFF" w:themeFill="background1"/>
            <w:vAlign w:val="bottom"/>
          </w:tcPr>
          <w:p w14:paraId="6D77B35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13.67</w:t>
            </w:r>
            <w:r w:rsidRPr="00BA06B6">
              <w:rPr>
                <w:rFonts w:ascii="Times New Roman" w:eastAsia="Calibri" w:hAnsi="Times New Roman" w:cs="Times New Roman"/>
                <w:bCs/>
                <w:sz w:val="18"/>
                <w:szCs w:val="18"/>
                <w:vertAlign w:val="superscript"/>
              </w:rPr>
              <w:t>***</w:t>
            </w:r>
          </w:p>
        </w:tc>
        <w:tc>
          <w:tcPr>
            <w:tcW w:w="427" w:type="pct"/>
            <w:tcBorders>
              <w:top w:val="single" w:sz="12" w:space="0" w:color="auto"/>
            </w:tcBorders>
            <w:shd w:val="clear" w:color="auto" w:fill="FFFFFF" w:themeFill="background1"/>
            <w:vAlign w:val="bottom"/>
          </w:tcPr>
          <w:p w14:paraId="24281FF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13.50</w:t>
            </w:r>
            <w:r w:rsidRPr="00BA06B6">
              <w:rPr>
                <w:rFonts w:ascii="Times New Roman" w:eastAsia="Calibri" w:hAnsi="Times New Roman" w:cs="Times New Roman"/>
                <w:bCs/>
                <w:sz w:val="18"/>
                <w:szCs w:val="18"/>
                <w:vertAlign w:val="superscript"/>
              </w:rPr>
              <w:t>***</w:t>
            </w:r>
          </w:p>
        </w:tc>
        <w:tc>
          <w:tcPr>
            <w:tcW w:w="427" w:type="pct"/>
            <w:tcBorders>
              <w:top w:val="single" w:sz="12" w:space="0" w:color="auto"/>
            </w:tcBorders>
            <w:shd w:val="clear" w:color="auto" w:fill="FFFFFF" w:themeFill="background1"/>
            <w:vAlign w:val="bottom"/>
          </w:tcPr>
          <w:p w14:paraId="325E4CD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5.92</w:t>
            </w:r>
            <w:r w:rsidRPr="00BA06B6">
              <w:rPr>
                <w:rFonts w:ascii="Times New Roman" w:eastAsia="Calibri" w:hAnsi="Times New Roman" w:cs="Times New Roman"/>
                <w:bCs/>
                <w:sz w:val="18"/>
                <w:szCs w:val="18"/>
                <w:vertAlign w:val="superscript"/>
              </w:rPr>
              <w:t>***</w:t>
            </w:r>
          </w:p>
        </w:tc>
        <w:tc>
          <w:tcPr>
            <w:tcW w:w="373" w:type="pct"/>
            <w:tcBorders>
              <w:top w:val="single" w:sz="12" w:space="0" w:color="auto"/>
            </w:tcBorders>
            <w:shd w:val="clear" w:color="auto" w:fill="FFFFFF" w:themeFill="background1"/>
            <w:vAlign w:val="bottom"/>
          </w:tcPr>
          <w:p w14:paraId="66B6002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8.17</w:t>
            </w:r>
            <w:r w:rsidRPr="00BA06B6">
              <w:rPr>
                <w:rFonts w:ascii="Times New Roman" w:eastAsia="Calibri" w:hAnsi="Times New Roman" w:cs="Times New Roman"/>
                <w:bCs/>
                <w:sz w:val="18"/>
                <w:szCs w:val="18"/>
                <w:vertAlign w:val="superscript"/>
              </w:rPr>
              <w:t>***</w:t>
            </w:r>
          </w:p>
        </w:tc>
        <w:tc>
          <w:tcPr>
            <w:tcW w:w="422" w:type="pct"/>
            <w:tcBorders>
              <w:top w:val="single" w:sz="12" w:space="0" w:color="auto"/>
            </w:tcBorders>
            <w:shd w:val="clear" w:color="auto" w:fill="FFFFFF" w:themeFill="background1"/>
            <w:vAlign w:val="bottom"/>
          </w:tcPr>
          <w:p w14:paraId="6F31FA7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6.33</w:t>
            </w:r>
            <w:r w:rsidRPr="00BA06B6">
              <w:rPr>
                <w:rFonts w:ascii="Times New Roman" w:eastAsia="Calibri" w:hAnsi="Times New Roman" w:cs="Times New Roman"/>
                <w:bCs/>
                <w:sz w:val="18"/>
                <w:szCs w:val="18"/>
                <w:vertAlign w:val="superscript"/>
              </w:rPr>
              <w:t>***</w:t>
            </w:r>
          </w:p>
        </w:tc>
        <w:tc>
          <w:tcPr>
            <w:tcW w:w="375" w:type="pct"/>
            <w:tcBorders>
              <w:top w:val="single" w:sz="12" w:space="0" w:color="auto"/>
            </w:tcBorders>
            <w:shd w:val="clear" w:color="auto" w:fill="FFFFFF" w:themeFill="background1"/>
            <w:vAlign w:val="bottom"/>
          </w:tcPr>
          <w:p w14:paraId="6B63916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4.52</w:t>
            </w:r>
            <w:r w:rsidRPr="00BA06B6">
              <w:rPr>
                <w:rFonts w:ascii="Times New Roman" w:eastAsia="Calibri" w:hAnsi="Times New Roman" w:cs="Times New Roman"/>
                <w:bCs/>
                <w:sz w:val="18"/>
                <w:szCs w:val="18"/>
                <w:vertAlign w:val="superscript"/>
              </w:rPr>
              <w:t>***</w:t>
            </w:r>
          </w:p>
        </w:tc>
        <w:tc>
          <w:tcPr>
            <w:tcW w:w="324" w:type="pct"/>
            <w:tcBorders>
              <w:top w:val="single" w:sz="12" w:space="0" w:color="auto"/>
            </w:tcBorders>
            <w:shd w:val="clear" w:color="auto" w:fill="FFFFFF" w:themeFill="background1"/>
            <w:vAlign w:val="bottom"/>
          </w:tcPr>
          <w:p w14:paraId="65CF2B4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5.95</w:t>
            </w:r>
            <w:r w:rsidRPr="00BA06B6">
              <w:rPr>
                <w:rFonts w:ascii="Times New Roman" w:eastAsia="Calibri" w:hAnsi="Times New Roman" w:cs="Times New Roman"/>
                <w:bCs/>
                <w:sz w:val="18"/>
                <w:szCs w:val="18"/>
                <w:vertAlign w:val="superscript"/>
              </w:rPr>
              <w:t>***</w:t>
            </w:r>
          </w:p>
        </w:tc>
        <w:tc>
          <w:tcPr>
            <w:tcW w:w="409" w:type="pct"/>
            <w:tcBorders>
              <w:top w:val="single" w:sz="12" w:space="0" w:color="auto"/>
            </w:tcBorders>
            <w:shd w:val="clear" w:color="auto" w:fill="FFFFFF" w:themeFill="background1"/>
            <w:vAlign w:val="bottom"/>
          </w:tcPr>
          <w:p w14:paraId="57BB7E6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10.31</w:t>
            </w:r>
            <w:r w:rsidRPr="00BA06B6">
              <w:rPr>
                <w:rFonts w:ascii="Times New Roman" w:eastAsia="Calibri" w:hAnsi="Times New Roman" w:cs="Times New Roman"/>
                <w:bCs/>
                <w:sz w:val="18"/>
                <w:szCs w:val="18"/>
                <w:vertAlign w:val="superscript"/>
              </w:rPr>
              <w:t>***</w:t>
            </w:r>
          </w:p>
        </w:tc>
        <w:tc>
          <w:tcPr>
            <w:tcW w:w="372" w:type="pct"/>
            <w:tcBorders>
              <w:top w:val="single" w:sz="12" w:space="0" w:color="auto"/>
            </w:tcBorders>
            <w:shd w:val="clear" w:color="auto" w:fill="FFFFFF" w:themeFill="background1"/>
            <w:vAlign w:val="bottom"/>
          </w:tcPr>
          <w:p w14:paraId="4EEC55A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8.21</w:t>
            </w:r>
            <w:r w:rsidRPr="00BA06B6">
              <w:rPr>
                <w:rFonts w:ascii="Times New Roman" w:eastAsia="Calibri" w:hAnsi="Times New Roman" w:cs="Times New Roman"/>
                <w:bCs/>
                <w:sz w:val="18"/>
                <w:szCs w:val="18"/>
                <w:vertAlign w:val="superscript"/>
              </w:rPr>
              <w:t>***</w:t>
            </w:r>
          </w:p>
        </w:tc>
        <w:tc>
          <w:tcPr>
            <w:tcW w:w="372" w:type="pct"/>
            <w:tcBorders>
              <w:top w:val="single" w:sz="12" w:space="0" w:color="auto"/>
            </w:tcBorders>
            <w:shd w:val="clear" w:color="auto" w:fill="FFFFFF" w:themeFill="background1"/>
          </w:tcPr>
          <w:p w14:paraId="5B9F08F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0.42</w:t>
            </w:r>
          </w:p>
        </w:tc>
      </w:tr>
      <w:tr w:rsidR="00BA06B6" w:rsidRPr="00BA06B6" w14:paraId="4C214DE9" w14:textId="77777777" w:rsidTr="00B91469">
        <w:trPr>
          <w:trHeight w:val="20"/>
          <w:tblHeader/>
          <w:jc w:val="center"/>
        </w:trPr>
        <w:tc>
          <w:tcPr>
            <w:tcW w:w="647" w:type="pct"/>
            <w:shd w:val="clear" w:color="auto" w:fill="FFFFFF" w:themeFill="background1"/>
            <w:vAlign w:val="bottom"/>
          </w:tcPr>
          <w:p w14:paraId="56BC11A3"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shd w:val="clear" w:color="auto" w:fill="FFFFFF" w:themeFill="background1"/>
            <w:vAlign w:val="bottom"/>
          </w:tcPr>
          <w:p w14:paraId="07FD74A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27" w:type="pct"/>
            <w:shd w:val="clear" w:color="auto" w:fill="FFFFFF" w:themeFill="background1"/>
            <w:vAlign w:val="bottom"/>
          </w:tcPr>
          <w:p w14:paraId="21710DB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27" w:type="pct"/>
            <w:shd w:val="clear" w:color="auto" w:fill="FFFFFF" w:themeFill="background1"/>
            <w:vAlign w:val="bottom"/>
          </w:tcPr>
          <w:p w14:paraId="092850F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27" w:type="pct"/>
            <w:shd w:val="clear" w:color="auto" w:fill="FFFFFF" w:themeFill="background1"/>
            <w:vAlign w:val="bottom"/>
          </w:tcPr>
          <w:p w14:paraId="6AB7F17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373" w:type="pct"/>
            <w:shd w:val="clear" w:color="auto" w:fill="FFFFFF" w:themeFill="background1"/>
            <w:vAlign w:val="bottom"/>
          </w:tcPr>
          <w:p w14:paraId="2DB86B1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22" w:type="pct"/>
            <w:shd w:val="clear" w:color="auto" w:fill="FFFFFF" w:themeFill="background1"/>
            <w:vAlign w:val="bottom"/>
          </w:tcPr>
          <w:p w14:paraId="16F0C53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375" w:type="pct"/>
            <w:shd w:val="clear" w:color="auto" w:fill="FFFFFF" w:themeFill="background1"/>
            <w:vAlign w:val="bottom"/>
          </w:tcPr>
          <w:p w14:paraId="2DCABED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324" w:type="pct"/>
            <w:shd w:val="clear" w:color="auto" w:fill="FFFFFF" w:themeFill="background1"/>
            <w:vAlign w:val="bottom"/>
          </w:tcPr>
          <w:p w14:paraId="56086BF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09" w:type="pct"/>
            <w:shd w:val="clear" w:color="auto" w:fill="FFFFFF" w:themeFill="background1"/>
            <w:vAlign w:val="bottom"/>
          </w:tcPr>
          <w:p w14:paraId="1C21BF9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372" w:type="pct"/>
            <w:shd w:val="clear" w:color="auto" w:fill="FFFFFF" w:themeFill="background1"/>
            <w:vAlign w:val="bottom"/>
          </w:tcPr>
          <w:p w14:paraId="55C0B35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372" w:type="pct"/>
            <w:shd w:val="clear" w:color="auto" w:fill="FFFFFF" w:themeFill="background1"/>
          </w:tcPr>
          <w:p w14:paraId="5CABF6A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(0.673)</w:t>
            </w:r>
          </w:p>
        </w:tc>
      </w:tr>
      <w:tr w:rsidR="00BA06B6" w:rsidRPr="00BA06B6" w14:paraId="3ABA9A9C" w14:textId="77777777" w:rsidTr="00B91469">
        <w:trPr>
          <w:trHeight w:val="20"/>
          <w:tblHeader/>
          <w:jc w:val="center"/>
        </w:trPr>
        <w:tc>
          <w:tcPr>
            <w:tcW w:w="647" w:type="pct"/>
            <w:shd w:val="clear" w:color="auto" w:fill="FFFFFF" w:themeFill="background1"/>
            <w:vAlign w:val="bottom"/>
          </w:tcPr>
          <w:p w14:paraId="34B6D22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ROAA</w:t>
            </w:r>
          </w:p>
        </w:tc>
        <w:tc>
          <w:tcPr>
            <w:tcW w:w="425" w:type="pct"/>
            <w:shd w:val="clear" w:color="auto" w:fill="FFFFFF" w:themeFill="background1"/>
            <w:vAlign w:val="bottom"/>
          </w:tcPr>
          <w:p w14:paraId="64A96C0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0.44</w:t>
            </w:r>
          </w:p>
        </w:tc>
        <w:tc>
          <w:tcPr>
            <w:tcW w:w="427" w:type="pct"/>
            <w:shd w:val="clear" w:color="auto" w:fill="FFFFFF" w:themeFill="background1"/>
            <w:vAlign w:val="bottom"/>
          </w:tcPr>
          <w:p w14:paraId="52A2090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0.48</w:t>
            </w:r>
          </w:p>
        </w:tc>
        <w:tc>
          <w:tcPr>
            <w:tcW w:w="427" w:type="pct"/>
            <w:shd w:val="clear" w:color="auto" w:fill="FFFFFF" w:themeFill="background1"/>
            <w:vAlign w:val="bottom"/>
          </w:tcPr>
          <w:p w14:paraId="2D4246F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0.53</w:t>
            </w:r>
          </w:p>
        </w:tc>
        <w:tc>
          <w:tcPr>
            <w:tcW w:w="427" w:type="pct"/>
            <w:shd w:val="clear" w:color="auto" w:fill="FFFFFF" w:themeFill="background1"/>
            <w:vAlign w:val="bottom"/>
          </w:tcPr>
          <w:p w14:paraId="62AA16C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0.29</w:t>
            </w:r>
          </w:p>
        </w:tc>
        <w:tc>
          <w:tcPr>
            <w:tcW w:w="373" w:type="pct"/>
            <w:shd w:val="clear" w:color="auto" w:fill="FFFFFF" w:themeFill="background1"/>
            <w:vAlign w:val="bottom"/>
          </w:tcPr>
          <w:p w14:paraId="323892F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0.40</w:t>
            </w:r>
          </w:p>
        </w:tc>
        <w:tc>
          <w:tcPr>
            <w:tcW w:w="422" w:type="pct"/>
            <w:shd w:val="clear" w:color="auto" w:fill="FFFFFF" w:themeFill="background1"/>
            <w:vAlign w:val="bottom"/>
          </w:tcPr>
          <w:p w14:paraId="3F6B73F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2.86</w:t>
            </w:r>
            <w:r w:rsidRPr="00BA06B6">
              <w:rPr>
                <w:rFonts w:ascii="Times New Roman" w:eastAsia="Calibri" w:hAnsi="Times New Roman" w:cs="Times New Roman"/>
                <w:bCs/>
                <w:sz w:val="18"/>
                <w:szCs w:val="18"/>
                <w:vertAlign w:val="superscript"/>
              </w:rPr>
              <w:t>***</w:t>
            </w:r>
          </w:p>
        </w:tc>
        <w:tc>
          <w:tcPr>
            <w:tcW w:w="375" w:type="pct"/>
            <w:shd w:val="clear" w:color="auto" w:fill="FFFFFF" w:themeFill="background1"/>
            <w:vAlign w:val="bottom"/>
          </w:tcPr>
          <w:p w14:paraId="184D6B5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2.09</w:t>
            </w:r>
            <w:r w:rsidRPr="00BA06B6">
              <w:rPr>
                <w:rFonts w:ascii="Times New Roman" w:eastAsia="Calibri" w:hAnsi="Times New Roman" w:cs="Times New Roman"/>
                <w:bCs/>
                <w:sz w:val="18"/>
                <w:szCs w:val="18"/>
                <w:vertAlign w:val="superscript"/>
              </w:rPr>
              <w:t>**</w:t>
            </w:r>
          </w:p>
        </w:tc>
        <w:tc>
          <w:tcPr>
            <w:tcW w:w="324" w:type="pct"/>
            <w:shd w:val="clear" w:color="auto" w:fill="FFFFFF" w:themeFill="background1"/>
            <w:vAlign w:val="bottom"/>
          </w:tcPr>
          <w:p w14:paraId="6D1C4F9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0.24</w:t>
            </w:r>
          </w:p>
        </w:tc>
        <w:tc>
          <w:tcPr>
            <w:tcW w:w="409" w:type="pct"/>
            <w:shd w:val="clear" w:color="auto" w:fill="FFFFFF" w:themeFill="background1"/>
            <w:vAlign w:val="bottom"/>
          </w:tcPr>
          <w:p w14:paraId="7226ED6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1.22</w:t>
            </w:r>
          </w:p>
        </w:tc>
        <w:tc>
          <w:tcPr>
            <w:tcW w:w="372" w:type="pct"/>
            <w:shd w:val="clear" w:color="auto" w:fill="FFFFFF" w:themeFill="background1"/>
            <w:vAlign w:val="bottom"/>
          </w:tcPr>
          <w:p w14:paraId="5A6FAC8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1.31</w:t>
            </w:r>
          </w:p>
        </w:tc>
        <w:tc>
          <w:tcPr>
            <w:tcW w:w="372" w:type="pct"/>
            <w:shd w:val="clear" w:color="auto" w:fill="FFFFFF" w:themeFill="background1"/>
          </w:tcPr>
          <w:p w14:paraId="093B15A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0.68</w:t>
            </w:r>
          </w:p>
        </w:tc>
      </w:tr>
      <w:tr w:rsidR="00BA06B6" w:rsidRPr="00BA06B6" w14:paraId="3155EAA1" w14:textId="77777777" w:rsidTr="00B91469">
        <w:trPr>
          <w:trHeight w:val="20"/>
          <w:tblHeader/>
          <w:jc w:val="center"/>
        </w:trPr>
        <w:tc>
          <w:tcPr>
            <w:tcW w:w="647" w:type="pct"/>
            <w:shd w:val="clear" w:color="auto" w:fill="FFFFFF" w:themeFill="background1"/>
            <w:vAlign w:val="bottom"/>
          </w:tcPr>
          <w:p w14:paraId="23CA1E94"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shd w:val="clear" w:color="auto" w:fill="FFFFFF" w:themeFill="background1"/>
            <w:vAlign w:val="bottom"/>
          </w:tcPr>
          <w:p w14:paraId="1C03C75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(0.658)</w:t>
            </w:r>
          </w:p>
        </w:tc>
        <w:tc>
          <w:tcPr>
            <w:tcW w:w="427" w:type="pct"/>
            <w:shd w:val="clear" w:color="auto" w:fill="FFFFFF" w:themeFill="background1"/>
            <w:vAlign w:val="bottom"/>
          </w:tcPr>
          <w:p w14:paraId="5802471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(0.635)</w:t>
            </w:r>
          </w:p>
        </w:tc>
        <w:tc>
          <w:tcPr>
            <w:tcW w:w="427" w:type="pct"/>
            <w:shd w:val="clear" w:color="auto" w:fill="FFFFFF" w:themeFill="background1"/>
            <w:vAlign w:val="bottom"/>
          </w:tcPr>
          <w:p w14:paraId="6A6D2C7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(0.598)</w:t>
            </w:r>
          </w:p>
        </w:tc>
        <w:tc>
          <w:tcPr>
            <w:tcW w:w="427" w:type="pct"/>
            <w:shd w:val="clear" w:color="auto" w:fill="FFFFFF" w:themeFill="background1"/>
            <w:vAlign w:val="bottom"/>
          </w:tcPr>
          <w:p w14:paraId="794EE00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(0.775)</w:t>
            </w:r>
          </w:p>
        </w:tc>
        <w:tc>
          <w:tcPr>
            <w:tcW w:w="373" w:type="pct"/>
            <w:shd w:val="clear" w:color="auto" w:fill="FFFFFF" w:themeFill="background1"/>
            <w:vAlign w:val="bottom"/>
          </w:tcPr>
          <w:p w14:paraId="61F4C1A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(0.689)</w:t>
            </w:r>
          </w:p>
        </w:tc>
        <w:tc>
          <w:tcPr>
            <w:tcW w:w="422" w:type="pct"/>
            <w:shd w:val="clear" w:color="auto" w:fill="FFFFFF" w:themeFill="background1"/>
            <w:vAlign w:val="bottom"/>
          </w:tcPr>
          <w:p w14:paraId="05B7345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(0.004)</w:t>
            </w:r>
          </w:p>
        </w:tc>
        <w:tc>
          <w:tcPr>
            <w:tcW w:w="375" w:type="pct"/>
            <w:shd w:val="clear" w:color="auto" w:fill="FFFFFF" w:themeFill="background1"/>
            <w:vAlign w:val="bottom"/>
          </w:tcPr>
          <w:p w14:paraId="605E9D7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(0.036)</w:t>
            </w:r>
          </w:p>
        </w:tc>
        <w:tc>
          <w:tcPr>
            <w:tcW w:w="324" w:type="pct"/>
            <w:shd w:val="clear" w:color="auto" w:fill="FFFFFF" w:themeFill="background1"/>
            <w:vAlign w:val="bottom"/>
          </w:tcPr>
          <w:p w14:paraId="28CB546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(0.810)</w:t>
            </w:r>
          </w:p>
        </w:tc>
        <w:tc>
          <w:tcPr>
            <w:tcW w:w="409" w:type="pct"/>
            <w:shd w:val="clear" w:color="auto" w:fill="FFFFFF" w:themeFill="background1"/>
            <w:vAlign w:val="bottom"/>
          </w:tcPr>
          <w:p w14:paraId="1B72483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(0.221)</w:t>
            </w:r>
          </w:p>
        </w:tc>
        <w:tc>
          <w:tcPr>
            <w:tcW w:w="372" w:type="pct"/>
            <w:shd w:val="clear" w:color="auto" w:fill="FFFFFF" w:themeFill="background1"/>
            <w:vAlign w:val="bottom"/>
          </w:tcPr>
          <w:p w14:paraId="0A493A6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(0.189)</w:t>
            </w:r>
          </w:p>
        </w:tc>
        <w:tc>
          <w:tcPr>
            <w:tcW w:w="372" w:type="pct"/>
            <w:shd w:val="clear" w:color="auto" w:fill="FFFFFF" w:themeFill="background1"/>
          </w:tcPr>
          <w:p w14:paraId="3653364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(0.497)</w:t>
            </w:r>
          </w:p>
        </w:tc>
      </w:tr>
      <w:tr w:rsidR="00BA06B6" w:rsidRPr="00BA06B6" w14:paraId="1A43506D" w14:textId="77777777" w:rsidTr="00B91469">
        <w:trPr>
          <w:trHeight w:val="20"/>
          <w:tblHeader/>
          <w:jc w:val="center"/>
        </w:trPr>
        <w:tc>
          <w:tcPr>
            <w:tcW w:w="647" w:type="pct"/>
            <w:shd w:val="clear" w:color="auto" w:fill="FFFFFF" w:themeFill="background1"/>
            <w:vAlign w:val="bottom"/>
          </w:tcPr>
          <w:p w14:paraId="4816FC1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INCD</w:t>
            </w:r>
          </w:p>
        </w:tc>
        <w:tc>
          <w:tcPr>
            <w:tcW w:w="425" w:type="pct"/>
            <w:shd w:val="clear" w:color="auto" w:fill="FFFFFF" w:themeFill="background1"/>
            <w:vAlign w:val="bottom"/>
          </w:tcPr>
          <w:p w14:paraId="34D2549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0.94</w:t>
            </w:r>
          </w:p>
        </w:tc>
        <w:tc>
          <w:tcPr>
            <w:tcW w:w="427" w:type="pct"/>
            <w:shd w:val="clear" w:color="auto" w:fill="FFFFFF" w:themeFill="background1"/>
            <w:vAlign w:val="bottom"/>
          </w:tcPr>
          <w:p w14:paraId="0403712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-0.06</w:t>
            </w:r>
          </w:p>
        </w:tc>
        <w:tc>
          <w:tcPr>
            <w:tcW w:w="427" w:type="pct"/>
            <w:shd w:val="clear" w:color="auto" w:fill="FFFFFF" w:themeFill="background1"/>
            <w:vAlign w:val="bottom"/>
          </w:tcPr>
          <w:p w14:paraId="1318D8A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-0.31</w:t>
            </w:r>
          </w:p>
        </w:tc>
        <w:tc>
          <w:tcPr>
            <w:tcW w:w="427" w:type="pct"/>
            <w:shd w:val="clear" w:color="auto" w:fill="FFFFFF" w:themeFill="background1"/>
            <w:vAlign w:val="bottom"/>
          </w:tcPr>
          <w:p w14:paraId="3B3B952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-1.15</w:t>
            </w:r>
          </w:p>
        </w:tc>
        <w:tc>
          <w:tcPr>
            <w:tcW w:w="373" w:type="pct"/>
            <w:shd w:val="clear" w:color="auto" w:fill="FFFFFF" w:themeFill="background1"/>
            <w:vAlign w:val="bottom"/>
          </w:tcPr>
          <w:p w14:paraId="77D6760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1.77</w:t>
            </w:r>
            <w:r w:rsidRPr="00BA06B6">
              <w:rPr>
                <w:rFonts w:ascii="Times New Roman" w:eastAsia="Calibri" w:hAnsi="Times New Roman" w:cs="Times New Roman"/>
                <w:bCs/>
                <w:sz w:val="18"/>
                <w:szCs w:val="18"/>
                <w:vertAlign w:val="superscript"/>
              </w:rPr>
              <w:t>*</w:t>
            </w:r>
          </w:p>
        </w:tc>
        <w:tc>
          <w:tcPr>
            <w:tcW w:w="422" w:type="pct"/>
            <w:shd w:val="clear" w:color="auto" w:fill="FFFFFF" w:themeFill="background1"/>
            <w:vAlign w:val="bottom"/>
          </w:tcPr>
          <w:p w14:paraId="797BABF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1.15</w:t>
            </w:r>
          </w:p>
        </w:tc>
        <w:tc>
          <w:tcPr>
            <w:tcW w:w="375" w:type="pct"/>
            <w:shd w:val="clear" w:color="auto" w:fill="FFFFFF" w:themeFill="background1"/>
            <w:vAlign w:val="bottom"/>
          </w:tcPr>
          <w:p w14:paraId="1881C5A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-0.29</w:t>
            </w:r>
          </w:p>
        </w:tc>
        <w:tc>
          <w:tcPr>
            <w:tcW w:w="324" w:type="pct"/>
            <w:shd w:val="clear" w:color="auto" w:fill="FFFFFF" w:themeFill="background1"/>
            <w:vAlign w:val="bottom"/>
          </w:tcPr>
          <w:p w14:paraId="458963A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-0.88</w:t>
            </w:r>
          </w:p>
        </w:tc>
        <w:tc>
          <w:tcPr>
            <w:tcW w:w="409" w:type="pct"/>
            <w:shd w:val="clear" w:color="auto" w:fill="FFFFFF" w:themeFill="background1"/>
            <w:vAlign w:val="bottom"/>
          </w:tcPr>
          <w:p w14:paraId="42C1B7E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-0.85</w:t>
            </w:r>
          </w:p>
        </w:tc>
        <w:tc>
          <w:tcPr>
            <w:tcW w:w="372" w:type="pct"/>
            <w:shd w:val="clear" w:color="auto" w:fill="FFFFFF" w:themeFill="background1"/>
            <w:vAlign w:val="bottom"/>
          </w:tcPr>
          <w:p w14:paraId="1CB9849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-0.03</w:t>
            </w:r>
          </w:p>
        </w:tc>
        <w:tc>
          <w:tcPr>
            <w:tcW w:w="372" w:type="pct"/>
            <w:shd w:val="clear" w:color="auto" w:fill="FFFFFF" w:themeFill="background1"/>
          </w:tcPr>
          <w:p w14:paraId="141F927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-2.32</w:t>
            </w:r>
            <w:r w:rsidRPr="00BA06B6">
              <w:rPr>
                <w:rFonts w:ascii="Times New Roman" w:eastAsia="Calibri" w:hAnsi="Times New Roman" w:cs="Times New Roman"/>
                <w:bCs/>
                <w:sz w:val="18"/>
                <w:szCs w:val="18"/>
                <w:vertAlign w:val="superscript"/>
              </w:rPr>
              <w:t>**</w:t>
            </w:r>
          </w:p>
        </w:tc>
      </w:tr>
      <w:tr w:rsidR="00BA06B6" w:rsidRPr="00BA06B6" w14:paraId="70A97DF8" w14:textId="77777777" w:rsidTr="00B91469">
        <w:trPr>
          <w:trHeight w:val="20"/>
          <w:tblHeader/>
          <w:jc w:val="center"/>
        </w:trPr>
        <w:tc>
          <w:tcPr>
            <w:tcW w:w="647" w:type="pct"/>
            <w:shd w:val="clear" w:color="auto" w:fill="FFFFFF" w:themeFill="background1"/>
            <w:vAlign w:val="bottom"/>
          </w:tcPr>
          <w:p w14:paraId="237133FA"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shd w:val="clear" w:color="auto" w:fill="FFFFFF" w:themeFill="background1"/>
            <w:vAlign w:val="bottom"/>
          </w:tcPr>
          <w:p w14:paraId="48E3B12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(0.348)</w:t>
            </w:r>
          </w:p>
        </w:tc>
        <w:tc>
          <w:tcPr>
            <w:tcW w:w="427" w:type="pct"/>
            <w:shd w:val="clear" w:color="auto" w:fill="FFFFFF" w:themeFill="background1"/>
            <w:vAlign w:val="bottom"/>
          </w:tcPr>
          <w:p w14:paraId="620FC28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(0.952)</w:t>
            </w:r>
          </w:p>
        </w:tc>
        <w:tc>
          <w:tcPr>
            <w:tcW w:w="427" w:type="pct"/>
            <w:shd w:val="clear" w:color="auto" w:fill="FFFFFF" w:themeFill="background1"/>
            <w:vAlign w:val="bottom"/>
          </w:tcPr>
          <w:p w14:paraId="11A709C4"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(0.759)</w:t>
            </w:r>
          </w:p>
        </w:tc>
        <w:tc>
          <w:tcPr>
            <w:tcW w:w="427" w:type="pct"/>
            <w:shd w:val="clear" w:color="auto" w:fill="FFFFFF" w:themeFill="background1"/>
            <w:vAlign w:val="bottom"/>
          </w:tcPr>
          <w:p w14:paraId="502E71A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(0.251)</w:t>
            </w:r>
          </w:p>
        </w:tc>
        <w:tc>
          <w:tcPr>
            <w:tcW w:w="373" w:type="pct"/>
            <w:shd w:val="clear" w:color="auto" w:fill="FFFFFF" w:themeFill="background1"/>
            <w:vAlign w:val="bottom"/>
          </w:tcPr>
          <w:p w14:paraId="20CBF30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(0.077)</w:t>
            </w:r>
          </w:p>
        </w:tc>
        <w:tc>
          <w:tcPr>
            <w:tcW w:w="422" w:type="pct"/>
            <w:shd w:val="clear" w:color="auto" w:fill="FFFFFF" w:themeFill="background1"/>
            <w:vAlign w:val="bottom"/>
          </w:tcPr>
          <w:p w14:paraId="4B36628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(0.249)</w:t>
            </w:r>
          </w:p>
        </w:tc>
        <w:tc>
          <w:tcPr>
            <w:tcW w:w="375" w:type="pct"/>
            <w:shd w:val="clear" w:color="auto" w:fill="FFFFFF" w:themeFill="background1"/>
            <w:vAlign w:val="bottom"/>
          </w:tcPr>
          <w:p w14:paraId="006F985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(0.772)</w:t>
            </w:r>
          </w:p>
        </w:tc>
        <w:tc>
          <w:tcPr>
            <w:tcW w:w="324" w:type="pct"/>
            <w:shd w:val="clear" w:color="auto" w:fill="FFFFFF" w:themeFill="background1"/>
            <w:vAlign w:val="bottom"/>
          </w:tcPr>
          <w:p w14:paraId="5434D2C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(0.378)</w:t>
            </w:r>
          </w:p>
        </w:tc>
        <w:tc>
          <w:tcPr>
            <w:tcW w:w="409" w:type="pct"/>
            <w:shd w:val="clear" w:color="auto" w:fill="FFFFFF" w:themeFill="background1"/>
            <w:vAlign w:val="bottom"/>
          </w:tcPr>
          <w:p w14:paraId="098799A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(0.398)</w:t>
            </w:r>
          </w:p>
        </w:tc>
        <w:tc>
          <w:tcPr>
            <w:tcW w:w="372" w:type="pct"/>
            <w:shd w:val="clear" w:color="auto" w:fill="FFFFFF" w:themeFill="background1"/>
            <w:vAlign w:val="bottom"/>
          </w:tcPr>
          <w:p w14:paraId="321D794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(0.976)</w:t>
            </w:r>
          </w:p>
        </w:tc>
        <w:tc>
          <w:tcPr>
            <w:tcW w:w="372" w:type="pct"/>
            <w:shd w:val="clear" w:color="auto" w:fill="FFFFFF" w:themeFill="background1"/>
          </w:tcPr>
          <w:p w14:paraId="2FC3413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(0.020)</w:t>
            </w:r>
          </w:p>
        </w:tc>
      </w:tr>
      <w:tr w:rsidR="00BA06B6" w:rsidRPr="00BA06B6" w14:paraId="6C7229C1" w14:textId="77777777" w:rsidTr="00B91469">
        <w:trPr>
          <w:trHeight w:val="20"/>
          <w:tblHeader/>
          <w:jc w:val="center"/>
        </w:trPr>
        <w:tc>
          <w:tcPr>
            <w:tcW w:w="647" w:type="pct"/>
            <w:shd w:val="clear" w:color="auto" w:fill="FFFFFF" w:themeFill="background1"/>
            <w:vAlign w:val="bottom"/>
          </w:tcPr>
          <w:p w14:paraId="31528CA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LIQ</w:t>
            </w:r>
          </w:p>
        </w:tc>
        <w:tc>
          <w:tcPr>
            <w:tcW w:w="425" w:type="pct"/>
            <w:shd w:val="clear" w:color="auto" w:fill="FFFFFF" w:themeFill="background1"/>
            <w:vAlign w:val="bottom"/>
          </w:tcPr>
          <w:p w14:paraId="46E9C7F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8.20</w:t>
            </w:r>
            <w:r w:rsidRPr="00BA06B6">
              <w:rPr>
                <w:rFonts w:ascii="Times New Roman" w:eastAsia="Calibri" w:hAnsi="Times New Roman" w:cs="Times New Roman"/>
                <w:bCs/>
                <w:sz w:val="18"/>
                <w:szCs w:val="18"/>
                <w:vertAlign w:val="superscript"/>
              </w:rPr>
              <w:t>***</w:t>
            </w:r>
          </w:p>
        </w:tc>
        <w:tc>
          <w:tcPr>
            <w:tcW w:w="427" w:type="pct"/>
            <w:shd w:val="clear" w:color="auto" w:fill="FFFFFF" w:themeFill="background1"/>
            <w:vAlign w:val="bottom"/>
          </w:tcPr>
          <w:p w14:paraId="11A83F0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7.47</w:t>
            </w:r>
            <w:r w:rsidRPr="00BA06B6">
              <w:rPr>
                <w:rFonts w:ascii="Times New Roman" w:eastAsia="Calibri" w:hAnsi="Times New Roman" w:cs="Times New Roman"/>
                <w:bCs/>
                <w:sz w:val="18"/>
                <w:szCs w:val="18"/>
                <w:vertAlign w:val="superscript"/>
              </w:rPr>
              <w:t>***</w:t>
            </w:r>
          </w:p>
        </w:tc>
        <w:tc>
          <w:tcPr>
            <w:tcW w:w="427" w:type="pct"/>
            <w:shd w:val="clear" w:color="auto" w:fill="FFFFFF" w:themeFill="background1"/>
            <w:vAlign w:val="bottom"/>
          </w:tcPr>
          <w:p w14:paraId="7E866DD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7.31</w:t>
            </w:r>
            <w:r w:rsidRPr="00BA06B6">
              <w:rPr>
                <w:rFonts w:ascii="Times New Roman" w:eastAsia="Calibri" w:hAnsi="Times New Roman" w:cs="Times New Roman"/>
                <w:bCs/>
                <w:sz w:val="18"/>
                <w:szCs w:val="18"/>
                <w:vertAlign w:val="superscript"/>
              </w:rPr>
              <w:t>***</w:t>
            </w:r>
          </w:p>
        </w:tc>
        <w:tc>
          <w:tcPr>
            <w:tcW w:w="427" w:type="pct"/>
            <w:shd w:val="clear" w:color="auto" w:fill="FFFFFF" w:themeFill="background1"/>
            <w:vAlign w:val="bottom"/>
          </w:tcPr>
          <w:p w14:paraId="062FE45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1.77</w:t>
            </w:r>
            <w:r w:rsidRPr="00BA06B6">
              <w:rPr>
                <w:rFonts w:ascii="Times New Roman" w:eastAsia="Calibri" w:hAnsi="Times New Roman" w:cs="Times New Roman"/>
                <w:bCs/>
                <w:sz w:val="18"/>
                <w:szCs w:val="18"/>
                <w:vertAlign w:val="superscript"/>
              </w:rPr>
              <w:t>*</w:t>
            </w:r>
          </w:p>
        </w:tc>
        <w:tc>
          <w:tcPr>
            <w:tcW w:w="373" w:type="pct"/>
            <w:shd w:val="clear" w:color="auto" w:fill="FFFFFF" w:themeFill="background1"/>
            <w:vAlign w:val="bottom"/>
          </w:tcPr>
          <w:p w14:paraId="76568E6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5.82</w:t>
            </w:r>
            <w:r w:rsidRPr="00BA06B6">
              <w:rPr>
                <w:rFonts w:ascii="Times New Roman" w:eastAsia="Calibri" w:hAnsi="Times New Roman" w:cs="Times New Roman"/>
                <w:bCs/>
                <w:sz w:val="18"/>
                <w:szCs w:val="18"/>
                <w:vertAlign w:val="superscript"/>
              </w:rPr>
              <w:t>***</w:t>
            </w:r>
          </w:p>
        </w:tc>
        <w:tc>
          <w:tcPr>
            <w:tcW w:w="422" w:type="pct"/>
            <w:shd w:val="clear" w:color="auto" w:fill="FFFFFF" w:themeFill="background1"/>
            <w:vAlign w:val="bottom"/>
          </w:tcPr>
          <w:p w14:paraId="71A2E2B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0.50</w:t>
            </w:r>
          </w:p>
        </w:tc>
        <w:tc>
          <w:tcPr>
            <w:tcW w:w="375" w:type="pct"/>
            <w:shd w:val="clear" w:color="auto" w:fill="FFFFFF" w:themeFill="background1"/>
            <w:vAlign w:val="bottom"/>
          </w:tcPr>
          <w:p w14:paraId="10E118F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0.52</w:t>
            </w:r>
          </w:p>
        </w:tc>
        <w:tc>
          <w:tcPr>
            <w:tcW w:w="324" w:type="pct"/>
            <w:shd w:val="clear" w:color="auto" w:fill="FFFFFF" w:themeFill="background1"/>
            <w:vAlign w:val="bottom"/>
          </w:tcPr>
          <w:p w14:paraId="2686BCE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2.14</w:t>
            </w:r>
            <w:r w:rsidRPr="00BA06B6">
              <w:rPr>
                <w:rFonts w:ascii="Times New Roman" w:eastAsia="Calibri" w:hAnsi="Times New Roman" w:cs="Times New Roman"/>
                <w:bCs/>
                <w:sz w:val="18"/>
                <w:szCs w:val="18"/>
                <w:vertAlign w:val="superscript"/>
              </w:rPr>
              <w:t>**</w:t>
            </w:r>
          </w:p>
        </w:tc>
        <w:tc>
          <w:tcPr>
            <w:tcW w:w="409" w:type="pct"/>
            <w:shd w:val="clear" w:color="auto" w:fill="FFFFFF" w:themeFill="background1"/>
            <w:vAlign w:val="bottom"/>
          </w:tcPr>
          <w:p w14:paraId="1A08C9B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4.69</w:t>
            </w:r>
            <w:r w:rsidRPr="00BA06B6">
              <w:rPr>
                <w:rFonts w:ascii="Times New Roman" w:eastAsia="Calibri" w:hAnsi="Times New Roman" w:cs="Times New Roman"/>
                <w:bCs/>
                <w:sz w:val="18"/>
                <w:szCs w:val="18"/>
                <w:vertAlign w:val="superscript"/>
              </w:rPr>
              <w:t>***</w:t>
            </w:r>
          </w:p>
        </w:tc>
        <w:tc>
          <w:tcPr>
            <w:tcW w:w="372" w:type="pct"/>
            <w:shd w:val="clear" w:color="auto" w:fill="FFFFFF" w:themeFill="background1"/>
            <w:vAlign w:val="bottom"/>
          </w:tcPr>
          <w:p w14:paraId="5E2F8AB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8.53</w:t>
            </w:r>
            <w:r w:rsidRPr="00BA06B6">
              <w:rPr>
                <w:rFonts w:ascii="Times New Roman" w:eastAsia="Calibri" w:hAnsi="Times New Roman" w:cs="Times New Roman"/>
                <w:bCs/>
                <w:sz w:val="18"/>
                <w:szCs w:val="18"/>
                <w:vertAlign w:val="superscript"/>
              </w:rPr>
              <w:t>***</w:t>
            </w:r>
          </w:p>
        </w:tc>
        <w:tc>
          <w:tcPr>
            <w:tcW w:w="372" w:type="pct"/>
            <w:shd w:val="clear" w:color="auto" w:fill="FFFFFF" w:themeFill="background1"/>
          </w:tcPr>
          <w:p w14:paraId="60E92D0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1.34</w:t>
            </w:r>
          </w:p>
        </w:tc>
      </w:tr>
      <w:tr w:rsidR="00BA06B6" w:rsidRPr="00BA06B6" w14:paraId="757B2C5C" w14:textId="77777777" w:rsidTr="00B91469">
        <w:trPr>
          <w:trHeight w:val="20"/>
          <w:tblHeader/>
          <w:jc w:val="center"/>
        </w:trPr>
        <w:tc>
          <w:tcPr>
            <w:tcW w:w="647" w:type="pct"/>
            <w:shd w:val="clear" w:color="auto" w:fill="FFFFFF" w:themeFill="background1"/>
            <w:vAlign w:val="bottom"/>
          </w:tcPr>
          <w:p w14:paraId="72B8CFBD"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shd w:val="clear" w:color="auto" w:fill="FFFFFF" w:themeFill="background1"/>
            <w:vAlign w:val="bottom"/>
          </w:tcPr>
          <w:p w14:paraId="370684F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27" w:type="pct"/>
            <w:shd w:val="clear" w:color="auto" w:fill="FFFFFF" w:themeFill="background1"/>
            <w:vAlign w:val="bottom"/>
          </w:tcPr>
          <w:p w14:paraId="1027C29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27" w:type="pct"/>
            <w:shd w:val="clear" w:color="auto" w:fill="FFFFFF" w:themeFill="background1"/>
            <w:vAlign w:val="bottom"/>
          </w:tcPr>
          <w:p w14:paraId="6060B99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27" w:type="pct"/>
            <w:shd w:val="clear" w:color="auto" w:fill="FFFFFF" w:themeFill="background1"/>
            <w:vAlign w:val="bottom"/>
          </w:tcPr>
          <w:p w14:paraId="79BC285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(0.077)</w:t>
            </w:r>
          </w:p>
        </w:tc>
        <w:tc>
          <w:tcPr>
            <w:tcW w:w="373" w:type="pct"/>
            <w:shd w:val="clear" w:color="auto" w:fill="FFFFFF" w:themeFill="background1"/>
            <w:vAlign w:val="bottom"/>
          </w:tcPr>
          <w:p w14:paraId="4265BAE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22" w:type="pct"/>
            <w:shd w:val="clear" w:color="auto" w:fill="FFFFFF" w:themeFill="background1"/>
            <w:vAlign w:val="bottom"/>
          </w:tcPr>
          <w:p w14:paraId="53BFE31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(0.614)</w:t>
            </w:r>
          </w:p>
        </w:tc>
        <w:tc>
          <w:tcPr>
            <w:tcW w:w="375" w:type="pct"/>
            <w:shd w:val="clear" w:color="auto" w:fill="FFFFFF" w:themeFill="background1"/>
            <w:vAlign w:val="bottom"/>
          </w:tcPr>
          <w:p w14:paraId="0377EBE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(0.601)</w:t>
            </w:r>
          </w:p>
        </w:tc>
        <w:tc>
          <w:tcPr>
            <w:tcW w:w="324" w:type="pct"/>
            <w:shd w:val="clear" w:color="auto" w:fill="FFFFFF" w:themeFill="background1"/>
            <w:vAlign w:val="bottom"/>
          </w:tcPr>
          <w:p w14:paraId="2AA1009D"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(0.032)</w:t>
            </w:r>
          </w:p>
        </w:tc>
        <w:tc>
          <w:tcPr>
            <w:tcW w:w="409" w:type="pct"/>
            <w:shd w:val="clear" w:color="auto" w:fill="FFFFFF" w:themeFill="background1"/>
            <w:vAlign w:val="bottom"/>
          </w:tcPr>
          <w:p w14:paraId="7DA153C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372" w:type="pct"/>
            <w:shd w:val="clear" w:color="auto" w:fill="FFFFFF" w:themeFill="background1"/>
            <w:vAlign w:val="bottom"/>
          </w:tcPr>
          <w:p w14:paraId="311739A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372" w:type="pct"/>
            <w:shd w:val="clear" w:color="auto" w:fill="FFFFFF" w:themeFill="background1"/>
          </w:tcPr>
          <w:p w14:paraId="630C99F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(0.181)</w:t>
            </w:r>
          </w:p>
        </w:tc>
      </w:tr>
      <w:tr w:rsidR="00BA06B6" w:rsidRPr="00BA06B6" w14:paraId="60601665" w14:textId="77777777" w:rsidTr="00B91469">
        <w:trPr>
          <w:trHeight w:val="20"/>
          <w:tblHeader/>
          <w:jc w:val="center"/>
        </w:trPr>
        <w:tc>
          <w:tcPr>
            <w:tcW w:w="647" w:type="pct"/>
            <w:shd w:val="clear" w:color="auto" w:fill="FFFFFF" w:themeFill="background1"/>
            <w:vAlign w:val="bottom"/>
          </w:tcPr>
          <w:p w14:paraId="1161B5E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COST</w:t>
            </w:r>
          </w:p>
        </w:tc>
        <w:tc>
          <w:tcPr>
            <w:tcW w:w="425" w:type="pct"/>
            <w:shd w:val="clear" w:color="auto" w:fill="FFFFFF" w:themeFill="background1"/>
            <w:vAlign w:val="bottom"/>
          </w:tcPr>
          <w:p w14:paraId="6C8BB80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-0.84</w:t>
            </w:r>
          </w:p>
        </w:tc>
        <w:tc>
          <w:tcPr>
            <w:tcW w:w="427" w:type="pct"/>
            <w:shd w:val="clear" w:color="auto" w:fill="FFFFFF" w:themeFill="background1"/>
            <w:vAlign w:val="bottom"/>
          </w:tcPr>
          <w:p w14:paraId="471FDA5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-0.2</w:t>
            </w:r>
          </w:p>
        </w:tc>
        <w:tc>
          <w:tcPr>
            <w:tcW w:w="427" w:type="pct"/>
            <w:shd w:val="clear" w:color="auto" w:fill="FFFFFF" w:themeFill="background1"/>
            <w:vAlign w:val="bottom"/>
          </w:tcPr>
          <w:p w14:paraId="2C07B70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-0.34</w:t>
            </w:r>
          </w:p>
        </w:tc>
        <w:tc>
          <w:tcPr>
            <w:tcW w:w="427" w:type="pct"/>
            <w:shd w:val="clear" w:color="auto" w:fill="FFFFFF" w:themeFill="background1"/>
            <w:vAlign w:val="bottom"/>
          </w:tcPr>
          <w:p w14:paraId="3F05AB0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-0.52</w:t>
            </w:r>
          </w:p>
        </w:tc>
        <w:tc>
          <w:tcPr>
            <w:tcW w:w="373" w:type="pct"/>
            <w:shd w:val="clear" w:color="auto" w:fill="FFFFFF" w:themeFill="background1"/>
            <w:vAlign w:val="bottom"/>
          </w:tcPr>
          <w:p w14:paraId="577F5F2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-0.03</w:t>
            </w:r>
          </w:p>
        </w:tc>
        <w:tc>
          <w:tcPr>
            <w:tcW w:w="422" w:type="pct"/>
            <w:shd w:val="clear" w:color="auto" w:fill="FFFFFF" w:themeFill="background1"/>
            <w:vAlign w:val="bottom"/>
          </w:tcPr>
          <w:p w14:paraId="4C71F75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-3.06</w:t>
            </w:r>
            <w:r w:rsidRPr="00BA06B6">
              <w:rPr>
                <w:rFonts w:ascii="Times New Roman" w:eastAsia="Calibri" w:hAnsi="Times New Roman" w:cs="Times New Roman"/>
                <w:bCs/>
                <w:sz w:val="18"/>
                <w:szCs w:val="18"/>
                <w:vertAlign w:val="superscript"/>
              </w:rPr>
              <w:t>***</w:t>
            </w:r>
          </w:p>
        </w:tc>
        <w:tc>
          <w:tcPr>
            <w:tcW w:w="375" w:type="pct"/>
            <w:shd w:val="clear" w:color="auto" w:fill="FFFFFF" w:themeFill="background1"/>
            <w:vAlign w:val="bottom"/>
          </w:tcPr>
          <w:p w14:paraId="4B2AA9D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-0.79</w:t>
            </w:r>
          </w:p>
        </w:tc>
        <w:tc>
          <w:tcPr>
            <w:tcW w:w="324" w:type="pct"/>
            <w:shd w:val="clear" w:color="auto" w:fill="FFFFFF" w:themeFill="background1"/>
            <w:vAlign w:val="bottom"/>
          </w:tcPr>
          <w:p w14:paraId="3EC2396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-0.12</w:t>
            </w:r>
          </w:p>
        </w:tc>
        <w:tc>
          <w:tcPr>
            <w:tcW w:w="409" w:type="pct"/>
            <w:shd w:val="clear" w:color="auto" w:fill="FFFFFF" w:themeFill="background1"/>
            <w:vAlign w:val="bottom"/>
          </w:tcPr>
          <w:p w14:paraId="3C21FDC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-0.41</w:t>
            </w:r>
          </w:p>
        </w:tc>
        <w:tc>
          <w:tcPr>
            <w:tcW w:w="372" w:type="pct"/>
            <w:shd w:val="clear" w:color="auto" w:fill="FFFFFF" w:themeFill="background1"/>
            <w:vAlign w:val="bottom"/>
          </w:tcPr>
          <w:p w14:paraId="7F1102A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0.37</w:t>
            </w:r>
          </w:p>
        </w:tc>
        <w:tc>
          <w:tcPr>
            <w:tcW w:w="372" w:type="pct"/>
            <w:shd w:val="clear" w:color="auto" w:fill="FFFFFF" w:themeFill="background1"/>
          </w:tcPr>
          <w:p w14:paraId="4A9F67D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-0.52</w:t>
            </w:r>
          </w:p>
        </w:tc>
      </w:tr>
      <w:tr w:rsidR="00BA06B6" w:rsidRPr="00BA06B6" w14:paraId="40FDE1FE" w14:textId="77777777" w:rsidTr="00B91469">
        <w:trPr>
          <w:trHeight w:val="20"/>
          <w:tblHeader/>
          <w:jc w:val="center"/>
        </w:trPr>
        <w:tc>
          <w:tcPr>
            <w:tcW w:w="647" w:type="pct"/>
            <w:shd w:val="clear" w:color="auto" w:fill="FFFFFF" w:themeFill="background1"/>
            <w:vAlign w:val="bottom"/>
          </w:tcPr>
          <w:p w14:paraId="614818BA"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shd w:val="clear" w:color="auto" w:fill="FFFFFF" w:themeFill="background1"/>
            <w:vAlign w:val="bottom"/>
          </w:tcPr>
          <w:p w14:paraId="25E970F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(0.401)</w:t>
            </w:r>
          </w:p>
        </w:tc>
        <w:tc>
          <w:tcPr>
            <w:tcW w:w="427" w:type="pct"/>
            <w:shd w:val="clear" w:color="auto" w:fill="FFFFFF" w:themeFill="background1"/>
            <w:vAlign w:val="bottom"/>
          </w:tcPr>
          <w:p w14:paraId="079F5B9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(0.786)</w:t>
            </w:r>
          </w:p>
        </w:tc>
        <w:tc>
          <w:tcPr>
            <w:tcW w:w="427" w:type="pct"/>
            <w:shd w:val="clear" w:color="auto" w:fill="FFFFFF" w:themeFill="background1"/>
            <w:vAlign w:val="bottom"/>
          </w:tcPr>
          <w:p w14:paraId="0789A1F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(0.732)</w:t>
            </w:r>
          </w:p>
        </w:tc>
        <w:tc>
          <w:tcPr>
            <w:tcW w:w="427" w:type="pct"/>
            <w:shd w:val="clear" w:color="auto" w:fill="FFFFFF" w:themeFill="background1"/>
            <w:vAlign w:val="bottom"/>
          </w:tcPr>
          <w:p w14:paraId="4617996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(0.603)</w:t>
            </w:r>
          </w:p>
        </w:tc>
        <w:tc>
          <w:tcPr>
            <w:tcW w:w="373" w:type="pct"/>
            <w:shd w:val="clear" w:color="auto" w:fill="FFFFFF" w:themeFill="background1"/>
            <w:vAlign w:val="bottom"/>
          </w:tcPr>
          <w:p w14:paraId="1266183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(0.979)</w:t>
            </w:r>
          </w:p>
        </w:tc>
        <w:tc>
          <w:tcPr>
            <w:tcW w:w="422" w:type="pct"/>
            <w:shd w:val="clear" w:color="auto" w:fill="FFFFFF" w:themeFill="background1"/>
            <w:vAlign w:val="bottom"/>
          </w:tcPr>
          <w:p w14:paraId="71BB7DC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(0.002)</w:t>
            </w:r>
          </w:p>
        </w:tc>
        <w:tc>
          <w:tcPr>
            <w:tcW w:w="375" w:type="pct"/>
            <w:shd w:val="clear" w:color="auto" w:fill="FFFFFF" w:themeFill="background1"/>
            <w:vAlign w:val="bottom"/>
          </w:tcPr>
          <w:p w14:paraId="40D4EA9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(0.429)</w:t>
            </w:r>
          </w:p>
        </w:tc>
        <w:tc>
          <w:tcPr>
            <w:tcW w:w="324" w:type="pct"/>
            <w:shd w:val="clear" w:color="auto" w:fill="FFFFFF" w:themeFill="background1"/>
            <w:vAlign w:val="bottom"/>
          </w:tcPr>
          <w:p w14:paraId="4337D48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(0.907)</w:t>
            </w:r>
          </w:p>
        </w:tc>
        <w:tc>
          <w:tcPr>
            <w:tcW w:w="409" w:type="pct"/>
            <w:shd w:val="clear" w:color="auto" w:fill="FFFFFF" w:themeFill="background1"/>
            <w:vAlign w:val="bottom"/>
          </w:tcPr>
          <w:p w14:paraId="4FE22C8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(0.685)</w:t>
            </w:r>
          </w:p>
        </w:tc>
        <w:tc>
          <w:tcPr>
            <w:tcW w:w="372" w:type="pct"/>
            <w:shd w:val="clear" w:color="auto" w:fill="FFFFFF" w:themeFill="background1"/>
            <w:vAlign w:val="bottom"/>
          </w:tcPr>
          <w:p w14:paraId="32D3ABF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(0.714)</w:t>
            </w:r>
          </w:p>
        </w:tc>
        <w:tc>
          <w:tcPr>
            <w:tcW w:w="372" w:type="pct"/>
            <w:shd w:val="clear" w:color="auto" w:fill="FFFFFF" w:themeFill="background1"/>
          </w:tcPr>
          <w:p w14:paraId="7D79B411"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(0.602)</w:t>
            </w:r>
          </w:p>
        </w:tc>
      </w:tr>
      <w:tr w:rsidR="00BA06B6" w:rsidRPr="00BA06B6" w14:paraId="265FE5A5" w14:textId="77777777" w:rsidTr="00B91469">
        <w:trPr>
          <w:trHeight w:val="20"/>
          <w:tblHeader/>
          <w:jc w:val="center"/>
        </w:trPr>
        <w:tc>
          <w:tcPr>
            <w:tcW w:w="647" w:type="pct"/>
            <w:shd w:val="clear" w:color="auto" w:fill="FFFFFF" w:themeFill="background1"/>
            <w:vAlign w:val="bottom"/>
          </w:tcPr>
          <w:p w14:paraId="66D3A3D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CAP</w:t>
            </w:r>
          </w:p>
        </w:tc>
        <w:tc>
          <w:tcPr>
            <w:tcW w:w="425" w:type="pct"/>
            <w:shd w:val="clear" w:color="auto" w:fill="FFFFFF" w:themeFill="background1"/>
            <w:vAlign w:val="bottom"/>
          </w:tcPr>
          <w:p w14:paraId="60405AE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2.84</w:t>
            </w:r>
            <w:r w:rsidRPr="00BA06B6">
              <w:rPr>
                <w:rFonts w:ascii="Times New Roman" w:eastAsia="Calibri" w:hAnsi="Times New Roman" w:cs="Times New Roman"/>
                <w:bCs/>
                <w:sz w:val="18"/>
                <w:szCs w:val="18"/>
                <w:vertAlign w:val="superscript"/>
              </w:rPr>
              <w:t>***</w:t>
            </w:r>
          </w:p>
        </w:tc>
        <w:tc>
          <w:tcPr>
            <w:tcW w:w="427" w:type="pct"/>
            <w:shd w:val="clear" w:color="auto" w:fill="FFFFFF" w:themeFill="background1"/>
            <w:vAlign w:val="bottom"/>
          </w:tcPr>
          <w:p w14:paraId="1FEBF87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2.00</w:t>
            </w:r>
            <w:r w:rsidRPr="00BA06B6">
              <w:rPr>
                <w:rFonts w:ascii="Times New Roman" w:eastAsia="Calibri" w:hAnsi="Times New Roman" w:cs="Times New Roman"/>
                <w:bCs/>
                <w:sz w:val="18"/>
                <w:szCs w:val="18"/>
                <w:vertAlign w:val="superscript"/>
              </w:rPr>
              <w:t>**</w:t>
            </w:r>
          </w:p>
        </w:tc>
        <w:tc>
          <w:tcPr>
            <w:tcW w:w="427" w:type="pct"/>
            <w:shd w:val="clear" w:color="auto" w:fill="FFFFFF" w:themeFill="background1"/>
            <w:vAlign w:val="bottom"/>
          </w:tcPr>
          <w:p w14:paraId="3AA75E3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1.70</w:t>
            </w:r>
            <w:r w:rsidRPr="00BA06B6">
              <w:rPr>
                <w:rFonts w:ascii="Times New Roman" w:eastAsia="Calibri" w:hAnsi="Times New Roman" w:cs="Times New Roman"/>
                <w:bCs/>
                <w:sz w:val="18"/>
                <w:szCs w:val="18"/>
                <w:vertAlign w:val="superscript"/>
              </w:rPr>
              <w:t>*</w:t>
            </w:r>
          </w:p>
        </w:tc>
        <w:tc>
          <w:tcPr>
            <w:tcW w:w="427" w:type="pct"/>
            <w:shd w:val="clear" w:color="auto" w:fill="FFFFFF" w:themeFill="background1"/>
            <w:vAlign w:val="bottom"/>
          </w:tcPr>
          <w:p w14:paraId="41D7642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0.71</w:t>
            </w:r>
          </w:p>
        </w:tc>
        <w:tc>
          <w:tcPr>
            <w:tcW w:w="373" w:type="pct"/>
            <w:shd w:val="clear" w:color="auto" w:fill="FFFFFF" w:themeFill="background1"/>
            <w:vAlign w:val="bottom"/>
          </w:tcPr>
          <w:p w14:paraId="7F2976F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3.49</w:t>
            </w:r>
            <w:r w:rsidRPr="00BA06B6">
              <w:rPr>
                <w:rFonts w:ascii="Times New Roman" w:eastAsia="Calibri" w:hAnsi="Times New Roman" w:cs="Times New Roman"/>
                <w:bCs/>
                <w:sz w:val="18"/>
                <w:szCs w:val="18"/>
                <w:vertAlign w:val="superscript"/>
              </w:rPr>
              <w:t>***</w:t>
            </w:r>
          </w:p>
        </w:tc>
        <w:tc>
          <w:tcPr>
            <w:tcW w:w="422" w:type="pct"/>
            <w:shd w:val="clear" w:color="auto" w:fill="FFFFFF" w:themeFill="background1"/>
            <w:vAlign w:val="bottom"/>
          </w:tcPr>
          <w:p w14:paraId="74C5E34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1.81</w:t>
            </w:r>
            <w:r w:rsidRPr="00BA06B6">
              <w:rPr>
                <w:rFonts w:ascii="Times New Roman" w:eastAsia="Calibri" w:hAnsi="Times New Roman" w:cs="Times New Roman"/>
                <w:bCs/>
                <w:sz w:val="18"/>
                <w:szCs w:val="18"/>
                <w:vertAlign w:val="superscript"/>
              </w:rPr>
              <w:t>*</w:t>
            </w:r>
          </w:p>
        </w:tc>
        <w:tc>
          <w:tcPr>
            <w:tcW w:w="375" w:type="pct"/>
            <w:shd w:val="clear" w:color="auto" w:fill="FFFFFF" w:themeFill="background1"/>
            <w:vAlign w:val="bottom"/>
          </w:tcPr>
          <w:p w14:paraId="66AD1D3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-2.95</w:t>
            </w:r>
            <w:r w:rsidRPr="00BA06B6">
              <w:rPr>
                <w:rFonts w:ascii="Times New Roman" w:eastAsia="Calibri" w:hAnsi="Times New Roman" w:cs="Times New Roman"/>
                <w:bCs/>
                <w:sz w:val="18"/>
                <w:szCs w:val="18"/>
                <w:vertAlign w:val="superscript"/>
              </w:rPr>
              <w:t>***</w:t>
            </w:r>
          </w:p>
        </w:tc>
        <w:tc>
          <w:tcPr>
            <w:tcW w:w="324" w:type="pct"/>
            <w:shd w:val="clear" w:color="auto" w:fill="FFFFFF" w:themeFill="background1"/>
            <w:vAlign w:val="bottom"/>
          </w:tcPr>
          <w:p w14:paraId="1A47B68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0.01</w:t>
            </w:r>
          </w:p>
        </w:tc>
        <w:tc>
          <w:tcPr>
            <w:tcW w:w="409" w:type="pct"/>
            <w:shd w:val="clear" w:color="auto" w:fill="FFFFFF" w:themeFill="background1"/>
            <w:vAlign w:val="bottom"/>
          </w:tcPr>
          <w:p w14:paraId="4C314AA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2.05</w:t>
            </w:r>
            <w:r w:rsidRPr="00BA06B6">
              <w:rPr>
                <w:rFonts w:ascii="Times New Roman" w:eastAsia="Calibri" w:hAnsi="Times New Roman" w:cs="Times New Roman"/>
                <w:bCs/>
                <w:sz w:val="18"/>
                <w:szCs w:val="18"/>
                <w:vertAlign w:val="superscript"/>
              </w:rPr>
              <w:t>**</w:t>
            </w:r>
          </w:p>
        </w:tc>
        <w:tc>
          <w:tcPr>
            <w:tcW w:w="372" w:type="pct"/>
            <w:shd w:val="clear" w:color="auto" w:fill="FFFFFF" w:themeFill="background1"/>
            <w:vAlign w:val="bottom"/>
          </w:tcPr>
          <w:p w14:paraId="1A0ACA8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2.54</w:t>
            </w:r>
            <w:r w:rsidRPr="00BA06B6">
              <w:rPr>
                <w:rFonts w:ascii="Times New Roman" w:eastAsia="Calibri" w:hAnsi="Times New Roman" w:cs="Times New Roman"/>
                <w:bCs/>
                <w:sz w:val="18"/>
                <w:szCs w:val="18"/>
                <w:vertAlign w:val="superscript"/>
              </w:rPr>
              <w:t>**</w:t>
            </w:r>
          </w:p>
        </w:tc>
        <w:tc>
          <w:tcPr>
            <w:tcW w:w="372" w:type="pct"/>
            <w:shd w:val="clear" w:color="auto" w:fill="FFFFFF" w:themeFill="background1"/>
          </w:tcPr>
          <w:p w14:paraId="2B097F2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1.59</w:t>
            </w:r>
          </w:p>
        </w:tc>
      </w:tr>
      <w:tr w:rsidR="00BA06B6" w:rsidRPr="00BA06B6" w14:paraId="5DD5777D" w14:textId="77777777" w:rsidTr="00B91469">
        <w:trPr>
          <w:trHeight w:val="20"/>
          <w:tblHeader/>
          <w:jc w:val="center"/>
        </w:trPr>
        <w:tc>
          <w:tcPr>
            <w:tcW w:w="647" w:type="pct"/>
            <w:tcBorders>
              <w:bottom w:val="single" w:sz="4" w:space="0" w:color="auto"/>
            </w:tcBorders>
            <w:shd w:val="clear" w:color="auto" w:fill="FFFFFF" w:themeFill="background1"/>
            <w:vAlign w:val="bottom"/>
          </w:tcPr>
          <w:p w14:paraId="47F9A2B0"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25" w:type="pct"/>
            <w:tcBorders>
              <w:bottom w:val="single" w:sz="4" w:space="0" w:color="auto"/>
            </w:tcBorders>
            <w:shd w:val="clear" w:color="auto" w:fill="FFFFFF" w:themeFill="background1"/>
            <w:vAlign w:val="bottom"/>
          </w:tcPr>
          <w:p w14:paraId="4EE3192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(0.005)</w:t>
            </w:r>
          </w:p>
        </w:tc>
        <w:tc>
          <w:tcPr>
            <w:tcW w:w="427" w:type="pct"/>
            <w:tcBorders>
              <w:bottom w:val="single" w:sz="4" w:space="0" w:color="auto"/>
            </w:tcBorders>
            <w:shd w:val="clear" w:color="auto" w:fill="FFFFFF" w:themeFill="background1"/>
            <w:vAlign w:val="bottom"/>
          </w:tcPr>
          <w:p w14:paraId="794981A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(0.045)</w:t>
            </w:r>
          </w:p>
        </w:tc>
        <w:tc>
          <w:tcPr>
            <w:tcW w:w="427" w:type="pct"/>
            <w:tcBorders>
              <w:bottom w:val="single" w:sz="4" w:space="0" w:color="auto"/>
            </w:tcBorders>
            <w:shd w:val="clear" w:color="auto" w:fill="FFFFFF" w:themeFill="background1"/>
            <w:vAlign w:val="bottom"/>
          </w:tcPr>
          <w:p w14:paraId="13FFC74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(0.090)</w:t>
            </w:r>
          </w:p>
        </w:tc>
        <w:tc>
          <w:tcPr>
            <w:tcW w:w="427" w:type="pct"/>
            <w:tcBorders>
              <w:bottom w:val="single" w:sz="4" w:space="0" w:color="auto"/>
            </w:tcBorders>
            <w:shd w:val="clear" w:color="auto" w:fill="FFFFFF" w:themeFill="background1"/>
            <w:vAlign w:val="bottom"/>
          </w:tcPr>
          <w:p w14:paraId="568BA52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(0.480)</w:t>
            </w:r>
          </w:p>
        </w:tc>
        <w:tc>
          <w:tcPr>
            <w:tcW w:w="373" w:type="pct"/>
            <w:tcBorders>
              <w:bottom w:val="single" w:sz="4" w:space="0" w:color="auto"/>
            </w:tcBorders>
            <w:shd w:val="clear" w:color="auto" w:fill="FFFFFF" w:themeFill="background1"/>
            <w:vAlign w:val="bottom"/>
          </w:tcPr>
          <w:p w14:paraId="464BF79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22" w:type="pct"/>
            <w:tcBorders>
              <w:bottom w:val="single" w:sz="4" w:space="0" w:color="auto"/>
            </w:tcBorders>
            <w:shd w:val="clear" w:color="auto" w:fill="FFFFFF" w:themeFill="background1"/>
            <w:vAlign w:val="bottom"/>
          </w:tcPr>
          <w:p w14:paraId="6B66A363"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(0.070)</w:t>
            </w:r>
          </w:p>
        </w:tc>
        <w:tc>
          <w:tcPr>
            <w:tcW w:w="375" w:type="pct"/>
            <w:tcBorders>
              <w:bottom w:val="single" w:sz="4" w:space="0" w:color="auto"/>
            </w:tcBorders>
            <w:shd w:val="clear" w:color="auto" w:fill="FFFFFF" w:themeFill="background1"/>
            <w:vAlign w:val="bottom"/>
          </w:tcPr>
          <w:p w14:paraId="5B97020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(0.003)</w:t>
            </w:r>
          </w:p>
        </w:tc>
        <w:tc>
          <w:tcPr>
            <w:tcW w:w="324" w:type="pct"/>
            <w:tcBorders>
              <w:bottom w:val="single" w:sz="4" w:space="0" w:color="auto"/>
            </w:tcBorders>
            <w:shd w:val="clear" w:color="auto" w:fill="FFFFFF" w:themeFill="background1"/>
            <w:vAlign w:val="bottom"/>
          </w:tcPr>
          <w:p w14:paraId="4B34AFB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(0.993)</w:t>
            </w:r>
          </w:p>
        </w:tc>
        <w:tc>
          <w:tcPr>
            <w:tcW w:w="409" w:type="pct"/>
            <w:tcBorders>
              <w:bottom w:val="single" w:sz="4" w:space="0" w:color="auto"/>
            </w:tcBorders>
            <w:shd w:val="clear" w:color="auto" w:fill="FFFFFF" w:themeFill="background1"/>
            <w:vAlign w:val="bottom"/>
          </w:tcPr>
          <w:p w14:paraId="3F45C0A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(0.040)</w:t>
            </w:r>
          </w:p>
        </w:tc>
        <w:tc>
          <w:tcPr>
            <w:tcW w:w="372" w:type="pct"/>
            <w:tcBorders>
              <w:bottom w:val="single" w:sz="4" w:space="0" w:color="auto"/>
            </w:tcBorders>
            <w:shd w:val="clear" w:color="auto" w:fill="FFFFFF" w:themeFill="background1"/>
            <w:vAlign w:val="bottom"/>
          </w:tcPr>
          <w:p w14:paraId="71FD3B0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(0.011)</w:t>
            </w:r>
          </w:p>
        </w:tc>
        <w:tc>
          <w:tcPr>
            <w:tcW w:w="372" w:type="pct"/>
            <w:tcBorders>
              <w:bottom w:val="single" w:sz="4" w:space="0" w:color="auto"/>
            </w:tcBorders>
            <w:shd w:val="clear" w:color="auto" w:fill="FFFFFF" w:themeFill="background1"/>
          </w:tcPr>
          <w:p w14:paraId="1ACDA23B"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(0.113)</w:t>
            </w:r>
          </w:p>
        </w:tc>
      </w:tr>
    </w:tbl>
    <w:p w14:paraId="6155F03E" w14:textId="77777777" w:rsidR="00AA068C" w:rsidRPr="00BA06B6" w:rsidRDefault="00AA068C" w:rsidP="00AA068C">
      <w:pPr>
        <w:tabs>
          <w:tab w:val="left" w:pos="851"/>
        </w:tabs>
        <w:spacing w:after="0" w:line="240" w:lineRule="auto"/>
        <w:ind w:left="-851" w:right="-613"/>
        <w:jc w:val="both"/>
        <w:rPr>
          <w:rFonts w:ascii="Times New Roman" w:eastAsia="Times New Roman" w:hAnsi="Times New Roman" w:cs="Times New Roman"/>
          <w:i/>
          <w:iCs/>
          <w:sz w:val="17"/>
          <w:szCs w:val="17"/>
        </w:rPr>
      </w:pPr>
    </w:p>
    <w:p w14:paraId="38EE61B3" w14:textId="77777777" w:rsidR="00AA068C" w:rsidRPr="00BA06B6" w:rsidRDefault="00AA068C">
      <w:pPr>
        <w:rPr>
          <w:rFonts w:ascii="Times New Roman" w:eastAsia="Times New Roman" w:hAnsi="Times New Roman" w:cs="Times New Roman"/>
          <w:i/>
          <w:iCs/>
          <w:sz w:val="17"/>
          <w:szCs w:val="17"/>
        </w:rPr>
      </w:pPr>
      <w:r w:rsidRPr="00BA06B6">
        <w:rPr>
          <w:rFonts w:ascii="Times New Roman" w:eastAsia="Times New Roman" w:hAnsi="Times New Roman" w:cs="Times New Roman"/>
          <w:i/>
          <w:iCs/>
          <w:sz w:val="17"/>
          <w:szCs w:val="17"/>
        </w:rPr>
        <w:br w:type="page"/>
      </w:r>
    </w:p>
    <w:p w14:paraId="2C26EE70" w14:textId="77777777" w:rsidR="00AA068C" w:rsidRPr="00BA06B6" w:rsidRDefault="00AA068C" w:rsidP="00AA068C">
      <w:pPr>
        <w:tabs>
          <w:tab w:val="left" w:pos="851"/>
        </w:tabs>
        <w:spacing w:after="0" w:line="240" w:lineRule="auto"/>
        <w:ind w:left="-851" w:right="-613"/>
        <w:jc w:val="both"/>
        <w:rPr>
          <w:rFonts w:ascii="Times New Roman" w:eastAsia="Calibri" w:hAnsi="Times New Roman" w:cs="Times New Roman"/>
          <w:sz w:val="20"/>
          <w:szCs w:val="20"/>
        </w:rPr>
      </w:pPr>
      <w:r w:rsidRPr="00BA06B6">
        <w:rPr>
          <w:rFonts w:ascii="Times New Roman" w:eastAsia="Calibri" w:hAnsi="Times New Roman" w:cs="Times New Roman"/>
          <w:b/>
          <w:bCs/>
          <w:sz w:val="20"/>
          <w:szCs w:val="20"/>
        </w:rPr>
        <w:lastRenderedPageBreak/>
        <w:t xml:space="preserve">TABLE 8   </w:t>
      </w:r>
      <w:r w:rsidRPr="00BA06B6">
        <w:rPr>
          <w:rFonts w:ascii="Times New Roman" w:eastAsia="Calibri" w:hAnsi="Times New Roman" w:cs="Times New Roman"/>
          <w:sz w:val="20"/>
          <w:szCs w:val="20"/>
        </w:rPr>
        <w:t>The moderating effect of governance structures on the relation between risk disclosures and banks’ ratings using ordered logistic regression (continued)</w:t>
      </w:r>
    </w:p>
    <w:tbl>
      <w:tblPr>
        <w:tblStyle w:val="TableGrid2"/>
        <w:tblW w:w="6131" w:type="pct"/>
        <w:jc w:val="center"/>
        <w:tblBorders>
          <w:top w:val="single" w:sz="12" w:space="0" w:color="auto"/>
          <w:left w:val="none" w:sz="0" w:space="0" w:color="auto"/>
          <w:bottom w:val="single" w:sz="12" w:space="0" w:color="auto"/>
          <w:right w:val="none" w:sz="0" w:space="0" w:color="auto"/>
          <w:insideH w:val="single" w:sz="12" w:space="0" w:color="auto"/>
          <w:insideV w:val="none" w:sz="0" w:space="0" w:color="auto"/>
        </w:tblBorders>
        <w:shd w:val="clear" w:color="auto" w:fill="FFFFFF" w:themeFill="background1"/>
        <w:tblLook w:val="04A0" w:firstRow="1" w:lastRow="0" w:firstColumn="1" w:lastColumn="0" w:noHBand="0" w:noVBand="1"/>
      </w:tblPr>
      <w:tblGrid>
        <w:gridCol w:w="956"/>
        <w:gridCol w:w="981"/>
        <w:gridCol w:w="981"/>
        <w:gridCol w:w="981"/>
        <w:gridCol w:w="891"/>
        <w:gridCol w:w="891"/>
        <w:gridCol w:w="891"/>
        <w:gridCol w:w="896"/>
        <w:gridCol w:w="891"/>
        <w:gridCol w:w="981"/>
        <w:gridCol w:w="891"/>
        <w:gridCol w:w="891"/>
      </w:tblGrid>
      <w:tr w:rsidR="00BA06B6" w:rsidRPr="00BA06B6" w14:paraId="40F0449A" w14:textId="77777777" w:rsidTr="00B91469">
        <w:trPr>
          <w:trHeight w:val="20"/>
          <w:tblHeader/>
          <w:jc w:val="center"/>
        </w:trPr>
        <w:tc>
          <w:tcPr>
            <w:tcW w:w="409" w:type="pct"/>
            <w:vMerge w:val="restart"/>
            <w:shd w:val="clear" w:color="auto" w:fill="FFFFFF" w:themeFill="background1"/>
          </w:tcPr>
          <w:p w14:paraId="6C96136E"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Variables</w:t>
            </w:r>
          </w:p>
        </w:tc>
        <w:tc>
          <w:tcPr>
            <w:tcW w:w="3787" w:type="pct"/>
            <w:gridSpan w:val="9"/>
            <w:tcBorders>
              <w:bottom w:val="single" w:sz="12" w:space="0" w:color="auto"/>
            </w:tcBorders>
            <w:shd w:val="clear" w:color="auto" w:fill="FFFFFF" w:themeFill="background1"/>
            <w:vAlign w:val="bottom"/>
          </w:tcPr>
          <w:p w14:paraId="54744D82" w14:textId="77777777" w:rsidR="00AA068C" w:rsidRPr="00BA06B6" w:rsidRDefault="00AA068C" w:rsidP="00BC341D">
            <w:pPr>
              <w:tabs>
                <w:tab w:val="left" w:pos="851"/>
              </w:tabs>
              <w:jc w:val="both"/>
              <w:rPr>
                <w:rFonts w:ascii="Times New Roman" w:eastAsia="Calibri" w:hAnsi="Times New Roman" w:cs="Times New Roman"/>
                <w:b/>
                <w:bCs/>
                <w:i/>
                <w:sz w:val="18"/>
                <w:szCs w:val="18"/>
                <w:lang w:eastAsia="zh-CN"/>
              </w:rPr>
            </w:pPr>
            <w:r w:rsidRPr="00BA06B6">
              <w:rPr>
                <w:rFonts w:ascii="Times New Roman" w:eastAsia="Calibri" w:hAnsi="Times New Roman" w:cs="Times New Roman"/>
                <w:b/>
                <w:bCs/>
                <w:i/>
                <w:sz w:val="18"/>
                <w:szCs w:val="18"/>
                <w:lang w:eastAsia="zh-CN"/>
              </w:rPr>
              <w:t>Dependent variable: Bank’s long term issuer default ratings (BCRs)</w:t>
            </w:r>
          </w:p>
        </w:tc>
        <w:tc>
          <w:tcPr>
            <w:tcW w:w="403" w:type="pct"/>
            <w:tcBorders>
              <w:bottom w:val="single" w:sz="12" w:space="0" w:color="auto"/>
            </w:tcBorders>
            <w:shd w:val="clear" w:color="auto" w:fill="FFFFFF" w:themeFill="background1"/>
            <w:vAlign w:val="bottom"/>
          </w:tcPr>
          <w:p w14:paraId="0CCE5975" w14:textId="77777777" w:rsidR="00AA068C" w:rsidRPr="00BA06B6" w:rsidRDefault="00AA068C" w:rsidP="00BC341D">
            <w:pPr>
              <w:tabs>
                <w:tab w:val="left" w:pos="851"/>
              </w:tabs>
              <w:jc w:val="both"/>
              <w:rPr>
                <w:rFonts w:ascii="Times New Roman" w:eastAsia="Calibri" w:hAnsi="Times New Roman" w:cs="Times New Roman"/>
                <w:b/>
                <w:bCs/>
                <w:i/>
                <w:sz w:val="18"/>
                <w:szCs w:val="18"/>
                <w:lang w:eastAsia="zh-CN"/>
              </w:rPr>
            </w:pPr>
          </w:p>
        </w:tc>
        <w:tc>
          <w:tcPr>
            <w:tcW w:w="401" w:type="pct"/>
            <w:tcBorders>
              <w:bottom w:val="single" w:sz="12" w:space="0" w:color="auto"/>
            </w:tcBorders>
            <w:shd w:val="clear" w:color="auto" w:fill="FFFFFF" w:themeFill="background1"/>
          </w:tcPr>
          <w:p w14:paraId="634AA030" w14:textId="77777777" w:rsidR="00AA068C" w:rsidRPr="00BA06B6" w:rsidRDefault="00AA068C" w:rsidP="00BC341D">
            <w:pPr>
              <w:tabs>
                <w:tab w:val="left" w:pos="851"/>
              </w:tabs>
              <w:jc w:val="both"/>
              <w:rPr>
                <w:rFonts w:ascii="Times New Roman" w:eastAsia="Calibri" w:hAnsi="Times New Roman" w:cs="Times New Roman"/>
                <w:b/>
                <w:bCs/>
                <w:i/>
                <w:sz w:val="18"/>
                <w:szCs w:val="18"/>
                <w:lang w:eastAsia="zh-CN"/>
              </w:rPr>
            </w:pPr>
          </w:p>
        </w:tc>
      </w:tr>
      <w:tr w:rsidR="00BA06B6" w:rsidRPr="00BA06B6" w14:paraId="4EB1C579" w14:textId="77777777" w:rsidTr="00B91469">
        <w:trPr>
          <w:trHeight w:val="20"/>
          <w:tblHeader/>
          <w:jc w:val="center"/>
        </w:trPr>
        <w:tc>
          <w:tcPr>
            <w:tcW w:w="409" w:type="pct"/>
            <w:vMerge/>
            <w:shd w:val="clear" w:color="auto" w:fill="FFFFFF" w:themeFill="background1"/>
            <w:vAlign w:val="bottom"/>
          </w:tcPr>
          <w:p w14:paraId="5C84A8C0" w14:textId="77777777" w:rsidR="00AA068C" w:rsidRPr="00BA06B6" w:rsidRDefault="00AA068C" w:rsidP="00BC341D">
            <w:pPr>
              <w:tabs>
                <w:tab w:val="left" w:pos="851"/>
              </w:tabs>
              <w:jc w:val="both"/>
              <w:rPr>
                <w:rFonts w:ascii="Times New Roman" w:eastAsia="Calibri" w:hAnsi="Times New Roman" w:cs="Times New Roman"/>
                <w:b/>
                <w:bCs/>
                <w:sz w:val="18"/>
                <w:szCs w:val="18"/>
              </w:rPr>
            </w:pPr>
          </w:p>
        </w:tc>
        <w:tc>
          <w:tcPr>
            <w:tcW w:w="443" w:type="pct"/>
            <w:tcBorders>
              <w:bottom w:val="nil"/>
            </w:tcBorders>
            <w:shd w:val="clear" w:color="auto" w:fill="FFFFFF" w:themeFill="background1"/>
            <w:vAlign w:val="bottom"/>
          </w:tcPr>
          <w:p w14:paraId="684AC1A9"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(1) </w:t>
            </w:r>
          </w:p>
        </w:tc>
        <w:tc>
          <w:tcPr>
            <w:tcW w:w="443" w:type="pct"/>
            <w:tcBorders>
              <w:bottom w:val="nil"/>
            </w:tcBorders>
            <w:shd w:val="clear" w:color="auto" w:fill="FFFFFF" w:themeFill="background1"/>
            <w:vAlign w:val="bottom"/>
          </w:tcPr>
          <w:p w14:paraId="16F47086"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(2) </w:t>
            </w:r>
          </w:p>
        </w:tc>
        <w:tc>
          <w:tcPr>
            <w:tcW w:w="443" w:type="pct"/>
            <w:tcBorders>
              <w:bottom w:val="nil"/>
            </w:tcBorders>
            <w:shd w:val="clear" w:color="auto" w:fill="FFFFFF" w:themeFill="background1"/>
            <w:vAlign w:val="bottom"/>
          </w:tcPr>
          <w:p w14:paraId="3A8D8F62"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(3) </w:t>
            </w:r>
          </w:p>
        </w:tc>
        <w:tc>
          <w:tcPr>
            <w:tcW w:w="403" w:type="pct"/>
            <w:tcBorders>
              <w:bottom w:val="nil"/>
            </w:tcBorders>
            <w:shd w:val="clear" w:color="auto" w:fill="FFFFFF" w:themeFill="background1"/>
            <w:vAlign w:val="bottom"/>
          </w:tcPr>
          <w:p w14:paraId="63C2801C"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(4) </w:t>
            </w:r>
          </w:p>
        </w:tc>
        <w:tc>
          <w:tcPr>
            <w:tcW w:w="403" w:type="pct"/>
            <w:tcBorders>
              <w:bottom w:val="nil"/>
            </w:tcBorders>
            <w:shd w:val="clear" w:color="auto" w:fill="FFFFFF" w:themeFill="background1"/>
            <w:vAlign w:val="bottom"/>
          </w:tcPr>
          <w:p w14:paraId="37B9A663"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(5) </w:t>
            </w:r>
          </w:p>
        </w:tc>
        <w:tc>
          <w:tcPr>
            <w:tcW w:w="403" w:type="pct"/>
            <w:tcBorders>
              <w:bottom w:val="nil"/>
            </w:tcBorders>
            <w:shd w:val="clear" w:color="auto" w:fill="FFFFFF" w:themeFill="background1"/>
            <w:vAlign w:val="bottom"/>
          </w:tcPr>
          <w:p w14:paraId="6830F33D"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(6) </w:t>
            </w:r>
          </w:p>
        </w:tc>
        <w:tc>
          <w:tcPr>
            <w:tcW w:w="403" w:type="pct"/>
            <w:tcBorders>
              <w:bottom w:val="nil"/>
            </w:tcBorders>
            <w:shd w:val="clear" w:color="auto" w:fill="FFFFFF" w:themeFill="background1"/>
            <w:vAlign w:val="bottom"/>
          </w:tcPr>
          <w:p w14:paraId="38F04BBE"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(7) </w:t>
            </w:r>
          </w:p>
        </w:tc>
        <w:tc>
          <w:tcPr>
            <w:tcW w:w="403" w:type="pct"/>
            <w:tcBorders>
              <w:bottom w:val="nil"/>
            </w:tcBorders>
            <w:shd w:val="clear" w:color="auto" w:fill="FFFFFF" w:themeFill="background1"/>
            <w:vAlign w:val="bottom"/>
          </w:tcPr>
          <w:p w14:paraId="75969708"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(8) </w:t>
            </w:r>
          </w:p>
        </w:tc>
        <w:tc>
          <w:tcPr>
            <w:tcW w:w="443" w:type="pct"/>
            <w:tcBorders>
              <w:bottom w:val="nil"/>
            </w:tcBorders>
            <w:shd w:val="clear" w:color="auto" w:fill="FFFFFF" w:themeFill="background1"/>
            <w:vAlign w:val="bottom"/>
          </w:tcPr>
          <w:p w14:paraId="2D2CF409"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 xml:space="preserve">(9) </w:t>
            </w:r>
          </w:p>
        </w:tc>
        <w:tc>
          <w:tcPr>
            <w:tcW w:w="403" w:type="pct"/>
            <w:tcBorders>
              <w:bottom w:val="nil"/>
            </w:tcBorders>
            <w:shd w:val="clear" w:color="auto" w:fill="FFFFFF" w:themeFill="background1"/>
            <w:vAlign w:val="bottom"/>
          </w:tcPr>
          <w:p w14:paraId="309AC6ED"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lang w:eastAsia="zh-CN"/>
              </w:rPr>
              <w:t xml:space="preserve">(10) </w:t>
            </w:r>
          </w:p>
        </w:tc>
        <w:tc>
          <w:tcPr>
            <w:tcW w:w="401" w:type="pct"/>
            <w:tcBorders>
              <w:bottom w:val="nil"/>
            </w:tcBorders>
            <w:shd w:val="clear" w:color="auto" w:fill="FFFFFF" w:themeFill="background1"/>
          </w:tcPr>
          <w:p w14:paraId="3CCE3AC7"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(11)</w:t>
            </w:r>
          </w:p>
        </w:tc>
      </w:tr>
      <w:tr w:rsidR="00BA06B6" w:rsidRPr="00BA06B6" w14:paraId="297D3796" w14:textId="77777777" w:rsidTr="00B91469">
        <w:trPr>
          <w:trHeight w:val="20"/>
          <w:tblHeader/>
          <w:jc w:val="center"/>
        </w:trPr>
        <w:tc>
          <w:tcPr>
            <w:tcW w:w="409" w:type="pct"/>
            <w:vMerge/>
            <w:shd w:val="clear" w:color="auto" w:fill="FFFFFF" w:themeFill="background1"/>
            <w:vAlign w:val="bottom"/>
          </w:tcPr>
          <w:p w14:paraId="14F1A35A" w14:textId="77777777" w:rsidR="00AA068C" w:rsidRPr="00BA06B6" w:rsidRDefault="00AA068C" w:rsidP="00BC341D">
            <w:pPr>
              <w:tabs>
                <w:tab w:val="left" w:pos="851"/>
              </w:tabs>
              <w:jc w:val="both"/>
              <w:rPr>
                <w:rFonts w:ascii="Times New Roman" w:eastAsia="Calibri" w:hAnsi="Times New Roman" w:cs="Times New Roman"/>
                <w:b/>
                <w:bCs/>
                <w:sz w:val="18"/>
                <w:szCs w:val="18"/>
              </w:rPr>
            </w:pPr>
          </w:p>
        </w:tc>
        <w:tc>
          <w:tcPr>
            <w:tcW w:w="443" w:type="pct"/>
            <w:tcBorders>
              <w:top w:val="nil"/>
            </w:tcBorders>
            <w:shd w:val="clear" w:color="auto" w:fill="FFFFFF" w:themeFill="background1"/>
            <w:vAlign w:val="bottom"/>
          </w:tcPr>
          <w:p w14:paraId="151478DB"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Full</w:t>
            </w:r>
          </w:p>
        </w:tc>
        <w:tc>
          <w:tcPr>
            <w:tcW w:w="443" w:type="pct"/>
            <w:tcBorders>
              <w:top w:val="nil"/>
            </w:tcBorders>
            <w:shd w:val="clear" w:color="auto" w:fill="FFFFFF" w:themeFill="background1"/>
            <w:vAlign w:val="bottom"/>
          </w:tcPr>
          <w:p w14:paraId="4D6D3623"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Full</w:t>
            </w:r>
          </w:p>
        </w:tc>
        <w:tc>
          <w:tcPr>
            <w:tcW w:w="443" w:type="pct"/>
            <w:tcBorders>
              <w:top w:val="nil"/>
            </w:tcBorders>
            <w:shd w:val="clear" w:color="auto" w:fill="FFFFFF" w:themeFill="background1"/>
            <w:vAlign w:val="bottom"/>
          </w:tcPr>
          <w:p w14:paraId="71C2A89D"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Full</w:t>
            </w:r>
          </w:p>
        </w:tc>
        <w:tc>
          <w:tcPr>
            <w:tcW w:w="403" w:type="pct"/>
            <w:tcBorders>
              <w:top w:val="nil"/>
            </w:tcBorders>
            <w:shd w:val="clear" w:color="auto" w:fill="FFFFFF" w:themeFill="background1"/>
            <w:vAlign w:val="bottom"/>
          </w:tcPr>
          <w:p w14:paraId="53CB8F50"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IBs</w:t>
            </w:r>
          </w:p>
        </w:tc>
        <w:tc>
          <w:tcPr>
            <w:tcW w:w="403" w:type="pct"/>
            <w:tcBorders>
              <w:top w:val="nil"/>
            </w:tcBorders>
            <w:shd w:val="clear" w:color="auto" w:fill="FFFFFF" w:themeFill="background1"/>
            <w:vAlign w:val="bottom"/>
          </w:tcPr>
          <w:p w14:paraId="4345C8B4"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CBs</w:t>
            </w:r>
          </w:p>
        </w:tc>
        <w:tc>
          <w:tcPr>
            <w:tcW w:w="403" w:type="pct"/>
            <w:tcBorders>
              <w:top w:val="nil"/>
            </w:tcBorders>
            <w:shd w:val="clear" w:color="auto" w:fill="FFFFFF" w:themeFill="background1"/>
            <w:vAlign w:val="bottom"/>
          </w:tcPr>
          <w:p w14:paraId="673176A8" w14:textId="77777777" w:rsidR="00AA068C" w:rsidRPr="00BA06B6" w:rsidRDefault="00AA068C" w:rsidP="00BC341D">
            <w:pPr>
              <w:tabs>
                <w:tab w:val="left" w:pos="851"/>
              </w:tabs>
              <w:jc w:val="both"/>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DBs</w:t>
            </w:r>
          </w:p>
        </w:tc>
        <w:tc>
          <w:tcPr>
            <w:tcW w:w="403" w:type="pct"/>
            <w:tcBorders>
              <w:top w:val="nil"/>
            </w:tcBorders>
            <w:shd w:val="clear" w:color="auto" w:fill="FFFFFF" w:themeFill="background1"/>
            <w:vAlign w:val="bottom"/>
          </w:tcPr>
          <w:p w14:paraId="6FA1FFFE" w14:textId="77777777" w:rsidR="00AA068C" w:rsidRPr="00BA06B6" w:rsidRDefault="00AA068C" w:rsidP="00BC341D">
            <w:pPr>
              <w:tabs>
                <w:tab w:val="left" w:pos="851"/>
              </w:tabs>
              <w:jc w:val="both"/>
              <w:rPr>
                <w:rFonts w:ascii="Times New Roman" w:eastAsia="Calibri" w:hAnsi="Times New Roman" w:cs="Times New Roman"/>
                <w:b/>
                <w:bCs/>
                <w:sz w:val="18"/>
                <w:szCs w:val="18"/>
                <w:lang w:eastAsia="zh-CN"/>
              </w:rPr>
            </w:pPr>
            <w:r w:rsidRPr="00BA06B6">
              <w:rPr>
                <w:rFonts w:ascii="Times New Roman" w:eastAsia="Calibri" w:hAnsi="Times New Roman" w:cs="Times New Roman"/>
                <w:b/>
                <w:bCs/>
                <w:sz w:val="18"/>
                <w:szCs w:val="18"/>
                <w:lang w:eastAsia="zh-CN"/>
              </w:rPr>
              <w:t>Pre07/08</w:t>
            </w:r>
          </w:p>
        </w:tc>
        <w:tc>
          <w:tcPr>
            <w:tcW w:w="403" w:type="pct"/>
            <w:tcBorders>
              <w:top w:val="nil"/>
            </w:tcBorders>
            <w:shd w:val="clear" w:color="auto" w:fill="FFFFFF" w:themeFill="background1"/>
            <w:vAlign w:val="bottom"/>
          </w:tcPr>
          <w:p w14:paraId="34E6A1DE" w14:textId="77777777" w:rsidR="00AA068C" w:rsidRPr="00BA06B6" w:rsidRDefault="00AA068C" w:rsidP="00BC341D">
            <w:pPr>
              <w:tabs>
                <w:tab w:val="left" w:pos="851"/>
              </w:tabs>
              <w:jc w:val="both"/>
              <w:rPr>
                <w:rFonts w:ascii="Times New Roman" w:eastAsia="Calibri" w:hAnsi="Times New Roman" w:cs="Times New Roman"/>
                <w:b/>
                <w:bCs/>
                <w:sz w:val="18"/>
                <w:szCs w:val="18"/>
                <w:lang w:eastAsia="zh-CN"/>
              </w:rPr>
            </w:pPr>
            <w:r w:rsidRPr="00BA06B6">
              <w:rPr>
                <w:rFonts w:ascii="Times New Roman" w:eastAsia="Calibri" w:hAnsi="Times New Roman" w:cs="Times New Roman"/>
                <w:b/>
                <w:bCs/>
                <w:sz w:val="18"/>
                <w:szCs w:val="18"/>
                <w:lang w:eastAsia="zh-CN"/>
              </w:rPr>
              <w:t>07/08</w:t>
            </w:r>
          </w:p>
        </w:tc>
        <w:tc>
          <w:tcPr>
            <w:tcW w:w="443" w:type="pct"/>
            <w:tcBorders>
              <w:top w:val="nil"/>
            </w:tcBorders>
            <w:shd w:val="clear" w:color="auto" w:fill="FFFFFF" w:themeFill="background1"/>
            <w:vAlign w:val="bottom"/>
          </w:tcPr>
          <w:p w14:paraId="0EDC9F63" w14:textId="77777777" w:rsidR="00AA068C" w:rsidRPr="00BA06B6" w:rsidRDefault="00AA068C" w:rsidP="00BC341D">
            <w:pPr>
              <w:tabs>
                <w:tab w:val="left" w:pos="851"/>
              </w:tabs>
              <w:jc w:val="both"/>
              <w:rPr>
                <w:rFonts w:ascii="Times New Roman" w:eastAsia="Calibri" w:hAnsi="Times New Roman" w:cs="Times New Roman"/>
                <w:b/>
                <w:bCs/>
                <w:sz w:val="18"/>
                <w:szCs w:val="18"/>
                <w:lang w:eastAsia="zh-CN"/>
              </w:rPr>
            </w:pPr>
            <w:r w:rsidRPr="00BA06B6">
              <w:rPr>
                <w:rFonts w:ascii="Times New Roman" w:eastAsia="Calibri" w:hAnsi="Times New Roman" w:cs="Times New Roman"/>
                <w:b/>
                <w:bCs/>
                <w:sz w:val="18"/>
                <w:szCs w:val="18"/>
                <w:lang w:eastAsia="zh-CN"/>
              </w:rPr>
              <w:t>post07/08</w:t>
            </w:r>
          </w:p>
        </w:tc>
        <w:tc>
          <w:tcPr>
            <w:tcW w:w="403" w:type="pct"/>
            <w:tcBorders>
              <w:top w:val="nil"/>
            </w:tcBorders>
            <w:shd w:val="clear" w:color="auto" w:fill="FFFFFF" w:themeFill="background1"/>
            <w:vAlign w:val="bottom"/>
          </w:tcPr>
          <w:p w14:paraId="40DB555B" w14:textId="77777777" w:rsidR="00AA068C" w:rsidRPr="00BA06B6" w:rsidRDefault="00AA068C" w:rsidP="00BC341D">
            <w:pPr>
              <w:tabs>
                <w:tab w:val="left" w:pos="851"/>
              </w:tabs>
              <w:jc w:val="both"/>
              <w:rPr>
                <w:rFonts w:ascii="Times New Roman" w:eastAsia="Calibri" w:hAnsi="Times New Roman" w:cs="Times New Roman"/>
                <w:b/>
                <w:bCs/>
                <w:sz w:val="18"/>
                <w:szCs w:val="18"/>
                <w:lang w:eastAsia="zh-CN"/>
              </w:rPr>
            </w:pPr>
            <w:r w:rsidRPr="00BA06B6">
              <w:rPr>
                <w:rFonts w:ascii="Times New Roman" w:eastAsia="Calibri" w:hAnsi="Times New Roman" w:cs="Times New Roman"/>
                <w:b/>
                <w:bCs/>
                <w:sz w:val="18"/>
                <w:szCs w:val="18"/>
                <w:lang w:eastAsia="zh-CN"/>
              </w:rPr>
              <w:t>2SLS</w:t>
            </w:r>
          </w:p>
        </w:tc>
        <w:tc>
          <w:tcPr>
            <w:tcW w:w="401" w:type="pct"/>
            <w:tcBorders>
              <w:top w:val="nil"/>
            </w:tcBorders>
            <w:shd w:val="clear" w:color="auto" w:fill="FFFFFF" w:themeFill="background1"/>
          </w:tcPr>
          <w:p w14:paraId="39666D55" w14:textId="77777777" w:rsidR="00AA068C" w:rsidRPr="00BA06B6" w:rsidRDefault="00AA068C" w:rsidP="00BC341D">
            <w:pPr>
              <w:tabs>
                <w:tab w:val="left" w:pos="851"/>
              </w:tabs>
              <w:rPr>
                <w:rFonts w:ascii="Times New Roman" w:eastAsia="Calibri" w:hAnsi="Times New Roman" w:cs="Times New Roman"/>
                <w:b/>
                <w:bCs/>
                <w:sz w:val="18"/>
                <w:szCs w:val="18"/>
              </w:rPr>
            </w:pPr>
            <w:r w:rsidRPr="00BA06B6">
              <w:rPr>
                <w:rFonts w:ascii="Times New Roman" w:eastAsia="Calibri" w:hAnsi="Times New Roman" w:cs="Times New Roman"/>
                <w:b/>
                <w:bCs/>
                <w:sz w:val="18"/>
                <w:szCs w:val="18"/>
              </w:rPr>
              <w:t>ΔBCRs</w:t>
            </w:r>
          </w:p>
        </w:tc>
      </w:tr>
      <w:tr w:rsidR="00BA06B6" w:rsidRPr="00BA06B6" w14:paraId="41DBCF7C" w14:textId="77777777" w:rsidTr="00B91469">
        <w:trPr>
          <w:trHeight w:val="20"/>
          <w:tblHeader/>
          <w:jc w:val="center"/>
        </w:trPr>
        <w:tc>
          <w:tcPr>
            <w:tcW w:w="4599" w:type="pct"/>
            <w:gridSpan w:val="11"/>
            <w:tcBorders>
              <w:top w:val="single" w:sz="4" w:space="0" w:color="auto"/>
              <w:bottom w:val="single" w:sz="4" w:space="0" w:color="auto"/>
            </w:tcBorders>
            <w:shd w:val="clear" w:color="auto" w:fill="FFFFFF" w:themeFill="background1"/>
            <w:vAlign w:val="bottom"/>
          </w:tcPr>
          <w:p w14:paraId="43CA49F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i/>
                <w:sz w:val="18"/>
                <w:szCs w:val="18"/>
              </w:rPr>
              <w:t xml:space="preserve">Panel E: </w:t>
            </w:r>
            <w:r w:rsidRPr="00BA06B6">
              <w:rPr>
                <w:rFonts w:ascii="Times New Roman" w:eastAsia="Calibri" w:hAnsi="Times New Roman" w:cs="Times New Roman"/>
                <w:iCs/>
                <w:sz w:val="18"/>
                <w:szCs w:val="18"/>
              </w:rPr>
              <w:t>Country</w:t>
            </w:r>
            <w:r w:rsidRPr="00BA06B6">
              <w:rPr>
                <w:rFonts w:ascii="Times New Roman" w:eastAsia="Calibri" w:hAnsi="Times New Roman" w:cs="Times New Roman"/>
                <w:sz w:val="18"/>
                <w:szCs w:val="18"/>
              </w:rPr>
              <w:t>-level control variables</w:t>
            </w:r>
          </w:p>
        </w:tc>
        <w:tc>
          <w:tcPr>
            <w:tcW w:w="401" w:type="pct"/>
            <w:tcBorders>
              <w:top w:val="single" w:sz="4" w:space="0" w:color="auto"/>
              <w:bottom w:val="single" w:sz="4" w:space="0" w:color="auto"/>
            </w:tcBorders>
            <w:shd w:val="clear" w:color="auto" w:fill="FFFFFF" w:themeFill="background1"/>
          </w:tcPr>
          <w:p w14:paraId="42834ADD" w14:textId="77777777" w:rsidR="00AA068C" w:rsidRPr="00BA06B6" w:rsidRDefault="00AA068C" w:rsidP="00BC341D">
            <w:pPr>
              <w:tabs>
                <w:tab w:val="left" w:pos="851"/>
              </w:tabs>
              <w:jc w:val="both"/>
              <w:rPr>
                <w:rFonts w:ascii="Times New Roman" w:eastAsia="Calibri" w:hAnsi="Times New Roman" w:cs="Times New Roman"/>
                <w:i/>
                <w:sz w:val="18"/>
                <w:szCs w:val="18"/>
              </w:rPr>
            </w:pPr>
          </w:p>
        </w:tc>
      </w:tr>
      <w:tr w:rsidR="00BA06B6" w:rsidRPr="00BA06B6" w14:paraId="6D255580" w14:textId="77777777" w:rsidTr="00B91469">
        <w:trPr>
          <w:trHeight w:val="20"/>
          <w:tblHeader/>
          <w:jc w:val="center"/>
        </w:trPr>
        <w:tc>
          <w:tcPr>
            <w:tcW w:w="409" w:type="pct"/>
            <w:tcBorders>
              <w:top w:val="single" w:sz="4" w:space="0" w:color="auto"/>
              <w:bottom w:val="nil"/>
            </w:tcBorders>
            <w:shd w:val="clear" w:color="auto" w:fill="FFFFFF" w:themeFill="background1"/>
            <w:vAlign w:val="bottom"/>
          </w:tcPr>
          <w:p w14:paraId="28B3A1A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V&amp;A</w:t>
            </w:r>
          </w:p>
        </w:tc>
        <w:tc>
          <w:tcPr>
            <w:tcW w:w="443" w:type="pct"/>
            <w:tcBorders>
              <w:top w:val="single" w:sz="4" w:space="0" w:color="auto"/>
              <w:bottom w:val="nil"/>
            </w:tcBorders>
            <w:shd w:val="clear" w:color="auto" w:fill="FFFFFF" w:themeFill="background1"/>
            <w:vAlign w:val="bottom"/>
          </w:tcPr>
          <w:p w14:paraId="0E4DB38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-6.48</w:t>
            </w:r>
            <w:r w:rsidRPr="00BA06B6">
              <w:rPr>
                <w:rFonts w:ascii="Times New Roman" w:eastAsia="Calibri" w:hAnsi="Times New Roman" w:cs="Times New Roman"/>
                <w:bCs/>
                <w:sz w:val="18"/>
                <w:szCs w:val="18"/>
                <w:vertAlign w:val="superscript"/>
              </w:rPr>
              <w:t>***</w:t>
            </w:r>
          </w:p>
        </w:tc>
        <w:tc>
          <w:tcPr>
            <w:tcW w:w="443" w:type="pct"/>
            <w:tcBorders>
              <w:top w:val="single" w:sz="4" w:space="0" w:color="auto"/>
              <w:bottom w:val="nil"/>
            </w:tcBorders>
            <w:shd w:val="clear" w:color="auto" w:fill="FFFFFF" w:themeFill="background1"/>
            <w:vAlign w:val="bottom"/>
          </w:tcPr>
          <w:p w14:paraId="55ED016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-4.61</w:t>
            </w:r>
            <w:r w:rsidRPr="00BA06B6">
              <w:rPr>
                <w:rFonts w:ascii="Times New Roman" w:eastAsia="Calibri" w:hAnsi="Times New Roman" w:cs="Times New Roman"/>
                <w:bCs/>
                <w:sz w:val="18"/>
                <w:szCs w:val="18"/>
                <w:vertAlign w:val="superscript"/>
              </w:rPr>
              <w:t>***</w:t>
            </w:r>
          </w:p>
        </w:tc>
        <w:tc>
          <w:tcPr>
            <w:tcW w:w="443" w:type="pct"/>
            <w:tcBorders>
              <w:top w:val="single" w:sz="4" w:space="0" w:color="auto"/>
              <w:bottom w:val="nil"/>
            </w:tcBorders>
            <w:shd w:val="clear" w:color="auto" w:fill="FFFFFF" w:themeFill="background1"/>
            <w:vAlign w:val="bottom"/>
          </w:tcPr>
          <w:p w14:paraId="005CCC6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-4.88</w:t>
            </w:r>
            <w:r w:rsidRPr="00BA06B6">
              <w:rPr>
                <w:rFonts w:ascii="Times New Roman" w:eastAsia="Calibri" w:hAnsi="Times New Roman" w:cs="Times New Roman"/>
                <w:bCs/>
                <w:sz w:val="18"/>
                <w:szCs w:val="18"/>
                <w:vertAlign w:val="superscript"/>
              </w:rPr>
              <w:t>***</w:t>
            </w:r>
          </w:p>
        </w:tc>
        <w:tc>
          <w:tcPr>
            <w:tcW w:w="403" w:type="pct"/>
            <w:tcBorders>
              <w:top w:val="single" w:sz="4" w:space="0" w:color="auto"/>
              <w:bottom w:val="nil"/>
            </w:tcBorders>
            <w:shd w:val="clear" w:color="auto" w:fill="FFFFFF" w:themeFill="background1"/>
            <w:vAlign w:val="bottom"/>
          </w:tcPr>
          <w:p w14:paraId="031B47E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-3.29</w:t>
            </w:r>
            <w:r w:rsidRPr="00BA06B6">
              <w:rPr>
                <w:rFonts w:ascii="Times New Roman" w:eastAsia="Calibri" w:hAnsi="Times New Roman" w:cs="Times New Roman"/>
                <w:bCs/>
                <w:sz w:val="18"/>
                <w:szCs w:val="18"/>
                <w:vertAlign w:val="superscript"/>
              </w:rPr>
              <w:t>***</w:t>
            </w:r>
          </w:p>
        </w:tc>
        <w:tc>
          <w:tcPr>
            <w:tcW w:w="403" w:type="pct"/>
            <w:tcBorders>
              <w:top w:val="single" w:sz="4" w:space="0" w:color="auto"/>
              <w:bottom w:val="nil"/>
            </w:tcBorders>
            <w:shd w:val="clear" w:color="auto" w:fill="FFFFFF" w:themeFill="background1"/>
            <w:vAlign w:val="bottom"/>
          </w:tcPr>
          <w:p w14:paraId="48A2BF7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-2.83</w:t>
            </w:r>
            <w:r w:rsidRPr="00BA06B6">
              <w:rPr>
                <w:rFonts w:ascii="Times New Roman" w:eastAsia="Calibri" w:hAnsi="Times New Roman" w:cs="Times New Roman"/>
                <w:bCs/>
                <w:sz w:val="18"/>
                <w:szCs w:val="18"/>
                <w:vertAlign w:val="superscript"/>
              </w:rPr>
              <w:t>***</w:t>
            </w:r>
          </w:p>
        </w:tc>
        <w:tc>
          <w:tcPr>
            <w:tcW w:w="403" w:type="pct"/>
            <w:tcBorders>
              <w:top w:val="single" w:sz="4" w:space="0" w:color="auto"/>
              <w:bottom w:val="nil"/>
            </w:tcBorders>
            <w:shd w:val="clear" w:color="auto" w:fill="FFFFFF" w:themeFill="background1"/>
            <w:vAlign w:val="bottom"/>
          </w:tcPr>
          <w:p w14:paraId="2697155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-3.17</w:t>
            </w:r>
            <w:r w:rsidRPr="00BA06B6">
              <w:rPr>
                <w:rFonts w:ascii="Times New Roman" w:eastAsia="Calibri" w:hAnsi="Times New Roman" w:cs="Times New Roman"/>
                <w:bCs/>
                <w:sz w:val="18"/>
                <w:szCs w:val="18"/>
                <w:vertAlign w:val="superscript"/>
              </w:rPr>
              <w:t>***</w:t>
            </w:r>
          </w:p>
        </w:tc>
        <w:tc>
          <w:tcPr>
            <w:tcW w:w="403" w:type="pct"/>
            <w:tcBorders>
              <w:top w:val="single" w:sz="4" w:space="0" w:color="auto"/>
              <w:bottom w:val="nil"/>
            </w:tcBorders>
            <w:shd w:val="clear" w:color="auto" w:fill="FFFFFF" w:themeFill="background1"/>
            <w:vAlign w:val="bottom"/>
          </w:tcPr>
          <w:p w14:paraId="0D19EF6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-3.84</w:t>
            </w:r>
            <w:r w:rsidRPr="00BA06B6">
              <w:rPr>
                <w:rFonts w:ascii="Times New Roman" w:eastAsia="Calibri" w:hAnsi="Times New Roman" w:cs="Times New Roman"/>
                <w:bCs/>
                <w:sz w:val="18"/>
                <w:szCs w:val="18"/>
                <w:vertAlign w:val="superscript"/>
              </w:rPr>
              <w:t>***</w:t>
            </w:r>
          </w:p>
        </w:tc>
        <w:tc>
          <w:tcPr>
            <w:tcW w:w="403" w:type="pct"/>
            <w:tcBorders>
              <w:top w:val="single" w:sz="4" w:space="0" w:color="auto"/>
              <w:bottom w:val="nil"/>
            </w:tcBorders>
            <w:shd w:val="clear" w:color="auto" w:fill="FFFFFF" w:themeFill="background1"/>
            <w:vAlign w:val="bottom"/>
          </w:tcPr>
          <w:p w14:paraId="37027C5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-4.60</w:t>
            </w:r>
            <w:r w:rsidRPr="00BA06B6">
              <w:rPr>
                <w:rFonts w:ascii="Times New Roman" w:eastAsia="Calibri" w:hAnsi="Times New Roman" w:cs="Times New Roman"/>
                <w:bCs/>
                <w:sz w:val="18"/>
                <w:szCs w:val="18"/>
                <w:vertAlign w:val="superscript"/>
              </w:rPr>
              <w:t>***</w:t>
            </w:r>
          </w:p>
        </w:tc>
        <w:tc>
          <w:tcPr>
            <w:tcW w:w="443" w:type="pct"/>
            <w:tcBorders>
              <w:top w:val="single" w:sz="4" w:space="0" w:color="auto"/>
              <w:bottom w:val="nil"/>
            </w:tcBorders>
            <w:shd w:val="clear" w:color="auto" w:fill="FFFFFF" w:themeFill="background1"/>
            <w:vAlign w:val="bottom"/>
          </w:tcPr>
          <w:p w14:paraId="7567FBD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-3.96</w:t>
            </w:r>
            <w:r w:rsidRPr="00BA06B6">
              <w:rPr>
                <w:rFonts w:ascii="Times New Roman" w:eastAsia="Calibri" w:hAnsi="Times New Roman" w:cs="Times New Roman"/>
                <w:bCs/>
                <w:sz w:val="18"/>
                <w:szCs w:val="18"/>
                <w:vertAlign w:val="superscript"/>
              </w:rPr>
              <w:t>***</w:t>
            </w:r>
          </w:p>
        </w:tc>
        <w:tc>
          <w:tcPr>
            <w:tcW w:w="403" w:type="pct"/>
            <w:tcBorders>
              <w:top w:val="single" w:sz="4" w:space="0" w:color="auto"/>
              <w:bottom w:val="nil"/>
            </w:tcBorders>
            <w:shd w:val="clear" w:color="auto" w:fill="FFFFFF" w:themeFill="background1"/>
            <w:vAlign w:val="bottom"/>
          </w:tcPr>
          <w:p w14:paraId="3135BE8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-6.78</w:t>
            </w:r>
            <w:r w:rsidRPr="00BA06B6">
              <w:rPr>
                <w:rFonts w:ascii="Times New Roman" w:eastAsia="Calibri" w:hAnsi="Times New Roman" w:cs="Times New Roman"/>
                <w:bCs/>
                <w:sz w:val="18"/>
                <w:szCs w:val="18"/>
                <w:vertAlign w:val="superscript"/>
              </w:rPr>
              <w:t>***</w:t>
            </w:r>
          </w:p>
        </w:tc>
        <w:tc>
          <w:tcPr>
            <w:tcW w:w="401" w:type="pct"/>
            <w:tcBorders>
              <w:top w:val="single" w:sz="4" w:space="0" w:color="auto"/>
              <w:bottom w:val="nil"/>
            </w:tcBorders>
            <w:shd w:val="clear" w:color="auto" w:fill="FFFFFF" w:themeFill="background1"/>
          </w:tcPr>
          <w:p w14:paraId="75DAFCE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-0.77</w:t>
            </w:r>
          </w:p>
        </w:tc>
      </w:tr>
      <w:tr w:rsidR="00BA06B6" w:rsidRPr="00BA06B6" w14:paraId="6D0CB6E1" w14:textId="77777777" w:rsidTr="00B91469">
        <w:trPr>
          <w:trHeight w:val="20"/>
          <w:tblHeader/>
          <w:jc w:val="center"/>
        </w:trPr>
        <w:tc>
          <w:tcPr>
            <w:tcW w:w="409" w:type="pct"/>
            <w:tcBorders>
              <w:top w:val="nil"/>
              <w:bottom w:val="nil"/>
            </w:tcBorders>
            <w:shd w:val="clear" w:color="auto" w:fill="FFFFFF" w:themeFill="background1"/>
            <w:vAlign w:val="bottom"/>
          </w:tcPr>
          <w:p w14:paraId="4C4E0E34"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43" w:type="pct"/>
            <w:tcBorders>
              <w:top w:val="nil"/>
              <w:bottom w:val="nil"/>
            </w:tcBorders>
            <w:shd w:val="clear" w:color="auto" w:fill="FFFFFF" w:themeFill="background1"/>
            <w:vAlign w:val="bottom"/>
          </w:tcPr>
          <w:p w14:paraId="6983C0B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43" w:type="pct"/>
            <w:tcBorders>
              <w:top w:val="nil"/>
              <w:bottom w:val="nil"/>
            </w:tcBorders>
            <w:shd w:val="clear" w:color="auto" w:fill="FFFFFF" w:themeFill="background1"/>
            <w:vAlign w:val="bottom"/>
          </w:tcPr>
          <w:p w14:paraId="7E855F4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43" w:type="pct"/>
            <w:tcBorders>
              <w:top w:val="nil"/>
              <w:bottom w:val="nil"/>
            </w:tcBorders>
            <w:shd w:val="clear" w:color="auto" w:fill="FFFFFF" w:themeFill="background1"/>
            <w:vAlign w:val="bottom"/>
          </w:tcPr>
          <w:p w14:paraId="5DA44FF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03" w:type="pct"/>
            <w:tcBorders>
              <w:top w:val="nil"/>
              <w:bottom w:val="nil"/>
            </w:tcBorders>
            <w:shd w:val="clear" w:color="auto" w:fill="FFFFFF" w:themeFill="background1"/>
            <w:vAlign w:val="bottom"/>
          </w:tcPr>
          <w:p w14:paraId="039C098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(0.001)</w:t>
            </w:r>
          </w:p>
        </w:tc>
        <w:tc>
          <w:tcPr>
            <w:tcW w:w="403" w:type="pct"/>
            <w:tcBorders>
              <w:top w:val="nil"/>
              <w:bottom w:val="nil"/>
            </w:tcBorders>
            <w:shd w:val="clear" w:color="auto" w:fill="FFFFFF" w:themeFill="background1"/>
            <w:vAlign w:val="bottom"/>
          </w:tcPr>
          <w:p w14:paraId="14272BC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(0.005)</w:t>
            </w:r>
          </w:p>
        </w:tc>
        <w:tc>
          <w:tcPr>
            <w:tcW w:w="403" w:type="pct"/>
            <w:tcBorders>
              <w:top w:val="nil"/>
              <w:bottom w:val="nil"/>
            </w:tcBorders>
            <w:shd w:val="clear" w:color="auto" w:fill="FFFFFF" w:themeFill="background1"/>
            <w:vAlign w:val="bottom"/>
          </w:tcPr>
          <w:p w14:paraId="3DC67A8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(0.002)</w:t>
            </w:r>
          </w:p>
        </w:tc>
        <w:tc>
          <w:tcPr>
            <w:tcW w:w="403" w:type="pct"/>
            <w:tcBorders>
              <w:top w:val="nil"/>
              <w:bottom w:val="nil"/>
            </w:tcBorders>
            <w:shd w:val="clear" w:color="auto" w:fill="FFFFFF" w:themeFill="background1"/>
            <w:vAlign w:val="bottom"/>
          </w:tcPr>
          <w:p w14:paraId="0257911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03" w:type="pct"/>
            <w:tcBorders>
              <w:top w:val="nil"/>
              <w:bottom w:val="nil"/>
            </w:tcBorders>
            <w:shd w:val="clear" w:color="auto" w:fill="FFFFFF" w:themeFill="background1"/>
            <w:vAlign w:val="bottom"/>
          </w:tcPr>
          <w:p w14:paraId="746514F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43" w:type="pct"/>
            <w:tcBorders>
              <w:top w:val="nil"/>
              <w:bottom w:val="nil"/>
            </w:tcBorders>
            <w:shd w:val="clear" w:color="auto" w:fill="FFFFFF" w:themeFill="background1"/>
            <w:vAlign w:val="bottom"/>
          </w:tcPr>
          <w:p w14:paraId="64E20EC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03" w:type="pct"/>
            <w:tcBorders>
              <w:top w:val="nil"/>
              <w:bottom w:val="nil"/>
            </w:tcBorders>
            <w:shd w:val="clear" w:color="auto" w:fill="FFFFFF" w:themeFill="background1"/>
            <w:vAlign w:val="bottom"/>
          </w:tcPr>
          <w:p w14:paraId="4F5D4740"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01" w:type="pct"/>
            <w:tcBorders>
              <w:top w:val="nil"/>
              <w:bottom w:val="nil"/>
            </w:tcBorders>
            <w:shd w:val="clear" w:color="auto" w:fill="FFFFFF" w:themeFill="background1"/>
          </w:tcPr>
          <w:p w14:paraId="4883381E"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(0.443)</w:t>
            </w:r>
          </w:p>
        </w:tc>
      </w:tr>
      <w:tr w:rsidR="00BA06B6" w:rsidRPr="00BA06B6" w14:paraId="0049F56C" w14:textId="77777777" w:rsidTr="00B91469">
        <w:trPr>
          <w:trHeight w:val="20"/>
          <w:tblHeader/>
          <w:jc w:val="center"/>
        </w:trPr>
        <w:tc>
          <w:tcPr>
            <w:tcW w:w="409" w:type="pct"/>
            <w:tcBorders>
              <w:top w:val="nil"/>
              <w:bottom w:val="nil"/>
            </w:tcBorders>
            <w:shd w:val="clear" w:color="auto" w:fill="FFFFFF" w:themeFill="background1"/>
            <w:vAlign w:val="bottom"/>
          </w:tcPr>
          <w:p w14:paraId="1BD0C9B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RQ</w:t>
            </w:r>
          </w:p>
        </w:tc>
        <w:tc>
          <w:tcPr>
            <w:tcW w:w="443" w:type="pct"/>
            <w:tcBorders>
              <w:top w:val="nil"/>
              <w:bottom w:val="nil"/>
            </w:tcBorders>
            <w:shd w:val="clear" w:color="auto" w:fill="FFFFFF" w:themeFill="background1"/>
            <w:vAlign w:val="bottom"/>
          </w:tcPr>
          <w:p w14:paraId="33D7C54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1.89</w:t>
            </w:r>
            <w:r w:rsidRPr="00BA06B6">
              <w:rPr>
                <w:rFonts w:ascii="Times New Roman" w:eastAsia="Calibri" w:hAnsi="Times New Roman" w:cs="Times New Roman"/>
                <w:bCs/>
                <w:sz w:val="18"/>
                <w:szCs w:val="18"/>
                <w:vertAlign w:val="superscript"/>
              </w:rPr>
              <w:t>*</w:t>
            </w:r>
          </w:p>
        </w:tc>
        <w:tc>
          <w:tcPr>
            <w:tcW w:w="443" w:type="pct"/>
            <w:tcBorders>
              <w:top w:val="nil"/>
              <w:bottom w:val="nil"/>
            </w:tcBorders>
            <w:shd w:val="clear" w:color="auto" w:fill="FFFFFF" w:themeFill="background1"/>
            <w:vAlign w:val="bottom"/>
          </w:tcPr>
          <w:p w14:paraId="77B907E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0.17</w:t>
            </w:r>
          </w:p>
        </w:tc>
        <w:tc>
          <w:tcPr>
            <w:tcW w:w="443" w:type="pct"/>
            <w:tcBorders>
              <w:top w:val="nil"/>
              <w:bottom w:val="nil"/>
            </w:tcBorders>
            <w:shd w:val="clear" w:color="auto" w:fill="FFFFFF" w:themeFill="background1"/>
            <w:vAlign w:val="bottom"/>
          </w:tcPr>
          <w:p w14:paraId="1071A04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1.81</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721DCE6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1.02</w:t>
            </w:r>
          </w:p>
        </w:tc>
        <w:tc>
          <w:tcPr>
            <w:tcW w:w="403" w:type="pct"/>
            <w:tcBorders>
              <w:top w:val="nil"/>
              <w:bottom w:val="nil"/>
            </w:tcBorders>
            <w:shd w:val="clear" w:color="auto" w:fill="FFFFFF" w:themeFill="background1"/>
            <w:vAlign w:val="bottom"/>
          </w:tcPr>
          <w:p w14:paraId="7C83473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2.84</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5350CD7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2.90</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5DE84EF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2.45</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342B0F2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0.77</w:t>
            </w:r>
          </w:p>
        </w:tc>
        <w:tc>
          <w:tcPr>
            <w:tcW w:w="443" w:type="pct"/>
            <w:tcBorders>
              <w:top w:val="nil"/>
              <w:bottom w:val="nil"/>
            </w:tcBorders>
            <w:shd w:val="clear" w:color="auto" w:fill="FFFFFF" w:themeFill="background1"/>
            <w:vAlign w:val="bottom"/>
          </w:tcPr>
          <w:p w14:paraId="72F25EA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3.46</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5726320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2.17</w:t>
            </w:r>
            <w:r w:rsidRPr="00BA06B6">
              <w:rPr>
                <w:rFonts w:ascii="Times New Roman" w:eastAsia="Calibri" w:hAnsi="Times New Roman" w:cs="Times New Roman"/>
                <w:bCs/>
                <w:sz w:val="18"/>
                <w:szCs w:val="18"/>
                <w:vertAlign w:val="superscript"/>
              </w:rPr>
              <w:t>**</w:t>
            </w:r>
          </w:p>
        </w:tc>
        <w:tc>
          <w:tcPr>
            <w:tcW w:w="401" w:type="pct"/>
            <w:tcBorders>
              <w:top w:val="nil"/>
              <w:bottom w:val="nil"/>
            </w:tcBorders>
            <w:shd w:val="clear" w:color="auto" w:fill="FFFFFF" w:themeFill="background1"/>
          </w:tcPr>
          <w:p w14:paraId="6F5A8FC2"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0.22</w:t>
            </w:r>
          </w:p>
        </w:tc>
      </w:tr>
      <w:tr w:rsidR="00BA06B6" w:rsidRPr="00BA06B6" w14:paraId="26167DD5" w14:textId="77777777" w:rsidTr="00B91469">
        <w:trPr>
          <w:trHeight w:val="20"/>
          <w:tblHeader/>
          <w:jc w:val="center"/>
        </w:trPr>
        <w:tc>
          <w:tcPr>
            <w:tcW w:w="409" w:type="pct"/>
            <w:tcBorders>
              <w:top w:val="nil"/>
              <w:bottom w:val="nil"/>
            </w:tcBorders>
            <w:shd w:val="clear" w:color="auto" w:fill="FFFFFF" w:themeFill="background1"/>
            <w:vAlign w:val="bottom"/>
          </w:tcPr>
          <w:p w14:paraId="3058F219"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43" w:type="pct"/>
            <w:tcBorders>
              <w:top w:val="nil"/>
              <w:bottom w:val="nil"/>
            </w:tcBorders>
            <w:shd w:val="clear" w:color="auto" w:fill="FFFFFF" w:themeFill="background1"/>
            <w:vAlign w:val="bottom"/>
          </w:tcPr>
          <w:p w14:paraId="5F4C75F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(0.059)</w:t>
            </w:r>
          </w:p>
        </w:tc>
        <w:tc>
          <w:tcPr>
            <w:tcW w:w="443" w:type="pct"/>
            <w:tcBorders>
              <w:top w:val="nil"/>
              <w:bottom w:val="nil"/>
            </w:tcBorders>
            <w:shd w:val="clear" w:color="auto" w:fill="FFFFFF" w:themeFill="background1"/>
            <w:vAlign w:val="bottom"/>
          </w:tcPr>
          <w:p w14:paraId="13562E2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(0.861)</w:t>
            </w:r>
          </w:p>
        </w:tc>
        <w:tc>
          <w:tcPr>
            <w:tcW w:w="443" w:type="pct"/>
            <w:tcBorders>
              <w:top w:val="nil"/>
              <w:bottom w:val="nil"/>
            </w:tcBorders>
            <w:shd w:val="clear" w:color="auto" w:fill="FFFFFF" w:themeFill="background1"/>
            <w:vAlign w:val="bottom"/>
          </w:tcPr>
          <w:p w14:paraId="6C35EC4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(0.075)</w:t>
            </w:r>
          </w:p>
        </w:tc>
        <w:tc>
          <w:tcPr>
            <w:tcW w:w="403" w:type="pct"/>
            <w:tcBorders>
              <w:top w:val="nil"/>
              <w:bottom w:val="nil"/>
            </w:tcBorders>
            <w:shd w:val="clear" w:color="auto" w:fill="FFFFFF" w:themeFill="background1"/>
            <w:vAlign w:val="bottom"/>
          </w:tcPr>
          <w:p w14:paraId="6BB5622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(0.309)</w:t>
            </w:r>
          </w:p>
        </w:tc>
        <w:tc>
          <w:tcPr>
            <w:tcW w:w="403" w:type="pct"/>
            <w:tcBorders>
              <w:top w:val="nil"/>
              <w:bottom w:val="nil"/>
            </w:tcBorders>
            <w:shd w:val="clear" w:color="auto" w:fill="FFFFFF" w:themeFill="background1"/>
            <w:vAlign w:val="bottom"/>
          </w:tcPr>
          <w:p w14:paraId="2882C18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(0.005)</w:t>
            </w:r>
          </w:p>
        </w:tc>
        <w:tc>
          <w:tcPr>
            <w:tcW w:w="403" w:type="pct"/>
            <w:tcBorders>
              <w:top w:val="nil"/>
              <w:bottom w:val="nil"/>
            </w:tcBorders>
            <w:shd w:val="clear" w:color="auto" w:fill="FFFFFF" w:themeFill="background1"/>
            <w:vAlign w:val="bottom"/>
          </w:tcPr>
          <w:p w14:paraId="3B47A97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(0.004)</w:t>
            </w:r>
          </w:p>
        </w:tc>
        <w:tc>
          <w:tcPr>
            <w:tcW w:w="403" w:type="pct"/>
            <w:tcBorders>
              <w:top w:val="nil"/>
              <w:bottom w:val="nil"/>
            </w:tcBorders>
            <w:shd w:val="clear" w:color="auto" w:fill="FFFFFF" w:themeFill="background1"/>
            <w:vAlign w:val="bottom"/>
          </w:tcPr>
          <w:p w14:paraId="473D2E5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(0.014)</w:t>
            </w:r>
          </w:p>
        </w:tc>
        <w:tc>
          <w:tcPr>
            <w:tcW w:w="403" w:type="pct"/>
            <w:tcBorders>
              <w:top w:val="nil"/>
              <w:bottom w:val="nil"/>
            </w:tcBorders>
            <w:shd w:val="clear" w:color="auto" w:fill="FFFFFF" w:themeFill="background1"/>
            <w:vAlign w:val="bottom"/>
          </w:tcPr>
          <w:p w14:paraId="1128BAD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(0.443)</w:t>
            </w:r>
          </w:p>
        </w:tc>
        <w:tc>
          <w:tcPr>
            <w:tcW w:w="443" w:type="pct"/>
            <w:tcBorders>
              <w:top w:val="nil"/>
              <w:bottom w:val="nil"/>
            </w:tcBorders>
            <w:shd w:val="clear" w:color="auto" w:fill="FFFFFF" w:themeFill="background1"/>
            <w:vAlign w:val="bottom"/>
          </w:tcPr>
          <w:p w14:paraId="6293C8A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(0.001)</w:t>
            </w:r>
          </w:p>
        </w:tc>
        <w:tc>
          <w:tcPr>
            <w:tcW w:w="403" w:type="pct"/>
            <w:tcBorders>
              <w:top w:val="nil"/>
              <w:bottom w:val="nil"/>
            </w:tcBorders>
            <w:shd w:val="clear" w:color="auto" w:fill="FFFFFF" w:themeFill="background1"/>
            <w:vAlign w:val="bottom"/>
          </w:tcPr>
          <w:p w14:paraId="5A84A71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(0.030)</w:t>
            </w:r>
          </w:p>
        </w:tc>
        <w:tc>
          <w:tcPr>
            <w:tcW w:w="401" w:type="pct"/>
            <w:tcBorders>
              <w:top w:val="nil"/>
              <w:bottom w:val="nil"/>
            </w:tcBorders>
            <w:shd w:val="clear" w:color="auto" w:fill="FFFFFF" w:themeFill="background1"/>
          </w:tcPr>
          <w:p w14:paraId="2E0C39E9"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(0.824)</w:t>
            </w:r>
          </w:p>
        </w:tc>
      </w:tr>
      <w:tr w:rsidR="00BA06B6" w:rsidRPr="00BA06B6" w14:paraId="32A6539E" w14:textId="77777777" w:rsidTr="00B91469">
        <w:trPr>
          <w:trHeight w:val="20"/>
          <w:tblHeader/>
          <w:jc w:val="center"/>
        </w:trPr>
        <w:tc>
          <w:tcPr>
            <w:tcW w:w="409" w:type="pct"/>
            <w:tcBorders>
              <w:top w:val="nil"/>
              <w:bottom w:val="nil"/>
            </w:tcBorders>
            <w:shd w:val="clear" w:color="auto" w:fill="FFFFFF" w:themeFill="background1"/>
            <w:vAlign w:val="bottom"/>
          </w:tcPr>
          <w:p w14:paraId="47E6143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RL</w:t>
            </w:r>
          </w:p>
        </w:tc>
        <w:tc>
          <w:tcPr>
            <w:tcW w:w="443" w:type="pct"/>
            <w:tcBorders>
              <w:top w:val="nil"/>
              <w:bottom w:val="nil"/>
            </w:tcBorders>
            <w:shd w:val="clear" w:color="auto" w:fill="FFFFFF" w:themeFill="background1"/>
            <w:vAlign w:val="bottom"/>
          </w:tcPr>
          <w:p w14:paraId="60A278E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2.87</w:t>
            </w:r>
            <w:r w:rsidRPr="00BA06B6">
              <w:rPr>
                <w:rFonts w:ascii="Times New Roman" w:eastAsia="Calibri" w:hAnsi="Times New Roman" w:cs="Times New Roman"/>
                <w:bCs/>
                <w:sz w:val="18"/>
                <w:szCs w:val="18"/>
                <w:vertAlign w:val="superscript"/>
              </w:rPr>
              <w:t>***</w:t>
            </w:r>
          </w:p>
        </w:tc>
        <w:tc>
          <w:tcPr>
            <w:tcW w:w="443" w:type="pct"/>
            <w:tcBorders>
              <w:top w:val="nil"/>
              <w:bottom w:val="nil"/>
            </w:tcBorders>
            <w:shd w:val="clear" w:color="auto" w:fill="FFFFFF" w:themeFill="background1"/>
            <w:vAlign w:val="bottom"/>
          </w:tcPr>
          <w:p w14:paraId="5404A6C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3.18</w:t>
            </w:r>
            <w:r w:rsidRPr="00BA06B6">
              <w:rPr>
                <w:rFonts w:ascii="Times New Roman" w:eastAsia="Calibri" w:hAnsi="Times New Roman" w:cs="Times New Roman"/>
                <w:bCs/>
                <w:sz w:val="18"/>
                <w:szCs w:val="18"/>
                <w:vertAlign w:val="superscript"/>
              </w:rPr>
              <w:t>***</w:t>
            </w:r>
          </w:p>
        </w:tc>
        <w:tc>
          <w:tcPr>
            <w:tcW w:w="443" w:type="pct"/>
            <w:tcBorders>
              <w:top w:val="nil"/>
              <w:bottom w:val="nil"/>
            </w:tcBorders>
            <w:shd w:val="clear" w:color="auto" w:fill="FFFFFF" w:themeFill="background1"/>
            <w:vAlign w:val="bottom"/>
          </w:tcPr>
          <w:p w14:paraId="517F2C5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3.35</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16D4A56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2.03</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76D92E4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1.05</w:t>
            </w:r>
          </w:p>
        </w:tc>
        <w:tc>
          <w:tcPr>
            <w:tcW w:w="403" w:type="pct"/>
            <w:tcBorders>
              <w:top w:val="nil"/>
              <w:bottom w:val="nil"/>
            </w:tcBorders>
            <w:shd w:val="clear" w:color="auto" w:fill="FFFFFF" w:themeFill="background1"/>
            <w:vAlign w:val="bottom"/>
          </w:tcPr>
          <w:p w14:paraId="04D2961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3.65</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1DD5DBD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1.87</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305F598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2.01</w:t>
            </w:r>
            <w:r w:rsidRPr="00BA06B6">
              <w:rPr>
                <w:rFonts w:ascii="Times New Roman" w:eastAsia="Calibri" w:hAnsi="Times New Roman" w:cs="Times New Roman"/>
                <w:bCs/>
                <w:sz w:val="18"/>
                <w:szCs w:val="18"/>
                <w:vertAlign w:val="superscript"/>
              </w:rPr>
              <w:t>**</w:t>
            </w:r>
          </w:p>
        </w:tc>
        <w:tc>
          <w:tcPr>
            <w:tcW w:w="443" w:type="pct"/>
            <w:tcBorders>
              <w:top w:val="nil"/>
              <w:bottom w:val="nil"/>
            </w:tcBorders>
            <w:shd w:val="clear" w:color="auto" w:fill="FFFFFF" w:themeFill="background1"/>
            <w:vAlign w:val="bottom"/>
          </w:tcPr>
          <w:p w14:paraId="54FAD0D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4.83</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352A631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1.95</w:t>
            </w:r>
            <w:r w:rsidRPr="00BA06B6">
              <w:rPr>
                <w:rFonts w:ascii="Times New Roman" w:eastAsia="Calibri" w:hAnsi="Times New Roman" w:cs="Times New Roman"/>
                <w:bCs/>
                <w:sz w:val="18"/>
                <w:szCs w:val="18"/>
                <w:vertAlign w:val="superscript"/>
              </w:rPr>
              <w:t>*</w:t>
            </w:r>
          </w:p>
        </w:tc>
        <w:tc>
          <w:tcPr>
            <w:tcW w:w="401" w:type="pct"/>
            <w:tcBorders>
              <w:top w:val="nil"/>
              <w:bottom w:val="nil"/>
            </w:tcBorders>
            <w:shd w:val="clear" w:color="auto" w:fill="FFFFFF" w:themeFill="background1"/>
          </w:tcPr>
          <w:p w14:paraId="3627DF1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1.09</w:t>
            </w:r>
          </w:p>
        </w:tc>
      </w:tr>
      <w:tr w:rsidR="00BA06B6" w:rsidRPr="00BA06B6" w14:paraId="00BD4508" w14:textId="77777777" w:rsidTr="00B91469">
        <w:trPr>
          <w:trHeight w:val="20"/>
          <w:tblHeader/>
          <w:jc w:val="center"/>
        </w:trPr>
        <w:tc>
          <w:tcPr>
            <w:tcW w:w="409" w:type="pct"/>
            <w:tcBorders>
              <w:top w:val="nil"/>
              <w:bottom w:val="nil"/>
            </w:tcBorders>
            <w:shd w:val="clear" w:color="auto" w:fill="FFFFFF" w:themeFill="background1"/>
            <w:vAlign w:val="bottom"/>
          </w:tcPr>
          <w:p w14:paraId="31E29B35"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43" w:type="pct"/>
            <w:tcBorders>
              <w:top w:val="nil"/>
              <w:bottom w:val="nil"/>
            </w:tcBorders>
            <w:shd w:val="clear" w:color="auto" w:fill="FFFFFF" w:themeFill="background1"/>
            <w:vAlign w:val="bottom"/>
          </w:tcPr>
          <w:p w14:paraId="5D690CA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(0.004)</w:t>
            </w:r>
          </w:p>
        </w:tc>
        <w:tc>
          <w:tcPr>
            <w:tcW w:w="443" w:type="pct"/>
            <w:tcBorders>
              <w:top w:val="nil"/>
              <w:bottom w:val="nil"/>
            </w:tcBorders>
            <w:shd w:val="clear" w:color="auto" w:fill="FFFFFF" w:themeFill="background1"/>
            <w:vAlign w:val="bottom"/>
          </w:tcPr>
          <w:p w14:paraId="2218538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(0.001)</w:t>
            </w:r>
          </w:p>
        </w:tc>
        <w:tc>
          <w:tcPr>
            <w:tcW w:w="443" w:type="pct"/>
            <w:tcBorders>
              <w:top w:val="nil"/>
              <w:bottom w:val="nil"/>
            </w:tcBorders>
            <w:shd w:val="clear" w:color="auto" w:fill="FFFFFF" w:themeFill="background1"/>
            <w:vAlign w:val="bottom"/>
          </w:tcPr>
          <w:p w14:paraId="1A49B74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(0.001)</w:t>
            </w:r>
          </w:p>
        </w:tc>
        <w:tc>
          <w:tcPr>
            <w:tcW w:w="403" w:type="pct"/>
            <w:tcBorders>
              <w:top w:val="nil"/>
              <w:bottom w:val="nil"/>
            </w:tcBorders>
            <w:shd w:val="clear" w:color="auto" w:fill="FFFFFF" w:themeFill="background1"/>
            <w:vAlign w:val="bottom"/>
          </w:tcPr>
          <w:p w14:paraId="190969C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(0.042)</w:t>
            </w:r>
          </w:p>
        </w:tc>
        <w:tc>
          <w:tcPr>
            <w:tcW w:w="403" w:type="pct"/>
            <w:tcBorders>
              <w:top w:val="nil"/>
              <w:bottom w:val="nil"/>
            </w:tcBorders>
            <w:shd w:val="clear" w:color="auto" w:fill="FFFFFF" w:themeFill="background1"/>
            <w:vAlign w:val="bottom"/>
          </w:tcPr>
          <w:p w14:paraId="192BAD3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(0.294)</w:t>
            </w:r>
          </w:p>
        </w:tc>
        <w:tc>
          <w:tcPr>
            <w:tcW w:w="403" w:type="pct"/>
            <w:tcBorders>
              <w:top w:val="nil"/>
              <w:bottom w:val="nil"/>
            </w:tcBorders>
            <w:shd w:val="clear" w:color="auto" w:fill="FFFFFF" w:themeFill="background1"/>
            <w:vAlign w:val="bottom"/>
          </w:tcPr>
          <w:p w14:paraId="3BA1F4F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03" w:type="pct"/>
            <w:tcBorders>
              <w:top w:val="nil"/>
              <w:bottom w:val="nil"/>
            </w:tcBorders>
            <w:shd w:val="clear" w:color="auto" w:fill="FFFFFF" w:themeFill="background1"/>
            <w:vAlign w:val="bottom"/>
          </w:tcPr>
          <w:p w14:paraId="4F3FB8F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(0.061)</w:t>
            </w:r>
          </w:p>
        </w:tc>
        <w:tc>
          <w:tcPr>
            <w:tcW w:w="403" w:type="pct"/>
            <w:tcBorders>
              <w:top w:val="nil"/>
              <w:bottom w:val="nil"/>
            </w:tcBorders>
            <w:shd w:val="clear" w:color="auto" w:fill="FFFFFF" w:themeFill="background1"/>
            <w:vAlign w:val="bottom"/>
          </w:tcPr>
          <w:p w14:paraId="5AA6D02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(0.045)</w:t>
            </w:r>
          </w:p>
        </w:tc>
        <w:tc>
          <w:tcPr>
            <w:tcW w:w="443" w:type="pct"/>
            <w:tcBorders>
              <w:top w:val="nil"/>
              <w:bottom w:val="nil"/>
            </w:tcBorders>
            <w:shd w:val="clear" w:color="auto" w:fill="FFFFFF" w:themeFill="background1"/>
            <w:vAlign w:val="bottom"/>
          </w:tcPr>
          <w:p w14:paraId="4C8BBFB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03" w:type="pct"/>
            <w:tcBorders>
              <w:top w:val="nil"/>
              <w:bottom w:val="nil"/>
            </w:tcBorders>
            <w:shd w:val="clear" w:color="auto" w:fill="FFFFFF" w:themeFill="background1"/>
            <w:vAlign w:val="bottom"/>
          </w:tcPr>
          <w:p w14:paraId="2846594C"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(0.051)</w:t>
            </w:r>
          </w:p>
        </w:tc>
        <w:tc>
          <w:tcPr>
            <w:tcW w:w="401" w:type="pct"/>
            <w:tcBorders>
              <w:top w:val="nil"/>
              <w:bottom w:val="nil"/>
            </w:tcBorders>
            <w:shd w:val="clear" w:color="auto" w:fill="FFFFFF" w:themeFill="background1"/>
          </w:tcPr>
          <w:p w14:paraId="2DDC8A9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(0.275)</w:t>
            </w:r>
          </w:p>
        </w:tc>
      </w:tr>
      <w:tr w:rsidR="00BA06B6" w:rsidRPr="00BA06B6" w14:paraId="50572159" w14:textId="77777777" w:rsidTr="00B91469">
        <w:trPr>
          <w:trHeight w:val="20"/>
          <w:tblHeader/>
          <w:jc w:val="center"/>
        </w:trPr>
        <w:tc>
          <w:tcPr>
            <w:tcW w:w="409" w:type="pct"/>
            <w:tcBorders>
              <w:top w:val="nil"/>
              <w:bottom w:val="nil"/>
            </w:tcBorders>
            <w:shd w:val="clear" w:color="auto" w:fill="FFFFFF" w:themeFill="background1"/>
            <w:vAlign w:val="bottom"/>
          </w:tcPr>
          <w:p w14:paraId="780E01A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INFL</w:t>
            </w:r>
          </w:p>
        </w:tc>
        <w:tc>
          <w:tcPr>
            <w:tcW w:w="443" w:type="pct"/>
            <w:tcBorders>
              <w:top w:val="nil"/>
              <w:bottom w:val="nil"/>
            </w:tcBorders>
            <w:shd w:val="clear" w:color="auto" w:fill="FFFFFF" w:themeFill="background1"/>
            <w:vAlign w:val="bottom"/>
          </w:tcPr>
          <w:p w14:paraId="4C620A8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-1.19</w:t>
            </w:r>
          </w:p>
        </w:tc>
        <w:tc>
          <w:tcPr>
            <w:tcW w:w="443" w:type="pct"/>
            <w:tcBorders>
              <w:top w:val="nil"/>
              <w:bottom w:val="nil"/>
            </w:tcBorders>
            <w:shd w:val="clear" w:color="auto" w:fill="FFFFFF" w:themeFill="background1"/>
            <w:vAlign w:val="bottom"/>
          </w:tcPr>
          <w:p w14:paraId="683BD97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-0.02</w:t>
            </w:r>
          </w:p>
        </w:tc>
        <w:tc>
          <w:tcPr>
            <w:tcW w:w="443" w:type="pct"/>
            <w:tcBorders>
              <w:top w:val="nil"/>
              <w:bottom w:val="nil"/>
            </w:tcBorders>
            <w:shd w:val="clear" w:color="auto" w:fill="FFFFFF" w:themeFill="background1"/>
            <w:vAlign w:val="bottom"/>
          </w:tcPr>
          <w:p w14:paraId="5B12183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-0.32</w:t>
            </w:r>
          </w:p>
        </w:tc>
        <w:tc>
          <w:tcPr>
            <w:tcW w:w="403" w:type="pct"/>
            <w:tcBorders>
              <w:top w:val="nil"/>
              <w:bottom w:val="nil"/>
            </w:tcBorders>
            <w:shd w:val="clear" w:color="auto" w:fill="FFFFFF" w:themeFill="background1"/>
            <w:vAlign w:val="bottom"/>
          </w:tcPr>
          <w:p w14:paraId="6039124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-0.72</w:t>
            </w:r>
          </w:p>
        </w:tc>
        <w:tc>
          <w:tcPr>
            <w:tcW w:w="403" w:type="pct"/>
            <w:tcBorders>
              <w:top w:val="nil"/>
              <w:bottom w:val="nil"/>
            </w:tcBorders>
            <w:shd w:val="clear" w:color="auto" w:fill="FFFFFF" w:themeFill="background1"/>
            <w:vAlign w:val="bottom"/>
          </w:tcPr>
          <w:p w14:paraId="0880505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-2.19</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3D970C2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-3.19</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66BAC36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-2.48</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25E75B4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-0.83</w:t>
            </w:r>
          </w:p>
        </w:tc>
        <w:tc>
          <w:tcPr>
            <w:tcW w:w="443" w:type="pct"/>
            <w:tcBorders>
              <w:top w:val="nil"/>
              <w:bottom w:val="nil"/>
            </w:tcBorders>
            <w:shd w:val="clear" w:color="auto" w:fill="FFFFFF" w:themeFill="background1"/>
            <w:vAlign w:val="bottom"/>
          </w:tcPr>
          <w:p w14:paraId="37A66FBE"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-2.41</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07198C8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-3.28</w:t>
            </w:r>
            <w:r w:rsidRPr="00BA06B6">
              <w:rPr>
                <w:rFonts w:ascii="Times New Roman" w:eastAsia="Calibri" w:hAnsi="Times New Roman" w:cs="Times New Roman"/>
                <w:bCs/>
                <w:sz w:val="18"/>
                <w:szCs w:val="18"/>
                <w:vertAlign w:val="superscript"/>
              </w:rPr>
              <w:t>***</w:t>
            </w:r>
          </w:p>
        </w:tc>
        <w:tc>
          <w:tcPr>
            <w:tcW w:w="401" w:type="pct"/>
            <w:tcBorders>
              <w:top w:val="nil"/>
              <w:bottom w:val="nil"/>
            </w:tcBorders>
            <w:shd w:val="clear" w:color="auto" w:fill="FFFFFF" w:themeFill="background1"/>
          </w:tcPr>
          <w:p w14:paraId="7A314CA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-2.06</w:t>
            </w:r>
            <w:r w:rsidRPr="00BA06B6">
              <w:rPr>
                <w:rFonts w:ascii="Times New Roman" w:eastAsia="Calibri" w:hAnsi="Times New Roman" w:cs="Times New Roman"/>
                <w:bCs/>
                <w:sz w:val="18"/>
                <w:szCs w:val="18"/>
                <w:vertAlign w:val="superscript"/>
              </w:rPr>
              <w:t>**</w:t>
            </w:r>
          </w:p>
        </w:tc>
      </w:tr>
      <w:tr w:rsidR="00BA06B6" w:rsidRPr="00BA06B6" w14:paraId="5EF4405E" w14:textId="77777777" w:rsidTr="00B91469">
        <w:trPr>
          <w:trHeight w:val="20"/>
          <w:tblHeader/>
          <w:jc w:val="center"/>
        </w:trPr>
        <w:tc>
          <w:tcPr>
            <w:tcW w:w="409" w:type="pct"/>
            <w:tcBorders>
              <w:top w:val="nil"/>
              <w:bottom w:val="nil"/>
            </w:tcBorders>
            <w:shd w:val="clear" w:color="auto" w:fill="FFFFFF" w:themeFill="background1"/>
            <w:vAlign w:val="bottom"/>
          </w:tcPr>
          <w:p w14:paraId="39A73C75"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43" w:type="pct"/>
            <w:tcBorders>
              <w:top w:val="nil"/>
              <w:bottom w:val="nil"/>
            </w:tcBorders>
            <w:shd w:val="clear" w:color="auto" w:fill="FFFFFF" w:themeFill="background1"/>
            <w:vAlign w:val="bottom"/>
          </w:tcPr>
          <w:p w14:paraId="5FC7284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(0.234)</w:t>
            </w:r>
          </w:p>
        </w:tc>
        <w:tc>
          <w:tcPr>
            <w:tcW w:w="443" w:type="pct"/>
            <w:tcBorders>
              <w:top w:val="nil"/>
              <w:bottom w:val="nil"/>
            </w:tcBorders>
            <w:shd w:val="clear" w:color="auto" w:fill="FFFFFF" w:themeFill="background1"/>
            <w:vAlign w:val="bottom"/>
          </w:tcPr>
          <w:p w14:paraId="7660E21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(0.980)</w:t>
            </w:r>
          </w:p>
        </w:tc>
        <w:tc>
          <w:tcPr>
            <w:tcW w:w="443" w:type="pct"/>
            <w:tcBorders>
              <w:top w:val="nil"/>
              <w:bottom w:val="nil"/>
            </w:tcBorders>
            <w:shd w:val="clear" w:color="auto" w:fill="FFFFFF" w:themeFill="background1"/>
            <w:vAlign w:val="bottom"/>
          </w:tcPr>
          <w:p w14:paraId="7DCF66D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(0.748)</w:t>
            </w:r>
          </w:p>
        </w:tc>
        <w:tc>
          <w:tcPr>
            <w:tcW w:w="403" w:type="pct"/>
            <w:tcBorders>
              <w:top w:val="nil"/>
              <w:bottom w:val="nil"/>
            </w:tcBorders>
            <w:shd w:val="clear" w:color="auto" w:fill="FFFFFF" w:themeFill="background1"/>
            <w:vAlign w:val="bottom"/>
          </w:tcPr>
          <w:p w14:paraId="18A882E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(0.472)</w:t>
            </w:r>
          </w:p>
        </w:tc>
        <w:tc>
          <w:tcPr>
            <w:tcW w:w="403" w:type="pct"/>
            <w:tcBorders>
              <w:top w:val="nil"/>
              <w:bottom w:val="nil"/>
            </w:tcBorders>
            <w:shd w:val="clear" w:color="auto" w:fill="FFFFFF" w:themeFill="background1"/>
            <w:vAlign w:val="bottom"/>
          </w:tcPr>
          <w:p w14:paraId="13B267B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(0.029)</w:t>
            </w:r>
          </w:p>
        </w:tc>
        <w:tc>
          <w:tcPr>
            <w:tcW w:w="403" w:type="pct"/>
            <w:tcBorders>
              <w:top w:val="nil"/>
              <w:bottom w:val="nil"/>
            </w:tcBorders>
            <w:shd w:val="clear" w:color="auto" w:fill="FFFFFF" w:themeFill="background1"/>
            <w:vAlign w:val="bottom"/>
          </w:tcPr>
          <w:p w14:paraId="3E4230E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(0.001)</w:t>
            </w:r>
          </w:p>
        </w:tc>
        <w:tc>
          <w:tcPr>
            <w:tcW w:w="403" w:type="pct"/>
            <w:tcBorders>
              <w:top w:val="nil"/>
              <w:bottom w:val="nil"/>
            </w:tcBorders>
            <w:shd w:val="clear" w:color="auto" w:fill="FFFFFF" w:themeFill="background1"/>
            <w:vAlign w:val="bottom"/>
          </w:tcPr>
          <w:p w14:paraId="0C5BAC3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(0.013)</w:t>
            </w:r>
          </w:p>
        </w:tc>
        <w:tc>
          <w:tcPr>
            <w:tcW w:w="403" w:type="pct"/>
            <w:tcBorders>
              <w:top w:val="nil"/>
              <w:bottom w:val="nil"/>
            </w:tcBorders>
            <w:shd w:val="clear" w:color="auto" w:fill="FFFFFF" w:themeFill="background1"/>
            <w:vAlign w:val="bottom"/>
          </w:tcPr>
          <w:p w14:paraId="33EABC0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(0.408)</w:t>
            </w:r>
          </w:p>
        </w:tc>
        <w:tc>
          <w:tcPr>
            <w:tcW w:w="443" w:type="pct"/>
            <w:tcBorders>
              <w:top w:val="nil"/>
              <w:bottom w:val="nil"/>
            </w:tcBorders>
            <w:shd w:val="clear" w:color="auto" w:fill="FFFFFF" w:themeFill="background1"/>
            <w:vAlign w:val="bottom"/>
          </w:tcPr>
          <w:p w14:paraId="4F3D4B8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(0.016)</w:t>
            </w:r>
          </w:p>
        </w:tc>
        <w:tc>
          <w:tcPr>
            <w:tcW w:w="403" w:type="pct"/>
            <w:tcBorders>
              <w:top w:val="nil"/>
              <w:bottom w:val="nil"/>
            </w:tcBorders>
            <w:shd w:val="clear" w:color="auto" w:fill="FFFFFF" w:themeFill="background1"/>
            <w:vAlign w:val="bottom"/>
          </w:tcPr>
          <w:p w14:paraId="7D86C60A"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(0.001)</w:t>
            </w:r>
          </w:p>
        </w:tc>
        <w:tc>
          <w:tcPr>
            <w:tcW w:w="401" w:type="pct"/>
            <w:tcBorders>
              <w:top w:val="nil"/>
              <w:bottom w:val="nil"/>
            </w:tcBorders>
            <w:shd w:val="clear" w:color="auto" w:fill="FFFFFF" w:themeFill="background1"/>
          </w:tcPr>
          <w:p w14:paraId="36686B97"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(0.040)</w:t>
            </w:r>
          </w:p>
        </w:tc>
      </w:tr>
      <w:tr w:rsidR="00BA06B6" w:rsidRPr="00BA06B6" w14:paraId="2ED0ED6E" w14:textId="77777777" w:rsidTr="00B91469">
        <w:trPr>
          <w:trHeight w:val="20"/>
          <w:tblHeader/>
          <w:jc w:val="center"/>
        </w:trPr>
        <w:tc>
          <w:tcPr>
            <w:tcW w:w="409" w:type="pct"/>
            <w:tcBorders>
              <w:top w:val="nil"/>
              <w:bottom w:val="nil"/>
            </w:tcBorders>
            <w:shd w:val="clear" w:color="auto" w:fill="FFFFFF" w:themeFill="background1"/>
            <w:vAlign w:val="bottom"/>
          </w:tcPr>
          <w:p w14:paraId="5B563F0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GDPC</w:t>
            </w:r>
          </w:p>
        </w:tc>
        <w:tc>
          <w:tcPr>
            <w:tcW w:w="443" w:type="pct"/>
            <w:tcBorders>
              <w:top w:val="nil"/>
              <w:bottom w:val="nil"/>
            </w:tcBorders>
            <w:shd w:val="clear" w:color="auto" w:fill="FFFFFF" w:themeFill="background1"/>
            <w:vAlign w:val="bottom"/>
          </w:tcPr>
          <w:p w14:paraId="16BD949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4.62</w:t>
            </w:r>
            <w:r w:rsidRPr="00BA06B6">
              <w:rPr>
                <w:rFonts w:ascii="Times New Roman" w:eastAsia="Calibri" w:hAnsi="Times New Roman" w:cs="Times New Roman"/>
                <w:bCs/>
                <w:sz w:val="18"/>
                <w:szCs w:val="18"/>
                <w:vertAlign w:val="superscript"/>
              </w:rPr>
              <w:t>***</w:t>
            </w:r>
          </w:p>
        </w:tc>
        <w:tc>
          <w:tcPr>
            <w:tcW w:w="443" w:type="pct"/>
            <w:tcBorders>
              <w:top w:val="nil"/>
              <w:bottom w:val="nil"/>
            </w:tcBorders>
            <w:shd w:val="clear" w:color="auto" w:fill="FFFFFF" w:themeFill="background1"/>
            <w:vAlign w:val="bottom"/>
          </w:tcPr>
          <w:p w14:paraId="01FA278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3.70</w:t>
            </w:r>
            <w:r w:rsidRPr="00BA06B6">
              <w:rPr>
                <w:rFonts w:ascii="Times New Roman" w:eastAsia="Calibri" w:hAnsi="Times New Roman" w:cs="Times New Roman"/>
                <w:bCs/>
                <w:sz w:val="18"/>
                <w:szCs w:val="18"/>
                <w:vertAlign w:val="superscript"/>
              </w:rPr>
              <w:t>***</w:t>
            </w:r>
          </w:p>
        </w:tc>
        <w:tc>
          <w:tcPr>
            <w:tcW w:w="443" w:type="pct"/>
            <w:tcBorders>
              <w:top w:val="nil"/>
              <w:bottom w:val="nil"/>
            </w:tcBorders>
            <w:shd w:val="clear" w:color="auto" w:fill="FFFFFF" w:themeFill="background1"/>
            <w:vAlign w:val="bottom"/>
          </w:tcPr>
          <w:p w14:paraId="74CBCC4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3.98</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4969606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1.51</w:t>
            </w:r>
          </w:p>
        </w:tc>
        <w:tc>
          <w:tcPr>
            <w:tcW w:w="403" w:type="pct"/>
            <w:tcBorders>
              <w:top w:val="nil"/>
              <w:bottom w:val="nil"/>
            </w:tcBorders>
            <w:shd w:val="clear" w:color="auto" w:fill="FFFFFF" w:themeFill="background1"/>
            <w:vAlign w:val="bottom"/>
          </w:tcPr>
          <w:p w14:paraId="6AA4CD7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3.47</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4F6C7F2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0.31</w:t>
            </w:r>
          </w:p>
        </w:tc>
        <w:tc>
          <w:tcPr>
            <w:tcW w:w="403" w:type="pct"/>
            <w:tcBorders>
              <w:top w:val="nil"/>
              <w:bottom w:val="nil"/>
            </w:tcBorders>
            <w:shd w:val="clear" w:color="auto" w:fill="FFFFFF" w:themeFill="background1"/>
            <w:vAlign w:val="bottom"/>
          </w:tcPr>
          <w:p w14:paraId="10575C0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2.44</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0272565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3.47</w:t>
            </w:r>
            <w:r w:rsidRPr="00BA06B6">
              <w:rPr>
                <w:rFonts w:ascii="Times New Roman" w:eastAsia="Calibri" w:hAnsi="Times New Roman" w:cs="Times New Roman"/>
                <w:bCs/>
                <w:sz w:val="18"/>
                <w:szCs w:val="18"/>
                <w:vertAlign w:val="superscript"/>
              </w:rPr>
              <w:t>***</w:t>
            </w:r>
          </w:p>
        </w:tc>
        <w:tc>
          <w:tcPr>
            <w:tcW w:w="443" w:type="pct"/>
            <w:tcBorders>
              <w:top w:val="nil"/>
              <w:bottom w:val="nil"/>
            </w:tcBorders>
            <w:shd w:val="clear" w:color="auto" w:fill="FFFFFF" w:themeFill="background1"/>
            <w:vAlign w:val="bottom"/>
          </w:tcPr>
          <w:p w14:paraId="7767A46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 xml:space="preserve"> 0.70</w:t>
            </w:r>
          </w:p>
        </w:tc>
        <w:tc>
          <w:tcPr>
            <w:tcW w:w="403" w:type="pct"/>
            <w:tcBorders>
              <w:top w:val="nil"/>
              <w:bottom w:val="nil"/>
            </w:tcBorders>
            <w:shd w:val="clear" w:color="auto" w:fill="FFFFFF" w:themeFill="background1"/>
            <w:vAlign w:val="bottom"/>
          </w:tcPr>
          <w:p w14:paraId="5E1B8206"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4.66</w:t>
            </w:r>
            <w:r w:rsidRPr="00BA06B6">
              <w:rPr>
                <w:rFonts w:ascii="Times New Roman" w:eastAsia="Calibri" w:hAnsi="Times New Roman" w:cs="Times New Roman"/>
                <w:bCs/>
                <w:sz w:val="18"/>
                <w:szCs w:val="18"/>
                <w:vertAlign w:val="superscript"/>
              </w:rPr>
              <w:t>***</w:t>
            </w:r>
          </w:p>
        </w:tc>
        <w:tc>
          <w:tcPr>
            <w:tcW w:w="401" w:type="pct"/>
            <w:tcBorders>
              <w:top w:val="nil"/>
              <w:bottom w:val="nil"/>
            </w:tcBorders>
            <w:shd w:val="clear" w:color="auto" w:fill="FFFFFF" w:themeFill="background1"/>
          </w:tcPr>
          <w:p w14:paraId="60581956" w14:textId="77777777" w:rsidR="00AA068C" w:rsidRPr="00BA06B6" w:rsidRDefault="00AA068C" w:rsidP="00BC341D">
            <w:pPr>
              <w:tabs>
                <w:tab w:val="left" w:pos="851"/>
              </w:tabs>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1.54</w:t>
            </w:r>
          </w:p>
        </w:tc>
      </w:tr>
      <w:tr w:rsidR="00BA06B6" w:rsidRPr="00BA06B6" w14:paraId="797D9242" w14:textId="77777777" w:rsidTr="00B91469">
        <w:trPr>
          <w:trHeight w:val="20"/>
          <w:tblHeader/>
          <w:jc w:val="center"/>
        </w:trPr>
        <w:tc>
          <w:tcPr>
            <w:tcW w:w="409" w:type="pct"/>
            <w:tcBorders>
              <w:top w:val="nil"/>
              <w:bottom w:val="nil"/>
            </w:tcBorders>
            <w:shd w:val="clear" w:color="auto" w:fill="FFFFFF" w:themeFill="background1"/>
            <w:vAlign w:val="bottom"/>
          </w:tcPr>
          <w:p w14:paraId="20317219" w14:textId="77777777" w:rsidR="00AA068C" w:rsidRPr="00BA06B6" w:rsidRDefault="00AA068C" w:rsidP="00BC341D">
            <w:pPr>
              <w:tabs>
                <w:tab w:val="left" w:pos="851"/>
              </w:tabs>
              <w:jc w:val="both"/>
              <w:rPr>
                <w:rFonts w:ascii="Times New Roman" w:eastAsia="Calibri" w:hAnsi="Times New Roman" w:cs="Times New Roman"/>
                <w:sz w:val="18"/>
                <w:szCs w:val="18"/>
              </w:rPr>
            </w:pPr>
          </w:p>
        </w:tc>
        <w:tc>
          <w:tcPr>
            <w:tcW w:w="443" w:type="pct"/>
            <w:tcBorders>
              <w:top w:val="nil"/>
              <w:bottom w:val="nil"/>
            </w:tcBorders>
            <w:shd w:val="clear" w:color="auto" w:fill="FFFFFF" w:themeFill="background1"/>
            <w:vAlign w:val="bottom"/>
          </w:tcPr>
          <w:p w14:paraId="23F2FA7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43" w:type="pct"/>
            <w:tcBorders>
              <w:top w:val="nil"/>
              <w:bottom w:val="nil"/>
            </w:tcBorders>
            <w:shd w:val="clear" w:color="auto" w:fill="FFFFFF" w:themeFill="background1"/>
            <w:vAlign w:val="bottom"/>
          </w:tcPr>
          <w:p w14:paraId="3B7F180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43" w:type="pct"/>
            <w:tcBorders>
              <w:top w:val="nil"/>
              <w:bottom w:val="nil"/>
            </w:tcBorders>
            <w:shd w:val="clear" w:color="auto" w:fill="FFFFFF" w:themeFill="background1"/>
            <w:vAlign w:val="bottom"/>
          </w:tcPr>
          <w:p w14:paraId="15C9568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(0.000)</w:t>
            </w:r>
          </w:p>
        </w:tc>
        <w:tc>
          <w:tcPr>
            <w:tcW w:w="403" w:type="pct"/>
            <w:tcBorders>
              <w:top w:val="nil"/>
              <w:bottom w:val="nil"/>
            </w:tcBorders>
            <w:shd w:val="clear" w:color="auto" w:fill="FFFFFF" w:themeFill="background1"/>
            <w:vAlign w:val="bottom"/>
          </w:tcPr>
          <w:p w14:paraId="6809434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(0.130)</w:t>
            </w:r>
          </w:p>
        </w:tc>
        <w:tc>
          <w:tcPr>
            <w:tcW w:w="403" w:type="pct"/>
            <w:tcBorders>
              <w:top w:val="nil"/>
              <w:bottom w:val="nil"/>
            </w:tcBorders>
            <w:shd w:val="clear" w:color="auto" w:fill="FFFFFF" w:themeFill="background1"/>
            <w:vAlign w:val="bottom"/>
          </w:tcPr>
          <w:p w14:paraId="466794A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(0.001)</w:t>
            </w:r>
          </w:p>
        </w:tc>
        <w:tc>
          <w:tcPr>
            <w:tcW w:w="403" w:type="pct"/>
            <w:tcBorders>
              <w:top w:val="nil"/>
              <w:bottom w:val="nil"/>
            </w:tcBorders>
            <w:shd w:val="clear" w:color="auto" w:fill="FFFFFF" w:themeFill="background1"/>
            <w:vAlign w:val="bottom"/>
          </w:tcPr>
          <w:p w14:paraId="0EBF711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(0.759)</w:t>
            </w:r>
          </w:p>
        </w:tc>
        <w:tc>
          <w:tcPr>
            <w:tcW w:w="403" w:type="pct"/>
            <w:tcBorders>
              <w:top w:val="nil"/>
              <w:bottom w:val="nil"/>
            </w:tcBorders>
            <w:shd w:val="clear" w:color="auto" w:fill="FFFFFF" w:themeFill="background1"/>
            <w:vAlign w:val="bottom"/>
          </w:tcPr>
          <w:p w14:paraId="61613FD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(0.015)</w:t>
            </w:r>
          </w:p>
        </w:tc>
        <w:tc>
          <w:tcPr>
            <w:tcW w:w="403" w:type="pct"/>
            <w:tcBorders>
              <w:top w:val="nil"/>
              <w:bottom w:val="nil"/>
            </w:tcBorders>
            <w:shd w:val="clear" w:color="auto" w:fill="FFFFFF" w:themeFill="background1"/>
            <w:vAlign w:val="bottom"/>
          </w:tcPr>
          <w:p w14:paraId="6ADAEA7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(0.001)</w:t>
            </w:r>
          </w:p>
        </w:tc>
        <w:tc>
          <w:tcPr>
            <w:tcW w:w="443" w:type="pct"/>
            <w:tcBorders>
              <w:top w:val="nil"/>
              <w:bottom w:val="nil"/>
            </w:tcBorders>
            <w:shd w:val="clear" w:color="auto" w:fill="FFFFFF" w:themeFill="background1"/>
            <w:vAlign w:val="bottom"/>
          </w:tcPr>
          <w:p w14:paraId="6B614BB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(0.481)</w:t>
            </w:r>
          </w:p>
        </w:tc>
        <w:tc>
          <w:tcPr>
            <w:tcW w:w="403" w:type="pct"/>
            <w:tcBorders>
              <w:top w:val="nil"/>
              <w:bottom w:val="nil"/>
            </w:tcBorders>
            <w:shd w:val="clear" w:color="auto" w:fill="FFFFFF" w:themeFill="background1"/>
            <w:vAlign w:val="bottom"/>
          </w:tcPr>
          <w:p w14:paraId="0EA1A058"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(0.000)</w:t>
            </w:r>
          </w:p>
        </w:tc>
        <w:tc>
          <w:tcPr>
            <w:tcW w:w="401" w:type="pct"/>
            <w:tcBorders>
              <w:top w:val="nil"/>
              <w:bottom w:val="nil"/>
            </w:tcBorders>
            <w:shd w:val="clear" w:color="auto" w:fill="FFFFFF" w:themeFill="background1"/>
          </w:tcPr>
          <w:p w14:paraId="6990F7C1" w14:textId="77777777" w:rsidR="00AA068C" w:rsidRPr="00BA06B6" w:rsidRDefault="00AA068C" w:rsidP="00BC341D">
            <w:pPr>
              <w:tabs>
                <w:tab w:val="left" w:pos="851"/>
              </w:tabs>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(0.124)</w:t>
            </w:r>
          </w:p>
        </w:tc>
      </w:tr>
      <w:tr w:rsidR="00BA06B6" w:rsidRPr="00BA06B6" w14:paraId="58010686" w14:textId="77777777" w:rsidTr="00B91469">
        <w:trPr>
          <w:trHeight w:val="20"/>
          <w:tblHeader/>
          <w:jc w:val="center"/>
        </w:trPr>
        <w:tc>
          <w:tcPr>
            <w:tcW w:w="409" w:type="pct"/>
            <w:tcBorders>
              <w:top w:val="nil"/>
              <w:bottom w:val="nil"/>
            </w:tcBorders>
            <w:shd w:val="clear" w:color="auto" w:fill="FFFFFF" w:themeFill="background1"/>
            <w:vAlign w:val="bottom"/>
          </w:tcPr>
          <w:p w14:paraId="6160E470"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YD</w:t>
            </w:r>
          </w:p>
        </w:tc>
        <w:tc>
          <w:tcPr>
            <w:tcW w:w="443" w:type="pct"/>
            <w:tcBorders>
              <w:top w:val="nil"/>
              <w:bottom w:val="nil"/>
            </w:tcBorders>
            <w:shd w:val="clear" w:color="auto" w:fill="FFFFFF" w:themeFill="background1"/>
            <w:vAlign w:val="bottom"/>
          </w:tcPr>
          <w:p w14:paraId="5D287D4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Included</w:t>
            </w:r>
          </w:p>
        </w:tc>
        <w:tc>
          <w:tcPr>
            <w:tcW w:w="443" w:type="pct"/>
            <w:tcBorders>
              <w:top w:val="nil"/>
              <w:bottom w:val="nil"/>
            </w:tcBorders>
            <w:shd w:val="clear" w:color="auto" w:fill="FFFFFF" w:themeFill="background1"/>
            <w:vAlign w:val="bottom"/>
          </w:tcPr>
          <w:p w14:paraId="755A9F1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Included</w:t>
            </w:r>
          </w:p>
        </w:tc>
        <w:tc>
          <w:tcPr>
            <w:tcW w:w="443" w:type="pct"/>
            <w:tcBorders>
              <w:top w:val="nil"/>
              <w:bottom w:val="nil"/>
            </w:tcBorders>
            <w:shd w:val="clear" w:color="auto" w:fill="FFFFFF" w:themeFill="background1"/>
            <w:vAlign w:val="bottom"/>
          </w:tcPr>
          <w:p w14:paraId="30958208"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Included</w:t>
            </w:r>
          </w:p>
        </w:tc>
        <w:tc>
          <w:tcPr>
            <w:tcW w:w="403" w:type="pct"/>
            <w:tcBorders>
              <w:top w:val="nil"/>
              <w:bottom w:val="nil"/>
            </w:tcBorders>
            <w:shd w:val="clear" w:color="auto" w:fill="FFFFFF" w:themeFill="background1"/>
            <w:vAlign w:val="bottom"/>
          </w:tcPr>
          <w:p w14:paraId="72AA368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Included</w:t>
            </w:r>
          </w:p>
        </w:tc>
        <w:tc>
          <w:tcPr>
            <w:tcW w:w="403" w:type="pct"/>
            <w:tcBorders>
              <w:top w:val="nil"/>
              <w:bottom w:val="nil"/>
            </w:tcBorders>
            <w:shd w:val="clear" w:color="auto" w:fill="FFFFFF" w:themeFill="background1"/>
            <w:vAlign w:val="bottom"/>
          </w:tcPr>
          <w:p w14:paraId="06FBFAF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Included</w:t>
            </w:r>
          </w:p>
        </w:tc>
        <w:tc>
          <w:tcPr>
            <w:tcW w:w="403" w:type="pct"/>
            <w:tcBorders>
              <w:top w:val="nil"/>
              <w:bottom w:val="nil"/>
            </w:tcBorders>
            <w:shd w:val="clear" w:color="auto" w:fill="FFFFFF" w:themeFill="background1"/>
            <w:vAlign w:val="bottom"/>
          </w:tcPr>
          <w:p w14:paraId="0BD8C39C"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Included</w:t>
            </w:r>
          </w:p>
        </w:tc>
        <w:tc>
          <w:tcPr>
            <w:tcW w:w="403" w:type="pct"/>
            <w:tcBorders>
              <w:top w:val="nil"/>
              <w:bottom w:val="nil"/>
            </w:tcBorders>
            <w:shd w:val="clear" w:color="auto" w:fill="FFFFFF" w:themeFill="background1"/>
            <w:vAlign w:val="bottom"/>
          </w:tcPr>
          <w:p w14:paraId="15D4E947"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Included</w:t>
            </w:r>
          </w:p>
        </w:tc>
        <w:tc>
          <w:tcPr>
            <w:tcW w:w="403" w:type="pct"/>
            <w:tcBorders>
              <w:top w:val="nil"/>
              <w:bottom w:val="nil"/>
            </w:tcBorders>
            <w:shd w:val="clear" w:color="auto" w:fill="FFFFFF" w:themeFill="background1"/>
            <w:vAlign w:val="bottom"/>
          </w:tcPr>
          <w:p w14:paraId="240605B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Included</w:t>
            </w:r>
          </w:p>
        </w:tc>
        <w:tc>
          <w:tcPr>
            <w:tcW w:w="443" w:type="pct"/>
            <w:tcBorders>
              <w:top w:val="nil"/>
              <w:bottom w:val="nil"/>
            </w:tcBorders>
            <w:shd w:val="clear" w:color="auto" w:fill="FFFFFF" w:themeFill="background1"/>
            <w:vAlign w:val="bottom"/>
          </w:tcPr>
          <w:p w14:paraId="1615E47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Included</w:t>
            </w:r>
          </w:p>
        </w:tc>
        <w:tc>
          <w:tcPr>
            <w:tcW w:w="403" w:type="pct"/>
            <w:tcBorders>
              <w:top w:val="nil"/>
              <w:bottom w:val="nil"/>
            </w:tcBorders>
            <w:shd w:val="clear" w:color="auto" w:fill="FFFFFF" w:themeFill="background1"/>
            <w:vAlign w:val="bottom"/>
          </w:tcPr>
          <w:p w14:paraId="60E9AE4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Included</w:t>
            </w:r>
          </w:p>
        </w:tc>
        <w:tc>
          <w:tcPr>
            <w:tcW w:w="401" w:type="pct"/>
            <w:tcBorders>
              <w:top w:val="nil"/>
              <w:bottom w:val="nil"/>
            </w:tcBorders>
            <w:shd w:val="clear" w:color="auto" w:fill="FFFFFF" w:themeFill="background1"/>
          </w:tcPr>
          <w:p w14:paraId="7FCF8A7E" w14:textId="77777777" w:rsidR="00AA068C" w:rsidRPr="00BA06B6" w:rsidRDefault="00AA068C" w:rsidP="00BC341D">
            <w:pPr>
              <w:tabs>
                <w:tab w:val="left" w:pos="851"/>
              </w:tabs>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Included</w:t>
            </w:r>
          </w:p>
        </w:tc>
      </w:tr>
      <w:tr w:rsidR="00BA06B6" w:rsidRPr="00BA06B6" w14:paraId="5A3B96D4" w14:textId="77777777" w:rsidTr="00B91469">
        <w:trPr>
          <w:trHeight w:val="20"/>
          <w:tblHeader/>
          <w:jc w:val="center"/>
        </w:trPr>
        <w:tc>
          <w:tcPr>
            <w:tcW w:w="409" w:type="pct"/>
            <w:tcBorders>
              <w:top w:val="nil"/>
              <w:bottom w:val="nil"/>
            </w:tcBorders>
            <w:shd w:val="clear" w:color="auto" w:fill="FFFFFF" w:themeFill="background1"/>
            <w:vAlign w:val="bottom"/>
          </w:tcPr>
          <w:p w14:paraId="3A641B2C" w14:textId="77777777" w:rsidR="00AA068C" w:rsidRPr="00BA06B6" w:rsidRDefault="00AA068C" w:rsidP="00BC341D">
            <w:pPr>
              <w:tabs>
                <w:tab w:val="left" w:pos="851"/>
                <w:tab w:val="left" w:pos="1275"/>
              </w:tabs>
              <w:jc w:val="both"/>
              <w:rPr>
                <w:rFonts w:ascii="Times New Roman" w:eastAsia="Calibri" w:hAnsi="Times New Roman" w:cs="Times New Roman"/>
                <w:sz w:val="18"/>
                <w:szCs w:val="18"/>
              </w:rPr>
            </w:pPr>
            <w:r w:rsidRPr="00BA06B6">
              <w:rPr>
                <w:rFonts w:ascii="Times New Roman" w:eastAsia="Calibri" w:hAnsi="Times New Roman" w:cs="Times New Roman"/>
                <w:sz w:val="18"/>
                <w:szCs w:val="18"/>
              </w:rPr>
              <w:t>LR chi2</w:t>
            </w:r>
          </w:p>
        </w:tc>
        <w:tc>
          <w:tcPr>
            <w:tcW w:w="443" w:type="pct"/>
            <w:tcBorders>
              <w:top w:val="nil"/>
              <w:bottom w:val="nil"/>
            </w:tcBorders>
            <w:shd w:val="clear" w:color="auto" w:fill="FFFFFF" w:themeFill="background1"/>
            <w:vAlign w:val="bottom"/>
          </w:tcPr>
          <w:p w14:paraId="2D732E51"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1527.77</w:t>
            </w:r>
            <w:r w:rsidRPr="00BA06B6">
              <w:rPr>
                <w:rFonts w:ascii="Times New Roman" w:eastAsia="Calibri" w:hAnsi="Times New Roman" w:cs="Times New Roman"/>
                <w:bCs/>
                <w:sz w:val="18"/>
                <w:szCs w:val="18"/>
                <w:vertAlign w:val="superscript"/>
              </w:rPr>
              <w:t>***</w:t>
            </w:r>
          </w:p>
        </w:tc>
        <w:tc>
          <w:tcPr>
            <w:tcW w:w="443" w:type="pct"/>
            <w:tcBorders>
              <w:top w:val="nil"/>
              <w:bottom w:val="nil"/>
            </w:tcBorders>
            <w:shd w:val="clear" w:color="auto" w:fill="FFFFFF" w:themeFill="background1"/>
            <w:vAlign w:val="bottom"/>
          </w:tcPr>
          <w:p w14:paraId="36C4B045"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1601.83</w:t>
            </w:r>
            <w:r w:rsidRPr="00BA06B6">
              <w:rPr>
                <w:rFonts w:ascii="Times New Roman" w:eastAsia="Calibri" w:hAnsi="Times New Roman" w:cs="Times New Roman"/>
                <w:bCs/>
                <w:sz w:val="18"/>
                <w:szCs w:val="18"/>
                <w:vertAlign w:val="superscript"/>
              </w:rPr>
              <w:t>***</w:t>
            </w:r>
          </w:p>
        </w:tc>
        <w:tc>
          <w:tcPr>
            <w:tcW w:w="443" w:type="pct"/>
            <w:tcBorders>
              <w:top w:val="nil"/>
              <w:bottom w:val="nil"/>
            </w:tcBorders>
            <w:shd w:val="clear" w:color="auto" w:fill="FFFFFF" w:themeFill="background1"/>
            <w:vAlign w:val="bottom"/>
          </w:tcPr>
          <w:p w14:paraId="32AB0E8D"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1620.91</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6759F5A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438.39</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013153D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694.35</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5C695E74"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597.21</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515966B3"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214.25</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6DC5CF2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402.09</w:t>
            </w:r>
            <w:r w:rsidRPr="00BA06B6">
              <w:rPr>
                <w:rFonts w:ascii="Times New Roman" w:eastAsia="Calibri" w:hAnsi="Times New Roman" w:cs="Times New Roman"/>
                <w:bCs/>
                <w:sz w:val="18"/>
                <w:szCs w:val="18"/>
                <w:vertAlign w:val="superscript"/>
              </w:rPr>
              <w:t>***</w:t>
            </w:r>
          </w:p>
        </w:tc>
        <w:tc>
          <w:tcPr>
            <w:tcW w:w="443" w:type="pct"/>
            <w:tcBorders>
              <w:top w:val="nil"/>
              <w:bottom w:val="nil"/>
            </w:tcBorders>
            <w:shd w:val="clear" w:color="auto" w:fill="FFFFFF" w:themeFill="background1"/>
            <w:vAlign w:val="bottom"/>
          </w:tcPr>
          <w:p w14:paraId="58A9A54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1129.77</w:t>
            </w:r>
            <w:r w:rsidRPr="00BA06B6">
              <w:rPr>
                <w:rFonts w:ascii="Times New Roman" w:eastAsia="Calibri" w:hAnsi="Times New Roman" w:cs="Times New Roman"/>
                <w:bCs/>
                <w:sz w:val="18"/>
                <w:szCs w:val="18"/>
                <w:vertAlign w:val="superscript"/>
              </w:rPr>
              <w:t>***</w:t>
            </w:r>
          </w:p>
        </w:tc>
        <w:tc>
          <w:tcPr>
            <w:tcW w:w="403" w:type="pct"/>
            <w:tcBorders>
              <w:top w:val="nil"/>
              <w:bottom w:val="nil"/>
            </w:tcBorders>
            <w:shd w:val="clear" w:color="auto" w:fill="FFFFFF" w:themeFill="background1"/>
            <w:vAlign w:val="bottom"/>
          </w:tcPr>
          <w:p w14:paraId="7F36439F"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100.06</w:t>
            </w:r>
            <w:r w:rsidRPr="00BA06B6">
              <w:rPr>
                <w:rFonts w:ascii="Times New Roman" w:eastAsia="Calibri" w:hAnsi="Times New Roman" w:cs="Times New Roman"/>
                <w:bCs/>
                <w:sz w:val="18"/>
                <w:szCs w:val="18"/>
                <w:vertAlign w:val="superscript"/>
              </w:rPr>
              <w:t>***</w:t>
            </w:r>
          </w:p>
        </w:tc>
        <w:tc>
          <w:tcPr>
            <w:tcW w:w="401" w:type="pct"/>
            <w:tcBorders>
              <w:top w:val="nil"/>
              <w:bottom w:val="nil"/>
            </w:tcBorders>
            <w:shd w:val="clear" w:color="auto" w:fill="FFFFFF" w:themeFill="background1"/>
          </w:tcPr>
          <w:p w14:paraId="5FCD18C1" w14:textId="77777777" w:rsidR="00AA068C" w:rsidRPr="00BA06B6" w:rsidRDefault="00AA068C" w:rsidP="00BC341D">
            <w:pPr>
              <w:tabs>
                <w:tab w:val="left" w:pos="851"/>
              </w:tabs>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185.01</w:t>
            </w:r>
            <w:r w:rsidRPr="00BA06B6">
              <w:rPr>
                <w:rFonts w:ascii="Times New Roman" w:eastAsia="Calibri" w:hAnsi="Times New Roman" w:cs="Times New Roman"/>
                <w:bCs/>
                <w:sz w:val="18"/>
                <w:szCs w:val="18"/>
                <w:vertAlign w:val="superscript"/>
              </w:rPr>
              <w:t>***</w:t>
            </w:r>
          </w:p>
        </w:tc>
      </w:tr>
      <w:tr w:rsidR="00BA06B6" w:rsidRPr="00BA06B6" w14:paraId="74B5816E" w14:textId="77777777" w:rsidTr="00B91469">
        <w:trPr>
          <w:trHeight w:val="20"/>
          <w:tblHeader/>
          <w:jc w:val="center"/>
        </w:trPr>
        <w:tc>
          <w:tcPr>
            <w:tcW w:w="409" w:type="pct"/>
            <w:tcBorders>
              <w:top w:val="nil"/>
              <w:bottom w:val="nil"/>
            </w:tcBorders>
            <w:shd w:val="clear" w:color="auto" w:fill="FFFFFF" w:themeFill="background1"/>
            <w:vAlign w:val="bottom"/>
          </w:tcPr>
          <w:p w14:paraId="3B162060" w14:textId="77777777" w:rsidR="00AA068C" w:rsidRPr="00BA06B6" w:rsidRDefault="00AA068C" w:rsidP="00BC341D">
            <w:pPr>
              <w:tabs>
                <w:tab w:val="left" w:pos="851"/>
                <w:tab w:val="left" w:pos="1275"/>
              </w:tabs>
              <w:jc w:val="both"/>
              <w:rPr>
                <w:rFonts w:ascii="Times New Roman" w:eastAsia="Calibri" w:hAnsi="Times New Roman" w:cs="Times New Roman"/>
                <w:sz w:val="18"/>
                <w:szCs w:val="18"/>
                <w:vertAlign w:val="superscript"/>
              </w:rPr>
            </w:pPr>
            <w:r w:rsidRPr="00BA06B6">
              <w:rPr>
                <w:rFonts w:ascii="Times New Roman" w:eastAsia="Calibri" w:hAnsi="Times New Roman" w:cs="Times New Roman"/>
                <w:sz w:val="18"/>
                <w:szCs w:val="18"/>
              </w:rPr>
              <w:t>Pseudo R</w:t>
            </w:r>
            <w:r w:rsidRPr="00BA06B6">
              <w:rPr>
                <w:rFonts w:ascii="Times New Roman" w:eastAsia="Calibri" w:hAnsi="Times New Roman" w:cs="Times New Roman"/>
                <w:sz w:val="18"/>
                <w:szCs w:val="18"/>
                <w:vertAlign w:val="superscript"/>
              </w:rPr>
              <w:t>2</w:t>
            </w:r>
          </w:p>
        </w:tc>
        <w:tc>
          <w:tcPr>
            <w:tcW w:w="443" w:type="pct"/>
            <w:tcBorders>
              <w:top w:val="nil"/>
              <w:bottom w:val="nil"/>
            </w:tcBorders>
            <w:shd w:val="clear" w:color="auto" w:fill="FFFFFF" w:themeFill="background1"/>
          </w:tcPr>
          <w:p w14:paraId="5AE4E927" w14:textId="77777777" w:rsidR="00AA068C" w:rsidRPr="00BA06B6" w:rsidRDefault="00AA068C" w:rsidP="00BC341D">
            <w:pPr>
              <w:tabs>
                <w:tab w:val="left" w:pos="851"/>
              </w:tabs>
              <w:rPr>
                <w:rFonts w:ascii="Times New Roman" w:eastAsia="Calibri" w:hAnsi="Times New Roman" w:cs="Times New Roman"/>
                <w:sz w:val="18"/>
                <w:szCs w:val="18"/>
              </w:rPr>
            </w:pPr>
            <w:r w:rsidRPr="00BA06B6">
              <w:rPr>
                <w:rFonts w:ascii="Times New Roman" w:eastAsia="Calibri" w:hAnsi="Times New Roman" w:cs="Times New Roman"/>
                <w:bCs/>
                <w:sz w:val="18"/>
                <w:szCs w:val="18"/>
              </w:rPr>
              <w:t>0.4838</w:t>
            </w:r>
          </w:p>
        </w:tc>
        <w:tc>
          <w:tcPr>
            <w:tcW w:w="443" w:type="pct"/>
            <w:tcBorders>
              <w:top w:val="nil"/>
              <w:bottom w:val="nil"/>
            </w:tcBorders>
            <w:shd w:val="clear" w:color="auto" w:fill="FFFFFF" w:themeFill="background1"/>
          </w:tcPr>
          <w:p w14:paraId="1AD154B0" w14:textId="77777777" w:rsidR="00AA068C" w:rsidRPr="00BA06B6" w:rsidRDefault="00AA068C" w:rsidP="00BC341D">
            <w:pPr>
              <w:tabs>
                <w:tab w:val="left" w:pos="851"/>
              </w:tabs>
              <w:rPr>
                <w:rFonts w:ascii="Times New Roman" w:eastAsia="Calibri" w:hAnsi="Times New Roman" w:cs="Times New Roman"/>
                <w:sz w:val="18"/>
                <w:szCs w:val="18"/>
              </w:rPr>
            </w:pPr>
            <w:r w:rsidRPr="00BA06B6">
              <w:rPr>
                <w:rFonts w:ascii="Times New Roman" w:eastAsia="Calibri" w:hAnsi="Times New Roman" w:cs="Times New Roman"/>
                <w:bCs/>
                <w:sz w:val="18"/>
                <w:szCs w:val="18"/>
              </w:rPr>
              <w:t>0.5088</w:t>
            </w:r>
          </w:p>
        </w:tc>
        <w:tc>
          <w:tcPr>
            <w:tcW w:w="443" w:type="pct"/>
            <w:tcBorders>
              <w:top w:val="nil"/>
              <w:bottom w:val="nil"/>
            </w:tcBorders>
            <w:shd w:val="clear" w:color="auto" w:fill="FFFFFF" w:themeFill="background1"/>
          </w:tcPr>
          <w:p w14:paraId="6BAA9D68" w14:textId="77777777" w:rsidR="00AA068C" w:rsidRPr="00BA06B6" w:rsidRDefault="00AA068C" w:rsidP="00BC341D">
            <w:pPr>
              <w:tabs>
                <w:tab w:val="left" w:pos="851"/>
              </w:tabs>
              <w:rPr>
                <w:rFonts w:ascii="Times New Roman" w:eastAsia="Calibri" w:hAnsi="Times New Roman" w:cs="Times New Roman"/>
                <w:sz w:val="18"/>
                <w:szCs w:val="18"/>
              </w:rPr>
            </w:pPr>
            <w:r w:rsidRPr="00BA06B6">
              <w:rPr>
                <w:rFonts w:ascii="Times New Roman" w:eastAsia="Calibri" w:hAnsi="Times New Roman" w:cs="Times New Roman"/>
                <w:bCs/>
                <w:sz w:val="18"/>
                <w:szCs w:val="18"/>
              </w:rPr>
              <w:t>0.5149</w:t>
            </w:r>
          </w:p>
        </w:tc>
        <w:tc>
          <w:tcPr>
            <w:tcW w:w="403" w:type="pct"/>
            <w:tcBorders>
              <w:top w:val="nil"/>
              <w:bottom w:val="nil"/>
            </w:tcBorders>
            <w:shd w:val="clear" w:color="auto" w:fill="FFFFFF" w:themeFill="background1"/>
          </w:tcPr>
          <w:p w14:paraId="0B6584D6" w14:textId="77777777" w:rsidR="00AA068C" w:rsidRPr="00BA06B6" w:rsidRDefault="00AA068C" w:rsidP="00BC341D">
            <w:pPr>
              <w:tabs>
                <w:tab w:val="left" w:pos="851"/>
              </w:tabs>
              <w:rPr>
                <w:rFonts w:ascii="Times New Roman" w:eastAsia="Calibri" w:hAnsi="Times New Roman" w:cs="Times New Roman"/>
                <w:sz w:val="18"/>
                <w:szCs w:val="18"/>
              </w:rPr>
            </w:pPr>
            <w:r w:rsidRPr="00BA06B6">
              <w:rPr>
                <w:rFonts w:ascii="Times New Roman" w:eastAsia="Calibri" w:hAnsi="Times New Roman" w:cs="Times New Roman"/>
                <w:bCs/>
                <w:sz w:val="18"/>
                <w:szCs w:val="18"/>
              </w:rPr>
              <w:t>0.6335</w:t>
            </w:r>
          </w:p>
        </w:tc>
        <w:tc>
          <w:tcPr>
            <w:tcW w:w="403" w:type="pct"/>
            <w:tcBorders>
              <w:top w:val="nil"/>
              <w:bottom w:val="nil"/>
            </w:tcBorders>
            <w:shd w:val="clear" w:color="auto" w:fill="FFFFFF" w:themeFill="background1"/>
          </w:tcPr>
          <w:p w14:paraId="50A5C881" w14:textId="77777777" w:rsidR="00AA068C" w:rsidRPr="00BA06B6" w:rsidRDefault="00AA068C" w:rsidP="00BC341D">
            <w:pPr>
              <w:tabs>
                <w:tab w:val="left" w:pos="851"/>
              </w:tabs>
              <w:rPr>
                <w:rFonts w:ascii="Times New Roman" w:eastAsia="Calibri" w:hAnsi="Times New Roman" w:cs="Times New Roman"/>
                <w:sz w:val="18"/>
                <w:szCs w:val="18"/>
              </w:rPr>
            </w:pPr>
            <w:r w:rsidRPr="00BA06B6">
              <w:rPr>
                <w:rFonts w:ascii="Times New Roman" w:eastAsia="Calibri" w:hAnsi="Times New Roman" w:cs="Times New Roman"/>
                <w:bCs/>
                <w:sz w:val="18"/>
                <w:szCs w:val="18"/>
              </w:rPr>
              <w:t>0.5538</w:t>
            </w:r>
          </w:p>
        </w:tc>
        <w:tc>
          <w:tcPr>
            <w:tcW w:w="403" w:type="pct"/>
            <w:tcBorders>
              <w:top w:val="nil"/>
              <w:bottom w:val="nil"/>
            </w:tcBorders>
            <w:shd w:val="clear" w:color="auto" w:fill="FFFFFF" w:themeFill="background1"/>
          </w:tcPr>
          <w:p w14:paraId="0309D0A3" w14:textId="77777777" w:rsidR="00AA068C" w:rsidRPr="00BA06B6" w:rsidRDefault="00AA068C" w:rsidP="00BC341D">
            <w:pPr>
              <w:tabs>
                <w:tab w:val="left" w:pos="851"/>
              </w:tabs>
              <w:rPr>
                <w:rFonts w:ascii="Times New Roman" w:eastAsia="Calibri" w:hAnsi="Times New Roman" w:cs="Times New Roman"/>
                <w:sz w:val="18"/>
                <w:szCs w:val="18"/>
              </w:rPr>
            </w:pPr>
            <w:r w:rsidRPr="00BA06B6">
              <w:rPr>
                <w:rFonts w:ascii="Times New Roman" w:eastAsia="Calibri" w:hAnsi="Times New Roman" w:cs="Times New Roman"/>
                <w:bCs/>
                <w:sz w:val="18"/>
                <w:szCs w:val="18"/>
              </w:rPr>
              <w:t>0.6027</w:t>
            </w:r>
          </w:p>
        </w:tc>
        <w:tc>
          <w:tcPr>
            <w:tcW w:w="403" w:type="pct"/>
            <w:tcBorders>
              <w:top w:val="nil"/>
              <w:bottom w:val="nil"/>
            </w:tcBorders>
            <w:shd w:val="clear" w:color="auto" w:fill="FFFFFF" w:themeFill="background1"/>
          </w:tcPr>
          <w:p w14:paraId="2A95B38A" w14:textId="77777777" w:rsidR="00AA068C" w:rsidRPr="00BA06B6" w:rsidRDefault="00AA068C" w:rsidP="00BC341D">
            <w:pPr>
              <w:tabs>
                <w:tab w:val="left" w:pos="851"/>
              </w:tabs>
              <w:rPr>
                <w:rFonts w:ascii="Times New Roman" w:eastAsia="Calibri" w:hAnsi="Times New Roman" w:cs="Times New Roman"/>
                <w:sz w:val="18"/>
                <w:szCs w:val="18"/>
              </w:rPr>
            </w:pPr>
            <w:r w:rsidRPr="00BA06B6">
              <w:rPr>
                <w:rFonts w:ascii="Times New Roman" w:eastAsia="Calibri" w:hAnsi="Times New Roman" w:cs="Times New Roman"/>
                <w:bCs/>
                <w:sz w:val="18"/>
                <w:szCs w:val="18"/>
              </w:rPr>
              <w:t>0.6824</w:t>
            </w:r>
          </w:p>
        </w:tc>
        <w:tc>
          <w:tcPr>
            <w:tcW w:w="403" w:type="pct"/>
            <w:tcBorders>
              <w:top w:val="nil"/>
              <w:bottom w:val="nil"/>
            </w:tcBorders>
            <w:shd w:val="clear" w:color="auto" w:fill="FFFFFF" w:themeFill="background1"/>
          </w:tcPr>
          <w:p w14:paraId="4C15830F" w14:textId="77777777" w:rsidR="00AA068C" w:rsidRPr="00BA06B6" w:rsidRDefault="00AA068C" w:rsidP="00BC341D">
            <w:pPr>
              <w:tabs>
                <w:tab w:val="left" w:pos="851"/>
              </w:tabs>
              <w:rPr>
                <w:rFonts w:ascii="Times New Roman" w:eastAsia="Calibri" w:hAnsi="Times New Roman" w:cs="Times New Roman"/>
                <w:sz w:val="18"/>
                <w:szCs w:val="18"/>
              </w:rPr>
            </w:pPr>
            <w:r w:rsidRPr="00BA06B6">
              <w:rPr>
                <w:rFonts w:ascii="Times New Roman" w:eastAsia="Calibri" w:hAnsi="Times New Roman" w:cs="Times New Roman"/>
                <w:bCs/>
                <w:sz w:val="18"/>
                <w:szCs w:val="18"/>
              </w:rPr>
              <w:t>0.5777</w:t>
            </w:r>
          </w:p>
        </w:tc>
        <w:tc>
          <w:tcPr>
            <w:tcW w:w="443" w:type="pct"/>
            <w:tcBorders>
              <w:top w:val="nil"/>
              <w:bottom w:val="nil"/>
            </w:tcBorders>
            <w:shd w:val="clear" w:color="auto" w:fill="FFFFFF" w:themeFill="background1"/>
          </w:tcPr>
          <w:p w14:paraId="7051C3B1" w14:textId="77777777" w:rsidR="00AA068C" w:rsidRPr="00BA06B6" w:rsidRDefault="00AA068C" w:rsidP="00BC341D">
            <w:pPr>
              <w:tabs>
                <w:tab w:val="left" w:pos="851"/>
              </w:tabs>
              <w:rPr>
                <w:rFonts w:ascii="Times New Roman" w:eastAsia="Calibri" w:hAnsi="Times New Roman" w:cs="Times New Roman"/>
                <w:sz w:val="18"/>
                <w:szCs w:val="18"/>
              </w:rPr>
            </w:pPr>
            <w:r w:rsidRPr="00BA06B6">
              <w:rPr>
                <w:rFonts w:ascii="Times New Roman" w:eastAsia="Calibri" w:hAnsi="Times New Roman" w:cs="Times New Roman"/>
                <w:bCs/>
                <w:sz w:val="18"/>
                <w:szCs w:val="18"/>
              </w:rPr>
              <w:t>0.5398</w:t>
            </w:r>
          </w:p>
        </w:tc>
        <w:tc>
          <w:tcPr>
            <w:tcW w:w="403" w:type="pct"/>
            <w:tcBorders>
              <w:top w:val="nil"/>
              <w:bottom w:val="nil"/>
            </w:tcBorders>
            <w:shd w:val="clear" w:color="auto" w:fill="FFFFFF" w:themeFill="background1"/>
          </w:tcPr>
          <w:p w14:paraId="0BCD5710" w14:textId="77777777" w:rsidR="00AA068C" w:rsidRPr="00BA06B6" w:rsidRDefault="00AA068C" w:rsidP="00BC341D">
            <w:pPr>
              <w:tabs>
                <w:tab w:val="left" w:pos="851"/>
              </w:tabs>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 xml:space="preserve"> 0.8457</w:t>
            </w:r>
          </w:p>
        </w:tc>
        <w:tc>
          <w:tcPr>
            <w:tcW w:w="401" w:type="pct"/>
            <w:tcBorders>
              <w:top w:val="nil"/>
              <w:bottom w:val="nil"/>
            </w:tcBorders>
            <w:shd w:val="clear" w:color="auto" w:fill="FFFFFF" w:themeFill="background1"/>
          </w:tcPr>
          <w:p w14:paraId="5F91BABB" w14:textId="77777777" w:rsidR="00AA068C" w:rsidRPr="00BA06B6" w:rsidRDefault="00AA068C" w:rsidP="00BC341D">
            <w:pPr>
              <w:tabs>
                <w:tab w:val="left" w:pos="851"/>
              </w:tabs>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0.2341</w:t>
            </w:r>
          </w:p>
        </w:tc>
      </w:tr>
      <w:tr w:rsidR="00BA06B6" w:rsidRPr="00BA06B6" w14:paraId="59EA095D" w14:textId="77777777" w:rsidTr="00B91469">
        <w:trPr>
          <w:trHeight w:val="20"/>
          <w:tblHeader/>
          <w:jc w:val="center"/>
        </w:trPr>
        <w:tc>
          <w:tcPr>
            <w:tcW w:w="409" w:type="pct"/>
            <w:tcBorders>
              <w:top w:val="nil"/>
            </w:tcBorders>
            <w:shd w:val="clear" w:color="auto" w:fill="FFFFFF" w:themeFill="background1"/>
            <w:vAlign w:val="bottom"/>
          </w:tcPr>
          <w:p w14:paraId="72334F92" w14:textId="77777777" w:rsidR="00AA068C" w:rsidRPr="00BA06B6" w:rsidRDefault="00AA068C" w:rsidP="00BC341D">
            <w:pPr>
              <w:tabs>
                <w:tab w:val="left" w:pos="851"/>
              </w:tabs>
              <w:jc w:val="both"/>
              <w:rPr>
                <w:rFonts w:ascii="Times New Roman" w:eastAsia="Calibri" w:hAnsi="Times New Roman" w:cs="Times New Roman"/>
                <w:sz w:val="18"/>
                <w:szCs w:val="18"/>
                <w:vertAlign w:val="superscript"/>
              </w:rPr>
            </w:pPr>
            <w:r w:rsidRPr="00BA06B6">
              <w:rPr>
                <w:rFonts w:ascii="Times New Roman" w:eastAsia="Calibri" w:hAnsi="Times New Roman" w:cs="Times New Roman"/>
                <w:sz w:val="18"/>
                <w:szCs w:val="18"/>
              </w:rPr>
              <w:t xml:space="preserve">No of </w:t>
            </w:r>
            <w:proofErr w:type="spellStart"/>
            <w:r w:rsidRPr="00BA06B6">
              <w:rPr>
                <w:rFonts w:ascii="Times New Roman" w:eastAsia="Calibri" w:hAnsi="Times New Roman" w:cs="Times New Roman"/>
                <w:sz w:val="18"/>
                <w:szCs w:val="18"/>
              </w:rPr>
              <w:t>obs</w:t>
            </w:r>
            <w:proofErr w:type="spellEnd"/>
          </w:p>
        </w:tc>
        <w:tc>
          <w:tcPr>
            <w:tcW w:w="443" w:type="pct"/>
            <w:tcBorders>
              <w:top w:val="nil"/>
            </w:tcBorders>
            <w:shd w:val="clear" w:color="auto" w:fill="FFFFFF" w:themeFill="background1"/>
            <w:vAlign w:val="bottom"/>
          </w:tcPr>
          <w:p w14:paraId="3580828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677</w:t>
            </w:r>
          </w:p>
        </w:tc>
        <w:tc>
          <w:tcPr>
            <w:tcW w:w="443" w:type="pct"/>
            <w:tcBorders>
              <w:top w:val="nil"/>
            </w:tcBorders>
            <w:shd w:val="clear" w:color="auto" w:fill="FFFFFF" w:themeFill="background1"/>
            <w:vAlign w:val="bottom"/>
          </w:tcPr>
          <w:p w14:paraId="1E1D7EC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675</w:t>
            </w:r>
          </w:p>
        </w:tc>
        <w:tc>
          <w:tcPr>
            <w:tcW w:w="443" w:type="pct"/>
            <w:tcBorders>
              <w:top w:val="nil"/>
            </w:tcBorders>
            <w:shd w:val="clear" w:color="auto" w:fill="FFFFFF" w:themeFill="background1"/>
            <w:vAlign w:val="bottom"/>
          </w:tcPr>
          <w:p w14:paraId="6C95F93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675</w:t>
            </w:r>
          </w:p>
        </w:tc>
        <w:tc>
          <w:tcPr>
            <w:tcW w:w="403" w:type="pct"/>
            <w:tcBorders>
              <w:top w:val="nil"/>
            </w:tcBorders>
            <w:shd w:val="clear" w:color="auto" w:fill="FFFFFF" w:themeFill="background1"/>
            <w:vAlign w:val="bottom"/>
          </w:tcPr>
          <w:p w14:paraId="50870AD9"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174</w:t>
            </w:r>
          </w:p>
        </w:tc>
        <w:tc>
          <w:tcPr>
            <w:tcW w:w="403" w:type="pct"/>
            <w:tcBorders>
              <w:top w:val="nil"/>
            </w:tcBorders>
            <w:shd w:val="clear" w:color="auto" w:fill="FFFFFF" w:themeFill="background1"/>
            <w:vAlign w:val="bottom"/>
          </w:tcPr>
          <w:p w14:paraId="67B80C82"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265</w:t>
            </w:r>
          </w:p>
        </w:tc>
        <w:tc>
          <w:tcPr>
            <w:tcW w:w="403" w:type="pct"/>
            <w:tcBorders>
              <w:top w:val="nil"/>
            </w:tcBorders>
            <w:shd w:val="clear" w:color="auto" w:fill="FFFFFF" w:themeFill="background1"/>
            <w:vAlign w:val="bottom"/>
          </w:tcPr>
          <w:p w14:paraId="1AC4C3BA"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236</w:t>
            </w:r>
          </w:p>
        </w:tc>
        <w:tc>
          <w:tcPr>
            <w:tcW w:w="403" w:type="pct"/>
            <w:tcBorders>
              <w:top w:val="nil"/>
            </w:tcBorders>
            <w:shd w:val="clear" w:color="auto" w:fill="FFFFFF" w:themeFill="background1"/>
            <w:vAlign w:val="bottom"/>
          </w:tcPr>
          <w:p w14:paraId="09956AA6"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73</w:t>
            </w:r>
          </w:p>
        </w:tc>
        <w:tc>
          <w:tcPr>
            <w:tcW w:w="403" w:type="pct"/>
            <w:tcBorders>
              <w:top w:val="nil"/>
            </w:tcBorders>
            <w:shd w:val="clear" w:color="auto" w:fill="FFFFFF" w:themeFill="background1"/>
            <w:vAlign w:val="bottom"/>
          </w:tcPr>
          <w:p w14:paraId="44291EFF"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157</w:t>
            </w:r>
          </w:p>
        </w:tc>
        <w:tc>
          <w:tcPr>
            <w:tcW w:w="443" w:type="pct"/>
            <w:tcBorders>
              <w:top w:val="nil"/>
            </w:tcBorders>
            <w:shd w:val="clear" w:color="auto" w:fill="FFFFFF" w:themeFill="background1"/>
            <w:vAlign w:val="bottom"/>
          </w:tcPr>
          <w:p w14:paraId="7896FB6B" w14:textId="77777777" w:rsidR="00AA068C" w:rsidRPr="00BA06B6" w:rsidRDefault="00AA068C" w:rsidP="00BC341D">
            <w:pPr>
              <w:tabs>
                <w:tab w:val="left" w:pos="851"/>
              </w:tabs>
              <w:jc w:val="both"/>
              <w:rPr>
                <w:rFonts w:ascii="Times New Roman" w:eastAsia="Calibri" w:hAnsi="Times New Roman" w:cs="Times New Roman"/>
                <w:sz w:val="18"/>
                <w:szCs w:val="18"/>
              </w:rPr>
            </w:pPr>
            <w:r w:rsidRPr="00BA06B6">
              <w:rPr>
                <w:rFonts w:ascii="Times New Roman" w:eastAsia="Calibri" w:hAnsi="Times New Roman" w:cs="Times New Roman"/>
                <w:bCs/>
                <w:sz w:val="18"/>
                <w:szCs w:val="18"/>
              </w:rPr>
              <w:t>445</w:t>
            </w:r>
          </w:p>
        </w:tc>
        <w:tc>
          <w:tcPr>
            <w:tcW w:w="403" w:type="pct"/>
            <w:tcBorders>
              <w:top w:val="nil"/>
            </w:tcBorders>
            <w:shd w:val="clear" w:color="auto" w:fill="FFFFFF" w:themeFill="background1"/>
            <w:vAlign w:val="bottom"/>
          </w:tcPr>
          <w:p w14:paraId="53382F75" w14:textId="77777777" w:rsidR="00AA068C" w:rsidRPr="00BA06B6" w:rsidRDefault="00AA068C" w:rsidP="00BC341D">
            <w:pPr>
              <w:tabs>
                <w:tab w:val="left" w:pos="851"/>
              </w:tabs>
              <w:jc w:val="both"/>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675</w:t>
            </w:r>
          </w:p>
        </w:tc>
        <w:tc>
          <w:tcPr>
            <w:tcW w:w="401" w:type="pct"/>
            <w:tcBorders>
              <w:top w:val="nil"/>
            </w:tcBorders>
            <w:shd w:val="clear" w:color="auto" w:fill="FFFFFF" w:themeFill="background1"/>
          </w:tcPr>
          <w:p w14:paraId="2D817173" w14:textId="77777777" w:rsidR="00AA068C" w:rsidRPr="00BA06B6" w:rsidRDefault="00AA068C" w:rsidP="00BC341D">
            <w:pPr>
              <w:tabs>
                <w:tab w:val="left" w:pos="851"/>
              </w:tabs>
              <w:rPr>
                <w:rFonts w:ascii="Times New Roman" w:eastAsia="Calibri" w:hAnsi="Times New Roman" w:cs="Times New Roman"/>
                <w:bCs/>
                <w:sz w:val="18"/>
                <w:szCs w:val="18"/>
              </w:rPr>
            </w:pPr>
            <w:r w:rsidRPr="00BA06B6">
              <w:rPr>
                <w:rFonts w:ascii="Times New Roman" w:eastAsia="Calibri" w:hAnsi="Times New Roman" w:cs="Times New Roman"/>
                <w:bCs/>
                <w:sz w:val="18"/>
                <w:szCs w:val="18"/>
              </w:rPr>
              <w:t>588</w:t>
            </w:r>
          </w:p>
        </w:tc>
      </w:tr>
    </w:tbl>
    <w:p w14:paraId="027624A8" w14:textId="77777777" w:rsidR="00AA068C" w:rsidRPr="00BA06B6" w:rsidRDefault="00AA068C" w:rsidP="00AA068C">
      <w:pPr>
        <w:tabs>
          <w:tab w:val="left" w:pos="851"/>
        </w:tabs>
        <w:spacing w:after="0" w:line="240" w:lineRule="auto"/>
        <w:ind w:left="-993" w:right="-897"/>
        <w:jc w:val="both"/>
        <w:rPr>
          <w:rFonts w:ascii="Times New Roman" w:eastAsia="Times New Roman" w:hAnsi="Times New Roman" w:cs="Times New Roman"/>
          <w:sz w:val="16"/>
          <w:szCs w:val="16"/>
          <w:lang w:eastAsia="en-GB"/>
        </w:rPr>
      </w:pPr>
      <w:r w:rsidRPr="00BA06B6">
        <w:rPr>
          <w:rFonts w:ascii="Times New Roman" w:eastAsia="Calibri" w:hAnsi="Times New Roman" w:cs="Times New Roman"/>
          <w:i/>
          <w:iCs/>
          <w:sz w:val="17"/>
          <w:szCs w:val="17"/>
        </w:rPr>
        <w:t>Notes</w:t>
      </w:r>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i/>
          <w:sz w:val="17"/>
          <w:szCs w:val="17"/>
        </w:rPr>
        <w:t>P</w:t>
      </w:r>
      <w:r w:rsidRPr="00BA06B6">
        <w:rPr>
          <w:rFonts w:ascii="Times New Roman" w:eastAsia="Calibri" w:hAnsi="Times New Roman" w:cs="Times New Roman"/>
          <w:sz w:val="17"/>
          <w:szCs w:val="17"/>
        </w:rPr>
        <w:t xml:space="preserve">-values are in parentheses. ***, **, and * denote regression is significance at the 1%, 5% and 10% levels, respectively. Our final sample covers 95 banks listed in 12 MENA stock exchanges as follows: </w:t>
      </w:r>
      <w:r w:rsidRPr="00BA06B6">
        <w:rPr>
          <w:rFonts w:ascii="Times New Roman" w:eastAsia="Calibri" w:hAnsi="Times New Roman" w:cs="Times New Roman"/>
          <w:iCs/>
          <w:sz w:val="17"/>
          <w:szCs w:val="17"/>
        </w:rPr>
        <w:t xml:space="preserve">Bahrain, Egypt, Jordan, Kuwait, Lebanon, Morocco, Oman, Qatar, Saudi Arabia, Syria, Tunisia and UAE. The final sample consists of 700 bank-year observations </w:t>
      </w:r>
      <w:r w:rsidRPr="00BA06B6">
        <w:rPr>
          <w:rFonts w:ascii="Times New Roman" w:eastAsia="Calibri" w:hAnsi="Times New Roman" w:cs="Times New Roman"/>
          <w:sz w:val="17"/>
          <w:szCs w:val="17"/>
        </w:rPr>
        <w:t>over eight fiscal years, from 2006 to 2013.</w:t>
      </w:r>
      <w:r w:rsidRPr="00BA06B6">
        <w:rPr>
          <w:rFonts w:ascii="Times New Roman" w:eastAsia="Calibri" w:hAnsi="Times New Roman" w:cs="Times New Roman"/>
          <w:bCs/>
          <w:sz w:val="17"/>
          <w:szCs w:val="17"/>
          <w:lang w:val="en-US"/>
        </w:rPr>
        <w:t xml:space="preserve"> </w:t>
      </w:r>
      <w:r w:rsidRPr="00BA06B6">
        <w:rPr>
          <w:rFonts w:ascii="Times New Roman" w:eastAsia="Calibri" w:hAnsi="Times New Roman" w:cs="Times New Roman"/>
          <w:sz w:val="17"/>
          <w:szCs w:val="17"/>
        </w:rPr>
        <w:t>This table reports the following variables:</w:t>
      </w:r>
      <w:r w:rsidRPr="00BA06B6">
        <w:rPr>
          <w:rFonts w:ascii="Times New Roman" w:eastAsia="Calibri" w:hAnsi="Times New Roman" w:cs="Times New Roman"/>
          <w:bCs/>
          <w:i/>
          <w:sz w:val="17"/>
          <w:szCs w:val="17"/>
        </w:rPr>
        <w:t xml:space="preserve"> RATE</w:t>
      </w:r>
      <w:r w:rsidRPr="00BA06B6">
        <w:rPr>
          <w:rFonts w:ascii="Times New Roman" w:eastAsia="Calibri" w:hAnsi="Times New Roman" w:cs="Times New Roman"/>
          <w:bCs/>
          <w:sz w:val="17"/>
          <w:szCs w:val="17"/>
        </w:rPr>
        <w:t xml:space="preserve"> refers to </w:t>
      </w:r>
      <w:r w:rsidRPr="00BA06B6">
        <w:rPr>
          <w:rFonts w:ascii="Times New Roman" w:eastAsia="Calibri" w:hAnsi="Times New Roman" w:cs="Times New Roman"/>
          <w:sz w:val="17"/>
          <w:szCs w:val="17"/>
        </w:rPr>
        <w:t>Fitch</w:t>
      </w:r>
      <w:r w:rsidRPr="00BA06B6">
        <w:rPr>
          <w:rFonts w:ascii="Times New Roman" w:eastAsia="Calibri" w:hAnsi="Times New Roman" w:cs="Times New Roman"/>
          <w:bCs/>
          <w:sz w:val="17"/>
          <w:szCs w:val="17"/>
          <w:lang w:val="en-US"/>
        </w:rPr>
        <w:t xml:space="preserve"> long-term issuer default ratings; </w:t>
      </w:r>
      <w:r w:rsidRPr="00BA06B6">
        <w:rPr>
          <w:rFonts w:ascii="Times New Roman" w:eastAsia="Calibri" w:hAnsi="Times New Roman" w:cs="Times New Roman"/>
          <w:bCs/>
          <w:i/>
          <w:iCs/>
          <w:sz w:val="17"/>
          <w:szCs w:val="17"/>
          <w:lang w:val="en-US"/>
        </w:rPr>
        <w:t>RDI</w:t>
      </w:r>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bCs/>
          <w:sz w:val="17"/>
          <w:szCs w:val="17"/>
        </w:rPr>
        <w:t>refers to</w:t>
      </w:r>
      <w:r w:rsidRPr="00BA06B6">
        <w:rPr>
          <w:rFonts w:ascii="Times New Roman" w:eastAsia="Calibri" w:hAnsi="Times New Roman" w:cs="Times New Roman"/>
          <w:sz w:val="17"/>
          <w:szCs w:val="17"/>
        </w:rPr>
        <w:t xml:space="preserve"> risk disclosures index proxy for risk disclosure level; </w:t>
      </w:r>
      <w:r w:rsidRPr="00BA06B6">
        <w:rPr>
          <w:rFonts w:ascii="Times New Roman" w:eastAsia="Calibri" w:hAnsi="Times New Roman" w:cs="Times New Roman"/>
          <w:i/>
          <w:sz w:val="17"/>
          <w:szCs w:val="17"/>
        </w:rPr>
        <w:t>CG</w:t>
      </w:r>
      <w:r w:rsidRPr="00BA06B6">
        <w:rPr>
          <w:rFonts w:ascii="Times New Roman" w:eastAsia="Calibri" w:hAnsi="Times New Roman" w:cs="Times New Roman"/>
          <w:sz w:val="17"/>
          <w:szCs w:val="17"/>
        </w:rPr>
        <w:t xml:space="preserve"> refers to </w:t>
      </w:r>
      <w:r w:rsidRPr="00BA06B6">
        <w:rPr>
          <w:rFonts w:ascii="Times New Roman" w:eastAsia="Calibri" w:hAnsi="Times New Roman" w:cs="Times New Roman"/>
          <w:i/>
          <w:iCs/>
          <w:sz w:val="17"/>
          <w:szCs w:val="17"/>
        </w:rPr>
        <w:t>SSB,</w:t>
      </w:r>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i/>
          <w:iCs/>
          <w:sz w:val="17"/>
          <w:szCs w:val="17"/>
        </w:rPr>
        <w:t>BS</w:t>
      </w:r>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i/>
          <w:iCs/>
          <w:sz w:val="17"/>
          <w:szCs w:val="17"/>
        </w:rPr>
        <w:t>DUAL</w:t>
      </w:r>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i/>
          <w:iCs/>
          <w:sz w:val="17"/>
          <w:szCs w:val="17"/>
        </w:rPr>
        <w:t>GDB</w:t>
      </w:r>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i/>
          <w:sz w:val="17"/>
          <w:szCs w:val="17"/>
        </w:rPr>
        <w:t>BBID</w:t>
      </w:r>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i/>
          <w:iCs/>
          <w:sz w:val="17"/>
          <w:szCs w:val="17"/>
        </w:rPr>
        <w:t>BOWN</w:t>
      </w:r>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i/>
          <w:iCs/>
          <w:sz w:val="17"/>
          <w:szCs w:val="17"/>
        </w:rPr>
        <w:t>GOWN</w:t>
      </w:r>
      <w:r w:rsidRPr="00BA06B6">
        <w:rPr>
          <w:rFonts w:ascii="Times New Roman" w:eastAsia="Calibri" w:hAnsi="Times New Roman" w:cs="Times New Roman"/>
          <w:sz w:val="17"/>
          <w:szCs w:val="17"/>
        </w:rPr>
        <w:t xml:space="preserve">, and </w:t>
      </w:r>
      <w:r w:rsidRPr="00BA06B6">
        <w:rPr>
          <w:rFonts w:ascii="Times New Roman" w:eastAsia="Calibri" w:hAnsi="Times New Roman" w:cs="Times New Roman"/>
          <w:i/>
          <w:sz w:val="17"/>
          <w:szCs w:val="17"/>
        </w:rPr>
        <w:t>FOWN.</w:t>
      </w:r>
      <w:r w:rsidRPr="00BA06B6">
        <w:rPr>
          <w:rFonts w:ascii="Times New Roman" w:eastAsia="Calibri" w:hAnsi="Times New Roman" w:cs="Times New Roman"/>
          <w:sz w:val="17"/>
          <w:szCs w:val="17"/>
        </w:rPr>
        <w:t xml:space="preserve"> CONTROLS refers to the control variables, including </w:t>
      </w:r>
      <w:r w:rsidRPr="00BA06B6">
        <w:rPr>
          <w:rFonts w:ascii="Times New Roman" w:eastAsia="Calibri" w:hAnsi="Times New Roman" w:cs="Times New Roman"/>
          <w:i/>
          <w:iCs/>
          <w:sz w:val="17"/>
          <w:szCs w:val="17"/>
        </w:rPr>
        <w:t>LNTA</w:t>
      </w:r>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i/>
          <w:iCs/>
          <w:sz w:val="17"/>
          <w:szCs w:val="17"/>
        </w:rPr>
        <w:t>ROAA</w:t>
      </w:r>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bCs/>
          <w:i/>
          <w:iCs/>
          <w:sz w:val="17"/>
          <w:szCs w:val="17"/>
        </w:rPr>
        <w:t>LIQ</w:t>
      </w:r>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bCs/>
          <w:i/>
          <w:iCs/>
          <w:sz w:val="17"/>
          <w:szCs w:val="17"/>
        </w:rPr>
        <w:t>INCD</w:t>
      </w:r>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bCs/>
          <w:i/>
          <w:iCs/>
          <w:sz w:val="17"/>
          <w:szCs w:val="17"/>
        </w:rPr>
        <w:t>COST</w:t>
      </w:r>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bCs/>
          <w:i/>
          <w:iCs/>
          <w:sz w:val="17"/>
          <w:szCs w:val="17"/>
        </w:rPr>
        <w:t>CAP</w:t>
      </w:r>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bCs/>
          <w:i/>
          <w:iCs/>
          <w:sz w:val="17"/>
          <w:szCs w:val="17"/>
        </w:rPr>
        <w:t>V&amp;A</w:t>
      </w:r>
      <w:r w:rsidRPr="00BA06B6">
        <w:rPr>
          <w:rFonts w:ascii="Times New Roman" w:eastAsia="Calibri" w:hAnsi="Times New Roman" w:cs="Times New Roman"/>
          <w:bCs/>
          <w:sz w:val="17"/>
          <w:szCs w:val="17"/>
        </w:rPr>
        <w:t xml:space="preserve">, </w:t>
      </w:r>
      <w:r w:rsidRPr="00BA06B6">
        <w:rPr>
          <w:rFonts w:ascii="Times New Roman" w:eastAsia="Calibri" w:hAnsi="Times New Roman" w:cs="Times New Roman"/>
          <w:bCs/>
          <w:i/>
          <w:iCs/>
          <w:sz w:val="17"/>
          <w:szCs w:val="17"/>
        </w:rPr>
        <w:t>RQ</w:t>
      </w:r>
      <w:r w:rsidRPr="00BA06B6">
        <w:rPr>
          <w:rFonts w:ascii="Times New Roman" w:eastAsia="Calibri" w:hAnsi="Times New Roman" w:cs="Times New Roman"/>
          <w:bCs/>
          <w:sz w:val="17"/>
          <w:szCs w:val="17"/>
        </w:rPr>
        <w:t xml:space="preserve">, </w:t>
      </w:r>
      <w:r w:rsidRPr="00BA06B6">
        <w:rPr>
          <w:rFonts w:ascii="Times New Roman" w:eastAsia="Calibri" w:hAnsi="Times New Roman" w:cs="Times New Roman"/>
          <w:bCs/>
          <w:i/>
          <w:sz w:val="17"/>
          <w:szCs w:val="17"/>
          <w:lang w:val="en-US"/>
        </w:rPr>
        <w:t>RL</w:t>
      </w:r>
      <w:r w:rsidRPr="00BA06B6">
        <w:rPr>
          <w:rFonts w:ascii="Times New Roman" w:eastAsia="Calibri" w:hAnsi="Times New Roman" w:cs="Times New Roman"/>
          <w:bCs/>
          <w:sz w:val="17"/>
          <w:szCs w:val="17"/>
          <w:lang w:val="en-US"/>
        </w:rPr>
        <w:t xml:space="preserve">, </w:t>
      </w:r>
      <w:r w:rsidRPr="00BA06B6">
        <w:rPr>
          <w:rFonts w:ascii="Times New Roman" w:eastAsia="Calibri" w:hAnsi="Times New Roman" w:cs="Times New Roman"/>
          <w:i/>
          <w:sz w:val="17"/>
          <w:szCs w:val="17"/>
        </w:rPr>
        <w:t>YD</w:t>
      </w:r>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i/>
          <w:iCs/>
          <w:sz w:val="17"/>
          <w:szCs w:val="17"/>
        </w:rPr>
        <w:t>INFL</w:t>
      </w:r>
      <w:r w:rsidRPr="00BA06B6">
        <w:rPr>
          <w:rFonts w:ascii="Times New Roman" w:eastAsia="Calibri" w:hAnsi="Times New Roman" w:cs="Times New Roman"/>
          <w:sz w:val="17"/>
          <w:szCs w:val="17"/>
        </w:rPr>
        <w:t xml:space="preserve">, and </w:t>
      </w:r>
      <w:r w:rsidRPr="00BA06B6">
        <w:rPr>
          <w:rFonts w:ascii="Times New Roman" w:eastAsia="Calibri" w:hAnsi="Times New Roman" w:cs="Times New Roman"/>
          <w:i/>
          <w:iCs/>
          <w:sz w:val="17"/>
          <w:szCs w:val="17"/>
        </w:rPr>
        <w:t>GDP</w:t>
      </w:r>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sz w:val="17"/>
          <w:szCs w:val="17"/>
        </w:rPr>
        <w:object w:dxaOrig="200" w:dyaOrig="220" w14:anchorId="564CE6D3">
          <v:shape id="_x0000_i1029" type="#_x0000_t75" style="width:10.5pt;height:10.5pt" o:ole="">
            <v:imagedata r:id="rId29" o:title=""/>
          </v:shape>
          <o:OLEObject Type="Embed" ProgID="Equation.3" ShapeID="_x0000_i1029" DrawAspect="Content" ObjectID="_1654109777" r:id="rId31"/>
        </w:object>
      </w:r>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bCs/>
          <w:sz w:val="17"/>
          <w:szCs w:val="17"/>
        </w:rPr>
        <w:t>refers to</w:t>
      </w:r>
      <w:r w:rsidRPr="00BA06B6">
        <w:rPr>
          <w:rFonts w:ascii="Times New Roman" w:eastAsia="Calibri" w:hAnsi="Times New Roman" w:cs="Times New Roman"/>
          <w:sz w:val="17"/>
          <w:szCs w:val="17"/>
        </w:rPr>
        <w:t xml:space="preserve"> the error term; </w:t>
      </w:r>
      <m:oMath>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α</m:t>
            </m:r>
          </m:e>
          <m:sub>
            <m:r>
              <w:rPr>
                <w:rFonts w:ascii="Cambria Math" w:eastAsia="Calibri" w:hAnsi="Cambria Math" w:cs="Times New Roman"/>
                <w:sz w:val="17"/>
                <w:szCs w:val="17"/>
              </w:rPr>
              <m:t>0</m:t>
            </m:r>
          </m:sub>
        </m:sSub>
      </m:oMath>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bCs/>
          <w:sz w:val="17"/>
          <w:szCs w:val="17"/>
        </w:rPr>
        <w:t>refers to</w:t>
      </w:r>
      <w:r w:rsidRPr="00BA06B6">
        <w:rPr>
          <w:rFonts w:ascii="Times New Roman" w:eastAsia="Calibri" w:hAnsi="Times New Roman" w:cs="Times New Roman"/>
          <w:sz w:val="17"/>
          <w:szCs w:val="17"/>
        </w:rPr>
        <w:t xml:space="preserve"> the constant; </w:t>
      </w:r>
      <m:oMath>
        <m:sSub>
          <m:sSubPr>
            <m:ctrlPr>
              <w:rPr>
                <w:rFonts w:ascii="Cambria Math" w:eastAsia="Calibri" w:hAnsi="Cambria Math" w:cs="Times New Roman"/>
                <w:i/>
                <w:sz w:val="17"/>
                <w:szCs w:val="17"/>
              </w:rPr>
            </m:ctrlPr>
          </m:sSubPr>
          <m:e>
            <m:r>
              <w:rPr>
                <w:rFonts w:ascii="Cambria Math" w:eastAsia="Calibri" w:hAnsi="Cambria Math" w:cs="Times New Roman"/>
                <w:sz w:val="17"/>
                <w:szCs w:val="17"/>
              </w:rPr>
              <m:t>β</m:t>
            </m:r>
          </m:e>
          <m:sub>
            <m:r>
              <w:rPr>
                <w:rFonts w:ascii="Cambria Math" w:eastAsia="Calibri" w:hAnsi="Cambria Math" w:cs="Times New Roman"/>
                <w:sz w:val="17"/>
                <w:szCs w:val="17"/>
              </w:rPr>
              <m:t>i</m:t>
            </m:r>
          </m:sub>
        </m:sSub>
      </m:oMath>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bCs/>
          <w:sz w:val="17"/>
          <w:szCs w:val="17"/>
        </w:rPr>
        <w:t>refers to</w:t>
      </w:r>
      <w:r w:rsidRPr="00BA06B6">
        <w:rPr>
          <w:rFonts w:ascii="Times New Roman" w:eastAsia="Calibri" w:hAnsi="Times New Roman" w:cs="Times New Roman"/>
          <w:sz w:val="17"/>
          <w:szCs w:val="17"/>
        </w:rPr>
        <w:t xml:space="preserve"> the vectors of coefficient estimates; </w:t>
      </w:r>
      <w:r w:rsidRPr="00BA06B6">
        <w:rPr>
          <w:rFonts w:ascii="Times New Roman" w:eastAsia="Calibri" w:hAnsi="Times New Roman" w:cs="Times New Roman"/>
          <w:i/>
          <w:iCs/>
          <w:sz w:val="17"/>
          <w:szCs w:val="17"/>
        </w:rPr>
        <w:t>b</w:t>
      </w:r>
      <w:r w:rsidRPr="00BA06B6">
        <w:rPr>
          <w:rFonts w:ascii="Times New Roman" w:eastAsia="Calibri" w:hAnsi="Times New Roman" w:cs="Times New Roman"/>
          <w:sz w:val="17"/>
          <w:szCs w:val="17"/>
        </w:rPr>
        <w:t xml:space="preserve"> is bank in </w:t>
      </w:r>
      <w:r w:rsidRPr="00BA06B6">
        <w:rPr>
          <w:rFonts w:ascii="Times New Roman" w:eastAsia="Calibri" w:hAnsi="Times New Roman" w:cs="Times New Roman"/>
          <w:i/>
          <w:iCs/>
          <w:sz w:val="17"/>
          <w:szCs w:val="17"/>
        </w:rPr>
        <w:t>t</w:t>
      </w:r>
      <w:r w:rsidRPr="00BA06B6">
        <w:rPr>
          <w:rFonts w:ascii="Times New Roman" w:eastAsia="Calibri" w:hAnsi="Times New Roman" w:cs="Times New Roman"/>
          <w:sz w:val="17"/>
          <w:szCs w:val="17"/>
        </w:rPr>
        <w:t xml:space="preserve"> time. Variables are defined as follows: Fitch long-term issuer default ratings (</w:t>
      </w:r>
      <w:r w:rsidRPr="00BA06B6">
        <w:rPr>
          <w:rFonts w:ascii="Times New Roman" w:eastAsia="Calibri" w:hAnsi="Times New Roman" w:cs="Times New Roman"/>
          <w:i/>
          <w:iCs/>
          <w:sz w:val="17"/>
          <w:szCs w:val="17"/>
        </w:rPr>
        <w:t>RATE</w:t>
      </w:r>
      <w:r w:rsidRPr="00BA06B6">
        <w:rPr>
          <w:rFonts w:ascii="Times New Roman" w:eastAsia="Calibri" w:hAnsi="Times New Roman" w:cs="Times New Roman"/>
          <w:sz w:val="17"/>
          <w:szCs w:val="17"/>
        </w:rPr>
        <w:t>); risk disclosures quality (</w:t>
      </w:r>
      <w:r w:rsidRPr="00BA06B6">
        <w:rPr>
          <w:rFonts w:ascii="Times New Roman" w:eastAsia="Calibri" w:hAnsi="Times New Roman" w:cs="Times New Roman"/>
          <w:i/>
          <w:iCs/>
          <w:sz w:val="17"/>
          <w:szCs w:val="17"/>
        </w:rPr>
        <w:t>RDI</w:t>
      </w:r>
      <w:r w:rsidRPr="00BA06B6">
        <w:rPr>
          <w:rFonts w:ascii="Times New Roman" w:eastAsia="Calibri" w:hAnsi="Times New Roman" w:cs="Times New Roman"/>
          <w:sz w:val="17"/>
          <w:szCs w:val="17"/>
        </w:rPr>
        <w:t xml:space="preserve">); </w:t>
      </w:r>
      <w:r w:rsidRPr="00BA06B6">
        <w:rPr>
          <w:rFonts w:ascii="Times New Roman" w:eastAsia="Calibri" w:hAnsi="Times New Roman" w:cs="Times New Roman"/>
          <w:i/>
          <w:iCs/>
          <w:sz w:val="17"/>
          <w:szCs w:val="17"/>
        </w:rPr>
        <w:t>Shariah</w:t>
      </w:r>
      <w:r w:rsidRPr="00BA06B6">
        <w:rPr>
          <w:rFonts w:ascii="Times New Roman" w:eastAsia="Calibri" w:hAnsi="Times New Roman" w:cs="Times New Roman"/>
          <w:sz w:val="17"/>
          <w:szCs w:val="17"/>
        </w:rPr>
        <w:t xml:space="preserve"> supervisory board (</w:t>
      </w:r>
      <w:r w:rsidRPr="00BA06B6">
        <w:rPr>
          <w:rFonts w:ascii="Times New Roman" w:eastAsia="Calibri" w:hAnsi="Times New Roman" w:cs="Times New Roman"/>
          <w:i/>
          <w:iCs/>
          <w:sz w:val="17"/>
          <w:szCs w:val="17"/>
        </w:rPr>
        <w:t>SSB</w:t>
      </w:r>
      <w:r w:rsidRPr="00BA06B6">
        <w:rPr>
          <w:rFonts w:ascii="Times New Roman" w:eastAsia="Calibri" w:hAnsi="Times New Roman" w:cs="Times New Roman"/>
          <w:sz w:val="17"/>
          <w:szCs w:val="17"/>
        </w:rPr>
        <w:t>); board size (</w:t>
      </w:r>
      <w:r w:rsidRPr="00BA06B6">
        <w:rPr>
          <w:rFonts w:ascii="Times New Roman" w:eastAsia="Calibri" w:hAnsi="Times New Roman" w:cs="Times New Roman"/>
          <w:i/>
          <w:iCs/>
          <w:sz w:val="17"/>
          <w:szCs w:val="17"/>
        </w:rPr>
        <w:t>BS</w:t>
      </w:r>
      <w:r w:rsidRPr="00BA06B6">
        <w:rPr>
          <w:rFonts w:ascii="Times New Roman" w:eastAsia="Calibri" w:hAnsi="Times New Roman" w:cs="Times New Roman"/>
          <w:sz w:val="17"/>
          <w:szCs w:val="17"/>
        </w:rPr>
        <w:t>); CEO duality (</w:t>
      </w:r>
      <w:r w:rsidRPr="00BA06B6">
        <w:rPr>
          <w:rFonts w:ascii="Times New Roman" w:eastAsia="Calibri" w:hAnsi="Times New Roman" w:cs="Times New Roman"/>
          <w:i/>
          <w:iCs/>
          <w:sz w:val="17"/>
          <w:szCs w:val="17"/>
        </w:rPr>
        <w:t>DUAL</w:t>
      </w:r>
      <w:r w:rsidRPr="00BA06B6">
        <w:rPr>
          <w:rFonts w:ascii="Times New Roman" w:eastAsia="Calibri" w:hAnsi="Times New Roman" w:cs="Times New Roman"/>
          <w:sz w:val="17"/>
          <w:szCs w:val="17"/>
        </w:rPr>
        <w:t>); gender diversity (</w:t>
      </w:r>
      <w:r w:rsidRPr="00BA06B6">
        <w:rPr>
          <w:rFonts w:ascii="Times New Roman" w:eastAsia="Calibri" w:hAnsi="Times New Roman" w:cs="Times New Roman"/>
          <w:i/>
          <w:iCs/>
          <w:sz w:val="17"/>
          <w:szCs w:val="17"/>
        </w:rPr>
        <w:t>GDB</w:t>
      </w:r>
      <w:r w:rsidRPr="00BA06B6">
        <w:rPr>
          <w:rFonts w:ascii="Times New Roman" w:eastAsia="Calibri" w:hAnsi="Times New Roman" w:cs="Times New Roman"/>
          <w:sz w:val="17"/>
          <w:szCs w:val="17"/>
        </w:rPr>
        <w:t xml:space="preserve">); percentage of </w:t>
      </w:r>
      <w:r w:rsidRPr="00BA06B6">
        <w:rPr>
          <w:rFonts w:ascii="Times New Roman" w:eastAsia="Calibri" w:hAnsi="Times New Roman" w:cs="Times New Roman"/>
          <w:bCs/>
          <w:sz w:val="17"/>
          <w:szCs w:val="17"/>
        </w:rPr>
        <w:t>non-executives directors (</w:t>
      </w:r>
      <w:r w:rsidRPr="00BA06B6">
        <w:rPr>
          <w:rFonts w:ascii="Times New Roman" w:eastAsia="Calibri" w:hAnsi="Times New Roman" w:cs="Times New Roman"/>
          <w:bCs/>
          <w:i/>
          <w:iCs/>
          <w:sz w:val="17"/>
          <w:szCs w:val="17"/>
        </w:rPr>
        <w:t>BBID</w:t>
      </w:r>
      <w:r w:rsidRPr="00BA06B6">
        <w:rPr>
          <w:rFonts w:ascii="Times New Roman" w:eastAsia="Calibri" w:hAnsi="Times New Roman" w:cs="Times New Roman"/>
          <w:bCs/>
          <w:sz w:val="17"/>
          <w:szCs w:val="17"/>
        </w:rPr>
        <w:t>)</w:t>
      </w:r>
      <w:r w:rsidRPr="00BA06B6">
        <w:rPr>
          <w:rFonts w:ascii="Times New Roman" w:eastAsia="Calibri" w:hAnsi="Times New Roman" w:cs="Times New Roman"/>
          <w:sz w:val="17"/>
          <w:szCs w:val="17"/>
        </w:rPr>
        <w:t>; block ownership (</w:t>
      </w:r>
      <w:r w:rsidRPr="00BA06B6">
        <w:rPr>
          <w:rFonts w:ascii="Times New Roman" w:eastAsia="Calibri" w:hAnsi="Times New Roman" w:cs="Times New Roman"/>
          <w:i/>
          <w:iCs/>
          <w:sz w:val="17"/>
          <w:szCs w:val="17"/>
        </w:rPr>
        <w:t>BOWN</w:t>
      </w:r>
      <w:r w:rsidRPr="00BA06B6">
        <w:rPr>
          <w:rFonts w:ascii="Times New Roman" w:eastAsia="Calibri" w:hAnsi="Times New Roman" w:cs="Times New Roman"/>
          <w:sz w:val="17"/>
          <w:szCs w:val="17"/>
        </w:rPr>
        <w:t>); government ownership (</w:t>
      </w:r>
      <w:r w:rsidRPr="00BA06B6">
        <w:rPr>
          <w:rFonts w:ascii="Times New Roman" w:eastAsia="Calibri" w:hAnsi="Times New Roman" w:cs="Times New Roman"/>
          <w:i/>
          <w:iCs/>
          <w:sz w:val="17"/>
          <w:szCs w:val="17"/>
        </w:rPr>
        <w:t>GOWN</w:t>
      </w:r>
      <w:r w:rsidRPr="00BA06B6">
        <w:rPr>
          <w:rFonts w:ascii="Times New Roman" w:eastAsia="Calibri" w:hAnsi="Times New Roman" w:cs="Times New Roman"/>
          <w:sz w:val="17"/>
          <w:szCs w:val="17"/>
        </w:rPr>
        <w:t>); foreign ownership (</w:t>
      </w:r>
      <w:r w:rsidRPr="00BA06B6">
        <w:rPr>
          <w:rFonts w:ascii="Times New Roman" w:eastAsia="Calibri" w:hAnsi="Times New Roman" w:cs="Times New Roman"/>
          <w:i/>
          <w:iCs/>
          <w:sz w:val="17"/>
          <w:szCs w:val="17"/>
        </w:rPr>
        <w:t>FOWN</w:t>
      </w:r>
      <w:r w:rsidRPr="00BA06B6">
        <w:rPr>
          <w:rFonts w:ascii="Times New Roman" w:eastAsia="Calibri" w:hAnsi="Times New Roman" w:cs="Times New Roman"/>
          <w:sz w:val="17"/>
          <w:szCs w:val="17"/>
        </w:rPr>
        <w:t>); bank size (</w:t>
      </w:r>
      <w:r w:rsidRPr="00BA06B6">
        <w:rPr>
          <w:rFonts w:ascii="Times New Roman" w:eastAsia="Calibri" w:hAnsi="Times New Roman" w:cs="Times New Roman"/>
          <w:i/>
          <w:iCs/>
          <w:sz w:val="17"/>
          <w:szCs w:val="17"/>
        </w:rPr>
        <w:t>LNTA</w:t>
      </w:r>
      <w:r w:rsidRPr="00BA06B6">
        <w:rPr>
          <w:rFonts w:ascii="Times New Roman" w:eastAsia="Calibri" w:hAnsi="Times New Roman" w:cs="Times New Roman"/>
          <w:sz w:val="17"/>
          <w:szCs w:val="17"/>
        </w:rPr>
        <w:t>); performance (</w:t>
      </w:r>
      <w:r w:rsidRPr="00BA06B6">
        <w:rPr>
          <w:rFonts w:ascii="Times New Roman" w:eastAsia="Calibri" w:hAnsi="Times New Roman" w:cs="Times New Roman"/>
          <w:i/>
          <w:iCs/>
          <w:sz w:val="17"/>
          <w:szCs w:val="17"/>
        </w:rPr>
        <w:t>ROAA</w:t>
      </w:r>
      <w:r w:rsidRPr="00BA06B6">
        <w:rPr>
          <w:rFonts w:ascii="Times New Roman" w:eastAsia="Calibri" w:hAnsi="Times New Roman" w:cs="Times New Roman"/>
          <w:sz w:val="17"/>
          <w:szCs w:val="17"/>
        </w:rPr>
        <w:t>); liquidity (</w:t>
      </w:r>
      <w:r w:rsidRPr="00BA06B6">
        <w:rPr>
          <w:rFonts w:ascii="Times New Roman" w:eastAsia="Calibri" w:hAnsi="Times New Roman" w:cs="Times New Roman"/>
          <w:i/>
          <w:iCs/>
          <w:sz w:val="17"/>
          <w:szCs w:val="17"/>
        </w:rPr>
        <w:t>LIQ</w:t>
      </w:r>
      <w:r w:rsidRPr="00BA06B6">
        <w:rPr>
          <w:rFonts w:ascii="Times New Roman" w:eastAsia="Calibri" w:hAnsi="Times New Roman" w:cs="Times New Roman"/>
          <w:sz w:val="17"/>
          <w:szCs w:val="17"/>
        </w:rPr>
        <w:t>); income diversity (</w:t>
      </w:r>
      <w:r w:rsidRPr="00BA06B6">
        <w:rPr>
          <w:rFonts w:ascii="Times New Roman" w:eastAsia="Calibri" w:hAnsi="Times New Roman" w:cs="Times New Roman"/>
          <w:i/>
          <w:iCs/>
          <w:sz w:val="17"/>
          <w:szCs w:val="17"/>
        </w:rPr>
        <w:t>INCD</w:t>
      </w:r>
      <w:r w:rsidRPr="00BA06B6">
        <w:rPr>
          <w:rFonts w:ascii="Times New Roman" w:eastAsia="Calibri" w:hAnsi="Times New Roman" w:cs="Times New Roman"/>
          <w:sz w:val="17"/>
          <w:szCs w:val="17"/>
        </w:rPr>
        <w:t>); operational efficiency (</w:t>
      </w:r>
      <w:r w:rsidRPr="00BA06B6">
        <w:rPr>
          <w:rFonts w:ascii="Times New Roman" w:eastAsia="Calibri" w:hAnsi="Times New Roman" w:cs="Times New Roman"/>
          <w:i/>
          <w:iCs/>
          <w:sz w:val="17"/>
          <w:szCs w:val="17"/>
        </w:rPr>
        <w:t>COST</w:t>
      </w:r>
      <w:r w:rsidRPr="00BA06B6">
        <w:rPr>
          <w:rFonts w:ascii="Times New Roman" w:eastAsia="Calibri" w:hAnsi="Times New Roman" w:cs="Times New Roman"/>
          <w:sz w:val="17"/>
          <w:szCs w:val="17"/>
        </w:rPr>
        <w:t>); capital (</w:t>
      </w:r>
      <w:r w:rsidRPr="00BA06B6">
        <w:rPr>
          <w:rFonts w:ascii="Times New Roman" w:eastAsia="Calibri" w:hAnsi="Times New Roman" w:cs="Times New Roman"/>
          <w:i/>
          <w:iCs/>
          <w:sz w:val="17"/>
          <w:szCs w:val="17"/>
        </w:rPr>
        <w:t>CAP</w:t>
      </w:r>
      <w:r w:rsidRPr="00BA06B6">
        <w:rPr>
          <w:rFonts w:ascii="Times New Roman" w:eastAsia="Calibri" w:hAnsi="Times New Roman" w:cs="Times New Roman"/>
          <w:sz w:val="17"/>
          <w:szCs w:val="17"/>
        </w:rPr>
        <w:t>);  voice and accountability (</w:t>
      </w:r>
      <w:r w:rsidRPr="00BA06B6">
        <w:rPr>
          <w:rFonts w:ascii="Times New Roman" w:eastAsia="Calibri" w:hAnsi="Times New Roman" w:cs="Times New Roman"/>
          <w:i/>
          <w:iCs/>
          <w:sz w:val="17"/>
          <w:szCs w:val="17"/>
        </w:rPr>
        <w:t>V&amp;A</w:t>
      </w:r>
      <w:r w:rsidRPr="00BA06B6">
        <w:rPr>
          <w:rFonts w:ascii="Times New Roman" w:eastAsia="Calibri" w:hAnsi="Times New Roman" w:cs="Times New Roman"/>
          <w:sz w:val="17"/>
          <w:szCs w:val="17"/>
        </w:rPr>
        <w:t>); regulatory quality (</w:t>
      </w:r>
      <w:r w:rsidRPr="00BA06B6">
        <w:rPr>
          <w:rFonts w:ascii="Times New Roman" w:eastAsia="Calibri" w:hAnsi="Times New Roman" w:cs="Times New Roman"/>
          <w:i/>
          <w:iCs/>
          <w:sz w:val="17"/>
          <w:szCs w:val="17"/>
        </w:rPr>
        <w:t>RQ</w:t>
      </w:r>
      <w:r w:rsidRPr="00BA06B6">
        <w:rPr>
          <w:rFonts w:ascii="Times New Roman" w:eastAsia="Calibri" w:hAnsi="Times New Roman" w:cs="Times New Roman"/>
          <w:sz w:val="17"/>
          <w:szCs w:val="17"/>
        </w:rPr>
        <w:t>); rule of low (</w:t>
      </w:r>
      <w:r w:rsidRPr="00BA06B6">
        <w:rPr>
          <w:rFonts w:ascii="Times New Roman" w:eastAsia="Calibri" w:hAnsi="Times New Roman" w:cs="Times New Roman"/>
          <w:i/>
          <w:iCs/>
          <w:sz w:val="17"/>
          <w:szCs w:val="17"/>
        </w:rPr>
        <w:t>RL</w:t>
      </w:r>
      <w:r w:rsidRPr="00BA06B6">
        <w:rPr>
          <w:rFonts w:ascii="Times New Roman" w:eastAsia="Calibri" w:hAnsi="Times New Roman" w:cs="Times New Roman"/>
          <w:sz w:val="17"/>
          <w:szCs w:val="17"/>
        </w:rPr>
        <w:t>); inflation (</w:t>
      </w:r>
      <w:r w:rsidRPr="00BA06B6">
        <w:rPr>
          <w:rFonts w:ascii="Times New Roman" w:eastAsia="Calibri" w:hAnsi="Times New Roman" w:cs="Times New Roman"/>
          <w:i/>
          <w:iCs/>
          <w:sz w:val="17"/>
          <w:szCs w:val="17"/>
        </w:rPr>
        <w:t>INFL</w:t>
      </w:r>
      <w:r w:rsidRPr="00BA06B6">
        <w:rPr>
          <w:rFonts w:ascii="Times New Roman" w:eastAsia="Calibri" w:hAnsi="Times New Roman" w:cs="Times New Roman"/>
          <w:sz w:val="17"/>
          <w:szCs w:val="17"/>
        </w:rPr>
        <w:t>) and GDP per capita (</w:t>
      </w:r>
      <w:r w:rsidRPr="00BA06B6">
        <w:rPr>
          <w:rFonts w:ascii="Times New Roman" w:eastAsia="Calibri" w:hAnsi="Times New Roman" w:cs="Times New Roman"/>
          <w:i/>
          <w:iCs/>
          <w:sz w:val="17"/>
          <w:szCs w:val="17"/>
        </w:rPr>
        <w:t>GDP</w:t>
      </w:r>
      <w:r w:rsidRPr="00BA06B6">
        <w:rPr>
          <w:rFonts w:ascii="Times New Roman" w:eastAsia="Calibri" w:hAnsi="Times New Roman" w:cs="Times New Roman"/>
          <w:sz w:val="17"/>
          <w:szCs w:val="17"/>
        </w:rPr>
        <w:t>). Table 3 fully defines all the variables used.</w:t>
      </w:r>
      <w:r w:rsidRPr="00BA06B6">
        <w:rPr>
          <w:rFonts w:ascii="Times New Roman" w:eastAsia="Calibri" w:hAnsi="Times New Roman" w:cs="Times New Roman"/>
          <w:sz w:val="17"/>
          <w:szCs w:val="17"/>
        </w:rPr>
        <w:tab/>
      </w:r>
      <w:r w:rsidRPr="00BA06B6">
        <w:rPr>
          <w:rFonts w:ascii="Times New Roman" w:eastAsia="Calibri" w:hAnsi="Times New Roman" w:cs="Times New Roman"/>
          <w:sz w:val="17"/>
          <w:szCs w:val="17"/>
        </w:rPr>
        <w:tab/>
      </w:r>
      <w:r w:rsidRPr="00BA06B6">
        <w:rPr>
          <w:rFonts w:ascii="Times New Roman" w:eastAsia="Times New Roman" w:hAnsi="Times New Roman" w:cs="Times New Roman"/>
          <w:sz w:val="16"/>
          <w:szCs w:val="16"/>
          <w:lang w:eastAsia="en-GB"/>
        </w:rPr>
        <w:t xml:space="preserve">   </w:t>
      </w:r>
    </w:p>
    <w:p w14:paraId="0968FBC7" w14:textId="77777777" w:rsidR="00AA068C" w:rsidRPr="00BA06B6" w:rsidRDefault="00AA068C" w:rsidP="00AA068C">
      <w:pPr>
        <w:tabs>
          <w:tab w:val="left" w:pos="851"/>
        </w:tabs>
        <w:spacing w:after="0" w:line="240" w:lineRule="auto"/>
        <w:ind w:firstLine="360"/>
        <w:jc w:val="both"/>
        <w:rPr>
          <w:rFonts w:ascii="Times New Roman" w:eastAsia="Times New Roman" w:hAnsi="Times New Roman" w:cs="Times New Roman"/>
          <w:sz w:val="16"/>
          <w:szCs w:val="16"/>
          <w:lang w:eastAsia="en-GB"/>
        </w:rPr>
      </w:pPr>
    </w:p>
    <w:p w14:paraId="1B8FC45C" w14:textId="77777777" w:rsidR="00AA068C" w:rsidRPr="00BA06B6" w:rsidRDefault="00AA068C" w:rsidP="00AA068C"/>
    <w:p w14:paraId="756CB754" w14:textId="77777777" w:rsidR="001F4F8B" w:rsidRPr="00BA06B6" w:rsidRDefault="001F4F8B" w:rsidP="00AA068C"/>
    <w:sectPr w:rsidR="001F4F8B" w:rsidRPr="00BA06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7BAA0" w14:textId="77777777" w:rsidR="00BB2F04" w:rsidRDefault="00BB2F04" w:rsidP="00556AC8">
      <w:pPr>
        <w:spacing w:after="0" w:line="240" w:lineRule="auto"/>
      </w:pPr>
      <w:r>
        <w:separator/>
      </w:r>
    </w:p>
  </w:endnote>
  <w:endnote w:type="continuationSeparator" w:id="0">
    <w:p w14:paraId="1421718C" w14:textId="77777777" w:rsidR="00BB2F04" w:rsidRDefault="00BB2F04" w:rsidP="00556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08E9" w14:textId="77777777" w:rsidR="00350952" w:rsidRDefault="00350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200D7" w14:textId="77777777" w:rsidR="00350952" w:rsidRDefault="003509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2D5D" w14:textId="77777777" w:rsidR="00350952" w:rsidRDefault="00350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C1490" w14:textId="77777777" w:rsidR="00BB2F04" w:rsidRDefault="00BB2F04" w:rsidP="00556AC8">
      <w:pPr>
        <w:spacing w:after="0" w:line="240" w:lineRule="auto"/>
      </w:pPr>
      <w:r>
        <w:separator/>
      </w:r>
    </w:p>
  </w:footnote>
  <w:footnote w:type="continuationSeparator" w:id="0">
    <w:p w14:paraId="1D943900" w14:textId="77777777" w:rsidR="00BB2F04" w:rsidRDefault="00BB2F04" w:rsidP="00556AC8">
      <w:pPr>
        <w:spacing w:after="0" w:line="240" w:lineRule="auto"/>
      </w:pPr>
      <w:r>
        <w:continuationSeparator/>
      </w:r>
    </w:p>
  </w:footnote>
  <w:footnote w:id="1">
    <w:p w14:paraId="13386447" w14:textId="77777777" w:rsidR="00180128" w:rsidRPr="00123130" w:rsidRDefault="00180128" w:rsidP="00180128">
      <w:pPr>
        <w:pStyle w:val="FootnoteText"/>
        <w:jc w:val="both"/>
        <w:rPr>
          <w:sz w:val="18"/>
          <w:szCs w:val="18"/>
        </w:rPr>
      </w:pPr>
      <w:r w:rsidRPr="00547409">
        <w:rPr>
          <w:rStyle w:val="FootnoteReference"/>
          <w:rFonts w:eastAsia="PMingLiU"/>
          <w:sz w:val="18"/>
          <w:szCs w:val="18"/>
        </w:rPr>
        <w:sym w:font="Symbol" w:char="F02A"/>
      </w:r>
      <w:r w:rsidRPr="00123130">
        <w:rPr>
          <w:sz w:val="16"/>
          <w:szCs w:val="16"/>
        </w:rPr>
        <w:t>Corresponding aut</w:t>
      </w:r>
      <w:r>
        <w:rPr>
          <w:sz w:val="16"/>
          <w:szCs w:val="16"/>
        </w:rPr>
        <w:t>hor:</w:t>
      </w:r>
      <w:r w:rsidRPr="00FA1A7B">
        <w:rPr>
          <w:sz w:val="16"/>
          <w:szCs w:val="16"/>
        </w:rPr>
        <w:t xml:space="preserve"> Brunel Business School, Brunel University London, Ki</w:t>
      </w:r>
      <w:r>
        <w:rPr>
          <w:sz w:val="16"/>
          <w:szCs w:val="16"/>
        </w:rPr>
        <w:t xml:space="preserve">ngston Lane, London UB8 3PH, UK, E-mail: </w:t>
      </w:r>
      <w:hyperlink r:id="rId1" w:history="1">
        <w:r w:rsidRPr="00071CD8">
          <w:rPr>
            <w:rStyle w:val="Hyperlink"/>
            <w:sz w:val="16"/>
            <w:szCs w:val="16"/>
          </w:rPr>
          <w:t>ahmed.elamer@brunel.ac.uk</w:t>
        </w:r>
      </w:hyperlink>
      <w:r>
        <w:rPr>
          <w:rStyle w:val="Hyperlink"/>
          <w:sz w:val="16"/>
          <w:szCs w:val="16"/>
        </w:rPr>
        <w:t xml:space="preserve"> </w:t>
      </w:r>
      <w:r w:rsidRPr="00152A58">
        <w:rPr>
          <w:rStyle w:val="Hyperlink"/>
          <w:sz w:val="16"/>
          <w:szCs w:val="16"/>
        </w:rPr>
        <w:t>or/and ahmed.a.elamer@gmail.com</w:t>
      </w:r>
      <w:r>
        <w:rPr>
          <w:rStyle w:val="Hyperlink"/>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71FB8" w14:textId="77777777" w:rsidR="00350952" w:rsidRDefault="00350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A59D9" w14:textId="77777777" w:rsidR="00350952" w:rsidRDefault="003509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28F25" w14:textId="77777777" w:rsidR="00350952" w:rsidRDefault="00350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A2FC0"/>
    <w:multiLevelType w:val="hybridMultilevel"/>
    <w:tmpl w:val="F9001F4C"/>
    <w:lvl w:ilvl="0" w:tplc="02B64B52">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62ED7"/>
    <w:multiLevelType w:val="hybridMultilevel"/>
    <w:tmpl w:val="156077C6"/>
    <w:lvl w:ilvl="0" w:tplc="6E4CB8E2">
      <w:start w:val="1"/>
      <w:numFmt w:val="decimal"/>
      <w:pStyle w:val="Heading11"/>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 w15:restartNumberingAfterBreak="0">
    <w:nsid w:val="0E447BB9"/>
    <w:multiLevelType w:val="multilevel"/>
    <w:tmpl w:val="64B4DFB6"/>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3698261C"/>
    <w:multiLevelType w:val="hybridMultilevel"/>
    <w:tmpl w:val="0D862AF2"/>
    <w:lvl w:ilvl="0" w:tplc="9262514C">
      <w:start w:val="1"/>
      <w:numFmt w:val="decimal"/>
      <w:lvlText w:val="%1."/>
      <w:lvlJc w:val="left"/>
      <w:pPr>
        <w:ind w:left="644"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4ACC29B5"/>
    <w:multiLevelType w:val="hybridMultilevel"/>
    <w:tmpl w:val="BE50A5FA"/>
    <w:lvl w:ilvl="0" w:tplc="02B64B52">
      <w:start w:val="1"/>
      <w:numFmt w:val="decimal"/>
      <w:lvlText w:val="5.%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387E93"/>
    <w:multiLevelType w:val="multilevel"/>
    <w:tmpl w:val="366416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692734F"/>
    <w:multiLevelType w:val="hybridMultilevel"/>
    <w:tmpl w:val="BF74765A"/>
    <w:lvl w:ilvl="0" w:tplc="B32664C0">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CE1AFD"/>
    <w:multiLevelType w:val="multilevel"/>
    <w:tmpl w:val="31B096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5D0613"/>
    <w:multiLevelType w:val="hybridMultilevel"/>
    <w:tmpl w:val="0D1E8C3C"/>
    <w:lvl w:ilvl="0" w:tplc="45C405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F1230F"/>
    <w:multiLevelType w:val="hybridMultilevel"/>
    <w:tmpl w:val="48D80646"/>
    <w:lvl w:ilvl="0" w:tplc="26201F9C">
      <w:start w:val="1"/>
      <w:numFmt w:val="decimal"/>
      <w:suff w:val="nothing"/>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141443"/>
    <w:multiLevelType w:val="hybridMultilevel"/>
    <w:tmpl w:val="8990E38C"/>
    <w:lvl w:ilvl="0" w:tplc="E05E07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C02FFF"/>
    <w:multiLevelType w:val="hybridMultilevel"/>
    <w:tmpl w:val="F4AC13E0"/>
    <w:lvl w:ilvl="0" w:tplc="B32664C0">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1"/>
  </w:num>
  <w:num w:numId="3">
    <w:abstractNumId w:val="0"/>
  </w:num>
  <w:num w:numId="4">
    <w:abstractNumId w:val="4"/>
  </w:num>
  <w:num w:numId="5">
    <w:abstractNumId w:val="3"/>
  </w:num>
  <w:num w:numId="6">
    <w:abstractNumId w:val="1"/>
  </w:num>
  <w:num w:numId="7">
    <w:abstractNumId w:val="2"/>
  </w:num>
  <w:num w:numId="8">
    <w:abstractNumId w:val="5"/>
  </w:num>
  <w:num w:numId="9">
    <w:abstractNumId w:val="7"/>
  </w:num>
  <w:num w:numId="10">
    <w:abstractNumId w:val="6"/>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yMDUyMzQ2NDcwNTdX0lEKTi0uzszPAykwrgUAf5S09iwAAAA="/>
  </w:docVars>
  <w:rsids>
    <w:rsidRoot w:val="00AA068C"/>
    <w:rsid w:val="000150D5"/>
    <w:rsid w:val="000C4B9A"/>
    <w:rsid w:val="000E4C9B"/>
    <w:rsid w:val="001137B1"/>
    <w:rsid w:val="00116FAE"/>
    <w:rsid w:val="00124E9E"/>
    <w:rsid w:val="00136CA0"/>
    <w:rsid w:val="0014611E"/>
    <w:rsid w:val="00147FB9"/>
    <w:rsid w:val="00180128"/>
    <w:rsid w:val="001A1088"/>
    <w:rsid w:val="001E001F"/>
    <w:rsid w:val="001F4F8B"/>
    <w:rsid w:val="001F6C6E"/>
    <w:rsid w:val="001F76E2"/>
    <w:rsid w:val="00202898"/>
    <w:rsid w:val="00236344"/>
    <w:rsid w:val="00251D60"/>
    <w:rsid w:val="00276E9E"/>
    <w:rsid w:val="002F2319"/>
    <w:rsid w:val="0030144A"/>
    <w:rsid w:val="00334D61"/>
    <w:rsid w:val="00350952"/>
    <w:rsid w:val="00356CAF"/>
    <w:rsid w:val="00372C0A"/>
    <w:rsid w:val="003B5A80"/>
    <w:rsid w:val="004137CB"/>
    <w:rsid w:val="00414878"/>
    <w:rsid w:val="004443FE"/>
    <w:rsid w:val="00520635"/>
    <w:rsid w:val="00556AC8"/>
    <w:rsid w:val="00594A02"/>
    <w:rsid w:val="005B32EF"/>
    <w:rsid w:val="005F070A"/>
    <w:rsid w:val="00640FC9"/>
    <w:rsid w:val="00645C17"/>
    <w:rsid w:val="00664216"/>
    <w:rsid w:val="007234A6"/>
    <w:rsid w:val="007256C3"/>
    <w:rsid w:val="00761AAF"/>
    <w:rsid w:val="007718DD"/>
    <w:rsid w:val="007A4DB3"/>
    <w:rsid w:val="007B4EB7"/>
    <w:rsid w:val="007C1E6A"/>
    <w:rsid w:val="007C3231"/>
    <w:rsid w:val="007C36C8"/>
    <w:rsid w:val="00836343"/>
    <w:rsid w:val="008D0822"/>
    <w:rsid w:val="008F77A2"/>
    <w:rsid w:val="00951E07"/>
    <w:rsid w:val="00955363"/>
    <w:rsid w:val="009E5E47"/>
    <w:rsid w:val="00A01A07"/>
    <w:rsid w:val="00A1373D"/>
    <w:rsid w:val="00A23171"/>
    <w:rsid w:val="00A44665"/>
    <w:rsid w:val="00A5665D"/>
    <w:rsid w:val="00AA068C"/>
    <w:rsid w:val="00AB7D4D"/>
    <w:rsid w:val="00AC5F55"/>
    <w:rsid w:val="00AE27BB"/>
    <w:rsid w:val="00AE55F0"/>
    <w:rsid w:val="00B85941"/>
    <w:rsid w:val="00B91469"/>
    <w:rsid w:val="00BA06B6"/>
    <w:rsid w:val="00BB2F04"/>
    <w:rsid w:val="00BC341D"/>
    <w:rsid w:val="00BE3867"/>
    <w:rsid w:val="00BF6034"/>
    <w:rsid w:val="00C32B39"/>
    <w:rsid w:val="00CB6E7C"/>
    <w:rsid w:val="00DC238C"/>
    <w:rsid w:val="00E028C9"/>
    <w:rsid w:val="00E2745A"/>
    <w:rsid w:val="00E72DEA"/>
    <w:rsid w:val="00E927FA"/>
    <w:rsid w:val="00ED37ED"/>
    <w:rsid w:val="00F541A6"/>
    <w:rsid w:val="00F71EBE"/>
    <w:rsid w:val="00FE25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C78BBBE"/>
  <w15:chartTrackingRefBased/>
  <w15:docId w15:val="{A8C55E25-C4D8-4EB4-9115-710727E5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68C"/>
    <w:pPr>
      <w:keepNext/>
      <w:keepLines/>
      <w:spacing w:before="240" w:after="0"/>
      <w:outlineLvl w:val="0"/>
    </w:pPr>
    <w:rPr>
      <w:rFonts w:ascii="Times New Roman" w:eastAsia="Times New Roman" w:hAnsi="Times New Roman" w:cs="Times New Roman"/>
      <w:b/>
      <w:bCs/>
      <w:sz w:val="36"/>
      <w:szCs w:val="36"/>
    </w:rPr>
  </w:style>
  <w:style w:type="paragraph" w:styleId="Heading2">
    <w:name w:val="heading 2"/>
    <w:basedOn w:val="Normal"/>
    <w:next w:val="Normal"/>
    <w:link w:val="Heading2Char"/>
    <w:uiPriority w:val="99"/>
    <w:semiHidden/>
    <w:unhideWhenUsed/>
    <w:qFormat/>
    <w:rsid w:val="00AA068C"/>
    <w:pPr>
      <w:keepNext/>
      <w:keepLines/>
      <w:spacing w:before="4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9"/>
    <w:semiHidden/>
    <w:unhideWhenUsed/>
    <w:qFormat/>
    <w:rsid w:val="00AA068C"/>
    <w:pPr>
      <w:keepNext/>
      <w:keepLines/>
      <w:spacing w:before="40" w:after="0"/>
      <w:outlineLvl w:val="2"/>
    </w:pPr>
    <w:rPr>
      <w:rFonts w:ascii="Times New Roman" w:eastAsia="Times New Roman" w:hAnsi="Times New Roman" w:cs="Times New Roman"/>
      <w:b/>
      <w:bCs/>
      <w:color w:val="4F81BD"/>
      <w:sz w:val="20"/>
    </w:rPr>
  </w:style>
  <w:style w:type="paragraph" w:styleId="Heading4">
    <w:name w:val="heading 4"/>
    <w:basedOn w:val="Normal"/>
    <w:next w:val="Normal"/>
    <w:link w:val="Heading4Char"/>
    <w:uiPriority w:val="9"/>
    <w:unhideWhenUsed/>
    <w:qFormat/>
    <w:rsid w:val="00AA068C"/>
    <w:pPr>
      <w:keepNext/>
      <w:keepLines/>
      <w:spacing w:before="4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AA068C"/>
    <w:pPr>
      <w:keepNext/>
      <w:keepLines/>
      <w:spacing w:before="40" w:after="0"/>
      <w:outlineLvl w:val="4"/>
    </w:pPr>
    <w:rPr>
      <w:rFonts w:ascii="Cambria" w:eastAsia="Times New Roman" w:hAnsi="Cambria" w:cs="Times New Roman"/>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68C"/>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99"/>
    <w:rsid w:val="00AA068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AA068C"/>
    <w:rPr>
      <w:rFonts w:ascii="Times New Roman" w:eastAsia="Times New Roman" w:hAnsi="Times New Roman" w:cs="Times New Roman"/>
      <w:b/>
      <w:bCs/>
      <w:color w:val="4F81BD"/>
      <w:sz w:val="20"/>
    </w:rPr>
  </w:style>
  <w:style w:type="character" w:customStyle="1" w:styleId="Heading4Char">
    <w:name w:val="Heading 4 Char"/>
    <w:basedOn w:val="DefaultParagraphFont"/>
    <w:link w:val="Heading4"/>
    <w:uiPriority w:val="9"/>
    <w:rsid w:val="00AA068C"/>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AA068C"/>
    <w:rPr>
      <w:rFonts w:ascii="Cambria" w:eastAsia="Times New Roman" w:hAnsi="Cambria" w:cs="Times New Roman"/>
      <w:color w:val="365F91"/>
    </w:rPr>
  </w:style>
  <w:style w:type="paragraph" w:customStyle="1" w:styleId="Heading11">
    <w:name w:val="Heading 11"/>
    <w:basedOn w:val="Normal"/>
    <w:next w:val="Normal"/>
    <w:autoRedefine/>
    <w:uiPriority w:val="9"/>
    <w:qFormat/>
    <w:rsid w:val="00AA068C"/>
    <w:pPr>
      <w:keepNext/>
      <w:keepLines/>
      <w:numPr>
        <w:numId w:val="6"/>
      </w:numPr>
      <w:tabs>
        <w:tab w:val="num" w:pos="360"/>
      </w:tabs>
      <w:spacing w:before="240" w:after="240" w:line="480" w:lineRule="auto"/>
      <w:ind w:left="0" w:firstLine="0"/>
      <w:jc w:val="both"/>
      <w:outlineLvl w:val="0"/>
    </w:pPr>
    <w:rPr>
      <w:rFonts w:ascii="Times New Roman" w:eastAsia="Times New Roman" w:hAnsi="Times New Roman" w:cs="Times New Roman"/>
      <w:b/>
      <w:bCs/>
      <w:sz w:val="36"/>
      <w:szCs w:val="36"/>
    </w:rPr>
  </w:style>
  <w:style w:type="paragraph" w:customStyle="1" w:styleId="Heading21">
    <w:name w:val="Heading 21"/>
    <w:basedOn w:val="Normal"/>
    <w:next w:val="Normal"/>
    <w:uiPriority w:val="99"/>
    <w:unhideWhenUsed/>
    <w:qFormat/>
    <w:rsid w:val="00AA068C"/>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9"/>
    <w:unhideWhenUsed/>
    <w:qFormat/>
    <w:rsid w:val="00AA068C"/>
    <w:pPr>
      <w:keepNext/>
      <w:keepLines/>
      <w:spacing w:before="200" w:after="0" w:line="276" w:lineRule="auto"/>
      <w:outlineLvl w:val="2"/>
    </w:pPr>
    <w:rPr>
      <w:rFonts w:ascii="Times New Roman" w:eastAsia="Times New Roman" w:hAnsi="Times New Roman" w:cs="Times New Roman"/>
      <w:b/>
      <w:bCs/>
      <w:color w:val="4F81BD"/>
      <w:sz w:val="20"/>
    </w:rPr>
  </w:style>
  <w:style w:type="paragraph" w:customStyle="1" w:styleId="Heading41">
    <w:name w:val="Heading 41"/>
    <w:basedOn w:val="Normal"/>
    <w:next w:val="Normal"/>
    <w:uiPriority w:val="9"/>
    <w:unhideWhenUsed/>
    <w:qFormat/>
    <w:rsid w:val="00AA068C"/>
    <w:pPr>
      <w:keepNext/>
      <w:keepLines/>
      <w:spacing w:before="200" w:after="0" w:line="276" w:lineRule="auto"/>
      <w:outlineLvl w:val="3"/>
    </w:pPr>
    <w:rPr>
      <w:rFonts w:ascii="Cambria" w:eastAsia="Times New Roman" w:hAnsi="Cambria" w:cs="Times New Roman"/>
      <w:b/>
      <w:bCs/>
      <w:i/>
      <w:iCs/>
      <w:color w:val="4F81BD"/>
    </w:rPr>
  </w:style>
  <w:style w:type="paragraph" w:customStyle="1" w:styleId="Heading51">
    <w:name w:val="Heading 51"/>
    <w:basedOn w:val="Normal"/>
    <w:next w:val="Normal"/>
    <w:uiPriority w:val="9"/>
    <w:unhideWhenUsed/>
    <w:qFormat/>
    <w:rsid w:val="00AA068C"/>
    <w:pPr>
      <w:keepNext/>
      <w:keepLines/>
      <w:spacing w:before="40" w:after="0" w:line="276" w:lineRule="auto"/>
      <w:outlineLvl w:val="4"/>
    </w:pPr>
    <w:rPr>
      <w:rFonts w:ascii="Cambria" w:eastAsia="Times New Roman" w:hAnsi="Cambria" w:cs="Times New Roman"/>
      <w:color w:val="365F91"/>
    </w:rPr>
  </w:style>
  <w:style w:type="numbering" w:customStyle="1" w:styleId="NoList1">
    <w:name w:val="No List1"/>
    <w:next w:val="NoList"/>
    <w:uiPriority w:val="99"/>
    <w:semiHidden/>
    <w:unhideWhenUsed/>
    <w:rsid w:val="00AA068C"/>
  </w:style>
  <w:style w:type="paragraph" w:customStyle="1" w:styleId="Title1">
    <w:name w:val="Title1"/>
    <w:basedOn w:val="Normal"/>
    <w:next w:val="Normal"/>
    <w:autoRedefine/>
    <w:uiPriority w:val="10"/>
    <w:qFormat/>
    <w:rsid w:val="00AA068C"/>
    <w:pPr>
      <w:pBdr>
        <w:bottom w:val="single" w:sz="8" w:space="4" w:color="4F81BD"/>
      </w:pBdr>
      <w:spacing w:after="300" w:line="240" w:lineRule="auto"/>
      <w:contextualSpacing/>
      <w:jc w:val="center"/>
    </w:pPr>
    <w:rPr>
      <w:rFonts w:ascii="Times New Roman" w:eastAsia="Times New Roman" w:hAnsi="Times New Roman" w:cs="Times New Roman"/>
      <w:b/>
      <w:spacing w:val="5"/>
      <w:kern w:val="28"/>
      <w:sz w:val="48"/>
      <w:szCs w:val="52"/>
    </w:rPr>
  </w:style>
  <w:style w:type="character" w:customStyle="1" w:styleId="TitleChar">
    <w:name w:val="Title Char"/>
    <w:basedOn w:val="DefaultParagraphFont"/>
    <w:link w:val="Title"/>
    <w:uiPriority w:val="10"/>
    <w:rsid w:val="00AA068C"/>
    <w:rPr>
      <w:rFonts w:ascii="Times New Roman" w:eastAsia="Times New Roman" w:hAnsi="Times New Roman" w:cs="Times New Roman"/>
      <w:b/>
      <w:spacing w:val="5"/>
      <w:kern w:val="28"/>
      <w:sz w:val="48"/>
      <w:szCs w:val="52"/>
    </w:rPr>
  </w:style>
  <w:style w:type="numbering" w:customStyle="1" w:styleId="NoList11">
    <w:name w:val="No List11"/>
    <w:next w:val="NoList"/>
    <w:uiPriority w:val="99"/>
    <w:semiHidden/>
    <w:unhideWhenUsed/>
    <w:rsid w:val="00AA068C"/>
  </w:style>
  <w:style w:type="numbering" w:customStyle="1" w:styleId="NoList111">
    <w:name w:val="No List111"/>
    <w:next w:val="NoList"/>
    <w:uiPriority w:val="99"/>
    <w:semiHidden/>
    <w:unhideWhenUsed/>
    <w:rsid w:val="00AA068C"/>
  </w:style>
  <w:style w:type="paragraph" w:customStyle="1" w:styleId="ListParagraph1">
    <w:name w:val="List Paragraph1"/>
    <w:basedOn w:val="Normal"/>
    <w:next w:val="ListParagraph"/>
    <w:uiPriority w:val="34"/>
    <w:qFormat/>
    <w:rsid w:val="00AA068C"/>
    <w:pPr>
      <w:ind w:left="720"/>
      <w:contextualSpacing/>
    </w:pPr>
    <w:rPr>
      <w:rFonts w:ascii="Calibri" w:hAnsi="Calibri" w:cs="Arial"/>
      <w:sz w:val="24"/>
    </w:rPr>
  </w:style>
  <w:style w:type="paragraph" w:customStyle="1" w:styleId="Default">
    <w:name w:val="Default"/>
    <w:rsid w:val="00AA068C"/>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eGrid1">
    <w:name w:val="Table Grid1"/>
    <w:basedOn w:val="TableNormal"/>
    <w:next w:val="TableGrid"/>
    <w:rsid w:val="00AA068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A068C"/>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table" w:customStyle="1" w:styleId="TableGrid11">
    <w:name w:val="Table Grid11"/>
    <w:basedOn w:val="TableNormal"/>
    <w:next w:val="TableGrid"/>
    <w:rsid w:val="00AA068C"/>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next w:val="Footer"/>
    <w:link w:val="FooterChar"/>
    <w:uiPriority w:val="99"/>
    <w:unhideWhenUsed/>
    <w:rsid w:val="00AA068C"/>
    <w:pPr>
      <w:tabs>
        <w:tab w:val="center" w:pos="4513"/>
        <w:tab w:val="right" w:pos="9026"/>
      </w:tabs>
      <w:spacing w:after="0" w:line="240" w:lineRule="auto"/>
    </w:pPr>
    <w:rPr>
      <w:rFonts w:ascii="Arial" w:hAnsi="Arial" w:cs="Arial"/>
    </w:rPr>
  </w:style>
  <w:style w:type="character" w:customStyle="1" w:styleId="FooterChar">
    <w:name w:val="Footer Char"/>
    <w:basedOn w:val="DefaultParagraphFont"/>
    <w:link w:val="Footer1"/>
    <w:uiPriority w:val="99"/>
    <w:rsid w:val="00AA068C"/>
    <w:rPr>
      <w:rFonts w:ascii="Arial" w:hAnsi="Arial" w:cs="Arial"/>
    </w:rPr>
  </w:style>
  <w:style w:type="character" w:styleId="PageNumber">
    <w:name w:val="page number"/>
    <w:basedOn w:val="DefaultParagraphFont"/>
    <w:rsid w:val="00AA068C"/>
  </w:style>
  <w:style w:type="character" w:styleId="Hyperlink">
    <w:name w:val="Hyperlink"/>
    <w:basedOn w:val="DefaultParagraphFont"/>
    <w:unhideWhenUsed/>
    <w:rsid w:val="00AA068C"/>
    <w:rPr>
      <w:color w:val="0000FF"/>
      <w:u w:val="single"/>
    </w:rPr>
  </w:style>
  <w:style w:type="character" w:customStyle="1" w:styleId="apple-converted-space">
    <w:name w:val="apple-converted-space"/>
    <w:basedOn w:val="DefaultParagraphFont"/>
    <w:rsid w:val="00AA068C"/>
  </w:style>
  <w:style w:type="paragraph" w:styleId="FootnoteText">
    <w:name w:val="footnote text"/>
    <w:basedOn w:val="Normal"/>
    <w:link w:val="FootnoteTextChar"/>
    <w:rsid w:val="00AA068C"/>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A068C"/>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AA068C"/>
    <w:rPr>
      <w:vertAlign w:val="superscript"/>
    </w:rPr>
  </w:style>
  <w:style w:type="paragraph" w:customStyle="1" w:styleId="Header1">
    <w:name w:val="Header1"/>
    <w:basedOn w:val="Normal"/>
    <w:next w:val="Header"/>
    <w:link w:val="HeaderChar"/>
    <w:uiPriority w:val="99"/>
    <w:unhideWhenUsed/>
    <w:rsid w:val="00AA068C"/>
    <w:pPr>
      <w:tabs>
        <w:tab w:val="center" w:pos="4513"/>
        <w:tab w:val="right" w:pos="9026"/>
      </w:tabs>
      <w:spacing w:after="0" w:line="240" w:lineRule="auto"/>
    </w:pPr>
    <w:rPr>
      <w:rFonts w:ascii="Arial" w:hAnsi="Arial" w:cs="Arial"/>
    </w:rPr>
  </w:style>
  <w:style w:type="character" w:customStyle="1" w:styleId="HeaderChar">
    <w:name w:val="Header Char"/>
    <w:basedOn w:val="DefaultParagraphFont"/>
    <w:link w:val="Header1"/>
    <w:uiPriority w:val="99"/>
    <w:rsid w:val="00AA068C"/>
    <w:rPr>
      <w:rFonts w:ascii="Arial" w:hAnsi="Arial" w:cs="Arial"/>
    </w:rPr>
  </w:style>
  <w:style w:type="character" w:customStyle="1" w:styleId="creators">
    <w:name w:val="creators"/>
    <w:basedOn w:val="DefaultParagraphFont"/>
    <w:rsid w:val="00AA068C"/>
  </w:style>
  <w:style w:type="character" w:customStyle="1" w:styleId="personname">
    <w:name w:val="person_name"/>
    <w:basedOn w:val="DefaultParagraphFont"/>
    <w:rsid w:val="00AA068C"/>
  </w:style>
  <w:style w:type="character" w:customStyle="1" w:styleId="Date1">
    <w:name w:val="Date1"/>
    <w:basedOn w:val="DefaultParagraphFont"/>
    <w:rsid w:val="00AA068C"/>
  </w:style>
  <w:style w:type="character" w:styleId="Emphasis">
    <w:name w:val="Emphasis"/>
    <w:basedOn w:val="DefaultParagraphFont"/>
    <w:uiPriority w:val="20"/>
    <w:qFormat/>
    <w:rsid w:val="00AA068C"/>
    <w:rPr>
      <w:i/>
      <w:iCs/>
    </w:rPr>
  </w:style>
  <w:style w:type="character" w:customStyle="1" w:styleId="placeofpub">
    <w:name w:val="place_of_pub"/>
    <w:basedOn w:val="DefaultParagraphFont"/>
    <w:rsid w:val="00AA068C"/>
  </w:style>
  <w:style w:type="character" w:customStyle="1" w:styleId="publisher">
    <w:name w:val="publisher"/>
    <w:basedOn w:val="DefaultParagraphFont"/>
    <w:rsid w:val="00AA068C"/>
  </w:style>
  <w:style w:type="numbering" w:customStyle="1" w:styleId="NoList1111">
    <w:name w:val="No List1111"/>
    <w:next w:val="NoList"/>
    <w:uiPriority w:val="99"/>
    <w:semiHidden/>
    <w:unhideWhenUsed/>
    <w:rsid w:val="00AA068C"/>
  </w:style>
  <w:style w:type="paragraph" w:customStyle="1" w:styleId="EndNoteBibliographyTitle">
    <w:name w:val="EndNote Bibliography Title"/>
    <w:basedOn w:val="Normal"/>
    <w:link w:val="EndNoteBibliographyTitleChar"/>
    <w:rsid w:val="00AA068C"/>
    <w:pPr>
      <w:spacing w:after="0" w:line="276" w:lineRule="auto"/>
      <w:jc w:val="center"/>
    </w:pPr>
    <w:rPr>
      <w:rFonts w:ascii="Times New Roman" w:hAnsi="Times New Roman" w:cs="Times New Roman"/>
      <w:noProof/>
      <w:sz w:val="16"/>
      <w:lang w:val="en-US"/>
    </w:rPr>
  </w:style>
  <w:style w:type="character" w:customStyle="1" w:styleId="EndNoteBibliographyTitleChar">
    <w:name w:val="EndNote Bibliography Title Char"/>
    <w:basedOn w:val="DefaultParagraphFont"/>
    <w:link w:val="EndNoteBibliographyTitle"/>
    <w:rsid w:val="00AA068C"/>
    <w:rPr>
      <w:rFonts w:ascii="Times New Roman" w:hAnsi="Times New Roman" w:cs="Times New Roman"/>
      <w:noProof/>
      <w:sz w:val="16"/>
      <w:lang w:val="en-US"/>
    </w:rPr>
  </w:style>
  <w:style w:type="paragraph" w:customStyle="1" w:styleId="EndNoteBibliography">
    <w:name w:val="EndNote Bibliography"/>
    <w:basedOn w:val="Normal"/>
    <w:link w:val="EndNoteBibliographyChar"/>
    <w:rsid w:val="00AA068C"/>
    <w:pPr>
      <w:spacing w:after="200" w:line="240" w:lineRule="auto"/>
    </w:pPr>
    <w:rPr>
      <w:rFonts w:ascii="Times New Roman" w:hAnsi="Times New Roman" w:cs="Times New Roman"/>
      <w:noProof/>
      <w:sz w:val="16"/>
      <w:lang w:val="en-US"/>
    </w:rPr>
  </w:style>
  <w:style w:type="character" w:customStyle="1" w:styleId="EndNoteBibliographyChar">
    <w:name w:val="EndNote Bibliography Char"/>
    <w:basedOn w:val="DefaultParagraphFont"/>
    <w:link w:val="EndNoteBibliography"/>
    <w:rsid w:val="00AA068C"/>
    <w:rPr>
      <w:rFonts w:ascii="Times New Roman" w:hAnsi="Times New Roman" w:cs="Times New Roman"/>
      <w:noProof/>
      <w:sz w:val="16"/>
      <w:lang w:val="en-US"/>
    </w:rPr>
  </w:style>
  <w:style w:type="paragraph" w:customStyle="1" w:styleId="BalloonText1">
    <w:name w:val="Balloon Text1"/>
    <w:basedOn w:val="Normal"/>
    <w:next w:val="BalloonText"/>
    <w:link w:val="BalloonTextChar"/>
    <w:uiPriority w:val="99"/>
    <w:semiHidden/>
    <w:unhideWhenUsed/>
    <w:rsid w:val="00AA0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AA068C"/>
    <w:rPr>
      <w:rFonts w:ascii="Tahoma" w:hAnsi="Tahoma" w:cs="Tahoma"/>
      <w:sz w:val="16"/>
      <w:szCs w:val="16"/>
    </w:rPr>
  </w:style>
  <w:style w:type="numbering" w:customStyle="1" w:styleId="NoList11111">
    <w:name w:val="No List11111"/>
    <w:next w:val="NoList"/>
    <w:uiPriority w:val="99"/>
    <w:semiHidden/>
    <w:unhideWhenUsed/>
    <w:rsid w:val="00AA068C"/>
  </w:style>
  <w:style w:type="table" w:customStyle="1" w:styleId="TableGrid2">
    <w:name w:val="Table Grid2"/>
    <w:basedOn w:val="TableNormal"/>
    <w:next w:val="TableGrid"/>
    <w:rsid w:val="00AA068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uiPriority w:val="10"/>
    <w:rsid w:val="00AA068C"/>
    <w:rPr>
      <w:rFonts w:ascii="Cambria" w:eastAsia="Times New Roman" w:hAnsi="Cambria" w:cs="Times New Roman"/>
      <w:color w:val="17365D"/>
      <w:spacing w:val="5"/>
      <w:kern w:val="28"/>
      <w:sz w:val="52"/>
      <w:szCs w:val="52"/>
    </w:rPr>
  </w:style>
  <w:style w:type="character" w:customStyle="1" w:styleId="Heading1Char1">
    <w:name w:val="Heading 1 Char1"/>
    <w:basedOn w:val="DefaultParagraphFont"/>
    <w:uiPriority w:val="9"/>
    <w:rsid w:val="00AA068C"/>
    <w:rPr>
      <w:rFonts w:ascii="Cambria" w:eastAsia="Times New Roman" w:hAnsi="Cambria" w:cs="Times New Roman"/>
      <w:b/>
      <w:bCs/>
      <w:color w:val="365F91"/>
      <w:sz w:val="28"/>
      <w:szCs w:val="28"/>
    </w:rPr>
  </w:style>
  <w:style w:type="character" w:customStyle="1" w:styleId="Heading2Char1">
    <w:name w:val="Heading 2 Char1"/>
    <w:basedOn w:val="DefaultParagraphFont"/>
    <w:uiPriority w:val="9"/>
    <w:semiHidden/>
    <w:rsid w:val="00AA068C"/>
    <w:rPr>
      <w:rFonts w:ascii="Cambria" w:eastAsia="Times New Roman" w:hAnsi="Cambria" w:cs="Times New Roman"/>
      <w:b/>
      <w:bCs/>
      <w:color w:val="4F81BD"/>
      <w:sz w:val="26"/>
      <w:szCs w:val="26"/>
    </w:rPr>
  </w:style>
  <w:style w:type="character" w:customStyle="1" w:styleId="Heading3Char1">
    <w:name w:val="Heading 3 Char1"/>
    <w:basedOn w:val="DefaultParagraphFont"/>
    <w:uiPriority w:val="9"/>
    <w:semiHidden/>
    <w:rsid w:val="00AA068C"/>
    <w:rPr>
      <w:rFonts w:ascii="Cambria" w:eastAsia="Times New Roman" w:hAnsi="Cambria" w:cs="Times New Roman"/>
      <w:b/>
      <w:bCs/>
      <w:color w:val="4F81BD"/>
    </w:rPr>
  </w:style>
  <w:style w:type="character" w:customStyle="1" w:styleId="interref">
    <w:name w:val="interref"/>
    <w:basedOn w:val="DefaultParagraphFont"/>
    <w:rsid w:val="00AA068C"/>
  </w:style>
  <w:style w:type="character" w:customStyle="1" w:styleId="FollowedHyperlink1">
    <w:name w:val="FollowedHyperlink1"/>
    <w:basedOn w:val="DefaultParagraphFont"/>
    <w:uiPriority w:val="99"/>
    <w:semiHidden/>
    <w:unhideWhenUsed/>
    <w:rsid w:val="00AA068C"/>
    <w:rPr>
      <w:color w:val="800080"/>
      <w:u w:val="single"/>
    </w:rPr>
  </w:style>
  <w:style w:type="character" w:customStyle="1" w:styleId="current-selection">
    <w:name w:val="current-selection"/>
    <w:basedOn w:val="DefaultParagraphFont"/>
    <w:rsid w:val="00AA068C"/>
  </w:style>
  <w:style w:type="character" w:customStyle="1" w:styleId="a">
    <w:name w:val="_"/>
    <w:basedOn w:val="DefaultParagraphFont"/>
    <w:rsid w:val="00AA068C"/>
  </w:style>
  <w:style w:type="character" w:customStyle="1" w:styleId="enhanced-reference">
    <w:name w:val="enhanced-reference"/>
    <w:basedOn w:val="DefaultParagraphFont"/>
    <w:rsid w:val="00AA068C"/>
  </w:style>
  <w:style w:type="paragraph" w:customStyle="1" w:styleId="svarticle">
    <w:name w:val="svarticle"/>
    <w:basedOn w:val="Normal"/>
    <w:rsid w:val="00AA06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s4">
    <w:name w:val="fs4"/>
    <w:basedOn w:val="DefaultParagraphFont"/>
    <w:rsid w:val="00AA068C"/>
  </w:style>
  <w:style w:type="character" w:customStyle="1" w:styleId="ls17">
    <w:name w:val="ls17"/>
    <w:basedOn w:val="DefaultParagraphFont"/>
    <w:rsid w:val="00AA068C"/>
  </w:style>
  <w:style w:type="character" w:styleId="Strong">
    <w:name w:val="Strong"/>
    <w:basedOn w:val="DefaultParagraphFont"/>
    <w:uiPriority w:val="22"/>
    <w:qFormat/>
    <w:rsid w:val="00AA068C"/>
    <w:rPr>
      <w:b/>
      <w:bCs/>
    </w:rPr>
  </w:style>
  <w:style w:type="paragraph" w:styleId="Caption">
    <w:name w:val="caption"/>
    <w:basedOn w:val="Normal"/>
    <w:next w:val="Normal"/>
    <w:qFormat/>
    <w:rsid w:val="00AA068C"/>
    <w:pPr>
      <w:spacing w:after="0" w:line="240" w:lineRule="auto"/>
    </w:pPr>
    <w:rPr>
      <w:rFonts w:ascii="Times New Roman" w:eastAsia="SimSun" w:hAnsi="Times New Roman" w:cs="Times New Roman"/>
      <w:b/>
      <w:bCs/>
      <w:sz w:val="20"/>
      <w:szCs w:val="20"/>
      <w:lang w:val="en-US" w:eastAsia="zh-CN"/>
    </w:rPr>
  </w:style>
  <w:style w:type="character" w:styleId="CommentReference">
    <w:name w:val="annotation reference"/>
    <w:basedOn w:val="DefaultParagraphFont"/>
    <w:uiPriority w:val="99"/>
    <w:semiHidden/>
    <w:unhideWhenUsed/>
    <w:rsid w:val="00AA068C"/>
    <w:rPr>
      <w:sz w:val="16"/>
      <w:szCs w:val="16"/>
    </w:rPr>
  </w:style>
  <w:style w:type="paragraph" w:customStyle="1" w:styleId="CommentText1">
    <w:name w:val="Comment Text1"/>
    <w:basedOn w:val="Normal"/>
    <w:next w:val="CommentText"/>
    <w:link w:val="CommentTextChar"/>
    <w:uiPriority w:val="99"/>
    <w:semiHidden/>
    <w:unhideWhenUsed/>
    <w:rsid w:val="00AA068C"/>
    <w:pPr>
      <w:spacing w:after="200" w:line="240" w:lineRule="auto"/>
    </w:pPr>
    <w:rPr>
      <w:rFonts w:ascii="Arial" w:hAnsi="Arial" w:cs="Arial"/>
      <w:sz w:val="20"/>
      <w:szCs w:val="20"/>
    </w:rPr>
  </w:style>
  <w:style w:type="character" w:customStyle="1" w:styleId="CommentTextChar">
    <w:name w:val="Comment Text Char"/>
    <w:basedOn w:val="DefaultParagraphFont"/>
    <w:link w:val="CommentText1"/>
    <w:uiPriority w:val="99"/>
    <w:semiHidden/>
    <w:rsid w:val="00AA068C"/>
    <w:rPr>
      <w:rFonts w:ascii="Arial" w:hAnsi="Arial" w:cs="Arial"/>
      <w:sz w:val="20"/>
      <w:szCs w:val="20"/>
    </w:rPr>
  </w:style>
  <w:style w:type="paragraph" w:customStyle="1" w:styleId="CommentSubject1">
    <w:name w:val="Comment Subject1"/>
    <w:basedOn w:val="CommentText"/>
    <w:next w:val="CommentText"/>
    <w:uiPriority w:val="99"/>
    <w:semiHidden/>
    <w:unhideWhenUsed/>
    <w:rsid w:val="00AA068C"/>
    <w:rPr>
      <w:b/>
      <w:bCs/>
    </w:rPr>
  </w:style>
  <w:style w:type="character" w:customStyle="1" w:styleId="CommentSubjectChar">
    <w:name w:val="Comment Subject Char"/>
    <w:basedOn w:val="CommentTextChar"/>
    <w:link w:val="CommentSubject"/>
    <w:uiPriority w:val="99"/>
    <w:semiHidden/>
    <w:rsid w:val="00AA068C"/>
    <w:rPr>
      <w:rFonts w:ascii="Arial" w:hAnsi="Arial" w:cs="Arial"/>
      <w:b/>
      <w:bCs/>
      <w:sz w:val="20"/>
      <w:szCs w:val="20"/>
    </w:rPr>
  </w:style>
  <w:style w:type="character" w:customStyle="1" w:styleId="FollowedHyperlink2">
    <w:name w:val="FollowedHyperlink2"/>
    <w:basedOn w:val="DefaultParagraphFont"/>
    <w:uiPriority w:val="99"/>
    <w:semiHidden/>
    <w:unhideWhenUsed/>
    <w:rsid w:val="00AA068C"/>
    <w:rPr>
      <w:color w:val="954F72"/>
      <w:u w:val="single"/>
    </w:rPr>
  </w:style>
  <w:style w:type="character" w:customStyle="1" w:styleId="Heading1Char2">
    <w:name w:val="Heading 1 Char2"/>
    <w:basedOn w:val="DefaultParagraphFont"/>
    <w:uiPriority w:val="9"/>
    <w:rsid w:val="00AA068C"/>
    <w:rPr>
      <w:rFonts w:ascii="Cambria" w:eastAsia="Times New Roman" w:hAnsi="Cambria" w:cs="Times New Roman"/>
      <w:b/>
      <w:bCs/>
      <w:color w:val="365F91"/>
      <w:sz w:val="28"/>
      <w:szCs w:val="28"/>
    </w:rPr>
  </w:style>
  <w:style w:type="character" w:customStyle="1" w:styleId="Heading2Char2">
    <w:name w:val="Heading 2 Char2"/>
    <w:basedOn w:val="DefaultParagraphFont"/>
    <w:uiPriority w:val="9"/>
    <w:semiHidden/>
    <w:rsid w:val="00AA068C"/>
    <w:rPr>
      <w:rFonts w:ascii="Cambria" w:eastAsia="Times New Roman" w:hAnsi="Cambria" w:cs="Times New Roman"/>
      <w:b/>
      <w:bCs/>
      <w:color w:val="4F81BD"/>
      <w:sz w:val="26"/>
      <w:szCs w:val="26"/>
    </w:rPr>
  </w:style>
  <w:style w:type="character" w:customStyle="1" w:styleId="Heading3Char2">
    <w:name w:val="Heading 3 Char2"/>
    <w:basedOn w:val="DefaultParagraphFont"/>
    <w:uiPriority w:val="9"/>
    <w:semiHidden/>
    <w:rsid w:val="00AA068C"/>
    <w:rPr>
      <w:rFonts w:ascii="Cambria" w:eastAsia="Times New Roman" w:hAnsi="Cambria" w:cs="Times New Roman"/>
      <w:b/>
      <w:bCs/>
      <w:color w:val="4F81BD"/>
    </w:rPr>
  </w:style>
  <w:style w:type="character" w:customStyle="1" w:styleId="TitleChar2">
    <w:name w:val="Title Char2"/>
    <w:basedOn w:val="DefaultParagraphFont"/>
    <w:uiPriority w:val="10"/>
    <w:rsid w:val="00AA068C"/>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AA068C"/>
    <w:pPr>
      <w:spacing w:after="200" w:line="276" w:lineRule="auto"/>
      <w:ind w:left="720"/>
      <w:contextualSpacing/>
    </w:pPr>
    <w:rPr>
      <w:rFonts w:ascii="Arial" w:hAnsi="Arial" w:cs="Arial"/>
    </w:rPr>
  </w:style>
  <w:style w:type="table" w:styleId="TableGrid">
    <w:name w:val="Table Grid"/>
    <w:basedOn w:val="TableNormal"/>
    <w:uiPriority w:val="59"/>
    <w:rsid w:val="00AA068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rsid w:val="00AA068C"/>
    <w:pPr>
      <w:tabs>
        <w:tab w:val="center" w:pos="4513"/>
        <w:tab w:val="right" w:pos="9026"/>
      </w:tabs>
      <w:spacing w:after="0" w:line="240" w:lineRule="auto"/>
    </w:pPr>
    <w:rPr>
      <w:rFonts w:ascii="Arial" w:hAnsi="Arial" w:cs="Arial"/>
    </w:rPr>
  </w:style>
  <w:style w:type="character" w:customStyle="1" w:styleId="FooterChar1">
    <w:name w:val="Footer Char1"/>
    <w:basedOn w:val="DefaultParagraphFont"/>
    <w:link w:val="Footer"/>
    <w:uiPriority w:val="99"/>
    <w:rsid w:val="00AA068C"/>
    <w:rPr>
      <w:rFonts w:ascii="Arial" w:hAnsi="Arial" w:cs="Arial"/>
    </w:rPr>
  </w:style>
  <w:style w:type="paragraph" w:styleId="Header">
    <w:name w:val="header"/>
    <w:basedOn w:val="Normal"/>
    <w:link w:val="HeaderChar1"/>
    <w:uiPriority w:val="99"/>
    <w:unhideWhenUsed/>
    <w:rsid w:val="00AA068C"/>
    <w:pPr>
      <w:tabs>
        <w:tab w:val="center" w:pos="4513"/>
        <w:tab w:val="right" w:pos="9026"/>
      </w:tabs>
      <w:spacing w:after="0" w:line="240" w:lineRule="auto"/>
    </w:pPr>
    <w:rPr>
      <w:rFonts w:ascii="Arial" w:hAnsi="Arial" w:cs="Arial"/>
    </w:rPr>
  </w:style>
  <w:style w:type="character" w:customStyle="1" w:styleId="HeaderChar1">
    <w:name w:val="Header Char1"/>
    <w:basedOn w:val="DefaultParagraphFont"/>
    <w:link w:val="Header"/>
    <w:uiPriority w:val="99"/>
    <w:rsid w:val="00AA068C"/>
    <w:rPr>
      <w:rFonts w:ascii="Arial" w:hAnsi="Arial" w:cs="Arial"/>
    </w:rPr>
  </w:style>
  <w:style w:type="paragraph" w:styleId="BalloonText">
    <w:name w:val="Balloon Text"/>
    <w:basedOn w:val="Normal"/>
    <w:link w:val="BalloonTextChar1"/>
    <w:uiPriority w:val="99"/>
    <w:semiHidden/>
    <w:unhideWhenUsed/>
    <w:rsid w:val="00AA068C"/>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AA068C"/>
    <w:rPr>
      <w:rFonts w:ascii="Tahoma" w:hAnsi="Tahoma" w:cs="Tahoma"/>
      <w:sz w:val="16"/>
      <w:szCs w:val="16"/>
    </w:rPr>
  </w:style>
  <w:style w:type="paragraph" w:styleId="CommentText">
    <w:name w:val="annotation text"/>
    <w:basedOn w:val="Normal"/>
    <w:link w:val="CommentTextChar1"/>
    <w:uiPriority w:val="99"/>
    <w:semiHidden/>
    <w:unhideWhenUsed/>
    <w:rsid w:val="00AA068C"/>
    <w:pPr>
      <w:spacing w:after="200" w:line="240" w:lineRule="auto"/>
    </w:pPr>
    <w:rPr>
      <w:rFonts w:ascii="Arial" w:hAnsi="Arial" w:cs="Arial"/>
      <w:sz w:val="20"/>
      <w:szCs w:val="20"/>
    </w:rPr>
  </w:style>
  <w:style w:type="character" w:customStyle="1" w:styleId="CommentTextChar1">
    <w:name w:val="Comment Text Char1"/>
    <w:basedOn w:val="DefaultParagraphFont"/>
    <w:link w:val="CommentText"/>
    <w:uiPriority w:val="99"/>
    <w:semiHidden/>
    <w:rsid w:val="00AA068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A068C"/>
    <w:rPr>
      <w:b/>
      <w:bCs/>
    </w:rPr>
  </w:style>
  <w:style w:type="character" w:customStyle="1" w:styleId="CommentSubjectChar1">
    <w:name w:val="Comment Subject Char1"/>
    <w:basedOn w:val="CommentTextChar1"/>
    <w:uiPriority w:val="99"/>
    <w:semiHidden/>
    <w:rsid w:val="00AA068C"/>
    <w:rPr>
      <w:rFonts w:ascii="Arial" w:hAnsi="Arial" w:cs="Arial"/>
      <w:b/>
      <w:bCs/>
      <w:sz w:val="20"/>
      <w:szCs w:val="20"/>
    </w:rPr>
  </w:style>
  <w:style w:type="character" w:customStyle="1" w:styleId="FollowedHyperlink3">
    <w:name w:val="FollowedHyperlink3"/>
    <w:basedOn w:val="DefaultParagraphFont"/>
    <w:uiPriority w:val="99"/>
    <w:semiHidden/>
    <w:unhideWhenUsed/>
    <w:rsid w:val="00AA068C"/>
    <w:rPr>
      <w:color w:val="800080"/>
      <w:u w:val="single"/>
    </w:rPr>
  </w:style>
  <w:style w:type="paragraph" w:styleId="Revision">
    <w:name w:val="Revision"/>
    <w:hidden/>
    <w:uiPriority w:val="99"/>
    <w:semiHidden/>
    <w:rsid w:val="00AA068C"/>
    <w:pPr>
      <w:spacing w:after="0" w:line="240" w:lineRule="auto"/>
    </w:pPr>
    <w:rPr>
      <w:rFonts w:ascii="Arial" w:hAnsi="Arial" w:cs="Arial"/>
    </w:rPr>
  </w:style>
  <w:style w:type="numbering" w:customStyle="1" w:styleId="NoList2">
    <w:name w:val="No List2"/>
    <w:next w:val="NoList"/>
    <w:uiPriority w:val="99"/>
    <w:semiHidden/>
    <w:unhideWhenUsed/>
    <w:rsid w:val="00AA068C"/>
  </w:style>
  <w:style w:type="table" w:customStyle="1" w:styleId="TableGrid21">
    <w:name w:val="Table Grid21"/>
    <w:basedOn w:val="TableNormal"/>
    <w:next w:val="TableGrid"/>
    <w:rsid w:val="00AA068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A0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AA068C"/>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A068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AA068C"/>
    <w:pPr>
      <w:spacing w:after="0" w:line="240" w:lineRule="auto"/>
    </w:pPr>
  </w:style>
  <w:style w:type="table" w:customStyle="1" w:styleId="TableGrid22">
    <w:name w:val="Table Grid22"/>
    <w:basedOn w:val="TableNormal"/>
    <w:next w:val="TableGrid"/>
    <w:rsid w:val="00AA068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A0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A0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A0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AA068C"/>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A0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A0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A0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A068C"/>
  </w:style>
  <w:style w:type="numbering" w:customStyle="1" w:styleId="NoList12">
    <w:name w:val="No List12"/>
    <w:next w:val="NoList"/>
    <w:uiPriority w:val="99"/>
    <w:semiHidden/>
    <w:unhideWhenUsed/>
    <w:rsid w:val="00AA068C"/>
  </w:style>
  <w:style w:type="character" w:customStyle="1" w:styleId="Hyperlink1">
    <w:name w:val="Hyperlink1"/>
    <w:basedOn w:val="DefaultParagraphFont"/>
    <w:uiPriority w:val="99"/>
    <w:unhideWhenUsed/>
    <w:rsid w:val="00AA068C"/>
    <w:rPr>
      <w:color w:val="0000FF"/>
      <w:u w:val="single"/>
    </w:rPr>
  </w:style>
  <w:style w:type="numbering" w:customStyle="1" w:styleId="NoList112">
    <w:name w:val="No List112"/>
    <w:next w:val="NoList"/>
    <w:uiPriority w:val="99"/>
    <w:semiHidden/>
    <w:unhideWhenUsed/>
    <w:rsid w:val="00AA068C"/>
  </w:style>
  <w:style w:type="table" w:customStyle="1" w:styleId="TableGrid10">
    <w:name w:val="Table Grid10"/>
    <w:basedOn w:val="TableNormal"/>
    <w:next w:val="TableGrid"/>
    <w:rsid w:val="00AA068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AA068C"/>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2"/>
    <w:basedOn w:val="Normal"/>
    <w:next w:val="Normal"/>
    <w:uiPriority w:val="10"/>
    <w:qFormat/>
    <w:rsid w:val="00AA068C"/>
    <w:pPr>
      <w:pBdr>
        <w:bottom w:val="single" w:sz="8" w:space="4" w:color="4F81BD"/>
      </w:pBdr>
      <w:spacing w:after="300" w:line="240" w:lineRule="auto"/>
      <w:contextualSpacing/>
    </w:pPr>
    <w:rPr>
      <w:rFonts w:ascii="Times New Roman" w:eastAsia="Times New Roman" w:hAnsi="Times New Roman" w:cs="Times New Roman"/>
      <w:color w:val="000000"/>
      <w:spacing w:val="-10"/>
      <w:kern w:val="28"/>
      <w:sz w:val="32"/>
      <w:szCs w:val="56"/>
      <w:lang w:eastAsia="en-GB"/>
    </w:rPr>
  </w:style>
  <w:style w:type="numbering" w:customStyle="1" w:styleId="NoList21">
    <w:name w:val="No List21"/>
    <w:next w:val="NoList"/>
    <w:uiPriority w:val="99"/>
    <w:semiHidden/>
    <w:unhideWhenUsed/>
    <w:rsid w:val="00AA068C"/>
  </w:style>
  <w:style w:type="numbering" w:customStyle="1" w:styleId="NoList121">
    <w:name w:val="No List121"/>
    <w:next w:val="NoList"/>
    <w:uiPriority w:val="99"/>
    <w:semiHidden/>
    <w:unhideWhenUsed/>
    <w:rsid w:val="00AA068C"/>
  </w:style>
  <w:style w:type="table" w:customStyle="1" w:styleId="TableGrid23">
    <w:name w:val="Table Grid23"/>
    <w:basedOn w:val="TableNormal"/>
    <w:next w:val="TableGrid"/>
    <w:rsid w:val="00AA068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AA068C"/>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AA068C"/>
  </w:style>
  <w:style w:type="table" w:customStyle="1" w:styleId="TableGrid211">
    <w:name w:val="Table Grid211"/>
    <w:basedOn w:val="TableNormal"/>
    <w:next w:val="TableGrid"/>
    <w:rsid w:val="00AA068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A068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AA068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AA068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AA068C"/>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A068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AA068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A068C"/>
  </w:style>
  <w:style w:type="numbering" w:customStyle="1" w:styleId="NoList13">
    <w:name w:val="No List13"/>
    <w:next w:val="NoList"/>
    <w:uiPriority w:val="99"/>
    <w:semiHidden/>
    <w:unhideWhenUsed/>
    <w:rsid w:val="00AA068C"/>
  </w:style>
  <w:style w:type="numbering" w:customStyle="1" w:styleId="NoList113">
    <w:name w:val="No List113"/>
    <w:next w:val="NoList"/>
    <w:uiPriority w:val="99"/>
    <w:semiHidden/>
    <w:unhideWhenUsed/>
    <w:rsid w:val="00AA068C"/>
  </w:style>
  <w:style w:type="table" w:customStyle="1" w:styleId="TableGrid14">
    <w:name w:val="Table Grid14"/>
    <w:basedOn w:val="TableNormal"/>
    <w:next w:val="TableGrid"/>
    <w:rsid w:val="00AA068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AA068C"/>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A068C"/>
  </w:style>
  <w:style w:type="numbering" w:customStyle="1" w:styleId="NoList122">
    <w:name w:val="No List122"/>
    <w:next w:val="NoList"/>
    <w:uiPriority w:val="99"/>
    <w:semiHidden/>
    <w:unhideWhenUsed/>
    <w:rsid w:val="00AA068C"/>
  </w:style>
  <w:style w:type="table" w:customStyle="1" w:styleId="TableGrid28">
    <w:name w:val="Table Grid28"/>
    <w:basedOn w:val="TableNormal"/>
    <w:next w:val="TableGrid"/>
    <w:rsid w:val="00AA068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AA068C"/>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AA068C"/>
  </w:style>
  <w:style w:type="table" w:customStyle="1" w:styleId="TableGrid212">
    <w:name w:val="Table Grid212"/>
    <w:basedOn w:val="TableNormal"/>
    <w:next w:val="TableGrid"/>
    <w:rsid w:val="00AA068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A068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A068C"/>
  </w:style>
  <w:style w:type="numbering" w:customStyle="1" w:styleId="NoList14">
    <w:name w:val="No List14"/>
    <w:next w:val="NoList"/>
    <w:uiPriority w:val="99"/>
    <w:semiHidden/>
    <w:unhideWhenUsed/>
    <w:rsid w:val="00AA068C"/>
  </w:style>
  <w:style w:type="numbering" w:customStyle="1" w:styleId="NoList114">
    <w:name w:val="No List114"/>
    <w:next w:val="NoList"/>
    <w:uiPriority w:val="99"/>
    <w:semiHidden/>
    <w:unhideWhenUsed/>
    <w:rsid w:val="00AA068C"/>
  </w:style>
  <w:style w:type="table" w:customStyle="1" w:styleId="TableGrid16">
    <w:name w:val="Table Grid16"/>
    <w:basedOn w:val="TableNormal"/>
    <w:next w:val="TableGrid"/>
    <w:rsid w:val="00AA068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AA068C"/>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AA068C"/>
  </w:style>
  <w:style w:type="numbering" w:customStyle="1" w:styleId="NoList123">
    <w:name w:val="No List123"/>
    <w:next w:val="NoList"/>
    <w:uiPriority w:val="99"/>
    <w:semiHidden/>
    <w:unhideWhenUsed/>
    <w:rsid w:val="00AA068C"/>
  </w:style>
  <w:style w:type="table" w:customStyle="1" w:styleId="TableGrid29">
    <w:name w:val="Table Grid29"/>
    <w:basedOn w:val="TableNormal"/>
    <w:next w:val="TableGrid"/>
    <w:rsid w:val="00AA068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AA068C"/>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AA068C"/>
  </w:style>
  <w:style w:type="table" w:customStyle="1" w:styleId="TableGrid213">
    <w:name w:val="Table Grid213"/>
    <w:basedOn w:val="TableNormal"/>
    <w:next w:val="TableGrid"/>
    <w:rsid w:val="00AA068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A068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A068C"/>
  </w:style>
  <w:style w:type="numbering" w:customStyle="1" w:styleId="NoList15">
    <w:name w:val="No List15"/>
    <w:next w:val="NoList"/>
    <w:uiPriority w:val="99"/>
    <w:semiHidden/>
    <w:unhideWhenUsed/>
    <w:rsid w:val="00AA068C"/>
  </w:style>
  <w:style w:type="numbering" w:customStyle="1" w:styleId="NoList115">
    <w:name w:val="No List115"/>
    <w:next w:val="NoList"/>
    <w:uiPriority w:val="99"/>
    <w:semiHidden/>
    <w:unhideWhenUsed/>
    <w:rsid w:val="00AA068C"/>
  </w:style>
  <w:style w:type="table" w:customStyle="1" w:styleId="TableGrid18">
    <w:name w:val="Table Grid18"/>
    <w:basedOn w:val="TableNormal"/>
    <w:next w:val="TableGrid"/>
    <w:rsid w:val="00AA068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AA068C"/>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AA068C"/>
  </w:style>
  <w:style w:type="numbering" w:customStyle="1" w:styleId="NoList124">
    <w:name w:val="No List124"/>
    <w:next w:val="NoList"/>
    <w:uiPriority w:val="99"/>
    <w:semiHidden/>
    <w:unhideWhenUsed/>
    <w:rsid w:val="00AA068C"/>
  </w:style>
  <w:style w:type="table" w:customStyle="1" w:styleId="TableGrid210">
    <w:name w:val="Table Grid210"/>
    <w:basedOn w:val="TableNormal"/>
    <w:next w:val="TableGrid"/>
    <w:rsid w:val="00AA068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AA068C"/>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A068C"/>
  </w:style>
  <w:style w:type="table" w:customStyle="1" w:styleId="TableGrid214">
    <w:name w:val="Table Grid214"/>
    <w:basedOn w:val="TableNormal"/>
    <w:next w:val="TableGrid"/>
    <w:rsid w:val="00AA068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AA068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A0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AA068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A068C"/>
    <w:rPr>
      <w:color w:val="808080"/>
    </w:rPr>
  </w:style>
  <w:style w:type="table" w:customStyle="1" w:styleId="TableGrid30">
    <w:name w:val="Table Grid30"/>
    <w:basedOn w:val="TableNormal"/>
    <w:next w:val="TableGrid"/>
    <w:uiPriority w:val="59"/>
    <w:rsid w:val="00AA0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AA0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AA0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AA0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AA0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AA0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AA068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A068C"/>
  </w:style>
  <w:style w:type="paragraph" w:styleId="TOC1">
    <w:name w:val="toc 1"/>
    <w:basedOn w:val="Normal"/>
    <w:next w:val="Normal"/>
    <w:autoRedefine/>
    <w:uiPriority w:val="39"/>
    <w:unhideWhenUsed/>
    <w:qFormat/>
    <w:rsid w:val="00AA068C"/>
    <w:pPr>
      <w:spacing w:before="240" w:after="240" w:line="360" w:lineRule="auto"/>
    </w:pPr>
    <w:rPr>
      <w:rFonts w:ascii="Times New Roman" w:hAnsi="Times New Roman" w:cs="Times New Roman"/>
      <w:sz w:val="24"/>
      <w:szCs w:val="24"/>
    </w:rPr>
  </w:style>
  <w:style w:type="paragraph" w:customStyle="1" w:styleId="TOC21">
    <w:name w:val="TOC 21"/>
    <w:basedOn w:val="Normal"/>
    <w:next w:val="Normal"/>
    <w:autoRedefine/>
    <w:uiPriority w:val="39"/>
    <w:unhideWhenUsed/>
    <w:qFormat/>
    <w:rsid w:val="00AA068C"/>
    <w:pPr>
      <w:spacing w:after="100" w:line="276" w:lineRule="auto"/>
      <w:ind w:left="220"/>
    </w:pPr>
    <w:rPr>
      <w:rFonts w:eastAsia="Times New Roman"/>
      <w:lang w:val="en-US" w:eastAsia="ja-JP"/>
    </w:rPr>
  </w:style>
  <w:style w:type="paragraph" w:customStyle="1" w:styleId="TOC31">
    <w:name w:val="TOC 31"/>
    <w:basedOn w:val="Normal"/>
    <w:next w:val="Normal"/>
    <w:autoRedefine/>
    <w:uiPriority w:val="39"/>
    <w:unhideWhenUsed/>
    <w:qFormat/>
    <w:rsid w:val="00AA068C"/>
    <w:pPr>
      <w:spacing w:after="100" w:line="276" w:lineRule="auto"/>
      <w:ind w:left="440"/>
    </w:pPr>
    <w:rPr>
      <w:rFonts w:eastAsia="Times New Roman"/>
      <w:lang w:val="en-US" w:eastAsia="ja-JP"/>
    </w:rPr>
  </w:style>
  <w:style w:type="paragraph" w:customStyle="1" w:styleId="TableofFigures1">
    <w:name w:val="Table of Figures1"/>
    <w:basedOn w:val="Normal"/>
    <w:next w:val="Normal"/>
    <w:uiPriority w:val="99"/>
    <w:unhideWhenUsed/>
    <w:rsid w:val="00AA068C"/>
    <w:pPr>
      <w:spacing w:before="240" w:after="240" w:line="276" w:lineRule="auto"/>
      <w:ind w:left="440" w:hanging="440"/>
    </w:pPr>
    <w:rPr>
      <w:rFonts w:ascii="Times New Roman" w:hAnsi="Times New Roman" w:cs="Times New Roman"/>
      <w:smallCaps/>
      <w:sz w:val="24"/>
      <w:szCs w:val="24"/>
    </w:rPr>
  </w:style>
  <w:style w:type="paragraph" w:customStyle="1" w:styleId="TOC41">
    <w:name w:val="TOC 41"/>
    <w:basedOn w:val="Normal"/>
    <w:next w:val="Normal"/>
    <w:autoRedefine/>
    <w:uiPriority w:val="39"/>
    <w:unhideWhenUsed/>
    <w:rsid w:val="00AA068C"/>
    <w:pPr>
      <w:spacing w:after="100" w:line="276" w:lineRule="auto"/>
      <w:ind w:left="660"/>
    </w:pPr>
    <w:rPr>
      <w:rFonts w:eastAsia="Times New Roman"/>
      <w:lang w:eastAsia="en-GB"/>
    </w:rPr>
  </w:style>
  <w:style w:type="paragraph" w:customStyle="1" w:styleId="TOC51">
    <w:name w:val="TOC 51"/>
    <w:basedOn w:val="Normal"/>
    <w:next w:val="Normal"/>
    <w:autoRedefine/>
    <w:uiPriority w:val="39"/>
    <w:unhideWhenUsed/>
    <w:rsid w:val="00AA068C"/>
    <w:pPr>
      <w:spacing w:after="100" w:line="276" w:lineRule="auto"/>
      <w:ind w:left="880"/>
    </w:pPr>
    <w:rPr>
      <w:rFonts w:eastAsia="Times New Roman"/>
      <w:lang w:eastAsia="en-GB"/>
    </w:rPr>
  </w:style>
  <w:style w:type="paragraph" w:customStyle="1" w:styleId="TOC61">
    <w:name w:val="TOC 61"/>
    <w:basedOn w:val="Normal"/>
    <w:next w:val="Normal"/>
    <w:autoRedefine/>
    <w:uiPriority w:val="39"/>
    <w:unhideWhenUsed/>
    <w:rsid w:val="00AA068C"/>
    <w:pPr>
      <w:spacing w:after="100" w:line="276" w:lineRule="auto"/>
      <w:ind w:left="1100"/>
    </w:pPr>
    <w:rPr>
      <w:rFonts w:eastAsia="Times New Roman"/>
      <w:lang w:eastAsia="en-GB"/>
    </w:rPr>
  </w:style>
  <w:style w:type="paragraph" w:customStyle="1" w:styleId="TOC71">
    <w:name w:val="TOC 71"/>
    <w:basedOn w:val="Normal"/>
    <w:next w:val="Normal"/>
    <w:autoRedefine/>
    <w:uiPriority w:val="39"/>
    <w:unhideWhenUsed/>
    <w:rsid w:val="00AA068C"/>
    <w:pPr>
      <w:spacing w:after="100" w:line="276" w:lineRule="auto"/>
      <w:ind w:left="1320"/>
    </w:pPr>
    <w:rPr>
      <w:rFonts w:eastAsia="Times New Roman"/>
      <w:lang w:eastAsia="en-GB"/>
    </w:rPr>
  </w:style>
  <w:style w:type="paragraph" w:customStyle="1" w:styleId="TOC81">
    <w:name w:val="TOC 81"/>
    <w:basedOn w:val="Normal"/>
    <w:next w:val="Normal"/>
    <w:autoRedefine/>
    <w:uiPriority w:val="39"/>
    <w:unhideWhenUsed/>
    <w:rsid w:val="00AA068C"/>
    <w:pPr>
      <w:spacing w:after="100" w:line="276" w:lineRule="auto"/>
      <w:ind w:left="1540"/>
    </w:pPr>
    <w:rPr>
      <w:rFonts w:eastAsia="Times New Roman"/>
      <w:lang w:eastAsia="en-GB"/>
    </w:rPr>
  </w:style>
  <w:style w:type="paragraph" w:customStyle="1" w:styleId="TOC91">
    <w:name w:val="TOC 91"/>
    <w:basedOn w:val="Normal"/>
    <w:next w:val="Normal"/>
    <w:autoRedefine/>
    <w:uiPriority w:val="39"/>
    <w:unhideWhenUsed/>
    <w:rsid w:val="00AA068C"/>
    <w:pPr>
      <w:spacing w:after="100" w:line="276" w:lineRule="auto"/>
      <w:ind w:left="1760"/>
    </w:pPr>
    <w:rPr>
      <w:rFonts w:eastAsia="Times New Roman"/>
      <w:lang w:eastAsia="en-GB"/>
    </w:rPr>
  </w:style>
  <w:style w:type="table" w:customStyle="1" w:styleId="TableGrid40">
    <w:name w:val="Table Grid40"/>
    <w:basedOn w:val="TableNormal"/>
    <w:next w:val="TableGrid"/>
    <w:uiPriority w:val="39"/>
    <w:rsid w:val="00AA068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3">
    <w:name w:val="Heading 1 Char3"/>
    <w:basedOn w:val="DefaultParagraphFont"/>
    <w:uiPriority w:val="9"/>
    <w:rsid w:val="00AA068C"/>
    <w:rPr>
      <w:rFonts w:asciiTheme="majorHAnsi" w:eastAsiaTheme="majorEastAsia" w:hAnsiTheme="majorHAnsi" w:cstheme="majorBidi"/>
      <w:color w:val="2E74B5" w:themeColor="accent1" w:themeShade="BF"/>
      <w:sz w:val="32"/>
      <w:szCs w:val="32"/>
    </w:rPr>
  </w:style>
  <w:style w:type="character" w:customStyle="1" w:styleId="Heading2Char3">
    <w:name w:val="Heading 2 Char3"/>
    <w:basedOn w:val="DefaultParagraphFont"/>
    <w:uiPriority w:val="9"/>
    <w:semiHidden/>
    <w:rsid w:val="00AA068C"/>
    <w:rPr>
      <w:rFonts w:asciiTheme="majorHAnsi" w:eastAsiaTheme="majorEastAsia" w:hAnsiTheme="majorHAnsi" w:cstheme="majorBidi"/>
      <w:color w:val="2E74B5" w:themeColor="accent1" w:themeShade="BF"/>
      <w:sz w:val="26"/>
      <w:szCs w:val="26"/>
    </w:rPr>
  </w:style>
  <w:style w:type="character" w:customStyle="1" w:styleId="Heading3Char3">
    <w:name w:val="Heading 3 Char3"/>
    <w:basedOn w:val="DefaultParagraphFont"/>
    <w:uiPriority w:val="9"/>
    <w:semiHidden/>
    <w:rsid w:val="00AA068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AA068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AA068C"/>
    <w:rPr>
      <w:rFonts w:asciiTheme="majorHAnsi" w:eastAsiaTheme="majorEastAsia" w:hAnsiTheme="majorHAnsi" w:cstheme="majorBidi"/>
      <w:color w:val="2E74B5" w:themeColor="accent1" w:themeShade="BF"/>
    </w:rPr>
  </w:style>
  <w:style w:type="paragraph" w:styleId="Title">
    <w:name w:val="Title"/>
    <w:basedOn w:val="Normal"/>
    <w:next w:val="Normal"/>
    <w:link w:val="TitleChar"/>
    <w:uiPriority w:val="10"/>
    <w:qFormat/>
    <w:rsid w:val="00AA068C"/>
    <w:pPr>
      <w:spacing w:after="0" w:line="240" w:lineRule="auto"/>
      <w:contextualSpacing/>
    </w:pPr>
    <w:rPr>
      <w:rFonts w:ascii="Times New Roman" w:eastAsia="Times New Roman" w:hAnsi="Times New Roman" w:cs="Times New Roman"/>
      <w:b/>
      <w:spacing w:val="5"/>
      <w:kern w:val="28"/>
      <w:sz w:val="48"/>
      <w:szCs w:val="52"/>
    </w:rPr>
  </w:style>
  <w:style w:type="character" w:customStyle="1" w:styleId="TitleChar3">
    <w:name w:val="Title Char3"/>
    <w:basedOn w:val="DefaultParagraphFont"/>
    <w:uiPriority w:val="10"/>
    <w:rsid w:val="00AA068C"/>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AA068C"/>
    <w:rPr>
      <w:color w:val="954F72" w:themeColor="followedHyperlink"/>
      <w:u w:val="single"/>
    </w:rPr>
  </w:style>
  <w:style w:type="paragraph" w:styleId="NoSpacing">
    <w:name w:val="No Spacing"/>
    <w:uiPriority w:val="1"/>
    <w:qFormat/>
    <w:rsid w:val="00AA068C"/>
    <w:pPr>
      <w:spacing w:after="0" w:line="240" w:lineRule="auto"/>
    </w:pPr>
  </w:style>
  <w:style w:type="table" w:customStyle="1" w:styleId="TableGrid41">
    <w:name w:val="Table Grid41"/>
    <w:basedOn w:val="TableNormal"/>
    <w:next w:val="TableGrid"/>
    <w:rsid w:val="00AA068C"/>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AA068C"/>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AA068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A068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2">
    <w:name w:val="List Table 2"/>
    <w:basedOn w:val="TableNormal"/>
    <w:uiPriority w:val="47"/>
    <w:rsid w:val="00AA068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AA068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11111">
    <w:name w:val="No List111111"/>
    <w:next w:val="NoList"/>
    <w:uiPriority w:val="99"/>
    <w:semiHidden/>
    <w:unhideWhenUsed/>
    <w:rsid w:val="00AA068C"/>
  </w:style>
  <w:style w:type="table" w:customStyle="1" w:styleId="TableGrid1110">
    <w:name w:val="Table Grid1110"/>
    <w:basedOn w:val="TableNormal"/>
    <w:next w:val="TableGrid"/>
    <w:rsid w:val="00AA068C"/>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4137C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2F2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597814">
      <w:bodyDiv w:val="1"/>
      <w:marLeft w:val="0"/>
      <w:marRight w:val="0"/>
      <w:marTop w:val="0"/>
      <w:marBottom w:val="0"/>
      <w:divBdr>
        <w:top w:val="none" w:sz="0" w:space="0" w:color="auto"/>
        <w:left w:val="none" w:sz="0" w:space="0" w:color="auto"/>
        <w:bottom w:val="none" w:sz="0" w:space="0" w:color="auto"/>
        <w:right w:val="none" w:sz="0" w:space="0" w:color="auto"/>
      </w:divBdr>
      <w:divsChild>
        <w:div w:id="1945452538">
          <w:marLeft w:val="0"/>
          <w:marRight w:val="0"/>
          <w:marTop w:val="0"/>
          <w:marBottom w:val="0"/>
          <w:divBdr>
            <w:top w:val="none" w:sz="0" w:space="0" w:color="auto"/>
            <w:left w:val="none" w:sz="0" w:space="0" w:color="auto"/>
            <w:bottom w:val="none" w:sz="0" w:space="0" w:color="auto"/>
            <w:right w:val="none" w:sz="0" w:space="0" w:color="auto"/>
          </w:divBdr>
        </w:div>
      </w:divsChild>
    </w:div>
    <w:div w:id="197220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standardandpoors.com" TargetMode="External"/><Relationship Id="rId7" Type="http://schemas.openxmlformats.org/officeDocument/2006/relationships/endnotes" Target="endnotes.xml"/><Relationship Id="rId12" Type="http://schemas.openxmlformats.org/officeDocument/2006/relationships/hyperlink" Target="mailto:awad.ibrahim@port.ac.uk" TargetMode="External"/><Relationship Id="rId17" Type="http://schemas.openxmlformats.org/officeDocument/2006/relationships/oleObject" Target="embeddings/oleObject2.bin"/><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ssrn.com/abstract=1682130" TargetMode="External"/><Relationship Id="rId29"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a.elmagrhi@swansea.ac.uk" TargetMode="Externa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Endogeneity_(econometric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ac1980@coventry.ac.uk" TargetMode="External"/><Relationship Id="rId19" Type="http://schemas.openxmlformats.org/officeDocument/2006/relationships/oleObject" Target="embeddings/oleObject3.bin"/><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mailto:C.G.Ntim@soton.ac.uk" TargetMode="External"/><Relationship Id="rId14" Type="http://schemas.openxmlformats.org/officeDocument/2006/relationships/oleObject" Target="embeddings/oleObject1.bin"/><Relationship Id="rId22" Type="http://schemas.openxmlformats.org/officeDocument/2006/relationships/hyperlink" Target="http://www.hm-treasury.gov.uk/d/walker_review_261109.pdf" TargetMode="External"/><Relationship Id="rId27" Type="http://schemas.openxmlformats.org/officeDocument/2006/relationships/header" Target="header3.xml"/><Relationship Id="rId30" Type="http://schemas.openxmlformats.org/officeDocument/2006/relationships/oleObject" Target="embeddings/oleObject4.bin"/><Relationship Id="rId8" Type="http://schemas.openxmlformats.org/officeDocument/2006/relationships/hyperlink" Target="mailto:ahmed.a.elame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hmed.elamer@brune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4F612-F4AB-4CD7-BE04-27A5C74B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20623</Words>
  <Characters>117553</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Elamer</dc:creator>
  <cp:keywords/>
  <dc:description/>
  <cp:lastModifiedBy>Ntim C.G.</cp:lastModifiedBy>
  <cp:revision>3</cp:revision>
  <dcterms:created xsi:type="dcterms:W3CDTF">2020-06-19T05:19:00Z</dcterms:created>
  <dcterms:modified xsi:type="dcterms:W3CDTF">2020-06-19T21:10:00Z</dcterms:modified>
</cp:coreProperties>
</file>