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3F032" w14:textId="1222EA9D" w:rsidR="003C588D" w:rsidRPr="003C588D" w:rsidRDefault="003C588D" w:rsidP="003C588D">
      <w:pPr>
        <w:spacing w:line="360" w:lineRule="auto"/>
        <w:jc w:val="center"/>
        <w:rPr>
          <w:rFonts w:ascii="Times New Roman" w:hAnsi="Times New Roman"/>
          <w:b/>
          <w:sz w:val="24"/>
          <w:szCs w:val="24"/>
        </w:rPr>
      </w:pPr>
      <w:r w:rsidRPr="003C588D">
        <w:rPr>
          <w:rFonts w:ascii="Times New Roman" w:hAnsi="Times New Roman"/>
          <w:b/>
          <w:sz w:val="24"/>
          <w:szCs w:val="24"/>
        </w:rPr>
        <w:t xml:space="preserve">Credit information sharing and bank loan pricing: </w:t>
      </w:r>
      <w:r>
        <w:rPr>
          <w:rFonts w:ascii="Times New Roman" w:hAnsi="Times New Roman"/>
          <w:b/>
          <w:sz w:val="24"/>
          <w:szCs w:val="24"/>
        </w:rPr>
        <w:t>D</w:t>
      </w:r>
      <w:r w:rsidRPr="003C588D">
        <w:rPr>
          <w:rFonts w:ascii="Times New Roman" w:hAnsi="Times New Roman"/>
          <w:b/>
          <w:sz w:val="24"/>
          <w:szCs w:val="24"/>
        </w:rPr>
        <w:t>o concentration and governance matter?</w:t>
      </w:r>
    </w:p>
    <w:p w14:paraId="075292A6" w14:textId="77777777" w:rsidR="003C588D" w:rsidRPr="003C588D" w:rsidRDefault="003C588D" w:rsidP="003C588D">
      <w:pPr>
        <w:spacing w:line="360" w:lineRule="auto"/>
        <w:jc w:val="center"/>
        <w:rPr>
          <w:rFonts w:ascii="Times New Roman" w:hAnsi="Times New Roman"/>
          <w:b/>
          <w:sz w:val="24"/>
          <w:szCs w:val="24"/>
        </w:rPr>
      </w:pPr>
    </w:p>
    <w:p w14:paraId="05D08DC0" w14:textId="77777777" w:rsidR="003C588D" w:rsidRPr="003C588D" w:rsidRDefault="003C588D" w:rsidP="003C588D">
      <w:pPr>
        <w:spacing w:line="360" w:lineRule="auto"/>
        <w:jc w:val="center"/>
        <w:rPr>
          <w:rFonts w:ascii="Times New Roman" w:hAnsi="Times New Roman"/>
          <w:b/>
          <w:sz w:val="24"/>
          <w:szCs w:val="24"/>
        </w:rPr>
      </w:pPr>
    </w:p>
    <w:p w14:paraId="2CDAAF01" w14:textId="598A6311" w:rsidR="003C588D" w:rsidRPr="003C588D" w:rsidRDefault="003C588D" w:rsidP="003C588D">
      <w:pPr>
        <w:widowControl w:val="0"/>
        <w:spacing w:after="0" w:line="360" w:lineRule="auto"/>
        <w:ind w:left="555" w:right="562"/>
        <w:jc w:val="center"/>
        <w:rPr>
          <w:rFonts w:ascii="Times New Roman" w:eastAsia="Times New Roman" w:hAnsi="Times New Roman"/>
          <w:sz w:val="20"/>
          <w:szCs w:val="20"/>
          <w:lang w:val="en-US"/>
        </w:rPr>
      </w:pPr>
      <w:r w:rsidRPr="003C588D">
        <w:rPr>
          <w:rFonts w:ascii="Times New Roman" w:eastAsia="Times New Roman" w:hAnsi="Times New Roman"/>
          <w:sz w:val="20"/>
          <w:szCs w:val="20"/>
          <w:lang w:val="en-US"/>
        </w:rPr>
        <w:t>Samuel Fosu</w:t>
      </w:r>
      <w:r w:rsidRPr="003C588D">
        <w:rPr>
          <w:rFonts w:ascii="Times New Roman" w:eastAsia="Times New Roman" w:hAnsi="Times New Roman"/>
          <w:sz w:val="20"/>
          <w:szCs w:val="20"/>
          <w:vertAlign w:val="superscript"/>
          <w:lang w:val="en-US"/>
        </w:rPr>
        <w:footnoteReference w:customMarkFollows="1" w:id="1"/>
        <w:t>1</w:t>
      </w:r>
      <w:r w:rsidRPr="003C588D">
        <w:rPr>
          <w:rFonts w:ascii="Times New Roman" w:eastAsia="Times New Roman" w:hAnsi="Times New Roman"/>
          <w:sz w:val="20"/>
          <w:szCs w:val="20"/>
          <w:lang w:val="en-US"/>
        </w:rPr>
        <w:t>, Albert Danso</w:t>
      </w:r>
      <w:r w:rsidRPr="003C588D">
        <w:rPr>
          <w:rFonts w:ascii="Times New Roman" w:eastAsia="Times New Roman" w:hAnsi="Times New Roman"/>
          <w:sz w:val="20"/>
          <w:szCs w:val="20"/>
          <w:vertAlign w:val="superscript"/>
          <w:lang w:val="en-US"/>
        </w:rPr>
        <w:footnoteReference w:customMarkFollows="1" w:id="2"/>
        <w:t>2</w:t>
      </w:r>
      <w:r w:rsidRPr="003C588D">
        <w:rPr>
          <w:rFonts w:ascii="Times New Roman" w:eastAsia="Times New Roman" w:hAnsi="Times New Roman"/>
          <w:sz w:val="20"/>
          <w:szCs w:val="20"/>
          <w:lang w:val="en-US"/>
        </w:rPr>
        <w:t>, Henry Agyei-Boapeah</w:t>
      </w:r>
      <w:r w:rsidRPr="003C588D">
        <w:rPr>
          <w:rFonts w:ascii="Times New Roman" w:eastAsia="Times New Roman" w:hAnsi="Times New Roman"/>
          <w:sz w:val="20"/>
          <w:szCs w:val="20"/>
          <w:vertAlign w:val="superscript"/>
          <w:lang w:val="en-US"/>
        </w:rPr>
        <w:t>3</w:t>
      </w:r>
      <w:r w:rsidRPr="003C588D">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and </w:t>
      </w:r>
      <w:r w:rsidRPr="003C588D">
        <w:rPr>
          <w:rFonts w:ascii="Times New Roman" w:eastAsia="Times New Roman" w:hAnsi="Times New Roman"/>
          <w:w w:val="105"/>
          <w:sz w:val="20"/>
          <w:szCs w:val="20"/>
          <w:lang w:val="en-US"/>
        </w:rPr>
        <w:t>Collins G. Ntim</w:t>
      </w:r>
      <w:r w:rsidRPr="003C588D">
        <w:rPr>
          <w:rFonts w:ascii="Times New Roman" w:eastAsia="Times New Roman" w:hAnsi="Times New Roman"/>
          <w:w w:val="105"/>
          <w:sz w:val="20"/>
          <w:szCs w:val="20"/>
          <w:vertAlign w:val="superscript"/>
          <w:lang w:val="en-US"/>
        </w:rPr>
        <w:t>3</w:t>
      </w:r>
      <w:r w:rsidRPr="003C588D">
        <w:rPr>
          <w:rFonts w:ascii="Times New Roman" w:eastAsia="Times New Roman" w:hAnsi="Times New Roman"/>
          <w:sz w:val="20"/>
          <w:szCs w:val="20"/>
          <w:lang w:val="en-US"/>
        </w:rPr>
        <w:t xml:space="preserve"> </w:t>
      </w:r>
    </w:p>
    <w:p w14:paraId="5C78924D" w14:textId="77777777" w:rsidR="003C588D" w:rsidRPr="003C588D" w:rsidRDefault="003C588D" w:rsidP="003C588D"/>
    <w:p w14:paraId="1891851E" w14:textId="77777777" w:rsidR="003C588D" w:rsidRPr="003C588D" w:rsidRDefault="003C588D" w:rsidP="003C588D">
      <w:pPr>
        <w:spacing w:line="360" w:lineRule="auto"/>
        <w:jc w:val="center"/>
        <w:rPr>
          <w:rFonts w:ascii="Times New Roman" w:hAnsi="Times New Roman"/>
          <w:b/>
          <w:bCs/>
          <w:sz w:val="24"/>
          <w:szCs w:val="24"/>
        </w:rPr>
      </w:pPr>
    </w:p>
    <w:p w14:paraId="21AC8E04" w14:textId="77777777" w:rsidR="003C588D" w:rsidRPr="003C588D" w:rsidRDefault="003C588D" w:rsidP="003C588D">
      <w:pPr>
        <w:spacing w:line="360" w:lineRule="auto"/>
        <w:jc w:val="center"/>
        <w:rPr>
          <w:rFonts w:ascii="Times New Roman" w:hAnsi="Times New Roman"/>
          <w:b/>
          <w:bCs/>
          <w:sz w:val="24"/>
          <w:szCs w:val="24"/>
        </w:rPr>
      </w:pPr>
    </w:p>
    <w:p w14:paraId="73D0F92E" w14:textId="77777777" w:rsidR="003C588D" w:rsidRPr="003C588D" w:rsidRDefault="003C588D" w:rsidP="003C588D">
      <w:pPr>
        <w:spacing w:line="360" w:lineRule="auto"/>
        <w:jc w:val="center"/>
        <w:rPr>
          <w:rFonts w:ascii="Times New Roman" w:hAnsi="Times New Roman"/>
          <w:sz w:val="24"/>
          <w:szCs w:val="24"/>
        </w:rPr>
      </w:pPr>
      <w:r w:rsidRPr="003C588D">
        <w:rPr>
          <w:rFonts w:ascii="Times New Roman" w:hAnsi="Times New Roman"/>
          <w:b/>
          <w:bCs/>
          <w:sz w:val="24"/>
          <w:szCs w:val="24"/>
        </w:rPr>
        <w:t xml:space="preserve">Corresponding author: </w:t>
      </w:r>
      <w:r w:rsidRPr="003C588D">
        <w:rPr>
          <w:rFonts w:ascii="Times New Roman" w:hAnsi="Times New Roman"/>
          <w:sz w:val="24"/>
          <w:szCs w:val="24"/>
        </w:rPr>
        <w:t>s.fosu@uaeu.ac.ae</w:t>
      </w:r>
    </w:p>
    <w:p w14:paraId="32F44FB9" w14:textId="77777777" w:rsidR="003C588D" w:rsidRPr="003C588D" w:rsidRDefault="003C588D" w:rsidP="003C588D">
      <w:bookmarkStart w:id="0" w:name="_GoBack"/>
      <w:bookmarkEnd w:id="0"/>
    </w:p>
    <w:p w14:paraId="2F4A5282" w14:textId="6D10C40A" w:rsidR="003C588D" w:rsidRDefault="003C588D" w:rsidP="00725A1B">
      <w:pPr>
        <w:spacing w:line="360" w:lineRule="auto"/>
        <w:jc w:val="center"/>
        <w:rPr>
          <w:rFonts w:ascii="Times New Roman" w:hAnsi="Times New Roman"/>
          <w:b/>
          <w:sz w:val="24"/>
          <w:szCs w:val="24"/>
        </w:rPr>
      </w:pPr>
    </w:p>
    <w:p w14:paraId="373DB329" w14:textId="550F0BBA" w:rsidR="003C588D" w:rsidRDefault="003C588D" w:rsidP="00725A1B">
      <w:pPr>
        <w:spacing w:line="360" w:lineRule="auto"/>
        <w:jc w:val="center"/>
        <w:rPr>
          <w:rFonts w:ascii="Times New Roman" w:hAnsi="Times New Roman"/>
          <w:b/>
          <w:sz w:val="24"/>
          <w:szCs w:val="24"/>
        </w:rPr>
      </w:pPr>
    </w:p>
    <w:p w14:paraId="3D41C4A0" w14:textId="2930575E" w:rsidR="003C588D" w:rsidRPr="00E6550C" w:rsidRDefault="00E6550C" w:rsidP="00E6550C">
      <w:pPr>
        <w:spacing w:line="360" w:lineRule="auto"/>
        <w:rPr>
          <w:rFonts w:ascii="Times New Roman" w:hAnsi="Times New Roman"/>
          <w:b/>
          <w:sz w:val="24"/>
          <w:szCs w:val="24"/>
        </w:rPr>
      </w:pPr>
      <w:r>
        <w:rPr>
          <w:rFonts w:ascii="Times New Roman" w:hAnsi="Times New Roman"/>
          <w:b/>
          <w:sz w:val="24"/>
          <w:szCs w:val="24"/>
        </w:rPr>
        <w:t>Please c</w:t>
      </w:r>
      <w:r w:rsidRPr="00E6550C">
        <w:rPr>
          <w:rFonts w:ascii="Times New Roman" w:hAnsi="Times New Roman"/>
          <w:b/>
          <w:sz w:val="24"/>
          <w:szCs w:val="24"/>
        </w:rPr>
        <w:t>ite as follows:</w:t>
      </w:r>
    </w:p>
    <w:p w14:paraId="6EB29EEA" w14:textId="7A495226" w:rsidR="00E6550C" w:rsidRPr="003C588D" w:rsidRDefault="00E6550C" w:rsidP="00E6550C">
      <w:pPr>
        <w:spacing w:line="360" w:lineRule="auto"/>
        <w:jc w:val="center"/>
        <w:rPr>
          <w:rFonts w:ascii="Times New Roman" w:hAnsi="Times New Roman"/>
          <w:bCs/>
          <w:sz w:val="24"/>
          <w:szCs w:val="24"/>
        </w:rPr>
      </w:pPr>
      <w:r>
        <w:rPr>
          <w:rFonts w:ascii="Times New Roman" w:hAnsi="Times New Roman"/>
          <w:bCs/>
          <w:sz w:val="24"/>
          <w:szCs w:val="24"/>
        </w:rPr>
        <w:t xml:space="preserve">Fosu, S., Danso, A., Agyei-Boapeah, H., &amp; Ntim, C.G. (2020). </w:t>
      </w:r>
      <w:r w:rsidRPr="003C588D">
        <w:rPr>
          <w:rFonts w:ascii="Times New Roman" w:hAnsi="Times New Roman"/>
          <w:bCs/>
          <w:sz w:val="24"/>
          <w:szCs w:val="24"/>
        </w:rPr>
        <w:t xml:space="preserve">Credit information sharing and bank loan pricing: </w:t>
      </w:r>
      <w:r w:rsidRPr="00E6550C">
        <w:rPr>
          <w:rFonts w:ascii="Times New Roman" w:hAnsi="Times New Roman"/>
          <w:bCs/>
          <w:sz w:val="24"/>
          <w:szCs w:val="24"/>
        </w:rPr>
        <w:t>D</w:t>
      </w:r>
      <w:r w:rsidRPr="003C588D">
        <w:rPr>
          <w:rFonts w:ascii="Times New Roman" w:hAnsi="Times New Roman"/>
          <w:bCs/>
          <w:sz w:val="24"/>
          <w:szCs w:val="24"/>
        </w:rPr>
        <w:t xml:space="preserve">o concentration and governance </w:t>
      </w:r>
      <w:proofErr w:type="gramStart"/>
      <w:r w:rsidRPr="003C588D">
        <w:rPr>
          <w:rFonts w:ascii="Times New Roman" w:hAnsi="Times New Roman"/>
          <w:bCs/>
          <w:sz w:val="24"/>
          <w:szCs w:val="24"/>
        </w:rPr>
        <w:t>matter?</w:t>
      </w:r>
      <w:r>
        <w:rPr>
          <w:rFonts w:ascii="Times New Roman" w:hAnsi="Times New Roman"/>
          <w:bCs/>
          <w:sz w:val="24"/>
          <w:szCs w:val="24"/>
        </w:rPr>
        <w:t>,</w:t>
      </w:r>
      <w:proofErr w:type="gramEnd"/>
      <w:r>
        <w:rPr>
          <w:rFonts w:ascii="Times New Roman" w:hAnsi="Times New Roman"/>
          <w:bCs/>
          <w:sz w:val="24"/>
          <w:szCs w:val="24"/>
        </w:rPr>
        <w:t xml:space="preserve"> </w:t>
      </w:r>
      <w:r>
        <w:rPr>
          <w:rFonts w:ascii="Times New Roman" w:hAnsi="Times New Roman"/>
          <w:bCs/>
          <w:i/>
          <w:iCs/>
          <w:sz w:val="24"/>
          <w:szCs w:val="24"/>
        </w:rPr>
        <w:t xml:space="preserve">International Journal of Finance and Economics, </w:t>
      </w:r>
      <w:r>
        <w:rPr>
          <w:rFonts w:ascii="Times New Roman" w:hAnsi="Times New Roman"/>
          <w:bCs/>
          <w:sz w:val="24"/>
          <w:szCs w:val="24"/>
        </w:rPr>
        <w:t>Forthcoming.</w:t>
      </w:r>
    </w:p>
    <w:p w14:paraId="4DC0487E" w14:textId="64A9EEB3" w:rsidR="003C588D" w:rsidRDefault="003C588D" w:rsidP="00725A1B">
      <w:pPr>
        <w:spacing w:line="360" w:lineRule="auto"/>
        <w:jc w:val="center"/>
        <w:rPr>
          <w:rFonts w:ascii="Times New Roman" w:hAnsi="Times New Roman"/>
          <w:b/>
          <w:sz w:val="24"/>
          <w:szCs w:val="24"/>
        </w:rPr>
      </w:pPr>
    </w:p>
    <w:p w14:paraId="66373C91" w14:textId="701B63F5" w:rsidR="003C588D" w:rsidRDefault="003C588D" w:rsidP="00725A1B">
      <w:pPr>
        <w:spacing w:line="360" w:lineRule="auto"/>
        <w:jc w:val="center"/>
        <w:rPr>
          <w:rFonts w:ascii="Times New Roman" w:hAnsi="Times New Roman"/>
          <w:b/>
          <w:sz w:val="24"/>
          <w:szCs w:val="24"/>
        </w:rPr>
      </w:pPr>
    </w:p>
    <w:p w14:paraId="65D6B3AD" w14:textId="78B7CF7B" w:rsidR="003C588D" w:rsidRDefault="003C588D" w:rsidP="00725A1B">
      <w:pPr>
        <w:spacing w:line="360" w:lineRule="auto"/>
        <w:jc w:val="center"/>
        <w:rPr>
          <w:rFonts w:ascii="Times New Roman" w:hAnsi="Times New Roman"/>
          <w:b/>
          <w:sz w:val="24"/>
          <w:szCs w:val="24"/>
        </w:rPr>
      </w:pPr>
    </w:p>
    <w:p w14:paraId="3E9FA782" w14:textId="0DE9E997" w:rsidR="003C588D" w:rsidRDefault="003C588D" w:rsidP="00725A1B">
      <w:pPr>
        <w:spacing w:line="360" w:lineRule="auto"/>
        <w:jc w:val="center"/>
        <w:rPr>
          <w:rFonts w:ascii="Times New Roman" w:hAnsi="Times New Roman"/>
          <w:b/>
          <w:sz w:val="24"/>
          <w:szCs w:val="24"/>
        </w:rPr>
      </w:pPr>
    </w:p>
    <w:p w14:paraId="61B304A5" w14:textId="2BC61006" w:rsidR="003C588D" w:rsidRDefault="003C588D" w:rsidP="00725A1B">
      <w:pPr>
        <w:spacing w:line="360" w:lineRule="auto"/>
        <w:jc w:val="center"/>
        <w:rPr>
          <w:rFonts w:ascii="Times New Roman" w:hAnsi="Times New Roman"/>
          <w:b/>
          <w:sz w:val="24"/>
          <w:szCs w:val="24"/>
        </w:rPr>
      </w:pPr>
    </w:p>
    <w:p w14:paraId="2F32280E" w14:textId="4ADD8529" w:rsidR="00725A1B" w:rsidRPr="002F1252" w:rsidRDefault="00293E2A" w:rsidP="00725A1B">
      <w:pPr>
        <w:spacing w:line="360" w:lineRule="auto"/>
        <w:jc w:val="center"/>
        <w:rPr>
          <w:rFonts w:ascii="Times New Roman" w:hAnsi="Times New Roman"/>
          <w:b/>
          <w:sz w:val="24"/>
          <w:szCs w:val="24"/>
        </w:rPr>
      </w:pPr>
      <w:r w:rsidRPr="00BA0E8D">
        <w:rPr>
          <w:rFonts w:ascii="Times New Roman" w:hAnsi="Times New Roman"/>
          <w:b/>
          <w:sz w:val="24"/>
          <w:szCs w:val="24"/>
        </w:rPr>
        <w:lastRenderedPageBreak/>
        <w:t xml:space="preserve"> </w:t>
      </w:r>
      <w:r w:rsidR="00725A1B" w:rsidRPr="002F1252">
        <w:rPr>
          <w:rFonts w:ascii="Times New Roman" w:hAnsi="Times New Roman"/>
          <w:b/>
          <w:sz w:val="24"/>
          <w:szCs w:val="24"/>
        </w:rPr>
        <w:t>Credit information sharing and bank loan pricing: Do concentration and governance matter?</w:t>
      </w:r>
    </w:p>
    <w:p w14:paraId="21F262B6" w14:textId="768B649A" w:rsidR="00A651BC" w:rsidRDefault="00A651BC" w:rsidP="00FE2DF4">
      <w:pPr>
        <w:spacing w:line="360" w:lineRule="auto"/>
        <w:jc w:val="center"/>
        <w:rPr>
          <w:rFonts w:ascii="Times New Roman" w:hAnsi="Times New Roman"/>
          <w:b/>
          <w:sz w:val="24"/>
          <w:szCs w:val="24"/>
        </w:rPr>
      </w:pPr>
    </w:p>
    <w:p w14:paraId="610C1491" w14:textId="77777777" w:rsidR="00A651BC" w:rsidRPr="00BA0E8D" w:rsidRDefault="00A651BC" w:rsidP="00914AB0">
      <w:pPr>
        <w:spacing w:line="360" w:lineRule="auto"/>
        <w:rPr>
          <w:rFonts w:ascii="Times New Roman" w:hAnsi="Times New Roman"/>
          <w:b/>
          <w:sz w:val="24"/>
          <w:szCs w:val="24"/>
        </w:rPr>
      </w:pPr>
      <w:r w:rsidRPr="00BA0E8D">
        <w:rPr>
          <w:rFonts w:ascii="Times New Roman" w:hAnsi="Times New Roman"/>
          <w:b/>
          <w:sz w:val="24"/>
          <w:szCs w:val="24"/>
        </w:rPr>
        <w:t>Abstract</w:t>
      </w:r>
    </w:p>
    <w:p w14:paraId="2CFBC5B2" w14:textId="3D760DDE" w:rsidR="00B67C99" w:rsidRDefault="00B67C99" w:rsidP="00B67C99">
      <w:pPr>
        <w:spacing w:line="360" w:lineRule="auto"/>
        <w:jc w:val="both"/>
        <w:rPr>
          <w:rFonts w:ascii="Times New Roman" w:hAnsi="Times New Roman"/>
          <w:sz w:val="24"/>
          <w:szCs w:val="24"/>
        </w:rPr>
      </w:pPr>
      <w:r w:rsidRPr="003C588D">
        <w:rPr>
          <w:rFonts w:ascii="Times New Roman" w:hAnsi="Times New Roman"/>
          <w:sz w:val="24"/>
          <w:szCs w:val="24"/>
        </w:rPr>
        <w:t>The development of credit information sharing schemes in developing countries has gained significant attention in recent times along with ongoing financial sector reforms. In this paper, we provide first-hand evidence of the effect of credit information sharing on credit intermediation cost in these countries</w:t>
      </w:r>
      <w:r w:rsidR="00CA5643" w:rsidRPr="003C588D">
        <w:rPr>
          <w:rFonts w:ascii="Times New Roman" w:hAnsi="Times New Roman"/>
          <w:sz w:val="24"/>
          <w:szCs w:val="24"/>
        </w:rPr>
        <w:t xml:space="preserve">, and consequently ascertain the extent to which the credit information sharing–credit intermediation cost nexus may be </w:t>
      </w:r>
      <w:r w:rsidR="00F77A49" w:rsidRPr="003C588D">
        <w:rPr>
          <w:rFonts w:ascii="Times New Roman" w:hAnsi="Times New Roman"/>
          <w:sz w:val="24"/>
          <w:szCs w:val="24"/>
        </w:rPr>
        <w:t>accentuated</w:t>
      </w:r>
      <w:r w:rsidR="00CA5643" w:rsidRPr="003C588D">
        <w:rPr>
          <w:rFonts w:ascii="Times New Roman" w:hAnsi="Times New Roman"/>
          <w:sz w:val="24"/>
          <w:szCs w:val="24"/>
        </w:rPr>
        <w:t xml:space="preserve"> by bank</w:t>
      </w:r>
      <w:r w:rsidR="004571F8" w:rsidRPr="003C588D">
        <w:rPr>
          <w:rFonts w:ascii="Times New Roman" w:hAnsi="Times New Roman"/>
          <w:sz w:val="24"/>
          <w:szCs w:val="24"/>
        </w:rPr>
        <w:t>ing</w:t>
      </w:r>
      <w:r w:rsidR="00CA5643" w:rsidRPr="003C588D">
        <w:rPr>
          <w:rFonts w:ascii="Times New Roman" w:hAnsi="Times New Roman"/>
          <w:sz w:val="24"/>
          <w:szCs w:val="24"/>
        </w:rPr>
        <w:t xml:space="preserve"> market concentration and governance quality</w:t>
      </w:r>
      <w:r w:rsidRPr="003C588D">
        <w:rPr>
          <w:rFonts w:ascii="Times New Roman" w:hAnsi="Times New Roman"/>
          <w:sz w:val="24"/>
          <w:szCs w:val="24"/>
        </w:rPr>
        <w:t xml:space="preserve">. </w:t>
      </w:r>
      <w:r w:rsidR="003066DF" w:rsidRPr="003C588D">
        <w:rPr>
          <w:rFonts w:ascii="Times New Roman" w:hAnsi="Times New Roman"/>
          <w:sz w:val="24"/>
          <w:szCs w:val="24"/>
        </w:rPr>
        <w:t>Using</w:t>
      </w:r>
      <w:r w:rsidR="00777483" w:rsidRPr="003C588D">
        <w:rPr>
          <w:rFonts w:ascii="Times New Roman" w:hAnsi="Times New Roman"/>
          <w:sz w:val="24"/>
          <w:szCs w:val="24"/>
        </w:rPr>
        <w:t xml:space="preserve"> </w:t>
      </w:r>
      <w:r w:rsidR="003066DF" w:rsidRPr="003C588D">
        <w:rPr>
          <w:rFonts w:ascii="Times New Roman" w:hAnsi="Times New Roman"/>
          <w:sz w:val="24"/>
          <w:szCs w:val="24"/>
        </w:rPr>
        <w:t>a</w:t>
      </w:r>
      <w:r w:rsidR="00777483" w:rsidRPr="003C588D">
        <w:rPr>
          <w:rFonts w:ascii="Times New Roman" w:hAnsi="Times New Roman"/>
          <w:sz w:val="24"/>
          <w:szCs w:val="24"/>
        </w:rPr>
        <w:t xml:space="preserve"> </w:t>
      </w:r>
      <w:r w:rsidR="003066DF" w:rsidRPr="003C588D">
        <w:rPr>
          <w:rFonts w:ascii="Times New Roman" w:hAnsi="Times New Roman"/>
          <w:sz w:val="24"/>
          <w:szCs w:val="24"/>
        </w:rPr>
        <w:t xml:space="preserve">large </w:t>
      </w:r>
      <w:r w:rsidR="00610905" w:rsidRPr="003C588D">
        <w:rPr>
          <w:rFonts w:ascii="Times New Roman" w:hAnsi="Times New Roman"/>
          <w:sz w:val="24"/>
          <w:szCs w:val="24"/>
        </w:rPr>
        <w:t xml:space="preserve">dataset </w:t>
      </w:r>
      <w:r w:rsidR="00777483" w:rsidRPr="003C588D">
        <w:rPr>
          <w:rFonts w:ascii="Times New Roman" w:hAnsi="Times New Roman"/>
          <w:sz w:val="24"/>
          <w:szCs w:val="24"/>
        </w:rPr>
        <w:t xml:space="preserve">covering </w:t>
      </w:r>
      <w:r w:rsidR="004E7CE0" w:rsidRPr="003C588D">
        <w:rPr>
          <w:rFonts w:ascii="Times New Roman" w:hAnsi="Times New Roman"/>
          <w:sz w:val="24"/>
          <w:szCs w:val="24"/>
        </w:rPr>
        <w:t xml:space="preserve">272 </w:t>
      </w:r>
      <w:r w:rsidR="00777483" w:rsidRPr="003C588D">
        <w:rPr>
          <w:rFonts w:ascii="Times New Roman" w:hAnsi="Times New Roman"/>
          <w:sz w:val="24"/>
          <w:szCs w:val="24"/>
        </w:rPr>
        <w:t xml:space="preserve">banks from </w:t>
      </w:r>
      <w:r w:rsidR="004E7CE0" w:rsidRPr="003C588D">
        <w:rPr>
          <w:rFonts w:ascii="Times New Roman" w:hAnsi="Times New Roman"/>
          <w:sz w:val="24"/>
          <w:szCs w:val="24"/>
        </w:rPr>
        <w:t xml:space="preserve">27 </w:t>
      </w:r>
      <w:r w:rsidR="00777483" w:rsidRPr="003C588D">
        <w:rPr>
          <w:rFonts w:ascii="Times New Roman" w:hAnsi="Times New Roman"/>
          <w:sz w:val="24"/>
          <w:szCs w:val="24"/>
        </w:rPr>
        <w:t>African countries over the 2004-201</w:t>
      </w:r>
      <w:r w:rsidR="00610905" w:rsidRPr="003C588D">
        <w:rPr>
          <w:rFonts w:ascii="Times New Roman" w:hAnsi="Times New Roman"/>
          <w:sz w:val="24"/>
          <w:szCs w:val="24"/>
        </w:rPr>
        <w:t>2</w:t>
      </w:r>
      <w:r w:rsidR="00777483" w:rsidRPr="003C588D">
        <w:rPr>
          <w:rFonts w:ascii="Times New Roman" w:hAnsi="Times New Roman"/>
          <w:sz w:val="24"/>
          <w:szCs w:val="24"/>
        </w:rPr>
        <w:t xml:space="preserve"> period, </w:t>
      </w:r>
      <w:r w:rsidR="00B710F2" w:rsidRPr="003C588D">
        <w:rPr>
          <w:rFonts w:ascii="Times New Roman" w:hAnsi="Times New Roman"/>
          <w:sz w:val="24"/>
          <w:szCs w:val="24"/>
        </w:rPr>
        <w:t xml:space="preserve">we </w:t>
      </w:r>
      <w:r w:rsidR="006B3F17" w:rsidRPr="003C588D">
        <w:rPr>
          <w:rFonts w:ascii="Times New Roman" w:hAnsi="Times New Roman"/>
          <w:sz w:val="24"/>
          <w:szCs w:val="24"/>
        </w:rPr>
        <w:t xml:space="preserve">uncover four new findings. First, we find that </w:t>
      </w:r>
      <w:r w:rsidR="00B83CC4" w:rsidRPr="003C588D">
        <w:rPr>
          <w:rFonts w:ascii="Times New Roman" w:hAnsi="Times New Roman"/>
          <w:sz w:val="24"/>
          <w:szCs w:val="24"/>
        </w:rPr>
        <w:t xml:space="preserve">credit information sharing </w:t>
      </w:r>
      <w:r w:rsidR="00911DA1" w:rsidRPr="003C588D">
        <w:rPr>
          <w:rFonts w:ascii="Times New Roman" w:hAnsi="Times New Roman"/>
          <w:sz w:val="24"/>
          <w:szCs w:val="24"/>
        </w:rPr>
        <w:t xml:space="preserve">does reduce </w:t>
      </w:r>
      <w:r w:rsidR="006B3F17" w:rsidRPr="003C588D">
        <w:rPr>
          <w:rFonts w:ascii="Times New Roman" w:hAnsi="Times New Roman"/>
          <w:sz w:val="24"/>
          <w:szCs w:val="24"/>
        </w:rPr>
        <w:t>credit</w:t>
      </w:r>
      <w:r w:rsidR="00B83CC4" w:rsidRPr="003C588D">
        <w:rPr>
          <w:rFonts w:ascii="Times New Roman" w:hAnsi="Times New Roman"/>
          <w:sz w:val="24"/>
          <w:szCs w:val="24"/>
        </w:rPr>
        <w:t xml:space="preserve"> intermediation cost.</w:t>
      </w:r>
      <w:r w:rsidR="009840A8" w:rsidRPr="003C588D">
        <w:rPr>
          <w:rFonts w:ascii="Times New Roman" w:hAnsi="Times New Roman"/>
          <w:sz w:val="24"/>
          <w:szCs w:val="24"/>
        </w:rPr>
        <w:t xml:space="preserve"> </w:t>
      </w:r>
      <w:r w:rsidR="006B3F17" w:rsidRPr="003C588D">
        <w:rPr>
          <w:rFonts w:ascii="Times New Roman" w:hAnsi="Times New Roman"/>
          <w:sz w:val="24"/>
          <w:szCs w:val="24"/>
        </w:rPr>
        <w:t xml:space="preserve">Second, we show that </w:t>
      </w:r>
      <w:r w:rsidR="008F1602" w:rsidRPr="003C588D">
        <w:rPr>
          <w:rFonts w:ascii="Times New Roman" w:hAnsi="Times New Roman"/>
          <w:sz w:val="24"/>
          <w:szCs w:val="24"/>
        </w:rPr>
        <w:t>the relationship between credit intermediation cost and credit information sharing is conditional on</w:t>
      </w:r>
      <w:r w:rsidR="00E414C4" w:rsidRPr="003C588D">
        <w:rPr>
          <w:rFonts w:ascii="Times New Roman" w:hAnsi="Times New Roman"/>
          <w:sz w:val="24"/>
          <w:szCs w:val="24"/>
        </w:rPr>
        <w:t xml:space="preserve"> banking market concentration</w:t>
      </w:r>
      <w:r w:rsidR="006B3F17" w:rsidRPr="003C588D">
        <w:rPr>
          <w:rFonts w:ascii="Times New Roman" w:hAnsi="Times New Roman"/>
          <w:sz w:val="24"/>
          <w:szCs w:val="24"/>
        </w:rPr>
        <w:t xml:space="preserve">. Third, our findings suggest that </w:t>
      </w:r>
      <w:r w:rsidR="008F1602" w:rsidRPr="003C588D">
        <w:rPr>
          <w:rFonts w:ascii="Times New Roman" w:hAnsi="Times New Roman"/>
          <w:sz w:val="24"/>
          <w:szCs w:val="24"/>
        </w:rPr>
        <w:t>governance quality</w:t>
      </w:r>
      <w:r w:rsidR="006B3F17" w:rsidRPr="003C588D">
        <w:rPr>
          <w:rFonts w:ascii="Times New Roman" w:hAnsi="Times New Roman"/>
          <w:sz w:val="24"/>
          <w:szCs w:val="24"/>
        </w:rPr>
        <w:t xml:space="preserve"> moderates the effect of credit information sharing on credit intermediation cost. Finally, we find that banking market </w:t>
      </w:r>
      <w:r w:rsidR="00E414C4" w:rsidRPr="003C588D">
        <w:rPr>
          <w:rFonts w:ascii="Times New Roman" w:hAnsi="Times New Roman"/>
          <w:sz w:val="24"/>
          <w:szCs w:val="24"/>
        </w:rPr>
        <w:t xml:space="preserve">concentration </w:t>
      </w:r>
      <w:r w:rsidR="006B3F17" w:rsidRPr="003C588D">
        <w:rPr>
          <w:rFonts w:ascii="Times New Roman" w:hAnsi="Times New Roman"/>
          <w:sz w:val="24"/>
          <w:szCs w:val="24"/>
        </w:rPr>
        <w:t>reduces credit intermediation cost</w:t>
      </w:r>
      <w:r w:rsidR="004850AB" w:rsidRPr="003C588D">
        <w:rPr>
          <w:rFonts w:ascii="Times New Roman" w:hAnsi="Times New Roman"/>
          <w:sz w:val="24"/>
          <w:szCs w:val="24"/>
        </w:rPr>
        <w:t>,</w:t>
      </w:r>
      <w:r w:rsidR="006B3F17" w:rsidRPr="003C588D">
        <w:rPr>
          <w:rFonts w:ascii="Times New Roman" w:hAnsi="Times New Roman"/>
          <w:sz w:val="24"/>
          <w:szCs w:val="24"/>
        </w:rPr>
        <w:t xml:space="preserve"> but the effect is moderated by credit information sharing. </w:t>
      </w:r>
      <w:r w:rsidRPr="003C588D">
        <w:rPr>
          <w:rFonts w:ascii="Times New Roman" w:hAnsi="Times New Roman"/>
          <w:sz w:val="24"/>
          <w:szCs w:val="24"/>
        </w:rPr>
        <w:t>Overall, our findings suggest that credit information sharing may serve as a useful policy tool for achieving financial sector stability in developing countries.</w:t>
      </w:r>
    </w:p>
    <w:p w14:paraId="277DD8BE" w14:textId="51DC043F" w:rsidR="00D87A38" w:rsidRPr="00BA0E8D" w:rsidRDefault="00D87A38" w:rsidP="00914AB0">
      <w:pPr>
        <w:spacing w:line="360" w:lineRule="auto"/>
        <w:jc w:val="both"/>
        <w:rPr>
          <w:rFonts w:ascii="Times New Roman" w:hAnsi="Times New Roman"/>
          <w:sz w:val="24"/>
          <w:szCs w:val="24"/>
        </w:rPr>
      </w:pPr>
    </w:p>
    <w:p w14:paraId="21F0B13D" w14:textId="77777777" w:rsidR="002A6282" w:rsidRPr="00BA0E8D" w:rsidRDefault="00A651BC" w:rsidP="00914AB0">
      <w:pPr>
        <w:spacing w:line="360" w:lineRule="auto"/>
        <w:jc w:val="both"/>
        <w:rPr>
          <w:rFonts w:ascii="Times New Roman" w:hAnsi="Times New Roman"/>
          <w:b/>
          <w:i/>
          <w:sz w:val="24"/>
          <w:szCs w:val="24"/>
        </w:rPr>
      </w:pPr>
      <w:r w:rsidRPr="00BA0E8D">
        <w:rPr>
          <w:rFonts w:ascii="Times New Roman" w:hAnsi="Times New Roman"/>
          <w:b/>
          <w:sz w:val="24"/>
          <w:szCs w:val="24"/>
        </w:rPr>
        <w:t>Keywords</w:t>
      </w:r>
      <w:r w:rsidRPr="00BA0E8D">
        <w:rPr>
          <w:rFonts w:ascii="Times New Roman" w:hAnsi="Times New Roman"/>
          <w:b/>
          <w:i/>
          <w:sz w:val="24"/>
          <w:szCs w:val="24"/>
        </w:rPr>
        <w:t xml:space="preserve"> </w:t>
      </w:r>
    </w:p>
    <w:p w14:paraId="29CC3E30" w14:textId="77777777" w:rsidR="00A651BC" w:rsidRPr="00BA0E8D" w:rsidRDefault="003D4C21" w:rsidP="00914AB0">
      <w:pPr>
        <w:pStyle w:val="Default"/>
        <w:numPr>
          <w:ilvl w:val="0"/>
          <w:numId w:val="4"/>
        </w:numPr>
        <w:spacing w:line="360" w:lineRule="auto"/>
        <w:jc w:val="both"/>
        <w:rPr>
          <w:color w:val="auto"/>
          <w:lang w:eastAsia="en-US"/>
        </w:rPr>
      </w:pPr>
      <w:r w:rsidRPr="00BA0E8D">
        <w:t>Credit information</w:t>
      </w:r>
      <w:r w:rsidR="00D34119" w:rsidRPr="00BA0E8D">
        <w:t xml:space="preserve"> sharing</w:t>
      </w:r>
    </w:p>
    <w:p w14:paraId="1B7A86CA" w14:textId="77777777" w:rsidR="00914F4F" w:rsidRPr="00BA0E8D" w:rsidRDefault="00914F4F" w:rsidP="00914AB0">
      <w:pPr>
        <w:pStyle w:val="Default"/>
        <w:numPr>
          <w:ilvl w:val="0"/>
          <w:numId w:val="4"/>
        </w:numPr>
        <w:spacing w:line="360" w:lineRule="auto"/>
        <w:jc w:val="both"/>
        <w:rPr>
          <w:color w:val="auto"/>
          <w:lang w:eastAsia="en-US"/>
        </w:rPr>
      </w:pPr>
      <w:r w:rsidRPr="00BA0E8D">
        <w:t>Developing countries</w:t>
      </w:r>
    </w:p>
    <w:p w14:paraId="4691B492" w14:textId="77777777" w:rsidR="00D46533" w:rsidRPr="00BA0E8D" w:rsidRDefault="00D34119" w:rsidP="00914AB0">
      <w:pPr>
        <w:pStyle w:val="Default"/>
        <w:numPr>
          <w:ilvl w:val="0"/>
          <w:numId w:val="4"/>
        </w:numPr>
        <w:spacing w:line="360" w:lineRule="auto"/>
        <w:jc w:val="both"/>
        <w:rPr>
          <w:color w:val="auto"/>
          <w:lang w:eastAsia="en-US"/>
        </w:rPr>
      </w:pPr>
      <w:r w:rsidRPr="00BA0E8D">
        <w:t>Banking market concentration</w:t>
      </w:r>
    </w:p>
    <w:p w14:paraId="5EC91FED" w14:textId="77777777" w:rsidR="00D34119" w:rsidRPr="00BA0E8D" w:rsidRDefault="00D34119" w:rsidP="00914AB0">
      <w:pPr>
        <w:pStyle w:val="Default"/>
        <w:numPr>
          <w:ilvl w:val="0"/>
          <w:numId w:val="4"/>
        </w:numPr>
        <w:spacing w:line="360" w:lineRule="auto"/>
        <w:jc w:val="both"/>
        <w:rPr>
          <w:color w:val="auto"/>
          <w:lang w:eastAsia="en-US"/>
        </w:rPr>
      </w:pPr>
      <w:r w:rsidRPr="00BA0E8D">
        <w:t>Governance</w:t>
      </w:r>
    </w:p>
    <w:p w14:paraId="64DAAD99" w14:textId="77777777" w:rsidR="0065792C" w:rsidRPr="00BA0E8D" w:rsidRDefault="0065792C" w:rsidP="00914AB0">
      <w:pPr>
        <w:pStyle w:val="NoSpacing"/>
        <w:spacing w:line="360" w:lineRule="auto"/>
        <w:rPr>
          <w:rFonts w:ascii="Times New Roman" w:hAnsi="Times New Roman"/>
          <w:i/>
          <w:sz w:val="24"/>
          <w:szCs w:val="24"/>
        </w:rPr>
      </w:pPr>
    </w:p>
    <w:p w14:paraId="3442B301" w14:textId="77777777" w:rsidR="0065792C" w:rsidRPr="00BA0E8D" w:rsidRDefault="00A651BC" w:rsidP="00914AB0">
      <w:pPr>
        <w:pStyle w:val="NoSpacing"/>
        <w:spacing w:line="360" w:lineRule="auto"/>
        <w:rPr>
          <w:rFonts w:ascii="Times New Roman" w:hAnsi="Times New Roman"/>
          <w:sz w:val="24"/>
          <w:szCs w:val="24"/>
        </w:rPr>
      </w:pPr>
      <w:r w:rsidRPr="00BA0E8D">
        <w:rPr>
          <w:rFonts w:ascii="Times New Roman" w:hAnsi="Times New Roman"/>
          <w:i/>
          <w:sz w:val="24"/>
          <w:szCs w:val="24"/>
        </w:rPr>
        <w:t>JEL</w:t>
      </w:r>
      <w:r w:rsidRPr="00BA0E8D">
        <w:rPr>
          <w:rFonts w:ascii="Times New Roman" w:hAnsi="Times New Roman"/>
          <w:sz w:val="24"/>
          <w:szCs w:val="24"/>
        </w:rPr>
        <w:t xml:space="preserve"> Classification:</w:t>
      </w:r>
      <w:r w:rsidR="0065792C" w:rsidRPr="00BA0E8D">
        <w:rPr>
          <w:rFonts w:ascii="Times New Roman" w:hAnsi="Times New Roman"/>
          <w:sz w:val="24"/>
          <w:szCs w:val="24"/>
        </w:rPr>
        <w:t xml:space="preserve"> </w:t>
      </w:r>
    </w:p>
    <w:p w14:paraId="7DDA00D4" w14:textId="77777777" w:rsidR="0065792C" w:rsidRPr="00BA0E8D" w:rsidRDefault="005852B1" w:rsidP="00914AB0">
      <w:pPr>
        <w:pStyle w:val="NoSpacing"/>
        <w:numPr>
          <w:ilvl w:val="0"/>
          <w:numId w:val="5"/>
        </w:numPr>
        <w:spacing w:line="360" w:lineRule="auto"/>
        <w:rPr>
          <w:rFonts w:ascii="Times New Roman" w:hAnsi="Times New Roman"/>
          <w:sz w:val="24"/>
          <w:szCs w:val="24"/>
        </w:rPr>
      </w:pPr>
      <w:r w:rsidRPr="00BA0E8D">
        <w:rPr>
          <w:rFonts w:ascii="Times New Roman" w:hAnsi="Times New Roman"/>
          <w:sz w:val="24"/>
          <w:szCs w:val="24"/>
        </w:rPr>
        <w:t>G14</w:t>
      </w:r>
    </w:p>
    <w:p w14:paraId="2F5ED28E" w14:textId="77777777" w:rsidR="00A651BC" w:rsidRPr="00BA0E8D" w:rsidRDefault="005852B1" w:rsidP="00914AB0">
      <w:pPr>
        <w:pStyle w:val="NoSpacing"/>
        <w:numPr>
          <w:ilvl w:val="0"/>
          <w:numId w:val="5"/>
        </w:numPr>
        <w:spacing w:line="360" w:lineRule="auto"/>
        <w:rPr>
          <w:rFonts w:ascii="Times New Roman" w:hAnsi="Times New Roman"/>
          <w:sz w:val="24"/>
          <w:szCs w:val="24"/>
        </w:rPr>
      </w:pPr>
      <w:r w:rsidRPr="00BA0E8D">
        <w:rPr>
          <w:rFonts w:ascii="Times New Roman" w:hAnsi="Times New Roman"/>
          <w:sz w:val="24"/>
          <w:szCs w:val="24"/>
        </w:rPr>
        <w:t>G21</w:t>
      </w:r>
    </w:p>
    <w:p w14:paraId="5A56071F" w14:textId="77777777" w:rsidR="005755F3" w:rsidRPr="00BA0E8D" w:rsidRDefault="005852B1" w:rsidP="005755F3">
      <w:pPr>
        <w:pStyle w:val="NoSpacing"/>
        <w:numPr>
          <w:ilvl w:val="0"/>
          <w:numId w:val="5"/>
        </w:numPr>
        <w:spacing w:line="360" w:lineRule="auto"/>
        <w:rPr>
          <w:rFonts w:ascii="Times New Roman" w:hAnsi="Times New Roman"/>
          <w:b/>
          <w:sz w:val="24"/>
          <w:szCs w:val="24"/>
        </w:rPr>
      </w:pPr>
      <w:r w:rsidRPr="00BA0E8D">
        <w:rPr>
          <w:rFonts w:ascii="Times New Roman" w:hAnsi="Times New Roman"/>
          <w:sz w:val="24"/>
          <w:szCs w:val="24"/>
        </w:rPr>
        <w:t>G38</w:t>
      </w:r>
    </w:p>
    <w:p w14:paraId="102EE94E" w14:textId="77777777" w:rsidR="00A651BC" w:rsidRPr="00BA0E8D" w:rsidRDefault="00A651BC" w:rsidP="00E90103">
      <w:pPr>
        <w:pStyle w:val="NoSpacing"/>
        <w:spacing w:line="360" w:lineRule="auto"/>
        <w:ind w:left="720"/>
        <w:sectPr w:rsidR="00A651BC" w:rsidRPr="00BA0E8D" w:rsidSect="00F94FD3">
          <w:pgSz w:w="11906" w:h="16838"/>
          <w:pgMar w:top="1440" w:right="1440" w:bottom="1440" w:left="1440" w:header="708" w:footer="708" w:gutter="0"/>
          <w:pgNumType w:start="1"/>
          <w:cols w:space="708"/>
          <w:docGrid w:linePitch="360"/>
        </w:sectPr>
      </w:pPr>
    </w:p>
    <w:p w14:paraId="72B90690" w14:textId="77777777" w:rsidR="00A651BC" w:rsidRPr="00BA0E8D" w:rsidRDefault="00A651BC" w:rsidP="00914AB0">
      <w:pPr>
        <w:spacing w:before="240" w:after="240" w:line="360" w:lineRule="auto"/>
        <w:jc w:val="both"/>
        <w:rPr>
          <w:rFonts w:ascii="Times New Roman" w:hAnsi="Times New Roman"/>
          <w:b/>
          <w:sz w:val="24"/>
          <w:szCs w:val="24"/>
        </w:rPr>
      </w:pPr>
      <w:r w:rsidRPr="00BA0E8D">
        <w:rPr>
          <w:rFonts w:ascii="Times New Roman" w:hAnsi="Times New Roman"/>
          <w:b/>
          <w:sz w:val="24"/>
          <w:szCs w:val="24"/>
        </w:rPr>
        <w:lastRenderedPageBreak/>
        <w:t xml:space="preserve">1. Introduction </w:t>
      </w:r>
    </w:p>
    <w:p w14:paraId="3AE5E8F7" w14:textId="1F273F92" w:rsidR="00EE02B8" w:rsidRDefault="00EE02B8" w:rsidP="00EE02B8">
      <w:pPr>
        <w:spacing w:line="360" w:lineRule="auto"/>
        <w:jc w:val="both"/>
        <w:rPr>
          <w:rFonts w:ascii="Times New Roman" w:hAnsi="Times New Roman"/>
          <w:sz w:val="24"/>
          <w:szCs w:val="24"/>
        </w:rPr>
      </w:pPr>
      <w:bookmarkStart w:id="1" w:name="_Hlk35018056"/>
      <w:r>
        <w:rPr>
          <w:rFonts w:ascii="Times New Roman" w:hAnsi="Times New Roman"/>
          <w:sz w:val="24"/>
          <w:szCs w:val="24"/>
        </w:rPr>
        <w:t>I</w:t>
      </w:r>
      <w:r w:rsidRPr="002F1252">
        <w:rPr>
          <w:rFonts w:ascii="Times New Roman" w:hAnsi="Times New Roman"/>
          <w:sz w:val="24"/>
          <w:szCs w:val="24"/>
        </w:rPr>
        <w:t>nformation asymmetry between lenders and borrowers</w:t>
      </w:r>
      <w:r>
        <w:rPr>
          <w:rFonts w:ascii="Times New Roman" w:hAnsi="Times New Roman"/>
          <w:sz w:val="24"/>
          <w:szCs w:val="24"/>
        </w:rPr>
        <w:t xml:space="preserve"> is seen as a major obstacle to access</w:t>
      </w:r>
      <w:r w:rsidR="00A30F19">
        <w:rPr>
          <w:rFonts w:ascii="Times New Roman" w:hAnsi="Times New Roman"/>
          <w:sz w:val="24"/>
          <w:szCs w:val="24"/>
        </w:rPr>
        <w:t>ing</w:t>
      </w:r>
      <w:r>
        <w:rPr>
          <w:rFonts w:ascii="Times New Roman" w:hAnsi="Times New Roman"/>
          <w:sz w:val="24"/>
          <w:szCs w:val="24"/>
        </w:rPr>
        <w:t xml:space="preserve"> finance</w:t>
      </w:r>
      <w:r w:rsidRPr="002F1252">
        <w:rPr>
          <w:rFonts w:ascii="Times New Roman" w:hAnsi="Times New Roman"/>
          <w:sz w:val="24"/>
          <w:szCs w:val="24"/>
        </w:rPr>
        <w:t xml:space="preserve"> (Stiglitz and Weiss, 1981)</w:t>
      </w:r>
      <w:r w:rsidR="00A30F19">
        <w:rPr>
          <w:rFonts w:ascii="Times New Roman" w:hAnsi="Times New Roman"/>
          <w:sz w:val="24"/>
          <w:szCs w:val="24"/>
        </w:rPr>
        <w:t>, and this has</w:t>
      </w:r>
      <w:r>
        <w:rPr>
          <w:rFonts w:ascii="Times New Roman" w:hAnsi="Times New Roman"/>
          <w:sz w:val="24"/>
          <w:szCs w:val="24"/>
        </w:rPr>
        <w:t xml:space="preserve"> significan</w:t>
      </w:r>
      <w:r w:rsidR="00A30F19">
        <w:rPr>
          <w:rFonts w:ascii="Times New Roman" w:hAnsi="Times New Roman"/>
          <w:sz w:val="24"/>
          <w:szCs w:val="24"/>
        </w:rPr>
        <w:t>t</w:t>
      </w:r>
      <w:r>
        <w:rPr>
          <w:rFonts w:ascii="Times New Roman" w:hAnsi="Times New Roman"/>
          <w:sz w:val="24"/>
          <w:szCs w:val="24"/>
        </w:rPr>
        <w:t xml:space="preserve"> implications for credit intermediation </w:t>
      </w:r>
      <w:r w:rsidRPr="003C588D">
        <w:rPr>
          <w:rFonts w:ascii="Times New Roman" w:hAnsi="Times New Roman"/>
          <w:sz w:val="24"/>
          <w:szCs w:val="24"/>
        </w:rPr>
        <w:t xml:space="preserve">cost. Economic theory suggests that credit information sharing can facilitate lending decisions of banks mainly by reducing adverse selection problems (Pagano and </w:t>
      </w:r>
      <w:proofErr w:type="spellStart"/>
      <w:r w:rsidRPr="003C588D">
        <w:rPr>
          <w:rFonts w:ascii="Times New Roman" w:hAnsi="Times New Roman"/>
          <w:sz w:val="24"/>
          <w:szCs w:val="24"/>
        </w:rPr>
        <w:t>Jappelli</w:t>
      </w:r>
      <w:proofErr w:type="spellEnd"/>
      <w:r w:rsidRPr="003C588D">
        <w:rPr>
          <w:rFonts w:ascii="Times New Roman" w:hAnsi="Times New Roman"/>
          <w:sz w:val="24"/>
          <w:szCs w:val="24"/>
        </w:rPr>
        <w:t xml:space="preserve">, 1993) and </w:t>
      </w:r>
      <w:r w:rsidR="00D47E15" w:rsidRPr="003C588D">
        <w:rPr>
          <w:rFonts w:ascii="Times New Roman" w:hAnsi="Times New Roman"/>
          <w:sz w:val="24"/>
          <w:szCs w:val="24"/>
        </w:rPr>
        <w:t xml:space="preserve">agency costs in the form of </w:t>
      </w:r>
      <w:r w:rsidRPr="003C588D">
        <w:rPr>
          <w:rFonts w:ascii="Times New Roman" w:hAnsi="Times New Roman"/>
          <w:sz w:val="24"/>
          <w:szCs w:val="24"/>
        </w:rPr>
        <w:t>moral hazard</w:t>
      </w:r>
      <w:r w:rsidR="00D47E15" w:rsidRPr="003C588D">
        <w:rPr>
          <w:rFonts w:ascii="Times New Roman" w:hAnsi="Times New Roman"/>
          <w:sz w:val="24"/>
          <w:szCs w:val="24"/>
        </w:rPr>
        <w:t>s</w:t>
      </w:r>
      <w:r w:rsidRPr="003C588D">
        <w:rPr>
          <w:rFonts w:ascii="Times New Roman" w:hAnsi="Times New Roman"/>
          <w:sz w:val="24"/>
          <w:szCs w:val="24"/>
        </w:rPr>
        <w:t xml:space="preserve"> by encouraging loan repayment (Padilla and Pagano, 2000) and limiting overborrowing in multiple lending relationships (Bennardo et al., 2015). Indeed, the existing empirical</w:t>
      </w:r>
      <w:r w:rsidRPr="002F1252">
        <w:rPr>
          <w:rFonts w:ascii="Times New Roman" w:hAnsi="Times New Roman"/>
          <w:sz w:val="24"/>
          <w:szCs w:val="24"/>
        </w:rPr>
        <w:t xml:space="preserve"> evidence largely suggests that credit information sharing improves bank lending (e.g.</w:t>
      </w:r>
      <w:r w:rsidR="00B41958">
        <w:rPr>
          <w:rFonts w:ascii="Times New Roman" w:hAnsi="Times New Roman"/>
          <w:sz w:val="24"/>
          <w:szCs w:val="24"/>
        </w:rPr>
        <w:t>,</w:t>
      </w:r>
      <w:r w:rsidRPr="002F1252">
        <w:rPr>
          <w:rFonts w:ascii="Times New Roman" w:hAnsi="Times New Roman"/>
          <w:sz w:val="24"/>
          <w:szCs w:val="24"/>
        </w:rPr>
        <w:t xml:space="preserve"> </w:t>
      </w:r>
      <w:proofErr w:type="spellStart"/>
      <w:r w:rsidRPr="002F1252">
        <w:rPr>
          <w:rFonts w:ascii="Times New Roman" w:hAnsi="Times New Roman"/>
          <w:sz w:val="24"/>
          <w:szCs w:val="24"/>
        </w:rPr>
        <w:t>Jappelli</w:t>
      </w:r>
      <w:proofErr w:type="spellEnd"/>
      <w:r w:rsidRPr="002F1252">
        <w:rPr>
          <w:rFonts w:ascii="Times New Roman" w:hAnsi="Times New Roman"/>
          <w:sz w:val="24"/>
          <w:szCs w:val="24"/>
        </w:rPr>
        <w:t xml:space="preserve"> and Pagano, 2002; Houston</w:t>
      </w:r>
      <w:r w:rsidRPr="002F1252">
        <w:rPr>
          <w:rFonts w:ascii="Times New Roman" w:hAnsi="Times New Roman"/>
          <w:color w:val="222222"/>
          <w:sz w:val="24"/>
          <w:szCs w:val="24"/>
          <w:shd w:val="clear" w:color="auto" w:fill="FFFFFF"/>
        </w:rPr>
        <w:t xml:space="preserve"> et al., 2010; </w:t>
      </w:r>
      <w:r w:rsidRPr="002F1252">
        <w:rPr>
          <w:rFonts w:ascii="Times New Roman" w:hAnsi="Times New Roman"/>
          <w:sz w:val="24"/>
          <w:szCs w:val="24"/>
        </w:rPr>
        <w:t>Fosu, 2014</w:t>
      </w:r>
      <w:r w:rsidRPr="002F1252">
        <w:rPr>
          <w:rFonts w:ascii="Times New Roman" w:hAnsi="Times New Roman"/>
          <w:color w:val="222222"/>
          <w:sz w:val="24"/>
          <w:szCs w:val="24"/>
          <w:shd w:val="clear" w:color="auto" w:fill="FFFFFF"/>
        </w:rPr>
        <w:t>)</w:t>
      </w:r>
      <w:r w:rsidRPr="002F1252">
        <w:rPr>
          <w:rFonts w:ascii="Times New Roman" w:hAnsi="Times New Roman"/>
          <w:sz w:val="24"/>
          <w:szCs w:val="24"/>
        </w:rPr>
        <w:t xml:space="preserve"> and reduces default rates (e.g.</w:t>
      </w:r>
      <w:r w:rsidR="00B41958">
        <w:rPr>
          <w:rFonts w:ascii="Times New Roman" w:hAnsi="Times New Roman"/>
          <w:sz w:val="24"/>
          <w:szCs w:val="24"/>
        </w:rPr>
        <w:t>,</w:t>
      </w:r>
      <w:r w:rsidRPr="002F1252">
        <w:rPr>
          <w:rFonts w:ascii="Times New Roman" w:hAnsi="Times New Roman"/>
          <w:sz w:val="24"/>
          <w:szCs w:val="24"/>
        </w:rPr>
        <w:t xml:space="preserve"> </w:t>
      </w:r>
      <w:proofErr w:type="spellStart"/>
      <w:r w:rsidRPr="002F1252">
        <w:rPr>
          <w:rFonts w:ascii="Times New Roman" w:hAnsi="Times New Roman"/>
          <w:sz w:val="24"/>
          <w:szCs w:val="24"/>
        </w:rPr>
        <w:t>Jappelli</w:t>
      </w:r>
      <w:proofErr w:type="spellEnd"/>
      <w:r w:rsidRPr="002F1252">
        <w:rPr>
          <w:rFonts w:ascii="Times New Roman" w:hAnsi="Times New Roman"/>
          <w:sz w:val="24"/>
          <w:szCs w:val="24"/>
        </w:rPr>
        <w:t xml:space="preserve"> and Pagano, 2002; Brown et al., 2009; </w:t>
      </w:r>
      <w:proofErr w:type="spellStart"/>
      <w:r w:rsidRPr="002F1252">
        <w:rPr>
          <w:rFonts w:ascii="Times New Roman" w:hAnsi="Times New Roman"/>
          <w:sz w:val="24"/>
          <w:szCs w:val="24"/>
        </w:rPr>
        <w:t>Dierkes</w:t>
      </w:r>
      <w:proofErr w:type="spellEnd"/>
      <w:r w:rsidRPr="002F1252">
        <w:rPr>
          <w:rFonts w:ascii="Times New Roman" w:hAnsi="Times New Roman"/>
          <w:sz w:val="24"/>
          <w:szCs w:val="24"/>
        </w:rPr>
        <w:t xml:space="preserve"> et al., 2013</w:t>
      </w:r>
      <w:r w:rsidR="0089587A">
        <w:rPr>
          <w:rFonts w:ascii="Times New Roman" w:hAnsi="Times New Roman"/>
          <w:sz w:val="24"/>
          <w:szCs w:val="24"/>
        </w:rPr>
        <w:t>; Fosu et al., 2019</w:t>
      </w:r>
      <w:r w:rsidRPr="002F1252">
        <w:rPr>
          <w:rFonts w:ascii="Times New Roman" w:hAnsi="Times New Roman"/>
          <w:sz w:val="24"/>
          <w:szCs w:val="24"/>
        </w:rPr>
        <w:t>)</w:t>
      </w:r>
      <w:r>
        <w:rPr>
          <w:rFonts w:ascii="Times New Roman" w:hAnsi="Times New Roman"/>
          <w:sz w:val="24"/>
          <w:szCs w:val="24"/>
        </w:rPr>
        <w:t xml:space="preserve">. </w:t>
      </w:r>
    </w:p>
    <w:p w14:paraId="2127135D" w14:textId="0D3B3C7E" w:rsidR="00EE02B8" w:rsidRPr="003C588D" w:rsidRDefault="00EE02B8" w:rsidP="00EE02B8">
      <w:pPr>
        <w:spacing w:line="360" w:lineRule="auto"/>
        <w:jc w:val="both"/>
        <w:rPr>
          <w:rFonts w:ascii="Times New Roman" w:hAnsi="Times New Roman"/>
          <w:sz w:val="24"/>
          <w:szCs w:val="24"/>
        </w:rPr>
      </w:pPr>
      <w:r>
        <w:rPr>
          <w:rFonts w:ascii="Times New Roman" w:hAnsi="Times New Roman"/>
          <w:sz w:val="24"/>
          <w:szCs w:val="24"/>
        </w:rPr>
        <w:t>However,</w:t>
      </w:r>
      <w:r w:rsidRPr="002F1252">
        <w:rPr>
          <w:rFonts w:ascii="Times New Roman" w:hAnsi="Times New Roman"/>
          <w:sz w:val="24"/>
          <w:szCs w:val="24"/>
        </w:rPr>
        <w:t xml:space="preserve"> evidence relating to whether credit information sharing ultimately reduces intermediation costs is virtually non-existent. </w:t>
      </w:r>
      <w:r>
        <w:rPr>
          <w:rFonts w:ascii="Times New Roman" w:hAnsi="Times New Roman"/>
          <w:sz w:val="24"/>
          <w:szCs w:val="24"/>
        </w:rPr>
        <w:t xml:space="preserve">We address this research gap with </w:t>
      </w:r>
      <w:r w:rsidR="00CC58F5">
        <w:rPr>
          <w:rFonts w:ascii="Times New Roman" w:hAnsi="Times New Roman"/>
          <w:sz w:val="24"/>
          <w:szCs w:val="24"/>
        </w:rPr>
        <w:t xml:space="preserve">a specific </w:t>
      </w:r>
      <w:r>
        <w:rPr>
          <w:rFonts w:ascii="Times New Roman" w:hAnsi="Times New Roman"/>
          <w:sz w:val="24"/>
          <w:szCs w:val="24"/>
        </w:rPr>
        <w:t>focus on developing countries in Africa</w:t>
      </w:r>
      <w:r w:rsidRPr="002F1252">
        <w:rPr>
          <w:rFonts w:ascii="Times New Roman" w:hAnsi="Times New Roman"/>
          <w:sz w:val="24"/>
          <w:szCs w:val="24"/>
        </w:rPr>
        <w:t xml:space="preserve">, where, until recently, access to credit information about borrowers was </w:t>
      </w:r>
      <w:r w:rsidR="00E54CD4">
        <w:rPr>
          <w:rFonts w:ascii="Times New Roman" w:hAnsi="Times New Roman"/>
          <w:sz w:val="24"/>
          <w:szCs w:val="24"/>
        </w:rPr>
        <w:t>a rarity</w:t>
      </w:r>
      <w:r w:rsidRPr="002F1252">
        <w:rPr>
          <w:rFonts w:ascii="Times New Roman" w:hAnsi="Times New Roman"/>
          <w:sz w:val="24"/>
          <w:szCs w:val="24"/>
        </w:rPr>
        <w:t>. With low coverage and depth of credit information sharing and weak contract enforcement (</w:t>
      </w:r>
      <w:proofErr w:type="spellStart"/>
      <w:r w:rsidRPr="002F1252">
        <w:rPr>
          <w:rFonts w:ascii="Times New Roman" w:hAnsi="Times New Roman"/>
          <w:sz w:val="24"/>
          <w:szCs w:val="24"/>
        </w:rPr>
        <w:t>Sacerdoti</w:t>
      </w:r>
      <w:proofErr w:type="spellEnd"/>
      <w:r w:rsidRPr="002F1252">
        <w:rPr>
          <w:rFonts w:ascii="Times New Roman" w:hAnsi="Times New Roman"/>
          <w:sz w:val="24"/>
          <w:szCs w:val="24"/>
        </w:rPr>
        <w:t xml:space="preserve">, 2005; </w:t>
      </w:r>
      <w:proofErr w:type="spellStart"/>
      <w:r w:rsidRPr="002F1252">
        <w:rPr>
          <w:rFonts w:ascii="Times New Roman" w:hAnsi="Times New Roman"/>
          <w:sz w:val="24"/>
          <w:szCs w:val="24"/>
        </w:rPr>
        <w:t>Honohan</w:t>
      </w:r>
      <w:proofErr w:type="spellEnd"/>
      <w:r w:rsidRPr="002F1252">
        <w:rPr>
          <w:rFonts w:ascii="Times New Roman" w:hAnsi="Times New Roman"/>
          <w:sz w:val="24"/>
          <w:szCs w:val="24"/>
        </w:rPr>
        <w:t xml:space="preserve"> and Beck, 2007; </w:t>
      </w:r>
      <w:r w:rsidRPr="002F1252">
        <w:rPr>
          <w:rFonts w:ascii="Times New Roman" w:hAnsi="Times New Roman"/>
          <w:color w:val="222222"/>
          <w:sz w:val="24"/>
          <w:szCs w:val="20"/>
          <w:shd w:val="clear" w:color="auto" w:fill="FFFFFF"/>
        </w:rPr>
        <w:t>Nataliya</w:t>
      </w:r>
      <w:r w:rsidRPr="002F1252">
        <w:rPr>
          <w:rFonts w:ascii="Times New Roman" w:hAnsi="Times New Roman"/>
          <w:sz w:val="24"/>
          <w:szCs w:val="24"/>
        </w:rPr>
        <w:t xml:space="preserve">, 2007; Fosu, 2014), </w:t>
      </w:r>
      <w:r w:rsidR="00E94BE2">
        <w:rPr>
          <w:rFonts w:ascii="Times New Roman" w:hAnsi="Times New Roman"/>
          <w:sz w:val="24"/>
          <w:szCs w:val="24"/>
        </w:rPr>
        <w:t xml:space="preserve">it is not surprising that </w:t>
      </w:r>
      <w:r w:rsidRPr="002F1252">
        <w:rPr>
          <w:rFonts w:ascii="Times New Roman" w:hAnsi="Times New Roman"/>
          <w:sz w:val="24"/>
          <w:szCs w:val="24"/>
        </w:rPr>
        <w:t xml:space="preserve">the </w:t>
      </w:r>
      <w:r w:rsidR="00E94BE2">
        <w:rPr>
          <w:rFonts w:ascii="Times New Roman" w:hAnsi="Times New Roman"/>
          <w:sz w:val="24"/>
          <w:szCs w:val="24"/>
        </w:rPr>
        <w:t xml:space="preserve">African </w:t>
      </w:r>
      <w:r w:rsidRPr="002F1252">
        <w:rPr>
          <w:rFonts w:ascii="Times New Roman" w:hAnsi="Times New Roman"/>
          <w:sz w:val="24"/>
          <w:szCs w:val="24"/>
        </w:rPr>
        <w:t>region records extremely low credit penetration (</w:t>
      </w:r>
      <w:proofErr w:type="spellStart"/>
      <w:r w:rsidRPr="002F1252">
        <w:rPr>
          <w:rFonts w:ascii="Times New Roman" w:hAnsi="Times New Roman"/>
          <w:sz w:val="24"/>
          <w:szCs w:val="24"/>
        </w:rPr>
        <w:t>Mylenko</w:t>
      </w:r>
      <w:proofErr w:type="spellEnd"/>
      <w:r w:rsidRPr="002F1252">
        <w:rPr>
          <w:rFonts w:ascii="Times New Roman" w:hAnsi="Times New Roman"/>
          <w:sz w:val="24"/>
          <w:szCs w:val="24"/>
        </w:rPr>
        <w:t>, 2007)</w:t>
      </w:r>
      <w:r>
        <w:rPr>
          <w:rFonts w:ascii="Times New Roman" w:hAnsi="Times New Roman"/>
          <w:sz w:val="24"/>
          <w:szCs w:val="24"/>
        </w:rPr>
        <w:t xml:space="preserve"> and excessively</w:t>
      </w:r>
      <w:r w:rsidRPr="002F1252">
        <w:rPr>
          <w:rFonts w:ascii="Times New Roman" w:hAnsi="Times New Roman"/>
          <w:sz w:val="24"/>
          <w:szCs w:val="24"/>
        </w:rPr>
        <w:t xml:space="preserve"> </w:t>
      </w:r>
      <w:r>
        <w:rPr>
          <w:rFonts w:ascii="Times New Roman" w:hAnsi="Times New Roman"/>
          <w:sz w:val="24"/>
          <w:szCs w:val="24"/>
        </w:rPr>
        <w:t xml:space="preserve">high </w:t>
      </w:r>
      <w:r w:rsidRPr="002F1252">
        <w:rPr>
          <w:rFonts w:ascii="Times New Roman" w:hAnsi="Times New Roman"/>
          <w:sz w:val="24"/>
          <w:szCs w:val="24"/>
        </w:rPr>
        <w:t>loan rates (</w:t>
      </w:r>
      <w:proofErr w:type="spellStart"/>
      <w:r w:rsidRPr="002F1252">
        <w:rPr>
          <w:rFonts w:ascii="Times New Roman" w:hAnsi="Times New Roman"/>
          <w:sz w:val="24"/>
          <w:szCs w:val="24"/>
        </w:rPr>
        <w:t>Honohan</w:t>
      </w:r>
      <w:proofErr w:type="spellEnd"/>
      <w:r w:rsidRPr="002F1252">
        <w:rPr>
          <w:rFonts w:ascii="Times New Roman" w:hAnsi="Times New Roman"/>
          <w:sz w:val="24"/>
          <w:szCs w:val="24"/>
        </w:rPr>
        <w:t xml:space="preserve"> and Beck, 2007). This extreme credit intermediation cost further creates adverse selection problems, as safer borrowers drop out of the market</w:t>
      </w:r>
      <w:r w:rsidR="00E94BE2">
        <w:rPr>
          <w:rFonts w:ascii="Times New Roman" w:hAnsi="Times New Roman"/>
          <w:sz w:val="24"/>
          <w:szCs w:val="24"/>
        </w:rPr>
        <w:t>, leaving the riskier ones</w:t>
      </w:r>
      <w:r w:rsidRPr="002F1252">
        <w:rPr>
          <w:rFonts w:ascii="Times New Roman" w:hAnsi="Times New Roman"/>
          <w:sz w:val="24"/>
          <w:szCs w:val="24"/>
        </w:rPr>
        <w:t xml:space="preserve"> (Stiglitz and Weiss, </w:t>
      </w:r>
      <w:r w:rsidRPr="003C588D">
        <w:rPr>
          <w:rFonts w:ascii="Times New Roman" w:hAnsi="Times New Roman"/>
          <w:sz w:val="24"/>
          <w:szCs w:val="24"/>
        </w:rPr>
        <w:t xml:space="preserve">1981). Consequently, financial sector development remains significantly low in the </w:t>
      </w:r>
      <w:r w:rsidR="008E321B" w:rsidRPr="003C588D">
        <w:rPr>
          <w:rFonts w:ascii="Times New Roman" w:hAnsi="Times New Roman"/>
          <w:sz w:val="24"/>
          <w:szCs w:val="24"/>
        </w:rPr>
        <w:t xml:space="preserve">African </w:t>
      </w:r>
      <w:r w:rsidRPr="003C588D">
        <w:rPr>
          <w:rFonts w:ascii="Times New Roman" w:hAnsi="Times New Roman"/>
          <w:sz w:val="24"/>
          <w:szCs w:val="24"/>
        </w:rPr>
        <w:t>region, even in comparison with other developing countries (Allen et al., 2012)</w:t>
      </w:r>
      <w:r w:rsidR="00A00ACD" w:rsidRPr="003C588D">
        <w:rPr>
          <w:rFonts w:ascii="Times New Roman" w:hAnsi="Times New Roman"/>
          <w:sz w:val="24"/>
          <w:szCs w:val="24"/>
        </w:rPr>
        <w:t>. Therefore, any attempts, including research, to help policy makers shape policies that improve the African financial system are steps in the right direction</w:t>
      </w:r>
      <w:r w:rsidRPr="003C588D">
        <w:rPr>
          <w:rFonts w:ascii="Times New Roman" w:hAnsi="Times New Roman"/>
          <w:sz w:val="24"/>
          <w:szCs w:val="24"/>
        </w:rPr>
        <w:t xml:space="preserve">. </w:t>
      </w:r>
    </w:p>
    <w:p w14:paraId="731EA322" w14:textId="74723503" w:rsidR="00EE02B8" w:rsidRPr="002F1252" w:rsidRDefault="00EE02B8" w:rsidP="00EE02B8">
      <w:pPr>
        <w:spacing w:line="360" w:lineRule="auto"/>
        <w:jc w:val="both"/>
        <w:rPr>
          <w:rFonts w:ascii="Times New Roman" w:hAnsi="Times New Roman"/>
          <w:sz w:val="24"/>
          <w:szCs w:val="24"/>
        </w:rPr>
      </w:pPr>
      <w:r w:rsidRPr="003C588D">
        <w:rPr>
          <w:rFonts w:ascii="Times New Roman" w:hAnsi="Times New Roman"/>
          <w:sz w:val="24"/>
          <w:szCs w:val="24"/>
        </w:rPr>
        <w:t xml:space="preserve">Accordingly, </w:t>
      </w:r>
      <w:r w:rsidR="0095451C" w:rsidRPr="003C588D">
        <w:rPr>
          <w:rFonts w:ascii="Times New Roman" w:hAnsi="Times New Roman"/>
          <w:sz w:val="24"/>
          <w:szCs w:val="24"/>
        </w:rPr>
        <w:t>we contribute to the broad literature on the African banking system. U</w:t>
      </w:r>
      <w:r w:rsidRPr="003C588D">
        <w:rPr>
          <w:rFonts w:ascii="Times New Roman" w:hAnsi="Times New Roman"/>
          <w:sz w:val="24"/>
          <w:szCs w:val="24"/>
        </w:rPr>
        <w:t xml:space="preserve">sing a sample of 272 banks from 27 African countries and </w:t>
      </w:r>
      <w:r w:rsidR="008C503B" w:rsidRPr="003C588D">
        <w:rPr>
          <w:rFonts w:ascii="Times New Roman" w:hAnsi="Times New Roman"/>
          <w:sz w:val="24"/>
          <w:szCs w:val="24"/>
        </w:rPr>
        <w:t xml:space="preserve">a </w:t>
      </w:r>
      <w:r w:rsidRPr="003C588D">
        <w:rPr>
          <w:rFonts w:ascii="Times New Roman" w:hAnsi="Times New Roman"/>
          <w:sz w:val="24"/>
          <w:szCs w:val="24"/>
        </w:rPr>
        <w:t>dynamic system generalised method of moments (GMM) estimation, we examine the extent to which credit information sharing reduces credit intermediation cost in African banking markets. Second, we investigate the extent to which the effect of credit information sharing is conditional on the level of banking</w:t>
      </w:r>
      <w:r w:rsidRPr="002F1252">
        <w:rPr>
          <w:rFonts w:ascii="Times New Roman" w:hAnsi="Times New Roman"/>
          <w:sz w:val="24"/>
          <w:szCs w:val="24"/>
        </w:rPr>
        <w:t xml:space="preserve"> market concentration. Third, we assess the extent to which credit information sharing moderates the effect of banking market concentration on credit intermediation cost. Fourth, we </w:t>
      </w:r>
      <w:r w:rsidRPr="002F1252">
        <w:rPr>
          <w:rFonts w:ascii="Times New Roman" w:hAnsi="Times New Roman"/>
          <w:sz w:val="24"/>
          <w:szCs w:val="24"/>
        </w:rPr>
        <w:lastRenderedPageBreak/>
        <w:t>investigate the extent to which governance moderates the effect of credit information sharing on credit intermediation cost.</w:t>
      </w:r>
    </w:p>
    <w:p w14:paraId="79655313" w14:textId="68B3D966" w:rsidR="00EE02B8" w:rsidRDefault="00EE02B8" w:rsidP="00EE02B8">
      <w:pPr>
        <w:spacing w:line="360" w:lineRule="auto"/>
        <w:jc w:val="both"/>
        <w:rPr>
          <w:rFonts w:ascii="Times New Roman" w:hAnsi="Times New Roman"/>
          <w:sz w:val="24"/>
          <w:szCs w:val="24"/>
        </w:rPr>
      </w:pPr>
      <w:r>
        <w:rPr>
          <w:rFonts w:ascii="Times New Roman" w:hAnsi="Times New Roman"/>
          <w:sz w:val="24"/>
          <w:szCs w:val="24"/>
        </w:rPr>
        <w:t>We</w:t>
      </w:r>
      <w:r w:rsidRPr="002F1252">
        <w:rPr>
          <w:rFonts w:ascii="Times New Roman" w:hAnsi="Times New Roman"/>
          <w:sz w:val="24"/>
          <w:szCs w:val="24"/>
        </w:rPr>
        <w:t xml:space="preserve"> make </w:t>
      </w:r>
      <w:r w:rsidR="00F5063C">
        <w:rPr>
          <w:rFonts w:ascii="Times New Roman" w:hAnsi="Times New Roman"/>
          <w:sz w:val="24"/>
          <w:szCs w:val="24"/>
        </w:rPr>
        <w:t>several</w:t>
      </w:r>
      <w:r w:rsidRPr="002F1252">
        <w:rPr>
          <w:rFonts w:ascii="Times New Roman" w:hAnsi="Times New Roman"/>
          <w:sz w:val="24"/>
          <w:szCs w:val="24"/>
        </w:rPr>
        <w:t xml:space="preserve"> new contributions to the existing literature, </w:t>
      </w:r>
      <w:r w:rsidR="00F5063C">
        <w:rPr>
          <w:rFonts w:ascii="Times New Roman" w:hAnsi="Times New Roman"/>
          <w:sz w:val="24"/>
          <w:szCs w:val="24"/>
        </w:rPr>
        <w:t xml:space="preserve">including </w:t>
      </w:r>
      <w:proofErr w:type="gramStart"/>
      <w:r w:rsidRPr="002F1252">
        <w:rPr>
          <w:rFonts w:ascii="Times New Roman" w:hAnsi="Times New Roman"/>
          <w:sz w:val="24"/>
          <w:szCs w:val="24"/>
        </w:rPr>
        <w:t>open</w:t>
      </w:r>
      <w:r w:rsidR="00F5063C">
        <w:rPr>
          <w:rFonts w:ascii="Times New Roman" w:hAnsi="Times New Roman"/>
          <w:sz w:val="24"/>
          <w:szCs w:val="24"/>
        </w:rPr>
        <w:t>ing</w:t>
      </w:r>
      <w:r w:rsidRPr="002F1252">
        <w:rPr>
          <w:rFonts w:ascii="Times New Roman" w:hAnsi="Times New Roman"/>
          <w:sz w:val="24"/>
          <w:szCs w:val="24"/>
        </w:rPr>
        <w:t xml:space="preserve"> up</w:t>
      </w:r>
      <w:proofErr w:type="gramEnd"/>
      <w:r w:rsidRPr="002F1252">
        <w:rPr>
          <w:rFonts w:ascii="Times New Roman" w:hAnsi="Times New Roman"/>
          <w:sz w:val="24"/>
          <w:szCs w:val="24"/>
        </w:rPr>
        <w:t xml:space="preserve"> a new research space by providing the first evidence (to the best of our knowledge) on the relationship between credit information sharing and credit intermediation cost. In doing so, we shed light on the ultimate real effect of information sharing on credit intermediation. </w:t>
      </w:r>
      <w:r w:rsidR="00F5063C">
        <w:rPr>
          <w:rFonts w:ascii="Times New Roman" w:hAnsi="Times New Roman"/>
          <w:sz w:val="24"/>
          <w:szCs w:val="24"/>
        </w:rPr>
        <w:t>Further</w:t>
      </w:r>
      <w:r w:rsidRPr="002F1252">
        <w:rPr>
          <w:rFonts w:ascii="Times New Roman" w:hAnsi="Times New Roman"/>
          <w:sz w:val="24"/>
          <w:szCs w:val="24"/>
        </w:rPr>
        <w:t xml:space="preserve">, by conditioning the effect of credit information sharing on banking market concentration, we shed light on the complex interactions between credit information sharing, banking market concentration and credit intermediation cost. </w:t>
      </w:r>
      <w:proofErr w:type="gramStart"/>
      <w:r w:rsidRPr="002F1252">
        <w:rPr>
          <w:rFonts w:ascii="Times New Roman" w:hAnsi="Times New Roman"/>
          <w:sz w:val="24"/>
          <w:szCs w:val="24"/>
        </w:rPr>
        <w:t>In particular, we</w:t>
      </w:r>
      <w:proofErr w:type="gramEnd"/>
      <w:r w:rsidRPr="002F1252">
        <w:rPr>
          <w:rFonts w:ascii="Times New Roman" w:hAnsi="Times New Roman"/>
          <w:sz w:val="24"/>
          <w:szCs w:val="24"/>
        </w:rPr>
        <w:t xml:space="preserve"> show that credit market concentration and credit information sharing are to some extent substitutes</w:t>
      </w:r>
      <w:r w:rsidR="003E4081">
        <w:rPr>
          <w:rFonts w:ascii="Times New Roman" w:hAnsi="Times New Roman"/>
          <w:sz w:val="24"/>
          <w:szCs w:val="24"/>
        </w:rPr>
        <w:t>,</w:t>
      </w:r>
      <w:r w:rsidRPr="002F1252">
        <w:rPr>
          <w:rFonts w:ascii="Times New Roman" w:hAnsi="Times New Roman"/>
          <w:sz w:val="24"/>
          <w:szCs w:val="24"/>
        </w:rPr>
        <w:t xml:space="preserve"> </w:t>
      </w:r>
      <w:r>
        <w:rPr>
          <w:rFonts w:ascii="Times New Roman" w:hAnsi="Times New Roman"/>
          <w:sz w:val="24"/>
          <w:szCs w:val="24"/>
        </w:rPr>
        <w:t>as far as their effect on</w:t>
      </w:r>
      <w:r w:rsidRPr="002F1252">
        <w:rPr>
          <w:rFonts w:ascii="Times New Roman" w:hAnsi="Times New Roman"/>
          <w:sz w:val="24"/>
          <w:szCs w:val="24"/>
        </w:rPr>
        <w:t xml:space="preserve"> credit intermediation cost</w:t>
      </w:r>
      <w:r>
        <w:rPr>
          <w:rFonts w:ascii="Times New Roman" w:hAnsi="Times New Roman"/>
          <w:sz w:val="24"/>
          <w:szCs w:val="24"/>
        </w:rPr>
        <w:t xml:space="preserve"> is concerned</w:t>
      </w:r>
      <w:r w:rsidR="00F5063C">
        <w:rPr>
          <w:rFonts w:ascii="Times New Roman" w:hAnsi="Times New Roman"/>
          <w:sz w:val="24"/>
          <w:szCs w:val="24"/>
        </w:rPr>
        <w:t>.</w:t>
      </w:r>
      <w:r w:rsidRPr="002F1252">
        <w:rPr>
          <w:rFonts w:ascii="Times New Roman" w:hAnsi="Times New Roman"/>
          <w:sz w:val="24"/>
          <w:szCs w:val="24"/>
        </w:rPr>
        <w:t xml:space="preserve"> </w:t>
      </w:r>
      <w:r w:rsidR="00F5063C">
        <w:rPr>
          <w:rFonts w:ascii="Times New Roman" w:hAnsi="Times New Roman"/>
          <w:sz w:val="24"/>
          <w:szCs w:val="24"/>
        </w:rPr>
        <w:t>H</w:t>
      </w:r>
      <w:r w:rsidRPr="002F1252">
        <w:rPr>
          <w:rFonts w:ascii="Times New Roman" w:hAnsi="Times New Roman"/>
          <w:sz w:val="24"/>
          <w:szCs w:val="24"/>
        </w:rPr>
        <w:t xml:space="preserve">ence, we highlight </w:t>
      </w:r>
      <w:r w:rsidR="00F5063C">
        <w:rPr>
          <w:rFonts w:ascii="Times New Roman" w:hAnsi="Times New Roman"/>
          <w:sz w:val="24"/>
          <w:szCs w:val="24"/>
        </w:rPr>
        <w:t xml:space="preserve">the </w:t>
      </w:r>
      <w:r w:rsidRPr="002F1252">
        <w:rPr>
          <w:rFonts w:ascii="Times New Roman" w:hAnsi="Times New Roman"/>
          <w:sz w:val="24"/>
          <w:szCs w:val="24"/>
        </w:rPr>
        <w:t>potential distortions and risk-shifting effects of the pro-competition banking sector reforms in the absence of effective credit information sharing schemes. This</w:t>
      </w:r>
      <w:r>
        <w:rPr>
          <w:rFonts w:ascii="Times New Roman" w:hAnsi="Times New Roman"/>
          <w:sz w:val="24"/>
          <w:szCs w:val="24"/>
        </w:rPr>
        <w:t xml:space="preserve"> further</w:t>
      </w:r>
      <w:r w:rsidRPr="002F1252">
        <w:rPr>
          <w:rFonts w:ascii="Times New Roman" w:hAnsi="Times New Roman"/>
          <w:sz w:val="24"/>
          <w:szCs w:val="24"/>
        </w:rPr>
        <w:t xml:space="preserve"> has policy implications given the ongoing reforms in Africa’s financial sector aimed at promoting competition through credit information sharing (Marquez, 2002). </w:t>
      </w:r>
    </w:p>
    <w:p w14:paraId="3F30E654" w14:textId="46888F4E" w:rsidR="00EE02B8" w:rsidRPr="002F1252" w:rsidRDefault="005C5635" w:rsidP="00EE02B8">
      <w:pPr>
        <w:spacing w:line="360" w:lineRule="auto"/>
        <w:jc w:val="both"/>
        <w:rPr>
          <w:rFonts w:ascii="Times New Roman" w:hAnsi="Times New Roman"/>
          <w:sz w:val="24"/>
          <w:szCs w:val="24"/>
        </w:rPr>
      </w:pPr>
      <w:r w:rsidRPr="003C588D">
        <w:rPr>
          <w:rFonts w:ascii="Times New Roman" w:hAnsi="Times New Roman"/>
          <w:sz w:val="24"/>
          <w:szCs w:val="24"/>
        </w:rPr>
        <w:t>Also</w:t>
      </w:r>
      <w:r w:rsidR="00EE02B8" w:rsidRPr="003C588D">
        <w:rPr>
          <w:rFonts w:ascii="Times New Roman" w:hAnsi="Times New Roman"/>
          <w:sz w:val="24"/>
          <w:szCs w:val="24"/>
        </w:rPr>
        <w:t xml:space="preserve">, by conditioning the effect of credit information sharing on governance quality, we assess the extent to which </w:t>
      </w:r>
      <w:r w:rsidRPr="003C588D">
        <w:rPr>
          <w:rFonts w:ascii="Times New Roman" w:hAnsi="Times New Roman"/>
          <w:sz w:val="24"/>
          <w:szCs w:val="24"/>
        </w:rPr>
        <w:t xml:space="preserve">national </w:t>
      </w:r>
      <w:r w:rsidR="00EE02B8" w:rsidRPr="003C588D">
        <w:rPr>
          <w:rFonts w:ascii="Times New Roman" w:hAnsi="Times New Roman"/>
          <w:sz w:val="24"/>
          <w:szCs w:val="24"/>
        </w:rPr>
        <w:t>governance</w:t>
      </w:r>
      <w:r w:rsidRPr="003C588D">
        <w:rPr>
          <w:rFonts w:ascii="Times New Roman" w:hAnsi="Times New Roman"/>
          <w:sz w:val="24"/>
          <w:szCs w:val="24"/>
        </w:rPr>
        <w:t xml:space="preserve"> quality</w:t>
      </w:r>
      <w:r w:rsidR="00EE02B8" w:rsidRPr="003C588D">
        <w:rPr>
          <w:rFonts w:ascii="Times New Roman" w:hAnsi="Times New Roman"/>
          <w:sz w:val="24"/>
          <w:szCs w:val="24"/>
        </w:rPr>
        <w:t xml:space="preserve"> could substitute for the role of credit information sharing in reducing credit intermediation cost. Finally, we provide the first comprehensive study of the determinants of bank intermediation cost in Africa – a region with significant institutional and contextual differences, especially compared with those of developed countries, but one that is severely under-researched.</w:t>
      </w:r>
      <w:r w:rsidR="00EE02B8" w:rsidRPr="002F1252">
        <w:rPr>
          <w:rFonts w:ascii="Times New Roman" w:hAnsi="Times New Roman"/>
          <w:sz w:val="24"/>
          <w:szCs w:val="24"/>
        </w:rPr>
        <w:t xml:space="preserve"> </w:t>
      </w:r>
    </w:p>
    <w:p w14:paraId="52010A0B" w14:textId="4AF6A8C3" w:rsidR="00EE02B8" w:rsidRDefault="00EE02B8" w:rsidP="00EE02B8">
      <w:pPr>
        <w:spacing w:before="240" w:after="240" w:line="360" w:lineRule="auto"/>
        <w:jc w:val="both"/>
        <w:rPr>
          <w:rFonts w:ascii="Times New Roman" w:hAnsi="Times New Roman"/>
          <w:sz w:val="24"/>
          <w:szCs w:val="24"/>
          <w:lang w:eastAsia="en-GB"/>
        </w:rPr>
      </w:pPr>
      <w:bookmarkStart w:id="2" w:name="_Hlk35033180"/>
      <w:bookmarkStart w:id="3" w:name="_Hlk35027511"/>
      <w:r w:rsidRPr="002F1252">
        <w:rPr>
          <w:rFonts w:ascii="Times New Roman" w:hAnsi="Times New Roman"/>
          <w:sz w:val="24"/>
          <w:szCs w:val="24"/>
          <w:lang w:eastAsia="en-GB"/>
        </w:rPr>
        <w:t>The rest of the paper proceeds as follows:</w:t>
      </w:r>
      <w:r>
        <w:rPr>
          <w:rFonts w:ascii="Times New Roman" w:hAnsi="Times New Roman"/>
          <w:sz w:val="24"/>
          <w:szCs w:val="24"/>
          <w:lang w:eastAsia="en-GB"/>
        </w:rPr>
        <w:t xml:space="preserve"> </w:t>
      </w:r>
      <w:r w:rsidRPr="002F1252">
        <w:rPr>
          <w:rFonts w:ascii="Times New Roman" w:hAnsi="Times New Roman"/>
          <w:sz w:val="24"/>
          <w:szCs w:val="24"/>
          <w:lang w:eastAsia="en-GB"/>
        </w:rPr>
        <w:t>Section</w:t>
      </w:r>
      <w:r>
        <w:rPr>
          <w:rFonts w:ascii="Times New Roman" w:hAnsi="Times New Roman"/>
          <w:sz w:val="24"/>
          <w:szCs w:val="24"/>
          <w:lang w:eastAsia="en-GB"/>
        </w:rPr>
        <w:t xml:space="preserve"> 2</w:t>
      </w:r>
      <w:r w:rsidRPr="002F1252">
        <w:rPr>
          <w:rFonts w:ascii="Times New Roman" w:hAnsi="Times New Roman"/>
          <w:sz w:val="24"/>
          <w:szCs w:val="24"/>
          <w:lang w:eastAsia="en-GB"/>
        </w:rPr>
        <w:t xml:space="preserve"> </w:t>
      </w:r>
      <w:r>
        <w:rPr>
          <w:rFonts w:ascii="Times New Roman" w:hAnsi="Times New Roman"/>
          <w:sz w:val="24"/>
          <w:szCs w:val="24"/>
          <w:lang w:eastAsia="en-GB"/>
        </w:rPr>
        <w:t>provides some background information on African banking markets.</w:t>
      </w:r>
      <w:r w:rsidRPr="002F1252">
        <w:rPr>
          <w:rFonts w:ascii="Times New Roman" w:hAnsi="Times New Roman"/>
          <w:sz w:val="24"/>
          <w:szCs w:val="24"/>
          <w:lang w:eastAsia="en-GB"/>
        </w:rPr>
        <w:t xml:space="preserve"> Section </w:t>
      </w:r>
      <w:r>
        <w:rPr>
          <w:rFonts w:ascii="Times New Roman" w:hAnsi="Times New Roman"/>
          <w:sz w:val="24"/>
          <w:szCs w:val="24"/>
          <w:lang w:eastAsia="en-GB"/>
        </w:rPr>
        <w:t>3</w:t>
      </w:r>
      <w:r w:rsidRPr="002F1252">
        <w:rPr>
          <w:rFonts w:ascii="Times New Roman" w:hAnsi="Times New Roman"/>
          <w:sz w:val="24"/>
          <w:szCs w:val="24"/>
          <w:lang w:eastAsia="en-GB"/>
        </w:rPr>
        <w:t xml:space="preserve"> examines </w:t>
      </w:r>
      <w:r w:rsidR="003E4081">
        <w:rPr>
          <w:rFonts w:ascii="Times New Roman" w:hAnsi="Times New Roman"/>
          <w:sz w:val="24"/>
          <w:szCs w:val="24"/>
          <w:lang w:eastAsia="en-GB"/>
        </w:rPr>
        <w:t xml:space="preserve">the </w:t>
      </w:r>
      <w:r w:rsidRPr="002F1252">
        <w:rPr>
          <w:rFonts w:ascii="Times New Roman" w:hAnsi="Times New Roman"/>
          <w:sz w:val="24"/>
          <w:szCs w:val="24"/>
          <w:lang w:eastAsia="en-GB"/>
        </w:rPr>
        <w:t>relevant literature</w:t>
      </w:r>
      <w:r w:rsidR="003E4081">
        <w:rPr>
          <w:rFonts w:ascii="Times New Roman" w:hAnsi="Times New Roman"/>
          <w:sz w:val="24"/>
          <w:szCs w:val="24"/>
          <w:lang w:eastAsia="en-GB"/>
        </w:rPr>
        <w:t>,</w:t>
      </w:r>
      <w:r w:rsidRPr="002F1252">
        <w:rPr>
          <w:rFonts w:ascii="Times New Roman" w:hAnsi="Times New Roman"/>
          <w:sz w:val="24"/>
          <w:szCs w:val="24"/>
          <w:lang w:eastAsia="en-GB"/>
        </w:rPr>
        <w:t xml:space="preserve"> </w:t>
      </w:r>
      <w:r w:rsidR="00757D79">
        <w:rPr>
          <w:rFonts w:ascii="Times New Roman" w:hAnsi="Times New Roman"/>
          <w:sz w:val="24"/>
          <w:szCs w:val="24"/>
          <w:lang w:eastAsia="en-GB"/>
        </w:rPr>
        <w:t>including</w:t>
      </w:r>
      <w:r w:rsidRPr="002F1252">
        <w:rPr>
          <w:rFonts w:ascii="Times New Roman" w:hAnsi="Times New Roman"/>
          <w:sz w:val="24"/>
          <w:szCs w:val="24"/>
          <w:lang w:eastAsia="en-GB"/>
        </w:rPr>
        <w:t xml:space="preserve"> theoretical underpinnings and develops relevant hypotheses. In Section </w:t>
      </w:r>
      <w:r>
        <w:rPr>
          <w:rFonts w:ascii="Times New Roman" w:hAnsi="Times New Roman"/>
          <w:sz w:val="24"/>
          <w:szCs w:val="24"/>
          <w:lang w:eastAsia="en-GB"/>
        </w:rPr>
        <w:t>4</w:t>
      </w:r>
      <w:r w:rsidRPr="002F1252">
        <w:rPr>
          <w:rFonts w:ascii="Times New Roman" w:hAnsi="Times New Roman"/>
          <w:sz w:val="24"/>
          <w:szCs w:val="24"/>
          <w:lang w:eastAsia="en-GB"/>
        </w:rPr>
        <w:t xml:space="preserve">, we discuss the sample, empirical design and measurement of key variables. Regression results and robustness checks are presented in Section </w:t>
      </w:r>
      <w:r>
        <w:rPr>
          <w:rFonts w:ascii="Times New Roman" w:hAnsi="Times New Roman"/>
          <w:sz w:val="24"/>
          <w:szCs w:val="24"/>
          <w:lang w:eastAsia="en-GB"/>
        </w:rPr>
        <w:t>5</w:t>
      </w:r>
      <w:r w:rsidRPr="002F1252">
        <w:rPr>
          <w:rFonts w:ascii="Times New Roman" w:hAnsi="Times New Roman"/>
          <w:sz w:val="24"/>
          <w:szCs w:val="24"/>
          <w:lang w:eastAsia="en-GB"/>
        </w:rPr>
        <w:t xml:space="preserve"> and, finally, Section </w:t>
      </w:r>
      <w:r>
        <w:rPr>
          <w:rFonts w:ascii="Times New Roman" w:hAnsi="Times New Roman"/>
          <w:sz w:val="24"/>
          <w:szCs w:val="24"/>
          <w:lang w:eastAsia="en-GB"/>
        </w:rPr>
        <w:t>6</w:t>
      </w:r>
      <w:r w:rsidRPr="002F1252">
        <w:rPr>
          <w:rFonts w:ascii="Times New Roman" w:hAnsi="Times New Roman"/>
          <w:sz w:val="24"/>
          <w:szCs w:val="24"/>
          <w:lang w:eastAsia="en-GB"/>
        </w:rPr>
        <w:t xml:space="preserve"> concludes the study with a summary of our main findings</w:t>
      </w:r>
      <w:r w:rsidR="00757D79">
        <w:rPr>
          <w:rFonts w:ascii="Times New Roman" w:hAnsi="Times New Roman"/>
          <w:sz w:val="24"/>
          <w:szCs w:val="24"/>
          <w:lang w:eastAsia="en-GB"/>
        </w:rPr>
        <w:t xml:space="preserve"> and their policy/managerial implications</w:t>
      </w:r>
      <w:r w:rsidRPr="002F1252">
        <w:rPr>
          <w:rFonts w:ascii="Times New Roman" w:hAnsi="Times New Roman"/>
          <w:sz w:val="24"/>
          <w:szCs w:val="24"/>
          <w:lang w:eastAsia="en-GB"/>
        </w:rPr>
        <w:t>.</w:t>
      </w:r>
    </w:p>
    <w:bookmarkEnd w:id="2"/>
    <w:p w14:paraId="0CEB268F" w14:textId="77777777" w:rsidR="00EE02B8" w:rsidRPr="002F1252" w:rsidRDefault="00EE02B8" w:rsidP="00EE02B8">
      <w:pPr>
        <w:spacing w:before="240" w:after="240" w:line="360" w:lineRule="auto"/>
        <w:jc w:val="both"/>
        <w:rPr>
          <w:rFonts w:ascii="Times New Roman" w:hAnsi="Times New Roman"/>
          <w:sz w:val="24"/>
          <w:szCs w:val="24"/>
          <w:lang w:eastAsia="en-GB"/>
        </w:rPr>
      </w:pPr>
    </w:p>
    <w:bookmarkEnd w:id="1"/>
    <w:bookmarkEnd w:id="3"/>
    <w:p w14:paraId="3432F844" w14:textId="7DA65D99" w:rsidR="00EE02B8" w:rsidRDefault="00EE02B8" w:rsidP="00EE02B8">
      <w:pPr>
        <w:tabs>
          <w:tab w:val="left" w:pos="6270"/>
        </w:tabs>
        <w:spacing w:before="240" w:after="240" w:line="360" w:lineRule="auto"/>
        <w:jc w:val="both"/>
        <w:rPr>
          <w:rFonts w:ascii="Times New Roman" w:eastAsia="Times-Roman" w:hAnsi="Times New Roman"/>
          <w:b/>
          <w:bCs/>
          <w:color w:val="231F20"/>
          <w:sz w:val="24"/>
          <w:szCs w:val="24"/>
          <w:lang w:eastAsia="en-GB"/>
        </w:rPr>
      </w:pPr>
      <w:r w:rsidRPr="0018180D">
        <w:rPr>
          <w:rFonts w:ascii="Times New Roman" w:eastAsia="Times-Roman" w:hAnsi="Times New Roman"/>
          <w:b/>
          <w:bCs/>
          <w:color w:val="231F20"/>
          <w:sz w:val="24"/>
          <w:szCs w:val="24"/>
          <w:lang w:eastAsia="en-GB"/>
        </w:rPr>
        <w:t>2. The African context</w:t>
      </w:r>
    </w:p>
    <w:p w14:paraId="5A8DA4F8" w14:textId="61269451" w:rsidR="008D79C0" w:rsidRPr="003C588D" w:rsidRDefault="007F59FE" w:rsidP="007F59FE">
      <w:pPr>
        <w:spacing w:before="240" w:after="240" w:line="360" w:lineRule="auto"/>
        <w:jc w:val="both"/>
        <w:rPr>
          <w:rFonts w:ascii="Times New Roman" w:hAnsi="Times New Roman"/>
          <w:sz w:val="24"/>
          <w:szCs w:val="24"/>
          <w:lang w:eastAsia="en-GB"/>
        </w:rPr>
      </w:pPr>
      <w:r w:rsidRPr="003C588D">
        <w:rPr>
          <w:rFonts w:ascii="Times New Roman" w:hAnsi="Times New Roman"/>
          <w:sz w:val="24"/>
          <w:szCs w:val="24"/>
          <w:lang w:eastAsia="en-GB"/>
        </w:rPr>
        <w:lastRenderedPageBreak/>
        <w:t xml:space="preserve">Prior studies have persuasively established that credit availability to </w:t>
      </w:r>
      <w:r w:rsidR="00C803FC" w:rsidRPr="003C588D">
        <w:rPr>
          <w:rFonts w:ascii="Times New Roman" w:hAnsi="Times New Roman"/>
          <w:sz w:val="24"/>
          <w:szCs w:val="24"/>
          <w:lang w:eastAsia="en-GB"/>
        </w:rPr>
        <w:t>household</w:t>
      </w:r>
      <w:r w:rsidRPr="003C588D">
        <w:rPr>
          <w:rFonts w:ascii="Times New Roman" w:hAnsi="Times New Roman"/>
          <w:sz w:val="24"/>
          <w:szCs w:val="24"/>
          <w:lang w:eastAsia="en-GB"/>
        </w:rPr>
        <w:t xml:space="preserve">s and firms is strongly influenced by the economic, financial, and legal/governance environment in which </w:t>
      </w:r>
      <w:r w:rsidR="00C803FC" w:rsidRPr="003C588D">
        <w:rPr>
          <w:rFonts w:ascii="Times New Roman" w:hAnsi="Times New Roman"/>
          <w:sz w:val="24"/>
          <w:szCs w:val="24"/>
          <w:lang w:eastAsia="en-GB"/>
        </w:rPr>
        <w:t>household</w:t>
      </w:r>
      <w:r w:rsidRPr="003C588D">
        <w:rPr>
          <w:rFonts w:ascii="Times New Roman" w:hAnsi="Times New Roman"/>
          <w:sz w:val="24"/>
          <w:szCs w:val="24"/>
          <w:lang w:eastAsia="en-GB"/>
        </w:rPr>
        <w:t>s/firms operate (</w:t>
      </w:r>
      <w:proofErr w:type="spellStart"/>
      <w:r w:rsidRPr="003C588D">
        <w:rPr>
          <w:rFonts w:ascii="Times New Roman" w:hAnsi="Times New Roman"/>
          <w:sz w:val="24"/>
          <w:szCs w:val="24"/>
          <w:lang w:eastAsia="en-GB"/>
        </w:rPr>
        <w:t>Rajan</w:t>
      </w:r>
      <w:proofErr w:type="spellEnd"/>
      <w:r w:rsidRPr="003C588D">
        <w:rPr>
          <w:rFonts w:ascii="Times New Roman" w:hAnsi="Times New Roman"/>
          <w:sz w:val="24"/>
          <w:szCs w:val="24"/>
          <w:lang w:eastAsia="en-GB"/>
        </w:rPr>
        <w:t xml:space="preserve"> and Zingales, 1998; La Porta </w:t>
      </w:r>
      <w:r w:rsidRPr="003C588D">
        <w:rPr>
          <w:rFonts w:ascii="Times New Roman" w:hAnsi="Times New Roman"/>
          <w:i/>
          <w:sz w:val="24"/>
          <w:szCs w:val="24"/>
          <w:lang w:eastAsia="en-GB"/>
        </w:rPr>
        <w:t>et al</w:t>
      </w:r>
      <w:r w:rsidRPr="003C588D">
        <w:rPr>
          <w:rFonts w:ascii="Times New Roman" w:hAnsi="Times New Roman"/>
          <w:sz w:val="24"/>
          <w:szCs w:val="24"/>
          <w:lang w:eastAsia="en-GB"/>
        </w:rPr>
        <w:t>., 1997). Accordingly, several factors</w:t>
      </w:r>
      <w:r w:rsidR="00F16FC2" w:rsidRPr="003C588D">
        <w:rPr>
          <w:rFonts w:ascii="Times New Roman" w:hAnsi="Times New Roman"/>
          <w:sz w:val="24"/>
          <w:szCs w:val="24"/>
          <w:lang w:eastAsia="en-GB"/>
        </w:rPr>
        <w:t>,</w:t>
      </w:r>
      <w:r w:rsidRPr="003C588D">
        <w:rPr>
          <w:rFonts w:ascii="Times New Roman" w:hAnsi="Times New Roman"/>
          <w:sz w:val="24"/>
          <w:szCs w:val="24"/>
          <w:lang w:eastAsia="en-GB"/>
        </w:rPr>
        <w:t xml:space="preserve"> including the enforcement of contracts, the quality of governance, and the level of financial market development affect the cost of capital faced by firms, and by extension, the intermediation costs of banks. Legal, governance, and cultural systems with ineffective contract enforcement and higher agency (moral hazard) problems make it more challenging for banks to operate and</w:t>
      </w:r>
      <w:r w:rsidR="00F16FC2" w:rsidRPr="003C588D">
        <w:rPr>
          <w:rFonts w:ascii="Times New Roman" w:hAnsi="Times New Roman"/>
          <w:sz w:val="24"/>
          <w:szCs w:val="24"/>
          <w:lang w:eastAsia="en-GB"/>
        </w:rPr>
        <w:t>,</w:t>
      </w:r>
      <w:r w:rsidRPr="003C588D">
        <w:rPr>
          <w:rFonts w:ascii="Times New Roman" w:hAnsi="Times New Roman"/>
          <w:sz w:val="24"/>
          <w:szCs w:val="24"/>
          <w:lang w:eastAsia="en-GB"/>
        </w:rPr>
        <w:t xml:space="preserve"> thus</w:t>
      </w:r>
      <w:r w:rsidR="00F16FC2" w:rsidRPr="003C588D">
        <w:rPr>
          <w:rFonts w:ascii="Times New Roman" w:hAnsi="Times New Roman"/>
          <w:sz w:val="24"/>
          <w:szCs w:val="24"/>
          <w:lang w:eastAsia="en-GB"/>
        </w:rPr>
        <w:t>,</w:t>
      </w:r>
      <w:r w:rsidRPr="003C588D">
        <w:rPr>
          <w:rFonts w:ascii="Times New Roman" w:hAnsi="Times New Roman"/>
          <w:sz w:val="24"/>
          <w:szCs w:val="24"/>
          <w:lang w:eastAsia="en-GB"/>
        </w:rPr>
        <w:t xml:space="preserve"> make it extremely difficult for firms to obtain long-term finance (La Porta </w:t>
      </w:r>
      <w:r w:rsidRPr="003C588D">
        <w:rPr>
          <w:rFonts w:ascii="Times New Roman" w:hAnsi="Times New Roman"/>
          <w:i/>
          <w:sz w:val="24"/>
          <w:szCs w:val="24"/>
          <w:lang w:eastAsia="en-GB"/>
        </w:rPr>
        <w:t>et al</w:t>
      </w:r>
      <w:r w:rsidRPr="003C588D">
        <w:rPr>
          <w:rFonts w:ascii="Times New Roman" w:hAnsi="Times New Roman"/>
          <w:sz w:val="24"/>
          <w:szCs w:val="24"/>
          <w:lang w:eastAsia="en-GB"/>
        </w:rPr>
        <w:t xml:space="preserve">., 1997). </w:t>
      </w:r>
      <w:proofErr w:type="spellStart"/>
      <w:r w:rsidRPr="003C588D">
        <w:rPr>
          <w:rFonts w:ascii="Times New Roman" w:hAnsi="Times New Roman"/>
          <w:sz w:val="24"/>
          <w:szCs w:val="24"/>
          <w:lang w:eastAsia="en-GB"/>
        </w:rPr>
        <w:t>Rajan</w:t>
      </w:r>
      <w:proofErr w:type="spellEnd"/>
      <w:r w:rsidRPr="003C588D">
        <w:rPr>
          <w:rFonts w:ascii="Times New Roman" w:hAnsi="Times New Roman"/>
          <w:sz w:val="24"/>
          <w:szCs w:val="24"/>
          <w:lang w:eastAsia="en-GB"/>
        </w:rPr>
        <w:t xml:space="preserve"> and Zingales (1998) contend that well developed financial markets and institutions help firms</w:t>
      </w:r>
      <w:r w:rsidR="00A472F4" w:rsidRPr="003C588D">
        <w:rPr>
          <w:rFonts w:ascii="Times New Roman" w:hAnsi="Times New Roman"/>
          <w:sz w:val="24"/>
          <w:szCs w:val="24"/>
          <w:lang w:eastAsia="en-GB"/>
        </w:rPr>
        <w:t>, including banks,</w:t>
      </w:r>
      <w:r w:rsidRPr="003C588D">
        <w:rPr>
          <w:rFonts w:ascii="Times New Roman" w:hAnsi="Times New Roman"/>
          <w:sz w:val="24"/>
          <w:szCs w:val="24"/>
          <w:lang w:eastAsia="en-GB"/>
        </w:rPr>
        <w:t xml:space="preserve"> to overcome moral hazards and adverse selection (information asymmetry) problems, thereby reducing </w:t>
      </w:r>
      <w:r w:rsidR="00A472F4" w:rsidRPr="003C588D">
        <w:rPr>
          <w:rFonts w:ascii="Times New Roman" w:hAnsi="Times New Roman"/>
          <w:sz w:val="24"/>
          <w:szCs w:val="24"/>
          <w:lang w:eastAsia="en-GB"/>
        </w:rPr>
        <w:t xml:space="preserve">banks’ intermediation costs, as well as </w:t>
      </w:r>
      <w:r w:rsidRPr="003C588D">
        <w:rPr>
          <w:rFonts w:ascii="Times New Roman" w:hAnsi="Times New Roman"/>
          <w:sz w:val="24"/>
          <w:szCs w:val="24"/>
          <w:lang w:eastAsia="en-GB"/>
        </w:rPr>
        <w:t>the costs of raising external finance for firms. By contrast, these problems are exacerbated in countries with underdeveloped financial markets and weaker institutions</w:t>
      </w:r>
      <w:r w:rsidR="00A472F4" w:rsidRPr="003C588D">
        <w:rPr>
          <w:rFonts w:ascii="Times New Roman" w:hAnsi="Times New Roman"/>
          <w:sz w:val="24"/>
          <w:szCs w:val="24"/>
          <w:lang w:eastAsia="en-GB"/>
        </w:rPr>
        <w:t>,</w:t>
      </w:r>
      <w:r w:rsidRPr="003C588D">
        <w:rPr>
          <w:rFonts w:ascii="Times New Roman" w:hAnsi="Times New Roman"/>
          <w:sz w:val="24"/>
          <w:szCs w:val="24"/>
          <w:lang w:eastAsia="en-GB"/>
        </w:rPr>
        <w:t xml:space="preserve"> thereby</w:t>
      </w:r>
      <w:r w:rsidR="00A472F4" w:rsidRPr="003C588D">
        <w:rPr>
          <w:rFonts w:ascii="Times New Roman" w:hAnsi="Times New Roman"/>
          <w:sz w:val="24"/>
          <w:szCs w:val="24"/>
          <w:lang w:eastAsia="en-GB"/>
        </w:rPr>
        <w:t>,</w:t>
      </w:r>
      <w:r w:rsidRPr="003C588D">
        <w:rPr>
          <w:rFonts w:ascii="Times New Roman" w:hAnsi="Times New Roman"/>
          <w:sz w:val="24"/>
          <w:szCs w:val="24"/>
          <w:lang w:eastAsia="en-GB"/>
        </w:rPr>
        <w:t xml:space="preserve"> raising </w:t>
      </w:r>
      <w:r w:rsidR="00A472F4" w:rsidRPr="003C588D">
        <w:rPr>
          <w:rFonts w:ascii="Times New Roman" w:hAnsi="Times New Roman"/>
          <w:sz w:val="24"/>
          <w:szCs w:val="24"/>
          <w:lang w:eastAsia="en-GB"/>
        </w:rPr>
        <w:t>banks’ intermediation costs and co</w:t>
      </w:r>
      <w:r w:rsidRPr="003C588D">
        <w:rPr>
          <w:rFonts w:ascii="Times New Roman" w:hAnsi="Times New Roman"/>
          <w:sz w:val="24"/>
          <w:szCs w:val="24"/>
          <w:lang w:eastAsia="en-GB"/>
        </w:rPr>
        <w:t xml:space="preserve">sts of </w:t>
      </w:r>
      <w:r w:rsidR="00A472F4" w:rsidRPr="003C588D">
        <w:rPr>
          <w:rFonts w:ascii="Times New Roman" w:hAnsi="Times New Roman"/>
          <w:sz w:val="24"/>
          <w:szCs w:val="24"/>
          <w:lang w:eastAsia="en-GB"/>
        </w:rPr>
        <w:t xml:space="preserve">borrowing </w:t>
      </w:r>
      <w:r w:rsidRPr="003C588D">
        <w:rPr>
          <w:rFonts w:ascii="Times New Roman" w:hAnsi="Times New Roman"/>
          <w:sz w:val="24"/>
          <w:szCs w:val="24"/>
          <w:lang w:eastAsia="en-GB"/>
        </w:rPr>
        <w:t xml:space="preserve">for firms in such economies. </w:t>
      </w:r>
    </w:p>
    <w:p w14:paraId="007D62F0" w14:textId="03DD45BC" w:rsidR="00AC3C5D" w:rsidRPr="003C588D" w:rsidRDefault="008D79C0" w:rsidP="008D79C0">
      <w:pPr>
        <w:spacing w:before="240" w:after="240" w:line="360" w:lineRule="auto"/>
        <w:jc w:val="both"/>
        <w:rPr>
          <w:rFonts w:ascii="Times New Roman" w:hAnsi="Times New Roman"/>
          <w:sz w:val="24"/>
          <w:szCs w:val="24"/>
          <w:lang w:eastAsia="en-GB"/>
        </w:rPr>
      </w:pPr>
      <w:r w:rsidRPr="003C588D">
        <w:rPr>
          <w:rFonts w:ascii="Times New Roman" w:hAnsi="Times New Roman"/>
          <w:sz w:val="24"/>
          <w:szCs w:val="24"/>
          <w:lang w:eastAsia="en-GB"/>
        </w:rPr>
        <w:t xml:space="preserve">Most developing countries, particularly those across the African continent, share some features that expose them to severe agency and information asymmetry problems (Agyei-Boapeah and Machokoto, 2018; Gyapong, </w:t>
      </w:r>
      <w:proofErr w:type="spellStart"/>
      <w:r w:rsidRPr="003C588D">
        <w:rPr>
          <w:rFonts w:ascii="Times New Roman" w:hAnsi="Times New Roman"/>
          <w:sz w:val="24"/>
          <w:szCs w:val="24"/>
          <w:lang w:eastAsia="en-GB"/>
        </w:rPr>
        <w:t>Monen</w:t>
      </w:r>
      <w:proofErr w:type="spellEnd"/>
      <w:r w:rsidRPr="003C588D">
        <w:rPr>
          <w:rFonts w:ascii="Times New Roman" w:hAnsi="Times New Roman"/>
          <w:sz w:val="24"/>
          <w:szCs w:val="24"/>
          <w:lang w:eastAsia="en-GB"/>
        </w:rPr>
        <w:t>, and Hu, 2016).  First, inadequate corporate information disclosures and the absence of well-functioning public credit information sharing systems in many African economies (Fosu, 2014), exacerbate the information asymmetry problems in financial markets and make it more difficult for banks to lend at reasonable intermediation costs. Second, the legal, governance, cultural and judicial systems in the region are plagued by obsolete laws and bureaucratic procedures, insufficient resources, and corruption (Biggs and Shah, 2006), that results in public perception of a legal and judicial system that is unworkable, too costly, and slow for resolving commercial disputes. Furthermore, the economies of most African countries are prone to shocks</w:t>
      </w:r>
      <w:r w:rsidR="0037279A" w:rsidRPr="003C588D">
        <w:rPr>
          <w:rFonts w:ascii="Times New Roman" w:hAnsi="Times New Roman"/>
          <w:sz w:val="24"/>
          <w:szCs w:val="24"/>
          <w:lang w:eastAsia="en-GB"/>
        </w:rPr>
        <w:t>,</w:t>
      </w:r>
      <w:r w:rsidRPr="003C588D">
        <w:rPr>
          <w:rFonts w:ascii="Times New Roman" w:hAnsi="Times New Roman"/>
          <w:sz w:val="24"/>
          <w:szCs w:val="24"/>
          <w:lang w:eastAsia="en-GB"/>
        </w:rPr>
        <w:t xml:space="preserve"> such as periodic weather-related distress in agriculture, civil conflicts, frequent policy changes</w:t>
      </w:r>
      <w:r w:rsidR="0037279A" w:rsidRPr="003C588D">
        <w:rPr>
          <w:rFonts w:ascii="Times New Roman" w:hAnsi="Times New Roman"/>
          <w:sz w:val="24"/>
          <w:szCs w:val="24"/>
          <w:lang w:eastAsia="en-GB"/>
        </w:rPr>
        <w:t xml:space="preserve"> and</w:t>
      </w:r>
      <w:r w:rsidRPr="003C588D">
        <w:rPr>
          <w:rFonts w:ascii="Times New Roman" w:hAnsi="Times New Roman"/>
          <w:sz w:val="24"/>
          <w:szCs w:val="24"/>
          <w:lang w:eastAsia="en-GB"/>
        </w:rPr>
        <w:t xml:space="preserve"> infrastructure breakdowns, among others (see Agyei-Boapeah and Machokoto, 2018; Collier and Gunning, 1999). These shocks to the economic system tend to cause unanticipated changes in prices and transaction costs, resulting in unexpected changes in borrowers’ cash flows. In such shock-prone circumstances, bank lending becomes extremely challenging, leading to higher intermediation costs for most African </w:t>
      </w:r>
      <w:r w:rsidR="00FF2CCF" w:rsidRPr="003C588D">
        <w:rPr>
          <w:rFonts w:ascii="Times New Roman" w:hAnsi="Times New Roman"/>
          <w:sz w:val="24"/>
          <w:szCs w:val="24"/>
          <w:lang w:eastAsia="en-GB"/>
        </w:rPr>
        <w:t>bank</w:t>
      </w:r>
      <w:r w:rsidRPr="003C588D">
        <w:rPr>
          <w:rFonts w:ascii="Times New Roman" w:hAnsi="Times New Roman"/>
          <w:sz w:val="24"/>
          <w:szCs w:val="24"/>
          <w:lang w:eastAsia="en-GB"/>
        </w:rPr>
        <w:t>s.</w:t>
      </w:r>
    </w:p>
    <w:p w14:paraId="38CCB571" w14:textId="2426808D" w:rsidR="009E0C6C" w:rsidRPr="003C588D" w:rsidRDefault="00527282" w:rsidP="00511491">
      <w:pPr>
        <w:spacing w:before="240" w:after="240" w:line="360" w:lineRule="auto"/>
        <w:jc w:val="both"/>
        <w:rPr>
          <w:rFonts w:ascii="Times New Roman" w:hAnsi="Times New Roman"/>
          <w:sz w:val="24"/>
          <w:szCs w:val="24"/>
          <w:lang w:eastAsia="en-GB"/>
        </w:rPr>
      </w:pPr>
      <w:r w:rsidRPr="003C588D">
        <w:rPr>
          <w:rFonts w:ascii="Times New Roman" w:hAnsi="Times New Roman"/>
          <w:sz w:val="24"/>
          <w:szCs w:val="24"/>
          <w:lang w:eastAsia="en-GB"/>
        </w:rPr>
        <w:lastRenderedPageBreak/>
        <w:t xml:space="preserve">Fortunately, </w:t>
      </w:r>
      <w:r w:rsidR="003B30AC" w:rsidRPr="003C588D">
        <w:rPr>
          <w:rFonts w:ascii="Times New Roman" w:hAnsi="Times New Roman"/>
          <w:sz w:val="24"/>
          <w:szCs w:val="24"/>
          <w:lang w:eastAsia="en-GB"/>
        </w:rPr>
        <w:t>recent years have witnessed some crucial reforms in several developing countries</w:t>
      </w:r>
      <w:r w:rsidRPr="003C588D">
        <w:rPr>
          <w:rFonts w:ascii="Times New Roman" w:hAnsi="Times New Roman"/>
          <w:sz w:val="24"/>
          <w:szCs w:val="24"/>
          <w:lang w:eastAsia="en-GB"/>
        </w:rPr>
        <w:t xml:space="preserve"> which inspire hope for African banks.</w:t>
      </w:r>
      <w:r w:rsidR="003B30AC" w:rsidRPr="003C588D">
        <w:rPr>
          <w:rFonts w:ascii="Times New Roman" w:hAnsi="Times New Roman"/>
          <w:sz w:val="24"/>
          <w:szCs w:val="24"/>
          <w:lang w:eastAsia="en-GB"/>
        </w:rPr>
        <w:t xml:space="preserve"> </w:t>
      </w:r>
      <w:r w:rsidRPr="003C588D">
        <w:rPr>
          <w:rFonts w:ascii="Times New Roman" w:hAnsi="Times New Roman"/>
          <w:sz w:val="24"/>
          <w:szCs w:val="24"/>
          <w:lang w:eastAsia="en-GB"/>
        </w:rPr>
        <w:t xml:space="preserve">The reforms </w:t>
      </w:r>
      <w:r w:rsidR="003B30AC" w:rsidRPr="003C588D">
        <w:rPr>
          <w:rFonts w:ascii="Times New Roman" w:hAnsi="Times New Roman"/>
          <w:sz w:val="24"/>
          <w:szCs w:val="24"/>
          <w:lang w:eastAsia="en-GB"/>
        </w:rPr>
        <w:t>includ</w:t>
      </w:r>
      <w:r w:rsidRPr="003C588D">
        <w:rPr>
          <w:rFonts w:ascii="Times New Roman" w:hAnsi="Times New Roman"/>
          <w:sz w:val="24"/>
          <w:szCs w:val="24"/>
          <w:lang w:eastAsia="en-GB"/>
        </w:rPr>
        <w:t>e</w:t>
      </w:r>
      <w:r w:rsidR="003B30AC" w:rsidRPr="003C588D">
        <w:rPr>
          <w:rFonts w:ascii="Times New Roman" w:hAnsi="Times New Roman"/>
          <w:sz w:val="24"/>
          <w:szCs w:val="24"/>
          <w:lang w:eastAsia="en-GB"/>
        </w:rPr>
        <w:t xml:space="preserve"> the development of credit information sharing schemes, financial sector reforms and improvements in political governance that are aimed at strengthening financial institutions by reducing credit default </w:t>
      </w:r>
      <w:r w:rsidR="004D36FC" w:rsidRPr="003C588D">
        <w:rPr>
          <w:rFonts w:ascii="Times New Roman" w:hAnsi="Times New Roman"/>
          <w:sz w:val="24"/>
          <w:szCs w:val="24"/>
          <w:lang w:eastAsia="en-GB"/>
        </w:rPr>
        <w:t>rates (</w:t>
      </w:r>
      <w:r w:rsidR="003B30AC" w:rsidRPr="003C588D">
        <w:rPr>
          <w:rFonts w:ascii="Times New Roman" w:hAnsi="Times New Roman"/>
          <w:sz w:val="24"/>
          <w:szCs w:val="24"/>
          <w:lang w:eastAsia="en-GB"/>
        </w:rPr>
        <w:t>see Marquez, 2002; Brown et al., 2009</w:t>
      </w:r>
      <w:r w:rsidRPr="003C588D">
        <w:rPr>
          <w:rFonts w:ascii="Times New Roman" w:hAnsi="Times New Roman"/>
          <w:sz w:val="24"/>
          <w:szCs w:val="24"/>
          <w:lang w:eastAsia="en-GB"/>
        </w:rPr>
        <w:t>; Fosu et al., 2019</w:t>
      </w:r>
      <w:r w:rsidR="003B30AC" w:rsidRPr="003C588D">
        <w:rPr>
          <w:rFonts w:ascii="Times New Roman" w:hAnsi="Times New Roman"/>
          <w:sz w:val="24"/>
          <w:szCs w:val="24"/>
          <w:lang w:eastAsia="en-GB"/>
        </w:rPr>
        <w:t>). For instance, based on World Bank data</w:t>
      </w:r>
      <w:r w:rsidR="0062098B" w:rsidRPr="003C588D">
        <w:rPr>
          <w:rFonts w:ascii="Times New Roman" w:hAnsi="Times New Roman"/>
          <w:sz w:val="24"/>
          <w:szCs w:val="24"/>
          <w:lang w:eastAsia="en-GB"/>
        </w:rPr>
        <w:t xml:space="preserve"> covering 87 developing countries (and including 26 African countries)</w:t>
      </w:r>
      <w:r w:rsidR="004D36FC" w:rsidRPr="003C588D">
        <w:rPr>
          <w:rFonts w:ascii="Times New Roman" w:hAnsi="Times New Roman"/>
          <w:sz w:val="24"/>
          <w:szCs w:val="24"/>
          <w:lang w:eastAsia="en-GB"/>
        </w:rPr>
        <w:t xml:space="preserve">, Fosu et al. (2019) </w:t>
      </w:r>
      <w:r w:rsidR="003B30AC" w:rsidRPr="003C588D">
        <w:rPr>
          <w:rFonts w:ascii="Times New Roman" w:hAnsi="Times New Roman"/>
          <w:sz w:val="24"/>
          <w:szCs w:val="24"/>
          <w:lang w:eastAsia="en-GB"/>
        </w:rPr>
        <w:t xml:space="preserve">suggest that the depth of credit information shared among lenders in developing countries surged by over 72% from 2004 to 2012 (i.e., depth of credit information index climbed from an average of 2.47 in 2004 to 4.26 in 2012). </w:t>
      </w:r>
      <w:r w:rsidR="009E0C6C" w:rsidRPr="003C588D">
        <w:rPr>
          <w:rFonts w:ascii="Times New Roman" w:hAnsi="Times New Roman"/>
          <w:sz w:val="24"/>
          <w:szCs w:val="24"/>
          <w:lang w:eastAsia="en-GB"/>
        </w:rPr>
        <w:t xml:space="preserve">They further report that the improvements in the credit information sharing schemes have improved the loan portfolio quality in developing countries. </w:t>
      </w:r>
    </w:p>
    <w:p w14:paraId="3D14AAE2" w14:textId="0695B1DD" w:rsidR="00547F40" w:rsidRPr="00AC3C5D" w:rsidRDefault="009E0C6C" w:rsidP="00511491">
      <w:pPr>
        <w:spacing w:before="240" w:after="240" w:line="360" w:lineRule="auto"/>
        <w:jc w:val="both"/>
        <w:rPr>
          <w:rFonts w:ascii="Times New Roman" w:hAnsi="Times New Roman"/>
          <w:sz w:val="24"/>
          <w:szCs w:val="24"/>
          <w:lang w:eastAsia="en-GB"/>
        </w:rPr>
      </w:pPr>
      <w:r w:rsidRPr="003C588D">
        <w:rPr>
          <w:rFonts w:ascii="Times New Roman" w:hAnsi="Times New Roman"/>
          <w:sz w:val="24"/>
          <w:szCs w:val="24"/>
          <w:lang w:eastAsia="en-GB"/>
        </w:rPr>
        <w:t xml:space="preserve">It is, however, not clear whether the better quality of loans on the balance sheet of African banks, resulting from improvements in information sharing schemes in many African countries, translates to lower intermediation costs for banks. </w:t>
      </w:r>
      <w:r w:rsidR="00547F40" w:rsidRPr="003C588D">
        <w:rPr>
          <w:rFonts w:ascii="Times New Roman" w:hAnsi="Times New Roman"/>
          <w:sz w:val="24"/>
          <w:szCs w:val="24"/>
          <w:lang w:eastAsia="en-GB"/>
        </w:rPr>
        <w:t xml:space="preserve">We, therefore, take advantage of the recent improvements in data coverage for information sharing to examine the effect of credit information sharing on </w:t>
      </w:r>
      <w:r w:rsidRPr="003C588D">
        <w:rPr>
          <w:rFonts w:ascii="Times New Roman" w:hAnsi="Times New Roman"/>
          <w:sz w:val="24"/>
          <w:szCs w:val="24"/>
          <w:lang w:eastAsia="en-GB"/>
        </w:rPr>
        <w:t>banks’ intermediation costs</w:t>
      </w:r>
      <w:r w:rsidR="00547F40" w:rsidRPr="003C588D">
        <w:rPr>
          <w:rFonts w:ascii="Times New Roman" w:hAnsi="Times New Roman"/>
          <w:sz w:val="24"/>
          <w:szCs w:val="24"/>
          <w:lang w:eastAsia="en-GB"/>
        </w:rPr>
        <w:t xml:space="preserve"> using a large dataset of </w:t>
      </w:r>
      <w:r w:rsidRPr="003C588D">
        <w:rPr>
          <w:rFonts w:ascii="Times New Roman" w:hAnsi="Times New Roman"/>
          <w:sz w:val="24"/>
          <w:szCs w:val="24"/>
          <w:lang w:eastAsia="en-GB"/>
        </w:rPr>
        <w:t>272</w:t>
      </w:r>
      <w:r w:rsidR="00547F40" w:rsidRPr="003C588D">
        <w:rPr>
          <w:rFonts w:ascii="Times New Roman" w:hAnsi="Times New Roman"/>
          <w:sz w:val="24"/>
          <w:szCs w:val="24"/>
          <w:lang w:eastAsia="en-GB"/>
        </w:rPr>
        <w:t xml:space="preserve"> banks across </w:t>
      </w:r>
      <w:r w:rsidR="0062098B" w:rsidRPr="003C588D">
        <w:rPr>
          <w:rFonts w:ascii="Times New Roman" w:hAnsi="Times New Roman"/>
          <w:sz w:val="24"/>
          <w:szCs w:val="24"/>
          <w:lang w:eastAsia="en-GB"/>
        </w:rPr>
        <w:t>27 African</w:t>
      </w:r>
      <w:r w:rsidR="00547F40" w:rsidRPr="003C588D">
        <w:rPr>
          <w:rFonts w:ascii="Times New Roman" w:hAnsi="Times New Roman"/>
          <w:sz w:val="24"/>
          <w:szCs w:val="24"/>
          <w:lang w:eastAsia="en-GB"/>
        </w:rPr>
        <w:t xml:space="preserve"> countries over</w:t>
      </w:r>
      <w:r w:rsidR="0062098B" w:rsidRPr="003C588D">
        <w:rPr>
          <w:rFonts w:ascii="Times New Roman" w:hAnsi="Times New Roman"/>
          <w:sz w:val="24"/>
          <w:szCs w:val="24"/>
          <w:lang w:eastAsia="en-GB"/>
        </w:rPr>
        <w:t xml:space="preserve"> the</w:t>
      </w:r>
      <w:r w:rsidR="00547F40" w:rsidRPr="003C588D">
        <w:rPr>
          <w:rFonts w:ascii="Times New Roman" w:hAnsi="Times New Roman"/>
          <w:sz w:val="24"/>
          <w:szCs w:val="24"/>
          <w:lang w:eastAsia="en-GB"/>
        </w:rPr>
        <w:t xml:space="preserve"> </w:t>
      </w:r>
      <w:r w:rsidR="0062098B" w:rsidRPr="003C588D">
        <w:rPr>
          <w:rFonts w:ascii="Times New Roman" w:hAnsi="Times New Roman"/>
          <w:sz w:val="24"/>
          <w:szCs w:val="24"/>
          <w:lang w:eastAsia="en-GB"/>
        </w:rPr>
        <w:t xml:space="preserve">2004-2012 </w:t>
      </w:r>
      <w:r w:rsidR="00547F40" w:rsidRPr="003C588D">
        <w:rPr>
          <w:rFonts w:ascii="Times New Roman" w:hAnsi="Times New Roman"/>
          <w:sz w:val="24"/>
          <w:szCs w:val="24"/>
          <w:lang w:eastAsia="en-GB"/>
        </w:rPr>
        <w:t>period.</w:t>
      </w:r>
    </w:p>
    <w:p w14:paraId="6DED1F7F" w14:textId="77777777" w:rsidR="00611F87" w:rsidRDefault="00611F87" w:rsidP="00466856">
      <w:pPr>
        <w:tabs>
          <w:tab w:val="left" w:pos="6270"/>
        </w:tabs>
        <w:spacing w:before="240" w:after="240" w:line="360" w:lineRule="auto"/>
        <w:jc w:val="both"/>
        <w:rPr>
          <w:rFonts w:ascii="Times New Roman" w:eastAsia="Times-Roman" w:hAnsi="Times New Roman"/>
          <w:color w:val="231F20"/>
          <w:sz w:val="24"/>
          <w:szCs w:val="24"/>
          <w:lang w:eastAsia="en-GB"/>
        </w:rPr>
      </w:pPr>
    </w:p>
    <w:p w14:paraId="48FFD2C6" w14:textId="2395A67C" w:rsidR="00A651BC" w:rsidRPr="00BA0E8D" w:rsidRDefault="0085555E" w:rsidP="00466856">
      <w:pPr>
        <w:tabs>
          <w:tab w:val="left" w:pos="6270"/>
        </w:tabs>
        <w:spacing w:before="240" w:after="240" w:line="360" w:lineRule="auto"/>
        <w:jc w:val="both"/>
        <w:rPr>
          <w:rFonts w:ascii="Times New Roman" w:hAnsi="Times New Roman"/>
          <w:b/>
          <w:sz w:val="24"/>
          <w:szCs w:val="24"/>
        </w:rPr>
      </w:pPr>
      <w:r>
        <w:rPr>
          <w:rFonts w:ascii="Times New Roman" w:hAnsi="Times New Roman"/>
          <w:b/>
          <w:sz w:val="24"/>
          <w:szCs w:val="24"/>
        </w:rPr>
        <w:t>3</w:t>
      </w:r>
      <w:r w:rsidR="00A651BC" w:rsidRPr="00BA0E8D">
        <w:rPr>
          <w:rFonts w:ascii="Times New Roman" w:hAnsi="Times New Roman"/>
          <w:b/>
          <w:sz w:val="24"/>
          <w:szCs w:val="24"/>
        </w:rPr>
        <w:t xml:space="preserve">. </w:t>
      </w:r>
      <w:r w:rsidR="00CE4F2F" w:rsidRPr="00BA0E8D">
        <w:rPr>
          <w:rFonts w:ascii="Times New Roman" w:hAnsi="Times New Roman"/>
          <w:b/>
          <w:sz w:val="24"/>
          <w:szCs w:val="24"/>
        </w:rPr>
        <w:t xml:space="preserve">Related </w:t>
      </w:r>
      <w:r w:rsidR="005D16AC" w:rsidRPr="00BA0E8D">
        <w:rPr>
          <w:rFonts w:ascii="Times New Roman" w:hAnsi="Times New Roman"/>
          <w:b/>
          <w:sz w:val="24"/>
          <w:szCs w:val="24"/>
        </w:rPr>
        <w:t>l</w:t>
      </w:r>
      <w:r w:rsidR="00CE4F2F" w:rsidRPr="00BA0E8D">
        <w:rPr>
          <w:rFonts w:ascii="Times New Roman" w:hAnsi="Times New Roman"/>
          <w:b/>
          <w:sz w:val="24"/>
          <w:szCs w:val="24"/>
        </w:rPr>
        <w:t>iterature</w:t>
      </w:r>
      <w:r w:rsidR="00EE02B8">
        <w:rPr>
          <w:rFonts w:ascii="Times New Roman" w:hAnsi="Times New Roman"/>
          <w:b/>
          <w:sz w:val="24"/>
          <w:szCs w:val="24"/>
        </w:rPr>
        <w:t xml:space="preserve"> </w:t>
      </w:r>
      <w:r w:rsidR="00F35B31" w:rsidRPr="00BA0E8D">
        <w:rPr>
          <w:rFonts w:ascii="Times New Roman" w:hAnsi="Times New Roman"/>
          <w:b/>
          <w:sz w:val="24"/>
          <w:szCs w:val="24"/>
        </w:rPr>
        <w:t xml:space="preserve">and </w:t>
      </w:r>
      <w:r w:rsidR="005D16AC" w:rsidRPr="00BA0E8D">
        <w:rPr>
          <w:rFonts w:ascii="Times New Roman" w:hAnsi="Times New Roman"/>
          <w:b/>
          <w:sz w:val="24"/>
          <w:szCs w:val="24"/>
        </w:rPr>
        <w:t>hypotheses</w:t>
      </w:r>
      <w:r w:rsidR="00AA2F47" w:rsidRPr="00BA0E8D">
        <w:rPr>
          <w:rFonts w:ascii="Times New Roman" w:hAnsi="Times New Roman"/>
          <w:b/>
          <w:sz w:val="24"/>
          <w:szCs w:val="24"/>
        </w:rPr>
        <w:tab/>
      </w:r>
    </w:p>
    <w:p w14:paraId="1945E14E" w14:textId="593EEA79" w:rsidR="00012B73" w:rsidRPr="00BA0E8D" w:rsidRDefault="00EB3251" w:rsidP="00C404E7">
      <w:pPr>
        <w:spacing w:before="240" w:after="240" w:line="360" w:lineRule="auto"/>
        <w:jc w:val="both"/>
        <w:rPr>
          <w:rFonts w:ascii="Times New Roman" w:hAnsi="Times New Roman"/>
          <w:sz w:val="24"/>
          <w:szCs w:val="24"/>
        </w:rPr>
      </w:pPr>
      <w:r w:rsidRPr="00BA0E8D">
        <w:rPr>
          <w:rFonts w:ascii="Times New Roman" w:hAnsi="Times New Roman"/>
          <w:sz w:val="24"/>
          <w:szCs w:val="24"/>
        </w:rPr>
        <w:t>T</w:t>
      </w:r>
      <w:r w:rsidR="00C61CD3" w:rsidRPr="00BA0E8D">
        <w:rPr>
          <w:rFonts w:ascii="Times New Roman" w:hAnsi="Times New Roman"/>
          <w:sz w:val="24"/>
          <w:szCs w:val="24"/>
        </w:rPr>
        <w:t xml:space="preserve">he </w:t>
      </w:r>
      <w:r w:rsidR="00441344">
        <w:rPr>
          <w:rFonts w:ascii="Times New Roman" w:hAnsi="Times New Roman"/>
          <w:sz w:val="24"/>
          <w:szCs w:val="24"/>
        </w:rPr>
        <w:t>2007-08</w:t>
      </w:r>
      <w:r w:rsidR="00C61CD3" w:rsidRPr="00BA0E8D">
        <w:rPr>
          <w:rFonts w:ascii="Times New Roman" w:hAnsi="Times New Roman"/>
          <w:sz w:val="24"/>
          <w:szCs w:val="24"/>
        </w:rPr>
        <w:t xml:space="preserve"> global </w:t>
      </w:r>
      <w:r w:rsidR="002B244F" w:rsidRPr="00BA0E8D">
        <w:rPr>
          <w:rFonts w:ascii="Times New Roman" w:hAnsi="Times New Roman"/>
          <w:sz w:val="24"/>
          <w:szCs w:val="24"/>
        </w:rPr>
        <w:t xml:space="preserve">banking </w:t>
      </w:r>
      <w:r w:rsidR="00C61CD3" w:rsidRPr="00BA0E8D">
        <w:rPr>
          <w:rFonts w:ascii="Times New Roman" w:hAnsi="Times New Roman"/>
          <w:sz w:val="24"/>
          <w:szCs w:val="24"/>
        </w:rPr>
        <w:t xml:space="preserve">crisis has </w:t>
      </w:r>
      <w:r w:rsidR="007129A2" w:rsidRPr="00BA0E8D">
        <w:rPr>
          <w:rFonts w:ascii="Times New Roman" w:hAnsi="Times New Roman"/>
          <w:sz w:val="24"/>
          <w:szCs w:val="24"/>
        </w:rPr>
        <w:t xml:space="preserve">stimulated </w:t>
      </w:r>
      <w:r w:rsidR="00C61CD3" w:rsidRPr="00BA0E8D">
        <w:rPr>
          <w:rFonts w:ascii="Times New Roman" w:hAnsi="Times New Roman"/>
          <w:sz w:val="24"/>
          <w:szCs w:val="24"/>
        </w:rPr>
        <w:t xml:space="preserve">interest in </w:t>
      </w:r>
      <w:r w:rsidRPr="00BA0E8D">
        <w:rPr>
          <w:rFonts w:ascii="Times New Roman" w:hAnsi="Times New Roman"/>
          <w:sz w:val="24"/>
          <w:szCs w:val="24"/>
        </w:rPr>
        <w:t xml:space="preserve">the </w:t>
      </w:r>
      <w:r w:rsidR="00C404E7" w:rsidRPr="00BA0E8D">
        <w:rPr>
          <w:rFonts w:ascii="Times New Roman" w:hAnsi="Times New Roman"/>
          <w:sz w:val="24"/>
          <w:szCs w:val="24"/>
        </w:rPr>
        <w:t>challenges</w:t>
      </w:r>
      <w:r w:rsidR="00C82BF6" w:rsidRPr="00BA0E8D">
        <w:rPr>
          <w:rFonts w:ascii="Times New Roman" w:hAnsi="Times New Roman"/>
          <w:sz w:val="24"/>
          <w:szCs w:val="24"/>
        </w:rPr>
        <w:t xml:space="preserve"> posed by banks’ </w:t>
      </w:r>
      <w:r w:rsidR="00C404E7" w:rsidRPr="00BA0E8D">
        <w:rPr>
          <w:rFonts w:ascii="Times New Roman" w:hAnsi="Times New Roman"/>
          <w:sz w:val="24"/>
          <w:szCs w:val="24"/>
        </w:rPr>
        <w:t xml:space="preserve">dual </w:t>
      </w:r>
      <w:r w:rsidR="00C82BF6" w:rsidRPr="00BA0E8D">
        <w:rPr>
          <w:rFonts w:ascii="Times New Roman" w:hAnsi="Times New Roman"/>
          <w:sz w:val="24"/>
          <w:szCs w:val="24"/>
        </w:rPr>
        <w:t>role</w:t>
      </w:r>
      <w:r w:rsidR="00C404E7" w:rsidRPr="00BA0E8D">
        <w:rPr>
          <w:rFonts w:ascii="Times New Roman" w:hAnsi="Times New Roman"/>
          <w:sz w:val="24"/>
          <w:szCs w:val="24"/>
        </w:rPr>
        <w:t>s</w:t>
      </w:r>
      <w:r w:rsidR="00C82BF6" w:rsidRPr="00BA0E8D">
        <w:rPr>
          <w:rFonts w:ascii="Times New Roman" w:hAnsi="Times New Roman"/>
          <w:sz w:val="24"/>
          <w:szCs w:val="24"/>
        </w:rPr>
        <w:t xml:space="preserve"> </w:t>
      </w:r>
      <w:r w:rsidRPr="00BA0E8D">
        <w:rPr>
          <w:rFonts w:ascii="Times New Roman" w:hAnsi="Times New Roman"/>
          <w:sz w:val="24"/>
          <w:szCs w:val="24"/>
        </w:rPr>
        <w:t xml:space="preserve">as </w:t>
      </w:r>
      <w:r w:rsidR="00C404E7" w:rsidRPr="00BA0E8D">
        <w:rPr>
          <w:rFonts w:ascii="Times New Roman" w:hAnsi="Times New Roman"/>
          <w:sz w:val="24"/>
          <w:szCs w:val="24"/>
        </w:rPr>
        <w:t xml:space="preserve">liquidity providers (Diamond, 1984) and delegated monitors (Diamond </w:t>
      </w:r>
      <w:r w:rsidR="00675549" w:rsidRPr="00BA0E8D">
        <w:rPr>
          <w:rFonts w:ascii="Times New Roman" w:hAnsi="Times New Roman"/>
          <w:sz w:val="24"/>
          <w:szCs w:val="24"/>
        </w:rPr>
        <w:t xml:space="preserve">and </w:t>
      </w:r>
      <w:proofErr w:type="spellStart"/>
      <w:r w:rsidR="00C404E7" w:rsidRPr="00BA0E8D">
        <w:rPr>
          <w:rFonts w:ascii="Times New Roman" w:hAnsi="Times New Roman"/>
          <w:sz w:val="24"/>
          <w:szCs w:val="24"/>
        </w:rPr>
        <w:t>Dybvig</w:t>
      </w:r>
      <w:proofErr w:type="spellEnd"/>
      <w:r w:rsidR="00C404E7" w:rsidRPr="00BA0E8D">
        <w:rPr>
          <w:rFonts w:ascii="Times New Roman" w:hAnsi="Times New Roman"/>
          <w:sz w:val="24"/>
          <w:szCs w:val="24"/>
        </w:rPr>
        <w:t>, 1983)</w:t>
      </w:r>
      <w:r w:rsidR="00011418">
        <w:rPr>
          <w:rFonts w:ascii="Times New Roman" w:hAnsi="Times New Roman"/>
          <w:sz w:val="24"/>
          <w:szCs w:val="24"/>
        </w:rPr>
        <w:t>,</w:t>
      </w:r>
      <w:r w:rsidR="00C82BF6" w:rsidRPr="00BA0E8D">
        <w:rPr>
          <w:rFonts w:ascii="Times New Roman" w:hAnsi="Times New Roman"/>
          <w:sz w:val="24"/>
          <w:szCs w:val="24"/>
        </w:rPr>
        <w:t xml:space="preserve"> </w:t>
      </w:r>
      <w:r w:rsidR="007129A2" w:rsidRPr="00BA0E8D">
        <w:rPr>
          <w:rFonts w:ascii="Times New Roman" w:hAnsi="Times New Roman"/>
          <w:sz w:val="24"/>
          <w:szCs w:val="24"/>
        </w:rPr>
        <w:t>especially in</w:t>
      </w:r>
      <w:r w:rsidR="00C82BF6" w:rsidRPr="00BA0E8D">
        <w:rPr>
          <w:rFonts w:ascii="Times New Roman" w:hAnsi="Times New Roman"/>
          <w:sz w:val="24"/>
          <w:szCs w:val="24"/>
        </w:rPr>
        <w:t xml:space="preserve"> opaque environments</w:t>
      </w:r>
      <w:r w:rsidR="007129A2" w:rsidRPr="00BA0E8D">
        <w:rPr>
          <w:rFonts w:ascii="Times New Roman" w:hAnsi="Times New Roman"/>
          <w:sz w:val="24"/>
          <w:szCs w:val="24"/>
        </w:rPr>
        <w:t xml:space="preserve"> and weak governance contexts (Adegbite, 2015)</w:t>
      </w:r>
      <w:r w:rsidR="00C82BF6" w:rsidRPr="00BA0E8D">
        <w:rPr>
          <w:rFonts w:ascii="Times New Roman" w:hAnsi="Times New Roman"/>
          <w:sz w:val="24"/>
          <w:szCs w:val="24"/>
        </w:rPr>
        <w:t xml:space="preserve">. </w:t>
      </w:r>
      <w:r w:rsidR="00C404E7" w:rsidRPr="00BA0E8D">
        <w:rPr>
          <w:rFonts w:ascii="Times New Roman" w:hAnsi="Times New Roman"/>
          <w:sz w:val="24"/>
          <w:szCs w:val="24"/>
        </w:rPr>
        <w:t xml:space="preserve">At the </w:t>
      </w:r>
      <w:r w:rsidR="00375BAB" w:rsidRPr="00BA0E8D">
        <w:rPr>
          <w:rFonts w:ascii="Times New Roman" w:hAnsi="Times New Roman"/>
          <w:sz w:val="24"/>
          <w:szCs w:val="24"/>
        </w:rPr>
        <w:t xml:space="preserve">centre </w:t>
      </w:r>
      <w:r w:rsidR="00C404E7" w:rsidRPr="00BA0E8D">
        <w:rPr>
          <w:rFonts w:ascii="Times New Roman" w:hAnsi="Times New Roman"/>
          <w:sz w:val="24"/>
          <w:szCs w:val="24"/>
        </w:rPr>
        <w:t xml:space="preserve">of this endeavour is an attempt to understand the benefits derived from credit information sharing institutions. </w:t>
      </w:r>
      <w:r w:rsidR="00675549" w:rsidRPr="00BA0E8D">
        <w:rPr>
          <w:rFonts w:ascii="Times New Roman" w:hAnsi="Times New Roman"/>
          <w:sz w:val="24"/>
          <w:szCs w:val="24"/>
        </w:rPr>
        <w:t xml:space="preserve">In particular, prior studies have attempted to relate information sharing to a number of issues and outcomes, including </w:t>
      </w:r>
      <w:r w:rsidR="00B33B65" w:rsidRPr="00BA0E8D">
        <w:rPr>
          <w:rFonts w:ascii="Times New Roman" w:hAnsi="Times New Roman"/>
          <w:sz w:val="24"/>
          <w:szCs w:val="24"/>
        </w:rPr>
        <w:t>private credit (</w:t>
      </w:r>
      <w:proofErr w:type="spellStart"/>
      <w:r w:rsidR="00B33B65" w:rsidRPr="00BA0E8D">
        <w:rPr>
          <w:rFonts w:ascii="Times New Roman" w:hAnsi="Times New Roman"/>
          <w:color w:val="222222"/>
          <w:sz w:val="24"/>
          <w:szCs w:val="24"/>
          <w:shd w:val="clear" w:color="auto" w:fill="FFFFFF"/>
        </w:rPr>
        <w:t>Grajzl</w:t>
      </w:r>
      <w:proofErr w:type="spellEnd"/>
      <w:r w:rsidR="00B33B65" w:rsidRPr="00BA0E8D">
        <w:rPr>
          <w:rFonts w:ascii="Times New Roman" w:hAnsi="Times New Roman"/>
          <w:color w:val="222222"/>
          <w:sz w:val="24"/>
          <w:szCs w:val="24"/>
          <w:shd w:val="clear" w:color="auto" w:fill="FFFFFF"/>
        </w:rPr>
        <w:t xml:space="preserve"> </w:t>
      </w:r>
      <w:r w:rsidR="00675549" w:rsidRPr="00BA0E8D">
        <w:rPr>
          <w:rFonts w:ascii="Times New Roman" w:hAnsi="Times New Roman"/>
          <w:color w:val="222222"/>
          <w:sz w:val="24"/>
          <w:szCs w:val="24"/>
          <w:shd w:val="clear" w:color="auto" w:fill="FFFFFF"/>
        </w:rPr>
        <w:t xml:space="preserve">and </w:t>
      </w:r>
      <w:proofErr w:type="spellStart"/>
      <w:r w:rsidR="00B33B65" w:rsidRPr="00BA0E8D">
        <w:rPr>
          <w:rFonts w:ascii="Times New Roman" w:hAnsi="Times New Roman"/>
          <w:color w:val="222222"/>
          <w:sz w:val="24"/>
          <w:szCs w:val="24"/>
          <w:shd w:val="clear" w:color="auto" w:fill="FFFFFF"/>
        </w:rPr>
        <w:t>Laptieva</w:t>
      </w:r>
      <w:proofErr w:type="spellEnd"/>
      <w:r w:rsidR="00B33B65" w:rsidRPr="00BA0E8D">
        <w:rPr>
          <w:rFonts w:ascii="Times New Roman" w:hAnsi="Times New Roman"/>
          <w:color w:val="222222"/>
          <w:sz w:val="24"/>
          <w:szCs w:val="24"/>
          <w:shd w:val="clear" w:color="auto" w:fill="FFFFFF"/>
        </w:rPr>
        <w:t>, 2016);</w:t>
      </w:r>
      <w:r w:rsidR="00EE09FE" w:rsidRPr="00BA0E8D">
        <w:rPr>
          <w:rFonts w:ascii="Times New Roman" w:hAnsi="Times New Roman"/>
          <w:sz w:val="24"/>
          <w:szCs w:val="24"/>
        </w:rPr>
        <w:t xml:space="preserve"> collateral </w:t>
      </w:r>
      <w:r w:rsidR="00C404E7" w:rsidRPr="00BA0E8D">
        <w:rPr>
          <w:rFonts w:ascii="Times New Roman" w:hAnsi="Times New Roman"/>
          <w:sz w:val="24"/>
          <w:szCs w:val="24"/>
        </w:rPr>
        <w:t xml:space="preserve">value </w:t>
      </w:r>
      <w:r w:rsidR="00EE09FE" w:rsidRPr="00BA0E8D">
        <w:rPr>
          <w:rFonts w:ascii="Times New Roman" w:hAnsi="Times New Roman"/>
          <w:sz w:val="24"/>
          <w:szCs w:val="24"/>
        </w:rPr>
        <w:t>(</w:t>
      </w:r>
      <w:proofErr w:type="spellStart"/>
      <w:r w:rsidR="0027646C" w:rsidRPr="00BA0E8D">
        <w:rPr>
          <w:rFonts w:ascii="Times New Roman" w:hAnsi="Times New Roman"/>
          <w:color w:val="222222"/>
          <w:sz w:val="24"/>
          <w:szCs w:val="24"/>
          <w:shd w:val="clear" w:color="auto" w:fill="FFFFFF"/>
        </w:rPr>
        <w:t>Karapetyan</w:t>
      </w:r>
      <w:proofErr w:type="spellEnd"/>
      <w:r w:rsidR="0027646C" w:rsidRPr="00BA0E8D">
        <w:rPr>
          <w:rFonts w:ascii="Times New Roman" w:hAnsi="Times New Roman"/>
          <w:color w:val="222222"/>
          <w:sz w:val="24"/>
          <w:szCs w:val="24"/>
          <w:shd w:val="clear" w:color="auto" w:fill="FFFFFF"/>
        </w:rPr>
        <w:t xml:space="preserve"> </w:t>
      </w:r>
      <w:r w:rsidR="00675549" w:rsidRPr="00BA0E8D">
        <w:rPr>
          <w:rFonts w:ascii="Times New Roman" w:hAnsi="Times New Roman"/>
          <w:color w:val="222222"/>
          <w:sz w:val="24"/>
          <w:szCs w:val="24"/>
          <w:shd w:val="clear" w:color="auto" w:fill="FFFFFF"/>
        </w:rPr>
        <w:t xml:space="preserve">and </w:t>
      </w:r>
      <w:proofErr w:type="spellStart"/>
      <w:r w:rsidR="0027646C" w:rsidRPr="00BA0E8D">
        <w:rPr>
          <w:rFonts w:ascii="Times New Roman" w:hAnsi="Times New Roman"/>
          <w:color w:val="222222"/>
          <w:sz w:val="24"/>
          <w:szCs w:val="24"/>
          <w:shd w:val="clear" w:color="auto" w:fill="FFFFFF"/>
        </w:rPr>
        <w:t>Stacescu</w:t>
      </w:r>
      <w:proofErr w:type="spellEnd"/>
      <w:r w:rsidR="0027646C" w:rsidRPr="00BA0E8D">
        <w:rPr>
          <w:rFonts w:ascii="Times New Roman" w:hAnsi="Times New Roman"/>
          <w:color w:val="222222"/>
          <w:sz w:val="24"/>
          <w:szCs w:val="24"/>
          <w:shd w:val="clear" w:color="auto" w:fill="FFFFFF"/>
        </w:rPr>
        <w:t>, 2014);</w:t>
      </w:r>
      <w:r w:rsidR="0027646C" w:rsidRPr="00BA0E8D">
        <w:rPr>
          <w:rFonts w:ascii="Times New Roman" w:hAnsi="Times New Roman"/>
          <w:sz w:val="24"/>
          <w:szCs w:val="24"/>
        </w:rPr>
        <w:t xml:space="preserve"> </w:t>
      </w:r>
      <w:r w:rsidR="007B4C14" w:rsidRPr="00BA0E8D">
        <w:rPr>
          <w:rFonts w:ascii="Times New Roman" w:hAnsi="Times New Roman"/>
          <w:sz w:val="24"/>
          <w:szCs w:val="24"/>
        </w:rPr>
        <w:t>default risk (</w:t>
      </w:r>
      <w:proofErr w:type="spellStart"/>
      <w:r w:rsidR="007B4C14" w:rsidRPr="00BA0E8D">
        <w:rPr>
          <w:rFonts w:ascii="Times New Roman" w:hAnsi="Times New Roman"/>
          <w:color w:val="222222"/>
          <w:sz w:val="24"/>
          <w:szCs w:val="20"/>
        </w:rPr>
        <w:t>Dierkes</w:t>
      </w:r>
      <w:proofErr w:type="spellEnd"/>
      <w:r w:rsidR="007B4C14" w:rsidRPr="00BA0E8D">
        <w:rPr>
          <w:rFonts w:ascii="Times New Roman" w:hAnsi="Times New Roman"/>
          <w:sz w:val="24"/>
          <w:szCs w:val="24"/>
        </w:rPr>
        <w:t xml:space="preserve"> et al. 2013); </w:t>
      </w:r>
      <w:r w:rsidR="00097228" w:rsidRPr="00BA0E8D">
        <w:rPr>
          <w:rFonts w:ascii="Times New Roman" w:hAnsi="Times New Roman"/>
          <w:sz w:val="24"/>
          <w:szCs w:val="24"/>
        </w:rPr>
        <w:t>firm performance (</w:t>
      </w:r>
      <w:proofErr w:type="spellStart"/>
      <w:r w:rsidR="00EE6EAF" w:rsidRPr="00BA0E8D">
        <w:rPr>
          <w:rFonts w:ascii="Times New Roman" w:hAnsi="Times New Roman"/>
          <w:color w:val="222222"/>
          <w:sz w:val="24"/>
          <w:szCs w:val="24"/>
          <w:shd w:val="clear" w:color="auto" w:fill="FFFFFF"/>
        </w:rPr>
        <w:t>Doblas</w:t>
      </w:r>
      <w:proofErr w:type="spellEnd"/>
      <w:r w:rsidR="00EE6EAF" w:rsidRPr="00BA0E8D">
        <w:rPr>
          <w:rFonts w:ascii="Times New Roman" w:hAnsi="Times New Roman"/>
          <w:color w:val="222222"/>
          <w:sz w:val="24"/>
          <w:szCs w:val="24"/>
          <w:shd w:val="clear" w:color="auto" w:fill="FFFFFF"/>
        </w:rPr>
        <w:t xml:space="preserve">-Madrid </w:t>
      </w:r>
      <w:r w:rsidR="00803E50" w:rsidRPr="00BA0E8D">
        <w:rPr>
          <w:rFonts w:ascii="Times New Roman" w:hAnsi="Times New Roman"/>
          <w:color w:val="222222"/>
          <w:sz w:val="24"/>
          <w:szCs w:val="24"/>
          <w:shd w:val="clear" w:color="auto" w:fill="FFFFFF"/>
        </w:rPr>
        <w:t xml:space="preserve">and </w:t>
      </w:r>
      <w:proofErr w:type="spellStart"/>
      <w:r w:rsidR="00EE6EAF" w:rsidRPr="00BA0E8D">
        <w:rPr>
          <w:rFonts w:ascii="Times New Roman" w:hAnsi="Times New Roman"/>
          <w:color w:val="222222"/>
          <w:sz w:val="24"/>
          <w:szCs w:val="24"/>
          <w:shd w:val="clear" w:color="auto" w:fill="FFFFFF"/>
        </w:rPr>
        <w:t>Minetti</w:t>
      </w:r>
      <w:proofErr w:type="spellEnd"/>
      <w:r w:rsidR="00EE6EAF" w:rsidRPr="00BA0E8D">
        <w:rPr>
          <w:rFonts w:ascii="Times New Roman" w:hAnsi="Times New Roman"/>
          <w:color w:val="222222"/>
          <w:sz w:val="24"/>
          <w:szCs w:val="24"/>
          <w:shd w:val="clear" w:color="auto" w:fill="FFFFFF"/>
        </w:rPr>
        <w:t>, 2013</w:t>
      </w:r>
      <w:r w:rsidR="00097228" w:rsidRPr="00BA0E8D">
        <w:rPr>
          <w:rFonts w:ascii="Times New Roman" w:hAnsi="Times New Roman"/>
          <w:sz w:val="24"/>
          <w:szCs w:val="24"/>
        </w:rPr>
        <w:t>)</w:t>
      </w:r>
      <w:r w:rsidR="00EE6EAF" w:rsidRPr="00BA0E8D">
        <w:rPr>
          <w:rFonts w:ascii="Times New Roman" w:hAnsi="Times New Roman"/>
          <w:sz w:val="24"/>
          <w:szCs w:val="24"/>
        </w:rPr>
        <w:t xml:space="preserve">; </w:t>
      </w:r>
      <w:r w:rsidR="00C47F9F" w:rsidRPr="00BA0E8D">
        <w:rPr>
          <w:rFonts w:ascii="Times New Roman" w:hAnsi="Times New Roman"/>
          <w:sz w:val="24"/>
          <w:szCs w:val="24"/>
        </w:rPr>
        <w:t>banking crisis (</w:t>
      </w:r>
      <w:proofErr w:type="spellStart"/>
      <w:r w:rsidR="00C47F9F" w:rsidRPr="00BA0E8D">
        <w:rPr>
          <w:rFonts w:ascii="Times New Roman" w:hAnsi="Times New Roman"/>
          <w:color w:val="222222"/>
          <w:sz w:val="24"/>
          <w:szCs w:val="20"/>
          <w:shd w:val="clear" w:color="auto" w:fill="FFFFFF"/>
        </w:rPr>
        <w:t>Büyükkarabacak</w:t>
      </w:r>
      <w:proofErr w:type="spellEnd"/>
      <w:r w:rsidR="00C47F9F" w:rsidRPr="00BA0E8D">
        <w:rPr>
          <w:rFonts w:ascii="Times New Roman" w:hAnsi="Times New Roman"/>
          <w:color w:val="222222"/>
          <w:sz w:val="24"/>
          <w:szCs w:val="20"/>
          <w:shd w:val="clear" w:color="auto" w:fill="FFFFFF"/>
        </w:rPr>
        <w:t xml:space="preserve"> </w:t>
      </w:r>
      <w:r w:rsidR="00675549" w:rsidRPr="00BA0E8D">
        <w:rPr>
          <w:rFonts w:ascii="Times New Roman" w:hAnsi="Times New Roman"/>
          <w:color w:val="222222"/>
          <w:sz w:val="24"/>
          <w:szCs w:val="20"/>
          <w:shd w:val="clear" w:color="auto" w:fill="FFFFFF"/>
        </w:rPr>
        <w:t xml:space="preserve">and </w:t>
      </w:r>
      <w:proofErr w:type="spellStart"/>
      <w:r w:rsidR="00C47F9F" w:rsidRPr="00BA0E8D">
        <w:rPr>
          <w:rFonts w:ascii="Times New Roman" w:hAnsi="Times New Roman"/>
          <w:color w:val="222222"/>
          <w:sz w:val="24"/>
          <w:szCs w:val="20"/>
          <w:shd w:val="clear" w:color="auto" w:fill="FFFFFF"/>
        </w:rPr>
        <w:t>Valev</w:t>
      </w:r>
      <w:proofErr w:type="spellEnd"/>
      <w:r w:rsidR="00C47F9F" w:rsidRPr="00BA0E8D">
        <w:rPr>
          <w:rFonts w:ascii="Times New Roman" w:hAnsi="Times New Roman"/>
          <w:color w:val="222222"/>
          <w:sz w:val="24"/>
          <w:szCs w:val="20"/>
          <w:shd w:val="clear" w:color="auto" w:fill="FFFFFF"/>
        </w:rPr>
        <w:t>, 2012</w:t>
      </w:r>
      <w:r w:rsidR="00C47F9F" w:rsidRPr="00BA0E8D">
        <w:rPr>
          <w:rFonts w:ascii="Times New Roman" w:hAnsi="Times New Roman"/>
          <w:sz w:val="24"/>
          <w:szCs w:val="24"/>
        </w:rPr>
        <w:t>)</w:t>
      </w:r>
      <w:r w:rsidR="00183329" w:rsidRPr="00BA0E8D">
        <w:rPr>
          <w:rFonts w:ascii="Times New Roman" w:hAnsi="Times New Roman"/>
          <w:sz w:val="24"/>
          <w:szCs w:val="24"/>
        </w:rPr>
        <w:t>;</w:t>
      </w:r>
      <w:r w:rsidR="00B35ACD" w:rsidRPr="00BA0E8D">
        <w:rPr>
          <w:rFonts w:ascii="Times New Roman" w:hAnsi="Times New Roman"/>
          <w:sz w:val="24"/>
          <w:szCs w:val="24"/>
        </w:rPr>
        <w:t xml:space="preserve"> </w:t>
      </w:r>
      <w:r w:rsidR="00011418">
        <w:rPr>
          <w:rFonts w:ascii="Times New Roman" w:hAnsi="Times New Roman"/>
          <w:sz w:val="24"/>
          <w:szCs w:val="24"/>
        </w:rPr>
        <w:t xml:space="preserve">and </w:t>
      </w:r>
      <w:r w:rsidR="00067182" w:rsidRPr="00BA0E8D">
        <w:rPr>
          <w:rFonts w:ascii="Times New Roman" w:hAnsi="Times New Roman"/>
          <w:sz w:val="24"/>
          <w:szCs w:val="24"/>
        </w:rPr>
        <w:t>credit</w:t>
      </w:r>
      <w:r w:rsidRPr="00BA0E8D">
        <w:rPr>
          <w:rFonts w:ascii="Times New Roman" w:hAnsi="Times New Roman"/>
          <w:sz w:val="24"/>
          <w:szCs w:val="24"/>
        </w:rPr>
        <w:t xml:space="preserve"> market</w:t>
      </w:r>
      <w:r w:rsidR="00067182" w:rsidRPr="00BA0E8D">
        <w:rPr>
          <w:rFonts w:ascii="Times New Roman" w:hAnsi="Times New Roman"/>
          <w:sz w:val="24"/>
          <w:szCs w:val="24"/>
        </w:rPr>
        <w:t xml:space="preserve"> </w:t>
      </w:r>
      <w:r w:rsidR="00067182" w:rsidRPr="001F3392">
        <w:rPr>
          <w:rFonts w:ascii="Times New Roman" w:hAnsi="Times New Roman"/>
          <w:sz w:val="24"/>
          <w:szCs w:val="24"/>
        </w:rPr>
        <w:t>performance (</w:t>
      </w:r>
      <w:r w:rsidR="001F3392" w:rsidRPr="001F3392">
        <w:rPr>
          <w:rFonts w:ascii="Times New Roman" w:hAnsi="Times New Roman"/>
          <w:color w:val="222222"/>
          <w:sz w:val="24"/>
          <w:szCs w:val="24"/>
          <w:shd w:val="clear" w:color="auto" w:fill="FFFFFF"/>
        </w:rPr>
        <w:t xml:space="preserve">Daniels and Ramirez, 2008; </w:t>
      </w:r>
      <w:r w:rsidR="00067182" w:rsidRPr="001F3392">
        <w:rPr>
          <w:rFonts w:ascii="Times New Roman" w:hAnsi="Times New Roman"/>
          <w:sz w:val="24"/>
          <w:szCs w:val="24"/>
        </w:rPr>
        <w:t>Brown et al. 2009</w:t>
      </w:r>
      <w:r w:rsidR="00EE02ED" w:rsidRPr="001F3392">
        <w:rPr>
          <w:rFonts w:ascii="Times New Roman" w:hAnsi="Times New Roman"/>
          <w:sz w:val="24"/>
          <w:szCs w:val="24"/>
        </w:rPr>
        <w:t xml:space="preserve">; </w:t>
      </w:r>
      <w:r w:rsidR="00B26178" w:rsidRPr="001F3392">
        <w:rPr>
          <w:rFonts w:ascii="Times New Roman" w:hAnsi="Times New Roman"/>
          <w:sz w:val="24"/>
          <w:szCs w:val="24"/>
        </w:rPr>
        <w:t xml:space="preserve"> Fosu, 201</w:t>
      </w:r>
      <w:r w:rsidR="004D1711" w:rsidRPr="001F3392">
        <w:rPr>
          <w:rFonts w:ascii="Times New Roman" w:hAnsi="Times New Roman"/>
          <w:sz w:val="24"/>
          <w:szCs w:val="24"/>
        </w:rPr>
        <w:t>4</w:t>
      </w:r>
      <w:r w:rsidR="00067182" w:rsidRPr="001F3392">
        <w:rPr>
          <w:rFonts w:ascii="Times New Roman" w:hAnsi="Times New Roman"/>
          <w:sz w:val="24"/>
          <w:szCs w:val="24"/>
        </w:rPr>
        <w:t>)</w:t>
      </w:r>
      <w:r w:rsidR="00D96A3B" w:rsidRPr="001F3392">
        <w:rPr>
          <w:rFonts w:ascii="Times New Roman" w:hAnsi="Times New Roman"/>
          <w:sz w:val="24"/>
          <w:szCs w:val="24"/>
        </w:rPr>
        <w:t>.</w:t>
      </w:r>
      <w:r w:rsidR="00D96A3B" w:rsidRPr="00BA0E8D">
        <w:rPr>
          <w:rFonts w:ascii="Times New Roman" w:hAnsi="Times New Roman"/>
          <w:sz w:val="24"/>
          <w:szCs w:val="24"/>
        </w:rPr>
        <w:t xml:space="preserve"> </w:t>
      </w:r>
      <w:r w:rsidR="00C62E05" w:rsidRPr="00BA0E8D">
        <w:rPr>
          <w:rFonts w:ascii="Times New Roman" w:hAnsi="Times New Roman"/>
          <w:sz w:val="24"/>
          <w:szCs w:val="24"/>
        </w:rPr>
        <w:t>These studies are unequivocal in their findings</w:t>
      </w:r>
      <w:r w:rsidR="00375BAB" w:rsidRPr="00BA0E8D">
        <w:rPr>
          <w:rFonts w:ascii="Times New Roman" w:hAnsi="Times New Roman"/>
          <w:sz w:val="24"/>
          <w:szCs w:val="24"/>
        </w:rPr>
        <w:t>, arguing that</w:t>
      </w:r>
      <w:r w:rsidR="00C62E05" w:rsidRPr="00BA0E8D">
        <w:rPr>
          <w:rFonts w:ascii="Times New Roman" w:hAnsi="Times New Roman"/>
          <w:sz w:val="24"/>
          <w:szCs w:val="24"/>
        </w:rPr>
        <w:t xml:space="preserve"> credit </w:t>
      </w:r>
      <w:r w:rsidR="00012B73" w:rsidRPr="00BA0E8D">
        <w:rPr>
          <w:rFonts w:ascii="Times New Roman" w:hAnsi="Times New Roman"/>
          <w:sz w:val="24"/>
          <w:szCs w:val="24"/>
        </w:rPr>
        <w:t xml:space="preserve">information sharing </w:t>
      </w:r>
      <w:r w:rsidR="00C62E05" w:rsidRPr="00BA0E8D">
        <w:rPr>
          <w:rFonts w:ascii="Times New Roman" w:hAnsi="Times New Roman"/>
          <w:sz w:val="24"/>
          <w:szCs w:val="24"/>
        </w:rPr>
        <w:t>facilitates</w:t>
      </w:r>
      <w:r w:rsidR="00012B73" w:rsidRPr="00BA0E8D">
        <w:rPr>
          <w:rFonts w:ascii="Times New Roman" w:hAnsi="Times New Roman"/>
          <w:sz w:val="24"/>
          <w:szCs w:val="24"/>
        </w:rPr>
        <w:t xml:space="preserve"> </w:t>
      </w:r>
      <w:r w:rsidR="008D5716" w:rsidRPr="00BA0E8D">
        <w:rPr>
          <w:rFonts w:ascii="Times New Roman" w:hAnsi="Times New Roman"/>
          <w:sz w:val="24"/>
          <w:szCs w:val="24"/>
        </w:rPr>
        <w:t>lending</w:t>
      </w:r>
      <w:r w:rsidR="00012B73" w:rsidRPr="00BA0E8D">
        <w:rPr>
          <w:rFonts w:ascii="Times New Roman" w:hAnsi="Times New Roman"/>
          <w:sz w:val="24"/>
          <w:szCs w:val="24"/>
        </w:rPr>
        <w:t xml:space="preserve"> decisions. However, almost entirely missing from these studies is </w:t>
      </w:r>
      <w:r w:rsidR="00011418">
        <w:rPr>
          <w:rFonts w:ascii="Times New Roman" w:hAnsi="Times New Roman"/>
          <w:sz w:val="24"/>
          <w:szCs w:val="24"/>
        </w:rPr>
        <w:t>a</w:t>
      </w:r>
      <w:r w:rsidR="00011418" w:rsidRPr="00BA0E8D">
        <w:rPr>
          <w:rFonts w:ascii="Times New Roman" w:hAnsi="Times New Roman"/>
          <w:sz w:val="24"/>
          <w:szCs w:val="24"/>
        </w:rPr>
        <w:t xml:space="preserve"> </w:t>
      </w:r>
      <w:r w:rsidR="00012B73" w:rsidRPr="00BA0E8D">
        <w:rPr>
          <w:rFonts w:ascii="Times New Roman" w:hAnsi="Times New Roman"/>
          <w:sz w:val="24"/>
          <w:szCs w:val="24"/>
        </w:rPr>
        <w:t>direct examination between information sharing and credit intermediation</w:t>
      </w:r>
      <w:r w:rsidR="00DB7F91" w:rsidRPr="00BA0E8D">
        <w:rPr>
          <w:rFonts w:ascii="Times New Roman" w:hAnsi="Times New Roman"/>
          <w:sz w:val="24"/>
          <w:szCs w:val="24"/>
        </w:rPr>
        <w:t xml:space="preserve"> cost.</w:t>
      </w:r>
      <w:r w:rsidR="00012B73" w:rsidRPr="00BA0E8D">
        <w:rPr>
          <w:rFonts w:ascii="Times New Roman" w:hAnsi="Times New Roman"/>
          <w:sz w:val="24"/>
          <w:szCs w:val="24"/>
        </w:rPr>
        <w:t xml:space="preserve"> </w:t>
      </w:r>
    </w:p>
    <w:p w14:paraId="15408A70" w14:textId="4AB724AD" w:rsidR="004E727E" w:rsidRPr="00BA0E8D" w:rsidRDefault="009D0746"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For example, the t</w:t>
      </w:r>
      <w:r w:rsidR="008F475A" w:rsidRPr="00BA0E8D">
        <w:rPr>
          <w:rFonts w:ascii="Times New Roman" w:hAnsi="Times New Roman"/>
          <w:sz w:val="24"/>
          <w:szCs w:val="24"/>
        </w:rPr>
        <w:t xml:space="preserve">heoretical literature </w:t>
      </w:r>
      <w:r w:rsidR="00F70608" w:rsidRPr="00BA0E8D">
        <w:rPr>
          <w:rFonts w:ascii="Times New Roman" w:hAnsi="Times New Roman"/>
          <w:sz w:val="24"/>
          <w:szCs w:val="24"/>
        </w:rPr>
        <w:t xml:space="preserve">identifies several </w:t>
      </w:r>
      <w:r w:rsidR="00A5055D" w:rsidRPr="00BA0E8D">
        <w:rPr>
          <w:rFonts w:ascii="Times New Roman" w:hAnsi="Times New Roman"/>
          <w:sz w:val="24"/>
          <w:szCs w:val="24"/>
        </w:rPr>
        <w:t>channels through which credit i</w:t>
      </w:r>
      <w:r w:rsidR="001866B5" w:rsidRPr="00BA0E8D">
        <w:rPr>
          <w:rFonts w:ascii="Times New Roman" w:hAnsi="Times New Roman"/>
          <w:sz w:val="24"/>
          <w:szCs w:val="24"/>
        </w:rPr>
        <w:t>nformation sharing</w:t>
      </w:r>
      <w:r w:rsidR="00F23A78" w:rsidRPr="00BA0E8D">
        <w:rPr>
          <w:rFonts w:ascii="Times New Roman" w:hAnsi="Times New Roman"/>
          <w:sz w:val="24"/>
          <w:szCs w:val="24"/>
        </w:rPr>
        <w:t xml:space="preserve"> can</w:t>
      </w:r>
      <w:r w:rsidR="001866B5" w:rsidRPr="00BA0E8D">
        <w:rPr>
          <w:rFonts w:ascii="Times New Roman" w:hAnsi="Times New Roman"/>
          <w:sz w:val="24"/>
          <w:szCs w:val="24"/>
        </w:rPr>
        <w:t xml:space="preserve"> </w:t>
      </w:r>
      <w:r w:rsidR="00A5055D" w:rsidRPr="00BA0E8D">
        <w:rPr>
          <w:rFonts w:ascii="Times New Roman" w:hAnsi="Times New Roman"/>
          <w:sz w:val="24"/>
          <w:szCs w:val="24"/>
        </w:rPr>
        <w:t>affect lending decision</w:t>
      </w:r>
      <w:r w:rsidR="001866B5" w:rsidRPr="00BA0E8D">
        <w:rPr>
          <w:rFonts w:ascii="Times New Roman" w:hAnsi="Times New Roman"/>
          <w:sz w:val="24"/>
          <w:szCs w:val="24"/>
        </w:rPr>
        <w:t xml:space="preserve">. </w:t>
      </w:r>
      <w:r w:rsidR="004E727E" w:rsidRPr="00BA0E8D">
        <w:rPr>
          <w:rFonts w:ascii="Times New Roman" w:hAnsi="Times New Roman"/>
          <w:sz w:val="24"/>
          <w:szCs w:val="24"/>
        </w:rPr>
        <w:t>First, t</w:t>
      </w:r>
      <w:r w:rsidR="00DF1C4D" w:rsidRPr="00BA0E8D">
        <w:rPr>
          <w:rFonts w:ascii="Times New Roman" w:hAnsi="Times New Roman"/>
          <w:sz w:val="24"/>
          <w:szCs w:val="24"/>
        </w:rPr>
        <w:t xml:space="preserve">he adverse selection </w:t>
      </w:r>
      <w:r w:rsidR="004E727E" w:rsidRPr="00BA0E8D">
        <w:rPr>
          <w:rFonts w:ascii="Times New Roman" w:hAnsi="Times New Roman"/>
          <w:sz w:val="24"/>
          <w:szCs w:val="24"/>
        </w:rPr>
        <w:t>channel,</w:t>
      </w:r>
      <w:r w:rsidR="00DF1C4D" w:rsidRPr="00BA0E8D">
        <w:rPr>
          <w:rFonts w:ascii="Times New Roman" w:hAnsi="Times New Roman"/>
          <w:sz w:val="24"/>
          <w:szCs w:val="24"/>
        </w:rPr>
        <w:t xml:space="preserve"> as shown in Pagano and </w:t>
      </w:r>
      <w:proofErr w:type="spellStart"/>
      <w:r w:rsidR="00DF1C4D" w:rsidRPr="00BA0E8D">
        <w:rPr>
          <w:rFonts w:ascii="Times New Roman" w:hAnsi="Times New Roman"/>
          <w:sz w:val="24"/>
          <w:szCs w:val="24"/>
        </w:rPr>
        <w:t>Jappelli</w:t>
      </w:r>
      <w:proofErr w:type="spellEnd"/>
      <w:r w:rsidR="00DF1C4D" w:rsidRPr="00BA0E8D">
        <w:rPr>
          <w:rFonts w:ascii="Times New Roman" w:hAnsi="Times New Roman"/>
          <w:sz w:val="24"/>
          <w:szCs w:val="24"/>
        </w:rPr>
        <w:t xml:space="preserve"> (1993)</w:t>
      </w:r>
      <w:r w:rsidR="004E727E" w:rsidRPr="00BA0E8D">
        <w:rPr>
          <w:rFonts w:ascii="Times New Roman" w:hAnsi="Times New Roman"/>
          <w:sz w:val="24"/>
          <w:szCs w:val="24"/>
        </w:rPr>
        <w:t>, suggest</w:t>
      </w:r>
      <w:r w:rsidR="00497FD3" w:rsidRPr="00BA0E8D">
        <w:rPr>
          <w:rFonts w:ascii="Times New Roman" w:hAnsi="Times New Roman"/>
          <w:sz w:val="24"/>
          <w:szCs w:val="24"/>
        </w:rPr>
        <w:t>s</w:t>
      </w:r>
      <w:r w:rsidR="004E727E" w:rsidRPr="00BA0E8D">
        <w:rPr>
          <w:rFonts w:ascii="Times New Roman" w:hAnsi="Times New Roman"/>
          <w:sz w:val="24"/>
          <w:szCs w:val="24"/>
        </w:rPr>
        <w:t xml:space="preserve"> that credit information sharing facilitates </w:t>
      </w:r>
      <w:r w:rsidR="00011418">
        <w:rPr>
          <w:rFonts w:ascii="Times New Roman" w:hAnsi="Times New Roman"/>
          <w:sz w:val="24"/>
          <w:szCs w:val="24"/>
        </w:rPr>
        <w:t xml:space="preserve">banks’ </w:t>
      </w:r>
      <w:r w:rsidR="004E727E" w:rsidRPr="00BA0E8D">
        <w:rPr>
          <w:rFonts w:ascii="Times New Roman" w:hAnsi="Times New Roman"/>
          <w:sz w:val="24"/>
          <w:szCs w:val="24"/>
        </w:rPr>
        <w:t>lending decision</w:t>
      </w:r>
      <w:r w:rsidR="00011418">
        <w:rPr>
          <w:rFonts w:ascii="Times New Roman" w:hAnsi="Times New Roman"/>
          <w:sz w:val="24"/>
          <w:szCs w:val="24"/>
        </w:rPr>
        <w:t>s</w:t>
      </w:r>
      <w:r w:rsidR="004E727E" w:rsidRPr="00BA0E8D">
        <w:rPr>
          <w:rFonts w:ascii="Times New Roman" w:hAnsi="Times New Roman"/>
          <w:sz w:val="24"/>
          <w:szCs w:val="24"/>
        </w:rPr>
        <w:t xml:space="preserve">. Typically, banks face </w:t>
      </w:r>
      <w:r w:rsidR="00011418">
        <w:rPr>
          <w:rFonts w:ascii="Times New Roman" w:hAnsi="Times New Roman"/>
          <w:sz w:val="24"/>
          <w:szCs w:val="24"/>
        </w:rPr>
        <w:t xml:space="preserve">the </w:t>
      </w:r>
      <w:r w:rsidR="004E727E" w:rsidRPr="00BA0E8D">
        <w:rPr>
          <w:rFonts w:ascii="Times New Roman" w:hAnsi="Times New Roman"/>
          <w:sz w:val="24"/>
          <w:szCs w:val="24"/>
        </w:rPr>
        <w:t xml:space="preserve">risk of adverse selection when </w:t>
      </w:r>
      <w:r w:rsidR="00E2690C" w:rsidRPr="00BA0E8D">
        <w:rPr>
          <w:rFonts w:ascii="Times New Roman" w:hAnsi="Times New Roman"/>
          <w:sz w:val="24"/>
          <w:szCs w:val="24"/>
        </w:rPr>
        <w:t xml:space="preserve">faced with the challenge of deciding </w:t>
      </w:r>
      <w:r w:rsidRPr="00BA0E8D">
        <w:rPr>
          <w:rFonts w:ascii="Times New Roman" w:hAnsi="Times New Roman"/>
          <w:sz w:val="24"/>
          <w:szCs w:val="24"/>
        </w:rPr>
        <w:t xml:space="preserve">whether </w:t>
      </w:r>
      <w:r w:rsidR="00E2690C" w:rsidRPr="00BA0E8D">
        <w:rPr>
          <w:rFonts w:ascii="Times New Roman" w:hAnsi="Times New Roman"/>
          <w:sz w:val="24"/>
          <w:szCs w:val="24"/>
        </w:rPr>
        <w:t>to</w:t>
      </w:r>
      <w:r w:rsidR="004E727E" w:rsidRPr="00BA0E8D">
        <w:rPr>
          <w:rFonts w:ascii="Times New Roman" w:hAnsi="Times New Roman"/>
          <w:sz w:val="24"/>
          <w:szCs w:val="24"/>
        </w:rPr>
        <w:t xml:space="preserve"> lend to </w:t>
      </w:r>
      <w:r w:rsidR="00011418">
        <w:rPr>
          <w:rFonts w:ascii="Times New Roman" w:hAnsi="Times New Roman"/>
          <w:sz w:val="24"/>
          <w:szCs w:val="24"/>
        </w:rPr>
        <w:t xml:space="preserve">a </w:t>
      </w:r>
      <w:r w:rsidR="004E727E" w:rsidRPr="00BA0E8D">
        <w:rPr>
          <w:rFonts w:ascii="Times New Roman" w:hAnsi="Times New Roman"/>
          <w:sz w:val="24"/>
          <w:szCs w:val="24"/>
        </w:rPr>
        <w:t xml:space="preserve">new pool of potential borrowers. </w:t>
      </w:r>
      <w:r w:rsidR="00E2690C" w:rsidRPr="00BA0E8D">
        <w:rPr>
          <w:rFonts w:ascii="Times New Roman" w:hAnsi="Times New Roman"/>
          <w:sz w:val="24"/>
          <w:szCs w:val="24"/>
        </w:rPr>
        <w:t xml:space="preserve">Pagano and </w:t>
      </w:r>
      <w:proofErr w:type="spellStart"/>
      <w:r w:rsidR="00E2690C" w:rsidRPr="00BA0E8D">
        <w:rPr>
          <w:rFonts w:ascii="Times New Roman" w:hAnsi="Times New Roman"/>
          <w:sz w:val="24"/>
          <w:szCs w:val="24"/>
        </w:rPr>
        <w:t>Jappelli</w:t>
      </w:r>
      <w:proofErr w:type="spellEnd"/>
      <w:r w:rsidR="00E2690C" w:rsidRPr="00BA0E8D">
        <w:rPr>
          <w:rFonts w:ascii="Times New Roman" w:hAnsi="Times New Roman"/>
          <w:sz w:val="24"/>
          <w:szCs w:val="24"/>
        </w:rPr>
        <w:t xml:space="preserve"> (1993) show that credit information sharing amongst banks can help lending banks make </w:t>
      </w:r>
      <w:r w:rsidR="00011418">
        <w:rPr>
          <w:rFonts w:ascii="Times New Roman" w:hAnsi="Times New Roman"/>
          <w:sz w:val="24"/>
          <w:szCs w:val="24"/>
        </w:rPr>
        <w:t xml:space="preserve">an </w:t>
      </w:r>
      <w:r w:rsidR="00E2690C" w:rsidRPr="00BA0E8D">
        <w:rPr>
          <w:rFonts w:ascii="Times New Roman" w:hAnsi="Times New Roman"/>
          <w:sz w:val="24"/>
          <w:szCs w:val="24"/>
        </w:rPr>
        <w:t xml:space="preserve">accurate assessment of the credit worthiness of the new potential borrowers. </w:t>
      </w:r>
      <w:r w:rsidR="000D66A1" w:rsidRPr="00BA0E8D">
        <w:rPr>
          <w:rFonts w:ascii="Times New Roman" w:hAnsi="Times New Roman"/>
          <w:sz w:val="24"/>
          <w:szCs w:val="24"/>
        </w:rPr>
        <w:t>Ultimately</w:t>
      </w:r>
      <w:r w:rsidR="00E2690C" w:rsidRPr="00BA0E8D">
        <w:rPr>
          <w:rFonts w:ascii="Times New Roman" w:hAnsi="Times New Roman"/>
          <w:sz w:val="24"/>
          <w:szCs w:val="24"/>
        </w:rPr>
        <w:t xml:space="preserve">, </w:t>
      </w:r>
      <w:r w:rsidR="00DE6D35" w:rsidRPr="00BA0E8D">
        <w:rPr>
          <w:rFonts w:ascii="Times New Roman" w:hAnsi="Times New Roman"/>
          <w:sz w:val="24"/>
          <w:szCs w:val="24"/>
        </w:rPr>
        <w:t>the pool of borrowers increase</w:t>
      </w:r>
      <w:r w:rsidR="008017E6" w:rsidRPr="00BA0E8D">
        <w:rPr>
          <w:rFonts w:ascii="Times New Roman" w:hAnsi="Times New Roman"/>
          <w:sz w:val="24"/>
          <w:szCs w:val="24"/>
        </w:rPr>
        <w:t>s</w:t>
      </w:r>
      <w:r w:rsidR="004D1711" w:rsidRPr="00BA0E8D">
        <w:rPr>
          <w:rFonts w:ascii="Times New Roman" w:hAnsi="Times New Roman"/>
          <w:sz w:val="24"/>
          <w:szCs w:val="24"/>
        </w:rPr>
        <w:t xml:space="preserve">. </w:t>
      </w:r>
      <w:r w:rsidR="0028252E" w:rsidRPr="00BA0E8D">
        <w:rPr>
          <w:rFonts w:ascii="Times New Roman" w:hAnsi="Times New Roman"/>
          <w:sz w:val="24"/>
          <w:szCs w:val="24"/>
        </w:rPr>
        <w:t>Hence, o</w:t>
      </w:r>
      <w:r w:rsidR="004D1711" w:rsidRPr="00BA0E8D">
        <w:rPr>
          <w:rFonts w:ascii="Times New Roman" w:hAnsi="Times New Roman"/>
          <w:sz w:val="24"/>
          <w:szCs w:val="24"/>
        </w:rPr>
        <w:t xml:space="preserve">ne can expect intermediation cost to decrease </w:t>
      </w:r>
      <w:r w:rsidR="0028252E" w:rsidRPr="00BA0E8D">
        <w:rPr>
          <w:rFonts w:ascii="Times New Roman" w:hAnsi="Times New Roman"/>
          <w:sz w:val="24"/>
          <w:szCs w:val="24"/>
        </w:rPr>
        <w:t xml:space="preserve">as banks </w:t>
      </w:r>
      <w:proofErr w:type="gramStart"/>
      <w:r w:rsidR="0028252E" w:rsidRPr="00BA0E8D">
        <w:rPr>
          <w:rFonts w:ascii="Times New Roman" w:hAnsi="Times New Roman"/>
          <w:sz w:val="24"/>
          <w:szCs w:val="24"/>
        </w:rPr>
        <w:t>are able to</w:t>
      </w:r>
      <w:proofErr w:type="gramEnd"/>
      <w:r w:rsidR="0028252E" w:rsidRPr="00BA0E8D">
        <w:rPr>
          <w:rFonts w:ascii="Times New Roman" w:hAnsi="Times New Roman"/>
          <w:sz w:val="24"/>
          <w:szCs w:val="24"/>
        </w:rPr>
        <w:t xml:space="preserve"> lend safely and </w:t>
      </w:r>
      <w:r w:rsidR="004D1711" w:rsidRPr="00BA0E8D">
        <w:rPr>
          <w:rFonts w:ascii="Times New Roman" w:hAnsi="Times New Roman"/>
          <w:sz w:val="24"/>
          <w:szCs w:val="24"/>
        </w:rPr>
        <w:t>scale economies</w:t>
      </w:r>
      <w:r w:rsidR="0028252E" w:rsidRPr="00BA0E8D">
        <w:rPr>
          <w:rFonts w:ascii="Times New Roman" w:hAnsi="Times New Roman"/>
          <w:sz w:val="24"/>
          <w:szCs w:val="24"/>
        </w:rPr>
        <w:t xml:space="preserve"> accrue</w:t>
      </w:r>
      <w:r w:rsidR="004D1711" w:rsidRPr="00BA0E8D">
        <w:rPr>
          <w:rFonts w:ascii="Times New Roman" w:hAnsi="Times New Roman"/>
          <w:sz w:val="24"/>
          <w:szCs w:val="24"/>
        </w:rPr>
        <w:t>.</w:t>
      </w:r>
    </w:p>
    <w:p w14:paraId="6D6AC8E7" w14:textId="63B4BD88" w:rsidR="00B67B7F" w:rsidRPr="00BA0E8D" w:rsidRDefault="0047440A" w:rsidP="00B67B7F">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The moral hazard </w:t>
      </w:r>
      <w:r w:rsidR="009D0746" w:rsidRPr="00BA0E8D">
        <w:rPr>
          <w:rFonts w:ascii="Times New Roman" w:hAnsi="Times New Roman"/>
          <w:sz w:val="24"/>
          <w:szCs w:val="24"/>
        </w:rPr>
        <w:t xml:space="preserve">theory </w:t>
      </w:r>
      <w:r w:rsidRPr="00BA0E8D">
        <w:rPr>
          <w:rFonts w:ascii="Times New Roman" w:hAnsi="Times New Roman"/>
          <w:sz w:val="24"/>
          <w:szCs w:val="24"/>
        </w:rPr>
        <w:t xml:space="preserve">suggests that credit information sharing reduces borrower default by </w:t>
      </w:r>
      <w:r w:rsidR="00011418">
        <w:rPr>
          <w:rFonts w:ascii="Times New Roman" w:hAnsi="Times New Roman"/>
          <w:sz w:val="24"/>
          <w:szCs w:val="24"/>
        </w:rPr>
        <w:t xml:space="preserve">both </w:t>
      </w:r>
      <w:r w:rsidRPr="00BA0E8D">
        <w:rPr>
          <w:rFonts w:ascii="Times New Roman" w:hAnsi="Times New Roman"/>
          <w:sz w:val="24"/>
          <w:szCs w:val="24"/>
        </w:rPr>
        <w:t>reducing borrower holdup problems and disciplining borrowers</w:t>
      </w:r>
      <w:r w:rsidR="00545F27" w:rsidRPr="00BA0E8D">
        <w:rPr>
          <w:rFonts w:ascii="Times New Roman" w:hAnsi="Times New Roman"/>
          <w:color w:val="222222"/>
          <w:sz w:val="24"/>
          <w:szCs w:val="20"/>
          <w:shd w:val="clear" w:color="auto" w:fill="FFFFFF"/>
        </w:rPr>
        <w:t>.</w:t>
      </w:r>
      <w:r w:rsidRPr="00BA0E8D">
        <w:rPr>
          <w:rFonts w:ascii="Times New Roman" w:hAnsi="Times New Roman"/>
          <w:sz w:val="24"/>
          <w:szCs w:val="24"/>
        </w:rPr>
        <w:t xml:space="preserve"> </w:t>
      </w:r>
      <w:r w:rsidR="00B67B7F" w:rsidRPr="00BA0E8D">
        <w:rPr>
          <w:rFonts w:ascii="Times New Roman" w:hAnsi="Times New Roman"/>
          <w:sz w:val="24"/>
          <w:szCs w:val="24"/>
        </w:rPr>
        <w:t>P</w:t>
      </w:r>
      <w:r w:rsidRPr="00BA0E8D">
        <w:rPr>
          <w:rFonts w:ascii="Times New Roman" w:hAnsi="Times New Roman"/>
          <w:sz w:val="24"/>
          <w:szCs w:val="24"/>
        </w:rPr>
        <w:t>rivate information about borrowers acquired by banks permit</w:t>
      </w:r>
      <w:r w:rsidR="00E52602" w:rsidRPr="00BA0E8D">
        <w:rPr>
          <w:rFonts w:ascii="Times New Roman" w:hAnsi="Times New Roman"/>
          <w:sz w:val="24"/>
          <w:szCs w:val="24"/>
        </w:rPr>
        <w:t>s</w:t>
      </w:r>
      <w:r w:rsidRPr="00BA0E8D">
        <w:rPr>
          <w:rFonts w:ascii="Times New Roman" w:hAnsi="Times New Roman"/>
          <w:sz w:val="24"/>
          <w:szCs w:val="24"/>
        </w:rPr>
        <w:t xml:space="preserve"> them to extract </w:t>
      </w:r>
      <w:r w:rsidR="00B67B7F" w:rsidRPr="00BA0E8D">
        <w:rPr>
          <w:rFonts w:ascii="Times New Roman" w:hAnsi="Times New Roman"/>
          <w:sz w:val="24"/>
          <w:szCs w:val="24"/>
        </w:rPr>
        <w:t>rent by pricing their loans</w:t>
      </w:r>
      <w:r w:rsidR="00F23A78" w:rsidRPr="00BA0E8D">
        <w:rPr>
          <w:rFonts w:ascii="Times New Roman" w:hAnsi="Times New Roman"/>
          <w:sz w:val="24"/>
          <w:szCs w:val="24"/>
        </w:rPr>
        <w:t xml:space="preserve"> relatively</w:t>
      </w:r>
      <w:r w:rsidR="00B67B7F" w:rsidRPr="00BA0E8D">
        <w:rPr>
          <w:rFonts w:ascii="Times New Roman" w:hAnsi="Times New Roman"/>
          <w:sz w:val="24"/>
          <w:szCs w:val="24"/>
        </w:rPr>
        <w:t xml:space="preserve"> high</w:t>
      </w:r>
      <w:r w:rsidR="00F23A78" w:rsidRPr="00BA0E8D">
        <w:rPr>
          <w:rFonts w:ascii="Times New Roman" w:hAnsi="Times New Roman"/>
          <w:sz w:val="24"/>
          <w:szCs w:val="24"/>
        </w:rPr>
        <w:t>,</w:t>
      </w:r>
      <w:r w:rsidR="00B67B7F" w:rsidRPr="00BA0E8D">
        <w:rPr>
          <w:rFonts w:ascii="Times New Roman" w:hAnsi="Times New Roman"/>
          <w:sz w:val="24"/>
          <w:szCs w:val="24"/>
        </w:rPr>
        <w:t xml:space="preserve"> and </w:t>
      </w:r>
      <w:r w:rsidR="00F23A78" w:rsidRPr="00BA0E8D">
        <w:rPr>
          <w:rFonts w:ascii="Times New Roman" w:hAnsi="Times New Roman"/>
          <w:sz w:val="24"/>
          <w:szCs w:val="24"/>
        </w:rPr>
        <w:t>thereby often lead</w:t>
      </w:r>
      <w:r w:rsidR="00011418">
        <w:rPr>
          <w:rFonts w:ascii="Times New Roman" w:hAnsi="Times New Roman"/>
          <w:sz w:val="24"/>
          <w:szCs w:val="24"/>
        </w:rPr>
        <w:t>s</w:t>
      </w:r>
      <w:r w:rsidR="00F23A78" w:rsidRPr="00BA0E8D">
        <w:rPr>
          <w:rFonts w:ascii="Times New Roman" w:hAnsi="Times New Roman"/>
          <w:sz w:val="24"/>
          <w:szCs w:val="24"/>
        </w:rPr>
        <w:t xml:space="preserve"> to</w:t>
      </w:r>
      <w:r w:rsidR="00B67B7F" w:rsidRPr="00BA0E8D">
        <w:rPr>
          <w:rFonts w:ascii="Times New Roman" w:hAnsi="Times New Roman"/>
          <w:sz w:val="24"/>
          <w:szCs w:val="24"/>
        </w:rPr>
        <w:t xml:space="preserve"> borrower default. Credit information sharing </w:t>
      </w:r>
      <w:r w:rsidR="002C119F" w:rsidRPr="00BA0E8D">
        <w:rPr>
          <w:rFonts w:ascii="Times New Roman" w:hAnsi="Times New Roman"/>
          <w:sz w:val="24"/>
          <w:szCs w:val="24"/>
        </w:rPr>
        <w:t>help</w:t>
      </w:r>
      <w:r w:rsidR="000B6393" w:rsidRPr="00BA0E8D">
        <w:rPr>
          <w:rFonts w:ascii="Times New Roman" w:hAnsi="Times New Roman"/>
          <w:sz w:val="24"/>
          <w:szCs w:val="24"/>
        </w:rPr>
        <w:t>s</w:t>
      </w:r>
      <w:r w:rsidR="00B67B7F" w:rsidRPr="00BA0E8D">
        <w:rPr>
          <w:rFonts w:ascii="Times New Roman" w:hAnsi="Times New Roman"/>
          <w:sz w:val="24"/>
          <w:szCs w:val="24"/>
        </w:rPr>
        <w:t xml:space="preserve"> to reduce the information rent</w:t>
      </w:r>
      <w:r w:rsidR="00895CD9" w:rsidRPr="00BA0E8D">
        <w:rPr>
          <w:rFonts w:ascii="Times New Roman" w:hAnsi="Times New Roman"/>
          <w:sz w:val="24"/>
          <w:szCs w:val="24"/>
        </w:rPr>
        <w:t xml:space="preserve">, </w:t>
      </w:r>
      <w:r w:rsidR="00B67B7F" w:rsidRPr="00BA0E8D">
        <w:rPr>
          <w:rFonts w:ascii="Times New Roman" w:hAnsi="Times New Roman"/>
          <w:sz w:val="24"/>
          <w:szCs w:val="24"/>
        </w:rPr>
        <w:t>encourage</w:t>
      </w:r>
      <w:r w:rsidR="009D0746" w:rsidRPr="00BA0E8D">
        <w:rPr>
          <w:rFonts w:ascii="Times New Roman" w:hAnsi="Times New Roman"/>
          <w:sz w:val="24"/>
          <w:szCs w:val="24"/>
        </w:rPr>
        <w:t>s</w:t>
      </w:r>
      <w:r w:rsidR="00B67B7F" w:rsidRPr="00BA0E8D">
        <w:rPr>
          <w:rFonts w:ascii="Times New Roman" w:hAnsi="Times New Roman"/>
          <w:sz w:val="24"/>
          <w:szCs w:val="24"/>
        </w:rPr>
        <w:t xml:space="preserve"> borrower effort</w:t>
      </w:r>
      <w:r w:rsidR="00895CD9" w:rsidRPr="00BA0E8D">
        <w:rPr>
          <w:rFonts w:ascii="Times New Roman" w:hAnsi="Times New Roman"/>
          <w:sz w:val="24"/>
          <w:szCs w:val="24"/>
        </w:rPr>
        <w:t xml:space="preserve"> and reduces default risk</w:t>
      </w:r>
      <w:r w:rsidR="002C119F" w:rsidRPr="00BA0E8D">
        <w:rPr>
          <w:rFonts w:ascii="Times New Roman" w:hAnsi="Times New Roman"/>
          <w:sz w:val="24"/>
          <w:szCs w:val="24"/>
        </w:rPr>
        <w:t xml:space="preserve"> (Padilla </w:t>
      </w:r>
      <w:r w:rsidR="00675549" w:rsidRPr="00BA0E8D">
        <w:rPr>
          <w:rFonts w:ascii="Times New Roman" w:hAnsi="Times New Roman"/>
          <w:sz w:val="24"/>
          <w:szCs w:val="24"/>
        </w:rPr>
        <w:t xml:space="preserve">and </w:t>
      </w:r>
      <w:r w:rsidR="002C119F" w:rsidRPr="00BA0E8D">
        <w:rPr>
          <w:rFonts w:ascii="Times New Roman" w:hAnsi="Times New Roman"/>
          <w:color w:val="222222"/>
          <w:sz w:val="24"/>
          <w:szCs w:val="20"/>
          <w:shd w:val="clear" w:color="auto" w:fill="FFFFFF"/>
        </w:rPr>
        <w:t>Pagano, 1997)</w:t>
      </w:r>
      <w:r w:rsidR="00EB58C9" w:rsidRPr="00BA0E8D">
        <w:rPr>
          <w:rFonts w:ascii="Times New Roman" w:hAnsi="Times New Roman"/>
          <w:sz w:val="24"/>
          <w:szCs w:val="24"/>
        </w:rPr>
        <w:t xml:space="preserve">. </w:t>
      </w:r>
      <w:r w:rsidR="00011418">
        <w:rPr>
          <w:rFonts w:ascii="Times New Roman" w:hAnsi="Times New Roman"/>
          <w:sz w:val="24"/>
          <w:szCs w:val="24"/>
        </w:rPr>
        <w:t>B</w:t>
      </w:r>
      <w:r w:rsidR="00A03D4C" w:rsidRPr="00BA0E8D">
        <w:rPr>
          <w:rFonts w:ascii="Times New Roman" w:hAnsi="Times New Roman"/>
          <w:sz w:val="24"/>
          <w:szCs w:val="24"/>
        </w:rPr>
        <w:t>orrower discipline</w:t>
      </w:r>
      <w:r w:rsidR="00A03D4C" w:rsidRPr="00BA0E8D">
        <w:rPr>
          <w:rFonts w:ascii="Times New Roman" w:hAnsi="Times New Roman"/>
          <w:b/>
          <w:sz w:val="24"/>
          <w:szCs w:val="24"/>
        </w:rPr>
        <w:t xml:space="preserve"> </w:t>
      </w:r>
      <w:r w:rsidR="00A03D4C" w:rsidRPr="00BA0E8D">
        <w:rPr>
          <w:rFonts w:ascii="Times New Roman" w:hAnsi="Times New Roman"/>
          <w:sz w:val="24"/>
          <w:szCs w:val="24"/>
        </w:rPr>
        <w:t xml:space="preserve">arises </w:t>
      </w:r>
      <w:r w:rsidR="009D0746" w:rsidRPr="00BA0E8D">
        <w:rPr>
          <w:rFonts w:ascii="Times New Roman" w:hAnsi="Times New Roman"/>
          <w:sz w:val="24"/>
          <w:szCs w:val="24"/>
        </w:rPr>
        <w:t xml:space="preserve">where there is adequate </w:t>
      </w:r>
      <w:r w:rsidR="002A654B" w:rsidRPr="00BA0E8D">
        <w:rPr>
          <w:rFonts w:ascii="Times New Roman" w:hAnsi="Times New Roman"/>
          <w:sz w:val="24"/>
          <w:szCs w:val="24"/>
        </w:rPr>
        <w:t>information sharing,</w:t>
      </w:r>
      <w:r w:rsidR="009D0746" w:rsidRPr="00BA0E8D">
        <w:rPr>
          <w:rFonts w:ascii="Times New Roman" w:hAnsi="Times New Roman"/>
          <w:sz w:val="24"/>
          <w:szCs w:val="24"/>
        </w:rPr>
        <w:t xml:space="preserve"> which implies that</w:t>
      </w:r>
      <w:r w:rsidR="002A654B" w:rsidRPr="00BA0E8D">
        <w:rPr>
          <w:rFonts w:ascii="Times New Roman" w:hAnsi="Times New Roman"/>
          <w:sz w:val="24"/>
          <w:szCs w:val="24"/>
        </w:rPr>
        <w:t xml:space="preserve"> defaulting borrowers </w:t>
      </w:r>
      <w:r w:rsidR="009D0746" w:rsidRPr="00BA0E8D">
        <w:rPr>
          <w:rFonts w:ascii="Times New Roman" w:hAnsi="Times New Roman"/>
          <w:sz w:val="24"/>
          <w:szCs w:val="24"/>
        </w:rPr>
        <w:t xml:space="preserve">will </w:t>
      </w:r>
      <w:r w:rsidR="00011418">
        <w:rPr>
          <w:rFonts w:ascii="Times New Roman" w:hAnsi="Times New Roman"/>
          <w:sz w:val="24"/>
          <w:szCs w:val="24"/>
        </w:rPr>
        <w:t>be</w:t>
      </w:r>
      <w:r w:rsidR="00011418" w:rsidRPr="00BA0E8D">
        <w:rPr>
          <w:rFonts w:ascii="Times New Roman" w:hAnsi="Times New Roman"/>
          <w:sz w:val="24"/>
          <w:szCs w:val="24"/>
        </w:rPr>
        <w:t xml:space="preserve"> </w:t>
      </w:r>
      <w:r w:rsidR="002A654B" w:rsidRPr="00BA0E8D">
        <w:rPr>
          <w:rFonts w:ascii="Times New Roman" w:hAnsi="Times New Roman"/>
          <w:sz w:val="24"/>
          <w:szCs w:val="24"/>
        </w:rPr>
        <w:t xml:space="preserve">blacklisted and </w:t>
      </w:r>
      <w:r w:rsidR="00D95C11" w:rsidRPr="00D95C11">
        <w:rPr>
          <w:rFonts w:ascii="Times New Roman" w:hAnsi="Times New Roman"/>
          <w:sz w:val="24"/>
          <w:szCs w:val="24"/>
        </w:rPr>
        <w:t>face high costs when trying to access finance in the future</w:t>
      </w:r>
      <w:r w:rsidR="00905161" w:rsidRPr="00D95C11">
        <w:rPr>
          <w:rFonts w:ascii="Times New Roman" w:hAnsi="Times New Roman"/>
          <w:sz w:val="24"/>
          <w:szCs w:val="24"/>
        </w:rPr>
        <w:t xml:space="preserve">. </w:t>
      </w:r>
      <w:r w:rsidR="002A654B" w:rsidRPr="00BA0E8D">
        <w:rPr>
          <w:rFonts w:ascii="Times New Roman" w:hAnsi="Times New Roman"/>
          <w:sz w:val="24"/>
          <w:szCs w:val="24"/>
        </w:rPr>
        <w:t>Hence, credit information sharing improves borrower</w:t>
      </w:r>
      <w:r w:rsidR="009D0746" w:rsidRPr="00BA0E8D">
        <w:rPr>
          <w:rFonts w:ascii="Times New Roman" w:hAnsi="Times New Roman"/>
          <w:sz w:val="24"/>
          <w:szCs w:val="24"/>
        </w:rPr>
        <w:t>s’</w:t>
      </w:r>
      <w:r w:rsidR="002A654B" w:rsidRPr="00BA0E8D">
        <w:rPr>
          <w:rFonts w:ascii="Times New Roman" w:hAnsi="Times New Roman"/>
          <w:sz w:val="24"/>
          <w:szCs w:val="24"/>
        </w:rPr>
        <w:t xml:space="preserve"> effort</w:t>
      </w:r>
      <w:r w:rsidR="00011418">
        <w:rPr>
          <w:rFonts w:ascii="Times New Roman" w:hAnsi="Times New Roman"/>
          <w:sz w:val="24"/>
          <w:szCs w:val="24"/>
        </w:rPr>
        <w:t>s</w:t>
      </w:r>
      <w:r w:rsidR="002A654B" w:rsidRPr="00BA0E8D">
        <w:rPr>
          <w:rFonts w:ascii="Times New Roman" w:hAnsi="Times New Roman"/>
          <w:sz w:val="24"/>
          <w:szCs w:val="24"/>
        </w:rPr>
        <w:t xml:space="preserve"> to repay and reduces default risk (Klein, 1992;</w:t>
      </w:r>
      <w:r w:rsidR="00B26178" w:rsidRPr="00BA0E8D">
        <w:rPr>
          <w:rFonts w:ascii="Times New Roman" w:hAnsi="Times New Roman"/>
          <w:sz w:val="24"/>
          <w:szCs w:val="24"/>
        </w:rPr>
        <w:t xml:space="preserve"> </w:t>
      </w:r>
      <w:r w:rsidR="00B26178" w:rsidRPr="00BA0E8D">
        <w:rPr>
          <w:rFonts w:ascii="Times New Roman" w:hAnsi="Times New Roman"/>
          <w:color w:val="222222"/>
          <w:sz w:val="24"/>
          <w:szCs w:val="20"/>
          <w:shd w:val="clear" w:color="auto" w:fill="FFFFFF"/>
        </w:rPr>
        <w:t>Vercammen, 1995;</w:t>
      </w:r>
      <w:r w:rsidR="002A654B" w:rsidRPr="00BA0E8D">
        <w:rPr>
          <w:rFonts w:ascii="Times New Roman" w:hAnsi="Times New Roman"/>
          <w:sz w:val="24"/>
          <w:szCs w:val="24"/>
        </w:rPr>
        <w:t xml:space="preserve"> Padilla </w:t>
      </w:r>
      <w:r w:rsidR="00675549" w:rsidRPr="00BA0E8D">
        <w:rPr>
          <w:rFonts w:ascii="Times New Roman" w:hAnsi="Times New Roman"/>
          <w:sz w:val="24"/>
          <w:szCs w:val="24"/>
        </w:rPr>
        <w:t xml:space="preserve">and </w:t>
      </w:r>
      <w:r w:rsidR="002A654B" w:rsidRPr="00BA0E8D">
        <w:rPr>
          <w:rFonts w:ascii="Times New Roman" w:hAnsi="Times New Roman"/>
          <w:color w:val="222222"/>
          <w:sz w:val="24"/>
          <w:szCs w:val="20"/>
          <w:shd w:val="clear" w:color="auto" w:fill="FFFFFF"/>
        </w:rPr>
        <w:t>Pagano, 2000).</w:t>
      </w:r>
      <w:r w:rsidR="001C57DF" w:rsidRPr="00BA0E8D">
        <w:rPr>
          <w:rFonts w:ascii="Times New Roman" w:hAnsi="Times New Roman"/>
          <w:color w:val="222222"/>
          <w:sz w:val="24"/>
          <w:szCs w:val="20"/>
          <w:shd w:val="clear" w:color="auto" w:fill="FFFFFF"/>
        </w:rPr>
        <w:t xml:space="preserve"> </w:t>
      </w:r>
      <w:r w:rsidR="00CE2C6F" w:rsidRPr="00BA0E8D">
        <w:rPr>
          <w:rFonts w:ascii="Times New Roman" w:hAnsi="Times New Roman"/>
          <w:sz w:val="24"/>
          <w:szCs w:val="24"/>
        </w:rPr>
        <w:t>Further</w:t>
      </w:r>
      <w:r w:rsidR="001C57DF" w:rsidRPr="00BA0E8D">
        <w:rPr>
          <w:rFonts w:ascii="Times New Roman" w:hAnsi="Times New Roman"/>
          <w:sz w:val="24"/>
          <w:szCs w:val="24"/>
        </w:rPr>
        <w:t>more</w:t>
      </w:r>
      <w:r w:rsidR="00CE2C6F" w:rsidRPr="00BA0E8D">
        <w:rPr>
          <w:rFonts w:ascii="Times New Roman" w:hAnsi="Times New Roman"/>
          <w:color w:val="222222"/>
          <w:sz w:val="24"/>
          <w:szCs w:val="20"/>
          <w:shd w:val="clear" w:color="auto" w:fill="FFFFFF"/>
        </w:rPr>
        <w:t>, the overall indebtedness of an individual borrower from all lending sources</w:t>
      </w:r>
      <w:r w:rsidR="000B6393" w:rsidRPr="00BA0E8D">
        <w:rPr>
          <w:rFonts w:ascii="Times New Roman" w:hAnsi="Times New Roman"/>
          <w:color w:val="222222"/>
          <w:sz w:val="24"/>
          <w:szCs w:val="20"/>
          <w:shd w:val="clear" w:color="auto" w:fill="FFFFFF"/>
        </w:rPr>
        <w:t xml:space="preserve"> </w:t>
      </w:r>
      <w:r w:rsidR="00497FD3" w:rsidRPr="00BA0E8D">
        <w:rPr>
          <w:rFonts w:ascii="Times New Roman" w:hAnsi="Times New Roman"/>
          <w:color w:val="222222"/>
          <w:sz w:val="24"/>
          <w:szCs w:val="20"/>
          <w:shd w:val="clear" w:color="auto" w:fill="FFFFFF"/>
        </w:rPr>
        <w:t>is</w:t>
      </w:r>
      <w:r w:rsidR="00CE2C6F" w:rsidRPr="00BA0E8D">
        <w:rPr>
          <w:rFonts w:ascii="Times New Roman" w:hAnsi="Times New Roman"/>
          <w:color w:val="222222"/>
          <w:sz w:val="24"/>
          <w:szCs w:val="20"/>
          <w:shd w:val="clear" w:color="auto" w:fill="FFFFFF"/>
        </w:rPr>
        <w:t xml:space="preserve"> revea</w:t>
      </w:r>
      <w:r w:rsidR="00EB58C9" w:rsidRPr="00BA0E8D">
        <w:rPr>
          <w:rFonts w:ascii="Times New Roman" w:hAnsi="Times New Roman"/>
          <w:color w:val="222222"/>
          <w:sz w:val="24"/>
          <w:szCs w:val="20"/>
          <w:shd w:val="clear" w:color="auto" w:fill="FFFFFF"/>
        </w:rPr>
        <w:t>led through information sharing,</w:t>
      </w:r>
      <w:r w:rsidR="00F23A78" w:rsidRPr="00BA0E8D">
        <w:rPr>
          <w:rFonts w:ascii="Times New Roman" w:hAnsi="Times New Roman"/>
          <w:color w:val="222222"/>
          <w:sz w:val="24"/>
          <w:szCs w:val="20"/>
          <w:shd w:val="clear" w:color="auto" w:fill="FFFFFF"/>
        </w:rPr>
        <w:t xml:space="preserve"> </w:t>
      </w:r>
      <w:r w:rsidR="00EB58C9" w:rsidRPr="00BA0E8D">
        <w:rPr>
          <w:rFonts w:ascii="Times New Roman" w:hAnsi="Times New Roman"/>
          <w:color w:val="222222"/>
          <w:sz w:val="24"/>
          <w:szCs w:val="20"/>
          <w:shd w:val="clear" w:color="auto" w:fill="FFFFFF"/>
        </w:rPr>
        <w:t xml:space="preserve">thus mitigating </w:t>
      </w:r>
      <w:r w:rsidR="00CE2C6F" w:rsidRPr="00BA0E8D">
        <w:rPr>
          <w:rFonts w:ascii="Times New Roman" w:hAnsi="Times New Roman"/>
          <w:color w:val="222222"/>
          <w:sz w:val="24"/>
          <w:szCs w:val="20"/>
          <w:shd w:val="clear" w:color="auto" w:fill="FFFFFF"/>
        </w:rPr>
        <w:t>potential over-borrowing from multiple lenders</w:t>
      </w:r>
      <w:r w:rsidR="00EB58C9" w:rsidRPr="00BA0E8D">
        <w:rPr>
          <w:rFonts w:ascii="Times New Roman" w:hAnsi="Times New Roman"/>
          <w:color w:val="222222"/>
          <w:sz w:val="24"/>
          <w:szCs w:val="20"/>
          <w:shd w:val="clear" w:color="auto" w:fill="FFFFFF"/>
        </w:rPr>
        <w:t xml:space="preserve"> (Bennardo et al.</w:t>
      </w:r>
      <w:r w:rsidR="00C354C5" w:rsidRPr="00BA0E8D">
        <w:rPr>
          <w:rFonts w:ascii="Times New Roman" w:hAnsi="Times New Roman"/>
          <w:color w:val="222222"/>
          <w:sz w:val="24"/>
          <w:szCs w:val="20"/>
          <w:shd w:val="clear" w:color="auto" w:fill="FFFFFF"/>
        </w:rPr>
        <w:t>,</w:t>
      </w:r>
      <w:r w:rsidR="00EB58C9" w:rsidRPr="00BA0E8D">
        <w:rPr>
          <w:rFonts w:ascii="Times New Roman" w:hAnsi="Times New Roman"/>
          <w:color w:val="222222"/>
          <w:sz w:val="24"/>
          <w:szCs w:val="20"/>
          <w:shd w:val="clear" w:color="auto" w:fill="FFFFFF"/>
        </w:rPr>
        <w:t xml:space="preserve"> 2015)</w:t>
      </w:r>
      <w:r w:rsidR="00A24DDF">
        <w:rPr>
          <w:rFonts w:ascii="Times New Roman" w:hAnsi="Times New Roman"/>
          <w:color w:val="222222"/>
          <w:sz w:val="24"/>
          <w:szCs w:val="20"/>
          <w:shd w:val="clear" w:color="auto" w:fill="FFFFFF"/>
        </w:rPr>
        <w:t>,</w:t>
      </w:r>
      <w:r w:rsidR="00CE2C6F" w:rsidRPr="00BA0E8D">
        <w:rPr>
          <w:rFonts w:ascii="Times New Roman" w:hAnsi="Times New Roman"/>
          <w:color w:val="222222"/>
          <w:sz w:val="24"/>
          <w:szCs w:val="20"/>
          <w:shd w:val="clear" w:color="auto" w:fill="FFFFFF"/>
        </w:rPr>
        <w:t xml:space="preserve"> </w:t>
      </w:r>
      <w:r w:rsidR="009852A7" w:rsidRPr="00BA0E8D">
        <w:rPr>
          <w:rFonts w:ascii="Times New Roman" w:hAnsi="Times New Roman"/>
          <w:color w:val="222222"/>
          <w:sz w:val="24"/>
          <w:szCs w:val="20"/>
          <w:shd w:val="clear" w:color="auto" w:fill="FFFFFF"/>
        </w:rPr>
        <w:t xml:space="preserve">which </w:t>
      </w:r>
      <w:r w:rsidR="00CE2C6F" w:rsidRPr="00BA0E8D">
        <w:rPr>
          <w:rFonts w:ascii="Times New Roman" w:hAnsi="Times New Roman"/>
          <w:color w:val="222222"/>
          <w:sz w:val="24"/>
          <w:szCs w:val="20"/>
          <w:shd w:val="clear" w:color="auto" w:fill="FFFFFF"/>
        </w:rPr>
        <w:t>subsequently reduces loan default rates.</w:t>
      </w:r>
      <w:r w:rsidR="00647243" w:rsidRPr="00BA0E8D">
        <w:rPr>
          <w:rFonts w:ascii="Times New Roman" w:hAnsi="Times New Roman"/>
          <w:sz w:val="24"/>
          <w:szCs w:val="24"/>
        </w:rPr>
        <w:t xml:space="preserve"> </w:t>
      </w:r>
      <w:r w:rsidR="00CE6DDA" w:rsidRPr="00BA0E8D">
        <w:rPr>
          <w:rFonts w:ascii="Times New Roman" w:hAnsi="Times New Roman"/>
          <w:sz w:val="24"/>
          <w:szCs w:val="24"/>
        </w:rPr>
        <w:t>Ultimately, credit information sharing should lead to</w:t>
      </w:r>
      <w:r w:rsidR="00E52602" w:rsidRPr="00BA0E8D">
        <w:rPr>
          <w:rFonts w:ascii="Times New Roman" w:hAnsi="Times New Roman"/>
          <w:sz w:val="24"/>
          <w:szCs w:val="24"/>
        </w:rPr>
        <w:t xml:space="preserve"> a</w:t>
      </w:r>
      <w:r w:rsidR="00CE6DDA" w:rsidRPr="00BA0E8D">
        <w:rPr>
          <w:rFonts w:ascii="Times New Roman" w:hAnsi="Times New Roman"/>
          <w:sz w:val="24"/>
          <w:szCs w:val="24"/>
        </w:rPr>
        <w:t xml:space="preserve"> reduced credit intermediation cost.</w:t>
      </w:r>
    </w:p>
    <w:p w14:paraId="4D014670" w14:textId="3F2099AC" w:rsidR="000C1BF9" w:rsidRPr="00BA0E8D" w:rsidRDefault="000C1BF9" w:rsidP="00B67B7F">
      <w:pPr>
        <w:spacing w:before="240" w:after="240" w:line="360" w:lineRule="auto"/>
        <w:jc w:val="both"/>
        <w:rPr>
          <w:rFonts w:ascii="Times New Roman" w:hAnsi="Times New Roman"/>
          <w:sz w:val="24"/>
          <w:szCs w:val="24"/>
        </w:rPr>
      </w:pPr>
      <w:r w:rsidRPr="00BA0E8D">
        <w:rPr>
          <w:rFonts w:ascii="Times New Roman" w:hAnsi="Times New Roman"/>
          <w:sz w:val="24"/>
          <w:szCs w:val="24"/>
        </w:rPr>
        <w:t>The above theoretical predictions</w:t>
      </w:r>
      <w:r w:rsidR="00F23A78" w:rsidRPr="00BA0E8D">
        <w:rPr>
          <w:rFonts w:ascii="Times New Roman" w:hAnsi="Times New Roman"/>
          <w:sz w:val="24"/>
          <w:szCs w:val="24"/>
        </w:rPr>
        <w:t xml:space="preserve"> have</w:t>
      </w:r>
      <w:r w:rsidRPr="00BA0E8D">
        <w:rPr>
          <w:rFonts w:ascii="Times New Roman" w:hAnsi="Times New Roman"/>
          <w:sz w:val="24"/>
          <w:szCs w:val="24"/>
        </w:rPr>
        <w:t xml:space="preserve"> receive</w:t>
      </w:r>
      <w:r w:rsidR="00F23A78" w:rsidRPr="00BA0E8D">
        <w:rPr>
          <w:rFonts w:ascii="Times New Roman" w:hAnsi="Times New Roman"/>
          <w:sz w:val="24"/>
          <w:szCs w:val="24"/>
        </w:rPr>
        <w:t>d</w:t>
      </w:r>
      <w:r w:rsidR="00E52602" w:rsidRPr="00BA0E8D">
        <w:rPr>
          <w:rFonts w:ascii="Times New Roman" w:hAnsi="Times New Roman"/>
          <w:sz w:val="24"/>
          <w:szCs w:val="24"/>
        </w:rPr>
        <w:t xml:space="preserve"> </w:t>
      </w:r>
      <w:r w:rsidRPr="00BA0E8D">
        <w:rPr>
          <w:rFonts w:ascii="Times New Roman" w:hAnsi="Times New Roman"/>
          <w:sz w:val="24"/>
          <w:szCs w:val="24"/>
        </w:rPr>
        <w:t xml:space="preserve">rich empirical support. </w:t>
      </w:r>
      <w:r w:rsidR="00AF7C06" w:rsidRPr="00BA0E8D">
        <w:rPr>
          <w:rFonts w:ascii="Times New Roman" w:hAnsi="Times New Roman"/>
          <w:sz w:val="24"/>
          <w:szCs w:val="24"/>
        </w:rPr>
        <w:t>For instance, i</w:t>
      </w:r>
      <w:r w:rsidRPr="00BA0E8D">
        <w:rPr>
          <w:rFonts w:ascii="Times New Roman" w:hAnsi="Times New Roman"/>
          <w:sz w:val="24"/>
          <w:szCs w:val="24"/>
        </w:rPr>
        <w:t xml:space="preserve">n a cross-sectional study of 43 countries, </w:t>
      </w:r>
      <w:proofErr w:type="spellStart"/>
      <w:r w:rsidRPr="00BA0E8D">
        <w:rPr>
          <w:rFonts w:ascii="Times New Roman" w:hAnsi="Times New Roman"/>
          <w:sz w:val="24"/>
          <w:szCs w:val="24"/>
        </w:rPr>
        <w:t>Jappelli</w:t>
      </w:r>
      <w:proofErr w:type="spellEnd"/>
      <w:r w:rsidRPr="00BA0E8D">
        <w:rPr>
          <w:rFonts w:ascii="Times New Roman" w:hAnsi="Times New Roman"/>
          <w:sz w:val="24"/>
          <w:szCs w:val="24"/>
        </w:rPr>
        <w:t xml:space="preserve"> and Pagano (2002) </w:t>
      </w:r>
      <w:r w:rsidR="0030014C" w:rsidRPr="00BA0E8D">
        <w:rPr>
          <w:rFonts w:ascii="Times New Roman" w:hAnsi="Times New Roman"/>
          <w:sz w:val="24"/>
          <w:szCs w:val="24"/>
        </w:rPr>
        <w:t>find</w:t>
      </w:r>
      <w:r w:rsidRPr="00BA0E8D">
        <w:rPr>
          <w:rFonts w:ascii="Times New Roman" w:hAnsi="Times New Roman"/>
          <w:sz w:val="24"/>
          <w:szCs w:val="24"/>
        </w:rPr>
        <w:t xml:space="preserve"> that credit information sharing increase</w:t>
      </w:r>
      <w:r w:rsidR="004A1AFD" w:rsidRPr="00BA0E8D">
        <w:rPr>
          <w:rFonts w:ascii="Times New Roman" w:hAnsi="Times New Roman"/>
          <w:sz w:val="24"/>
          <w:szCs w:val="24"/>
        </w:rPr>
        <w:t>s</w:t>
      </w:r>
      <w:r w:rsidRPr="00BA0E8D">
        <w:rPr>
          <w:rFonts w:ascii="Times New Roman" w:hAnsi="Times New Roman"/>
          <w:sz w:val="24"/>
          <w:szCs w:val="24"/>
        </w:rPr>
        <w:t xml:space="preserve"> bank lending to the private sector</w:t>
      </w:r>
      <w:r w:rsidR="0030014C" w:rsidRPr="00BA0E8D">
        <w:rPr>
          <w:rFonts w:ascii="Times New Roman" w:hAnsi="Times New Roman"/>
          <w:sz w:val="24"/>
          <w:szCs w:val="24"/>
        </w:rPr>
        <w:t>, measured as private credit to gross domestic</w:t>
      </w:r>
      <w:r w:rsidR="0083538A" w:rsidRPr="00BA0E8D">
        <w:rPr>
          <w:rFonts w:ascii="Times New Roman" w:hAnsi="Times New Roman"/>
          <w:sz w:val="24"/>
          <w:szCs w:val="24"/>
        </w:rPr>
        <w:t xml:space="preserve"> product</w:t>
      </w:r>
      <w:r w:rsidR="0030014C" w:rsidRPr="00BA0E8D">
        <w:rPr>
          <w:rFonts w:ascii="Times New Roman" w:hAnsi="Times New Roman"/>
          <w:sz w:val="24"/>
          <w:szCs w:val="24"/>
        </w:rPr>
        <w:t xml:space="preserve">. </w:t>
      </w:r>
      <w:r w:rsidR="00F23A78" w:rsidRPr="00BA0E8D">
        <w:rPr>
          <w:rFonts w:ascii="Times New Roman" w:hAnsi="Times New Roman"/>
          <w:sz w:val="24"/>
          <w:szCs w:val="24"/>
        </w:rPr>
        <w:t>Similarly</w:t>
      </w:r>
      <w:r w:rsidR="00A24DDF">
        <w:rPr>
          <w:rFonts w:ascii="Times New Roman" w:hAnsi="Times New Roman"/>
          <w:sz w:val="24"/>
          <w:szCs w:val="24"/>
        </w:rPr>
        <w:t>,</w:t>
      </w:r>
      <w:r w:rsidR="00F23A78" w:rsidRPr="00BA0E8D">
        <w:rPr>
          <w:rFonts w:ascii="Times New Roman" w:hAnsi="Times New Roman"/>
          <w:sz w:val="24"/>
          <w:szCs w:val="24"/>
        </w:rPr>
        <w:t xml:space="preserve"> and u</w:t>
      </w:r>
      <w:r w:rsidR="0030014C" w:rsidRPr="00BA0E8D">
        <w:rPr>
          <w:rFonts w:ascii="Times New Roman" w:hAnsi="Times New Roman"/>
          <w:sz w:val="24"/>
          <w:szCs w:val="24"/>
        </w:rPr>
        <w:t>sing bank</w:t>
      </w:r>
      <w:r w:rsidR="00F23A78" w:rsidRPr="00BA0E8D">
        <w:rPr>
          <w:rFonts w:ascii="Times New Roman" w:hAnsi="Times New Roman"/>
          <w:sz w:val="24"/>
          <w:szCs w:val="24"/>
        </w:rPr>
        <w:t>-</w:t>
      </w:r>
      <w:r w:rsidR="0030014C" w:rsidRPr="00BA0E8D">
        <w:rPr>
          <w:rFonts w:ascii="Times New Roman" w:hAnsi="Times New Roman"/>
          <w:sz w:val="24"/>
          <w:szCs w:val="24"/>
        </w:rPr>
        <w:t xml:space="preserve">level data, Fosu (2014) </w:t>
      </w:r>
      <w:r w:rsidR="00F23A78" w:rsidRPr="00BA0E8D">
        <w:rPr>
          <w:rFonts w:ascii="Times New Roman" w:hAnsi="Times New Roman"/>
          <w:sz w:val="24"/>
          <w:szCs w:val="24"/>
        </w:rPr>
        <w:t xml:space="preserve">reports </w:t>
      </w:r>
      <w:r w:rsidR="0030014C" w:rsidRPr="00BA0E8D">
        <w:rPr>
          <w:rFonts w:ascii="Times New Roman" w:hAnsi="Times New Roman"/>
          <w:sz w:val="24"/>
          <w:szCs w:val="24"/>
        </w:rPr>
        <w:t xml:space="preserve">that information sharing increases bank lending. Further, </w:t>
      </w:r>
      <w:r w:rsidR="0030014C" w:rsidRPr="00BA0E8D">
        <w:rPr>
          <w:rFonts w:ascii="Times New Roman" w:hAnsi="Times New Roman"/>
          <w:sz w:val="24"/>
          <w:szCs w:val="24"/>
          <w:lang w:eastAsia="en-GB"/>
        </w:rPr>
        <w:t xml:space="preserve">Brown et al. </w:t>
      </w:r>
      <w:r w:rsidR="0075022A" w:rsidRPr="00BA0E8D">
        <w:rPr>
          <w:rFonts w:ascii="Times New Roman" w:hAnsi="Times New Roman"/>
          <w:sz w:val="24"/>
          <w:szCs w:val="24"/>
          <w:lang w:eastAsia="en-GB"/>
        </w:rPr>
        <w:t>(</w:t>
      </w:r>
      <w:r w:rsidR="0030014C" w:rsidRPr="00BA0E8D">
        <w:rPr>
          <w:rFonts w:ascii="Times New Roman" w:hAnsi="Times New Roman"/>
          <w:sz w:val="24"/>
          <w:szCs w:val="24"/>
          <w:lang w:eastAsia="en-GB"/>
        </w:rPr>
        <w:t>2009)</w:t>
      </w:r>
      <w:r w:rsidR="0030014C" w:rsidRPr="00BA0E8D">
        <w:rPr>
          <w:rFonts w:ascii="Times New Roman" w:hAnsi="Times New Roman"/>
          <w:sz w:val="24"/>
          <w:szCs w:val="24"/>
        </w:rPr>
        <w:t xml:space="preserve"> </w:t>
      </w:r>
      <w:r w:rsidR="0075022A" w:rsidRPr="00BA0E8D">
        <w:rPr>
          <w:rFonts w:ascii="Times New Roman" w:hAnsi="Times New Roman"/>
          <w:sz w:val="24"/>
          <w:szCs w:val="24"/>
        </w:rPr>
        <w:t xml:space="preserve">and Love </w:t>
      </w:r>
      <w:r w:rsidR="00F23A78" w:rsidRPr="00BA0E8D">
        <w:rPr>
          <w:rFonts w:ascii="Times New Roman" w:hAnsi="Times New Roman"/>
          <w:sz w:val="24"/>
          <w:szCs w:val="24"/>
        </w:rPr>
        <w:t>and</w:t>
      </w:r>
      <w:r w:rsidR="0075022A" w:rsidRPr="00BA0E8D">
        <w:rPr>
          <w:rFonts w:ascii="Times New Roman" w:hAnsi="Times New Roman"/>
          <w:sz w:val="24"/>
          <w:szCs w:val="24"/>
        </w:rPr>
        <w:t xml:space="preserve"> </w:t>
      </w:r>
      <w:proofErr w:type="spellStart"/>
      <w:r w:rsidR="0075022A" w:rsidRPr="00BA0E8D">
        <w:rPr>
          <w:rFonts w:ascii="Times New Roman" w:hAnsi="Times New Roman"/>
          <w:sz w:val="24"/>
          <w:szCs w:val="24"/>
        </w:rPr>
        <w:t>Mylenko</w:t>
      </w:r>
      <w:proofErr w:type="spellEnd"/>
      <w:r w:rsidR="0075022A" w:rsidRPr="00BA0E8D">
        <w:rPr>
          <w:rFonts w:ascii="Times New Roman" w:hAnsi="Times New Roman"/>
          <w:sz w:val="24"/>
          <w:szCs w:val="24"/>
        </w:rPr>
        <w:t xml:space="preserve"> (2003) find that information sharing reduces credit constraints </w:t>
      </w:r>
      <w:r w:rsidR="00D95C11">
        <w:rPr>
          <w:rFonts w:ascii="Times New Roman" w:hAnsi="Times New Roman"/>
          <w:sz w:val="24"/>
          <w:szCs w:val="24"/>
        </w:rPr>
        <w:t>on</w:t>
      </w:r>
      <w:r w:rsidR="00D95C11" w:rsidRPr="00BA0E8D">
        <w:rPr>
          <w:rFonts w:ascii="Times New Roman" w:hAnsi="Times New Roman"/>
          <w:sz w:val="24"/>
          <w:szCs w:val="24"/>
        </w:rPr>
        <w:t xml:space="preserve"> </w:t>
      </w:r>
      <w:r w:rsidR="0075022A" w:rsidRPr="00BA0E8D">
        <w:rPr>
          <w:rFonts w:ascii="Times New Roman" w:hAnsi="Times New Roman"/>
          <w:sz w:val="24"/>
          <w:szCs w:val="24"/>
        </w:rPr>
        <w:t>firm</w:t>
      </w:r>
      <w:r w:rsidR="00F23A78" w:rsidRPr="00BA0E8D">
        <w:rPr>
          <w:rFonts w:ascii="Times New Roman" w:hAnsi="Times New Roman"/>
          <w:sz w:val="24"/>
          <w:szCs w:val="24"/>
        </w:rPr>
        <w:t>s</w:t>
      </w:r>
      <w:r w:rsidR="0075022A" w:rsidRPr="00BA0E8D">
        <w:rPr>
          <w:rFonts w:ascii="Times New Roman" w:hAnsi="Times New Roman"/>
          <w:sz w:val="24"/>
          <w:szCs w:val="24"/>
        </w:rPr>
        <w:t>.</w:t>
      </w:r>
      <w:r w:rsidR="0083538A" w:rsidRPr="00BA0E8D">
        <w:rPr>
          <w:rFonts w:ascii="Times New Roman" w:hAnsi="Times New Roman"/>
          <w:sz w:val="24"/>
          <w:szCs w:val="24"/>
        </w:rPr>
        <w:t xml:space="preserve"> On borrower default, </w:t>
      </w:r>
      <w:proofErr w:type="spellStart"/>
      <w:r w:rsidR="0083538A" w:rsidRPr="00BA0E8D">
        <w:rPr>
          <w:rFonts w:ascii="Times New Roman" w:hAnsi="Times New Roman"/>
          <w:sz w:val="24"/>
          <w:szCs w:val="24"/>
        </w:rPr>
        <w:t>Jappelli</w:t>
      </w:r>
      <w:proofErr w:type="spellEnd"/>
      <w:r w:rsidR="0083538A" w:rsidRPr="00BA0E8D">
        <w:rPr>
          <w:rFonts w:ascii="Times New Roman" w:hAnsi="Times New Roman"/>
          <w:sz w:val="24"/>
          <w:szCs w:val="24"/>
        </w:rPr>
        <w:t xml:space="preserve"> and Pagano (2002) and Behr and </w:t>
      </w:r>
      <w:proofErr w:type="spellStart"/>
      <w:r w:rsidR="0083538A" w:rsidRPr="00BA0E8D">
        <w:rPr>
          <w:rFonts w:ascii="Times New Roman" w:hAnsi="Times New Roman"/>
          <w:sz w:val="24"/>
          <w:szCs w:val="24"/>
        </w:rPr>
        <w:t>Sonnekalb</w:t>
      </w:r>
      <w:proofErr w:type="spellEnd"/>
      <w:r w:rsidR="0083538A" w:rsidRPr="00BA0E8D">
        <w:rPr>
          <w:rFonts w:ascii="Times New Roman" w:hAnsi="Times New Roman"/>
          <w:sz w:val="24"/>
          <w:szCs w:val="24"/>
        </w:rPr>
        <w:t xml:space="preserve"> (2012) find that credit information sharing reduces borrower </w:t>
      </w:r>
      <w:r w:rsidR="0083538A" w:rsidRPr="003C588D">
        <w:rPr>
          <w:rFonts w:ascii="Times New Roman" w:hAnsi="Times New Roman"/>
          <w:sz w:val="24"/>
          <w:szCs w:val="24"/>
        </w:rPr>
        <w:t>default.</w:t>
      </w:r>
      <w:r w:rsidR="009170C2" w:rsidRPr="003C588D">
        <w:rPr>
          <w:rFonts w:ascii="Times New Roman" w:hAnsi="Times New Roman"/>
          <w:sz w:val="24"/>
          <w:szCs w:val="24"/>
        </w:rPr>
        <w:t xml:space="preserve"> More recently, </w:t>
      </w:r>
      <w:proofErr w:type="spellStart"/>
      <w:r w:rsidR="009170C2" w:rsidRPr="003C588D">
        <w:rPr>
          <w:rFonts w:ascii="Times New Roman" w:hAnsi="Times New Roman"/>
          <w:sz w:val="24"/>
          <w:szCs w:val="24"/>
        </w:rPr>
        <w:t>Bahadir</w:t>
      </w:r>
      <w:proofErr w:type="spellEnd"/>
      <w:r w:rsidR="009170C2" w:rsidRPr="003C588D">
        <w:rPr>
          <w:rFonts w:ascii="Times New Roman" w:hAnsi="Times New Roman"/>
          <w:sz w:val="24"/>
          <w:szCs w:val="24"/>
        </w:rPr>
        <w:t xml:space="preserve"> and </w:t>
      </w:r>
      <w:proofErr w:type="spellStart"/>
      <w:r w:rsidR="009170C2" w:rsidRPr="003C588D">
        <w:rPr>
          <w:rFonts w:ascii="Times New Roman" w:hAnsi="Times New Roman"/>
          <w:sz w:val="24"/>
          <w:szCs w:val="24"/>
        </w:rPr>
        <w:t>Valev</w:t>
      </w:r>
      <w:proofErr w:type="spellEnd"/>
      <w:r w:rsidR="009170C2" w:rsidRPr="003C588D">
        <w:rPr>
          <w:rFonts w:ascii="Times New Roman" w:hAnsi="Times New Roman"/>
          <w:sz w:val="24"/>
          <w:szCs w:val="24"/>
        </w:rPr>
        <w:t xml:space="preserve"> (2019)</w:t>
      </w:r>
      <w:r w:rsidR="0078622F" w:rsidRPr="003C588D">
        <w:rPr>
          <w:rFonts w:ascii="Times New Roman" w:hAnsi="Times New Roman"/>
          <w:sz w:val="24"/>
          <w:szCs w:val="24"/>
        </w:rPr>
        <w:t xml:space="preserve"> report that credit information sharing disproportionately increases lending to households relative to businesses.</w:t>
      </w:r>
      <w:r w:rsidR="00C5520B" w:rsidRPr="003C588D">
        <w:rPr>
          <w:rFonts w:ascii="Times New Roman" w:hAnsi="Times New Roman"/>
          <w:sz w:val="24"/>
          <w:szCs w:val="24"/>
        </w:rPr>
        <w:t xml:space="preserve"> Due to data unavailability, a bulk of the prior empirical literature</w:t>
      </w:r>
      <w:r w:rsidR="00386461" w:rsidRPr="003C588D">
        <w:rPr>
          <w:rFonts w:ascii="Times New Roman" w:hAnsi="Times New Roman"/>
          <w:sz w:val="24"/>
          <w:szCs w:val="24"/>
        </w:rPr>
        <w:t xml:space="preserve"> excluded African countries</w:t>
      </w:r>
      <w:r w:rsidR="00E73190" w:rsidRPr="003C588D">
        <w:rPr>
          <w:rFonts w:ascii="Times New Roman" w:hAnsi="Times New Roman"/>
          <w:sz w:val="24"/>
          <w:szCs w:val="24"/>
        </w:rPr>
        <w:t xml:space="preserve">, leaving </w:t>
      </w:r>
      <w:r w:rsidR="00E73190" w:rsidRPr="003C588D">
        <w:rPr>
          <w:rFonts w:ascii="Times New Roman" w:hAnsi="Times New Roman"/>
          <w:sz w:val="24"/>
          <w:szCs w:val="24"/>
        </w:rPr>
        <w:lastRenderedPageBreak/>
        <w:t>policy makers in Africa with very</w:t>
      </w:r>
      <w:r w:rsidR="00561760" w:rsidRPr="003C588D">
        <w:rPr>
          <w:rFonts w:ascii="Times New Roman" w:hAnsi="Times New Roman"/>
          <w:sz w:val="24"/>
          <w:szCs w:val="24"/>
        </w:rPr>
        <w:t xml:space="preserve"> little guidance on how credit information sharing schemes could impact </w:t>
      </w:r>
      <w:r w:rsidR="003C542E" w:rsidRPr="003C588D">
        <w:rPr>
          <w:rFonts w:ascii="Times New Roman" w:hAnsi="Times New Roman"/>
          <w:sz w:val="24"/>
          <w:szCs w:val="24"/>
        </w:rPr>
        <w:t xml:space="preserve">the economy. </w:t>
      </w:r>
      <w:r w:rsidR="00483C76" w:rsidRPr="003C588D">
        <w:rPr>
          <w:rFonts w:ascii="Times New Roman" w:hAnsi="Times New Roman"/>
          <w:sz w:val="24"/>
          <w:szCs w:val="24"/>
        </w:rPr>
        <w:t>The current study sets out to fill this gap by examining the impact of credit information sharing on the intermediation costs of African banks.</w:t>
      </w:r>
      <w:r w:rsidR="00483C76">
        <w:rPr>
          <w:rFonts w:ascii="Times New Roman" w:hAnsi="Times New Roman"/>
          <w:sz w:val="24"/>
          <w:szCs w:val="24"/>
        </w:rPr>
        <w:t xml:space="preserve"> </w:t>
      </w:r>
      <w:r w:rsidR="0078622F">
        <w:rPr>
          <w:rFonts w:ascii="Times New Roman" w:hAnsi="Times New Roman"/>
          <w:sz w:val="24"/>
          <w:szCs w:val="24"/>
        </w:rPr>
        <w:t xml:space="preserve"> </w:t>
      </w:r>
    </w:p>
    <w:p w14:paraId="71F1227D" w14:textId="58CB9B0D" w:rsidR="000E0474" w:rsidRPr="00BA0E8D" w:rsidRDefault="00F10729" w:rsidP="00DB05C7">
      <w:pPr>
        <w:autoSpaceDE w:val="0"/>
        <w:autoSpaceDN w:val="0"/>
        <w:adjustRightInd w:val="0"/>
        <w:spacing w:after="0" w:line="360" w:lineRule="auto"/>
        <w:jc w:val="both"/>
        <w:rPr>
          <w:rFonts w:ascii="Times New Roman" w:hAnsi="Times New Roman"/>
          <w:sz w:val="24"/>
          <w:szCs w:val="24"/>
          <w:lang w:eastAsia="en-GB"/>
        </w:rPr>
      </w:pPr>
      <w:r w:rsidRPr="00BA0E8D">
        <w:rPr>
          <w:rFonts w:ascii="Times New Roman" w:hAnsi="Times New Roman"/>
          <w:sz w:val="24"/>
          <w:szCs w:val="24"/>
          <w:lang w:eastAsia="en-GB"/>
        </w:rPr>
        <w:t>Overall, the foregoing discussion suggest</w:t>
      </w:r>
      <w:r w:rsidR="005D16D2" w:rsidRPr="00BA0E8D">
        <w:rPr>
          <w:rFonts w:ascii="Times New Roman" w:hAnsi="Times New Roman"/>
          <w:sz w:val="24"/>
          <w:szCs w:val="24"/>
          <w:lang w:eastAsia="en-GB"/>
        </w:rPr>
        <w:t>s</w:t>
      </w:r>
      <w:r w:rsidRPr="00BA0E8D">
        <w:rPr>
          <w:rFonts w:ascii="Times New Roman" w:hAnsi="Times New Roman"/>
          <w:sz w:val="24"/>
          <w:szCs w:val="24"/>
          <w:lang w:eastAsia="en-GB"/>
        </w:rPr>
        <w:t xml:space="preserve"> that credit information sharing reduces adverse selection costs</w:t>
      </w:r>
      <w:r w:rsidR="00AF7C06" w:rsidRPr="00BA0E8D">
        <w:rPr>
          <w:rFonts w:ascii="Times New Roman" w:hAnsi="Times New Roman"/>
          <w:sz w:val="24"/>
          <w:szCs w:val="24"/>
          <w:lang w:eastAsia="en-GB"/>
        </w:rPr>
        <w:t xml:space="preserve"> and</w:t>
      </w:r>
      <w:r w:rsidRPr="00BA0E8D">
        <w:rPr>
          <w:rFonts w:ascii="Times New Roman" w:hAnsi="Times New Roman"/>
          <w:sz w:val="24"/>
          <w:szCs w:val="24"/>
          <w:lang w:eastAsia="en-GB"/>
        </w:rPr>
        <w:t xml:space="preserve"> moral hazard</w:t>
      </w:r>
      <w:r w:rsidR="00AF7C06" w:rsidRPr="00BA0E8D">
        <w:rPr>
          <w:rFonts w:ascii="Times New Roman" w:hAnsi="Times New Roman"/>
          <w:sz w:val="24"/>
          <w:szCs w:val="24"/>
          <w:lang w:eastAsia="en-GB"/>
        </w:rPr>
        <w:t xml:space="preserve"> problems</w:t>
      </w:r>
      <w:r w:rsidR="00F23A78" w:rsidRPr="00BA0E8D">
        <w:rPr>
          <w:rFonts w:ascii="Times New Roman" w:hAnsi="Times New Roman"/>
          <w:sz w:val="24"/>
          <w:szCs w:val="24"/>
          <w:lang w:eastAsia="en-GB"/>
        </w:rPr>
        <w:t>,</w:t>
      </w:r>
      <w:r w:rsidRPr="00BA0E8D">
        <w:rPr>
          <w:rFonts w:ascii="Times New Roman" w:hAnsi="Times New Roman"/>
          <w:sz w:val="24"/>
          <w:szCs w:val="24"/>
          <w:lang w:eastAsia="en-GB"/>
        </w:rPr>
        <w:t xml:space="preserve"> and </w:t>
      </w:r>
      <w:r w:rsidR="00F23A78" w:rsidRPr="00BA0E8D">
        <w:rPr>
          <w:rFonts w:ascii="Times New Roman" w:hAnsi="Times New Roman"/>
          <w:sz w:val="24"/>
          <w:szCs w:val="24"/>
          <w:lang w:eastAsia="en-GB"/>
        </w:rPr>
        <w:t xml:space="preserve">thus </w:t>
      </w:r>
      <w:r w:rsidRPr="00BA0E8D">
        <w:rPr>
          <w:rFonts w:ascii="Times New Roman" w:hAnsi="Times New Roman"/>
          <w:sz w:val="24"/>
          <w:szCs w:val="24"/>
          <w:lang w:eastAsia="en-GB"/>
        </w:rPr>
        <w:t xml:space="preserve">facilitates bank lending decisions. </w:t>
      </w:r>
      <w:r w:rsidR="000E0474" w:rsidRPr="00BA0E8D">
        <w:rPr>
          <w:rFonts w:ascii="Times New Roman" w:hAnsi="Times New Roman"/>
          <w:sz w:val="24"/>
          <w:szCs w:val="24"/>
          <w:lang w:eastAsia="en-GB"/>
        </w:rPr>
        <w:t>Realisation of these benefits of credit information sharing should lead to red</w:t>
      </w:r>
      <w:r w:rsidR="00CF16D2" w:rsidRPr="00BA0E8D">
        <w:rPr>
          <w:rFonts w:ascii="Times New Roman" w:hAnsi="Times New Roman"/>
          <w:sz w:val="24"/>
          <w:szCs w:val="24"/>
          <w:lang w:eastAsia="en-GB"/>
        </w:rPr>
        <w:t>uced credit intermediation cost</w:t>
      </w:r>
      <w:r w:rsidR="000E0474" w:rsidRPr="00BA0E8D">
        <w:rPr>
          <w:rFonts w:ascii="Times New Roman" w:hAnsi="Times New Roman"/>
          <w:sz w:val="24"/>
          <w:szCs w:val="24"/>
          <w:lang w:eastAsia="en-GB"/>
        </w:rPr>
        <w:t>. We</w:t>
      </w:r>
      <w:r w:rsidR="00271BF6">
        <w:rPr>
          <w:rFonts w:ascii="Times New Roman" w:hAnsi="Times New Roman"/>
          <w:sz w:val="24"/>
          <w:szCs w:val="24"/>
          <w:lang w:eastAsia="en-GB"/>
        </w:rPr>
        <w:t>,</w:t>
      </w:r>
      <w:r w:rsidR="000E0474" w:rsidRPr="00BA0E8D">
        <w:rPr>
          <w:rFonts w:ascii="Times New Roman" w:hAnsi="Times New Roman"/>
          <w:sz w:val="24"/>
          <w:szCs w:val="24"/>
          <w:lang w:eastAsia="en-GB"/>
        </w:rPr>
        <w:t xml:space="preserve"> therefore</w:t>
      </w:r>
      <w:r w:rsidR="00271BF6">
        <w:rPr>
          <w:rFonts w:ascii="Times New Roman" w:hAnsi="Times New Roman"/>
          <w:sz w:val="24"/>
          <w:szCs w:val="24"/>
          <w:lang w:eastAsia="en-GB"/>
        </w:rPr>
        <w:t>,</w:t>
      </w:r>
      <w:r w:rsidR="000E0474" w:rsidRPr="00BA0E8D">
        <w:rPr>
          <w:rFonts w:ascii="Times New Roman" w:hAnsi="Times New Roman"/>
          <w:sz w:val="24"/>
          <w:szCs w:val="24"/>
          <w:lang w:eastAsia="en-GB"/>
        </w:rPr>
        <w:t xml:space="preserve"> </w:t>
      </w:r>
      <w:r w:rsidR="00CF16D2" w:rsidRPr="00BA0E8D">
        <w:rPr>
          <w:rFonts w:ascii="Times New Roman" w:hAnsi="Times New Roman"/>
          <w:sz w:val="24"/>
          <w:szCs w:val="24"/>
          <w:lang w:eastAsia="en-GB"/>
        </w:rPr>
        <w:t>formulate</w:t>
      </w:r>
      <w:r w:rsidR="000E0474" w:rsidRPr="00BA0E8D">
        <w:rPr>
          <w:rFonts w:ascii="Times New Roman" w:hAnsi="Times New Roman"/>
          <w:sz w:val="24"/>
          <w:szCs w:val="24"/>
          <w:lang w:eastAsia="en-GB"/>
        </w:rPr>
        <w:t xml:space="preserve"> our first hypothesis as follows:</w:t>
      </w:r>
    </w:p>
    <w:p w14:paraId="4AC506A0" w14:textId="77777777" w:rsidR="000E0474" w:rsidRPr="00BA0E8D" w:rsidRDefault="000E0474" w:rsidP="00DB05C7">
      <w:pPr>
        <w:autoSpaceDE w:val="0"/>
        <w:autoSpaceDN w:val="0"/>
        <w:adjustRightInd w:val="0"/>
        <w:spacing w:after="0" w:line="360" w:lineRule="auto"/>
        <w:jc w:val="both"/>
        <w:rPr>
          <w:rFonts w:ascii="Times New Roman" w:hAnsi="Times New Roman"/>
          <w:sz w:val="24"/>
          <w:szCs w:val="24"/>
          <w:lang w:eastAsia="en-GB"/>
        </w:rPr>
      </w:pPr>
    </w:p>
    <w:p w14:paraId="039C13A7" w14:textId="77777777" w:rsidR="00975D4B" w:rsidRPr="00BA0E8D" w:rsidRDefault="000E0474" w:rsidP="00DB05C7">
      <w:pPr>
        <w:autoSpaceDE w:val="0"/>
        <w:autoSpaceDN w:val="0"/>
        <w:adjustRightInd w:val="0"/>
        <w:spacing w:after="0" w:line="360" w:lineRule="auto"/>
        <w:jc w:val="both"/>
        <w:rPr>
          <w:rFonts w:ascii="Times New Roman" w:hAnsi="Times New Roman"/>
          <w:i/>
          <w:sz w:val="24"/>
          <w:szCs w:val="24"/>
          <w:lang w:eastAsia="en-GB"/>
        </w:rPr>
      </w:pPr>
      <w:r w:rsidRPr="00BA0E8D">
        <w:rPr>
          <w:rFonts w:ascii="Times New Roman" w:hAnsi="Times New Roman"/>
          <w:i/>
          <w:sz w:val="24"/>
          <w:szCs w:val="24"/>
          <w:lang w:eastAsia="en-GB"/>
        </w:rPr>
        <w:t>H1: Credit information sharing red</w:t>
      </w:r>
      <w:r w:rsidR="00CF16D2" w:rsidRPr="00BA0E8D">
        <w:rPr>
          <w:rFonts w:ascii="Times New Roman" w:hAnsi="Times New Roman"/>
          <w:i/>
          <w:sz w:val="24"/>
          <w:szCs w:val="24"/>
          <w:lang w:eastAsia="en-GB"/>
        </w:rPr>
        <w:t>uces credit intermediation cost</w:t>
      </w:r>
      <w:r w:rsidRPr="00BA0E8D">
        <w:rPr>
          <w:rFonts w:ascii="Times New Roman" w:hAnsi="Times New Roman"/>
          <w:i/>
          <w:sz w:val="24"/>
          <w:szCs w:val="24"/>
          <w:lang w:eastAsia="en-GB"/>
        </w:rPr>
        <w:t>.</w:t>
      </w:r>
    </w:p>
    <w:p w14:paraId="15AA93E2" w14:textId="77777777" w:rsidR="000E0474" w:rsidRPr="00BA0E8D" w:rsidRDefault="000E0474" w:rsidP="00DB05C7">
      <w:pPr>
        <w:autoSpaceDE w:val="0"/>
        <w:autoSpaceDN w:val="0"/>
        <w:adjustRightInd w:val="0"/>
        <w:spacing w:after="0" w:line="360" w:lineRule="auto"/>
        <w:jc w:val="both"/>
        <w:rPr>
          <w:rFonts w:ascii="Times New Roman" w:hAnsi="Times New Roman"/>
          <w:sz w:val="24"/>
          <w:szCs w:val="24"/>
          <w:lang w:eastAsia="en-GB"/>
        </w:rPr>
      </w:pPr>
    </w:p>
    <w:p w14:paraId="4BF81101" w14:textId="6496FCA7" w:rsidR="008913AC" w:rsidRPr="00BA0E8D" w:rsidRDefault="006835D5" w:rsidP="006D394C">
      <w:pPr>
        <w:spacing w:after="0" w:line="360" w:lineRule="auto"/>
        <w:jc w:val="both"/>
        <w:rPr>
          <w:rFonts w:ascii="Times New Roman" w:hAnsi="Times New Roman"/>
          <w:color w:val="222222"/>
          <w:sz w:val="24"/>
          <w:szCs w:val="24"/>
          <w:shd w:val="clear" w:color="auto" w:fill="FFFFFF"/>
        </w:rPr>
      </w:pPr>
      <w:r w:rsidRPr="00BA0E8D">
        <w:rPr>
          <w:rFonts w:ascii="Times New Roman" w:hAnsi="Times New Roman"/>
          <w:color w:val="222222"/>
          <w:sz w:val="24"/>
          <w:szCs w:val="24"/>
          <w:shd w:val="clear" w:color="auto" w:fill="FFFFFF"/>
        </w:rPr>
        <w:t xml:space="preserve">Another strand of the literature also </w:t>
      </w:r>
      <w:r w:rsidR="009852A7" w:rsidRPr="00BA0E8D">
        <w:rPr>
          <w:rFonts w:ascii="Times New Roman" w:hAnsi="Times New Roman"/>
          <w:color w:val="222222"/>
          <w:sz w:val="24"/>
          <w:szCs w:val="24"/>
          <w:shd w:val="clear" w:color="auto" w:fill="FFFFFF"/>
        </w:rPr>
        <w:t xml:space="preserve">suggests that </w:t>
      </w:r>
      <w:r w:rsidR="00E3399A" w:rsidRPr="00BA0E8D">
        <w:rPr>
          <w:rFonts w:ascii="Times New Roman" w:hAnsi="Times New Roman"/>
          <w:color w:val="222222"/>
          <w:sz w:val="24"/>
          <w:szCs w:val="24"/>
          <w:shd w:val="clear" w:color="auto" w:fill="FFFFFF"/>
        </w:rPr>
        <w:t xml:space="preserve">the role of information sharing </w:t>
      </w:r>
      <w:r w:rsidR="00975D4B" w:rsidRPr="00BA0E8D">
        <w:rPr>
          <w:rFonts w:ascii="Times New Roman" w:hAnsi="Times New Roman"/>
          <w:color w:val="222222"/>
          <w:sz w:val="24"/>
          <w:szCs w:val="24"/>
          <w:shd w:val="clear" w:color="auto" w:fill="FFFFFF"/>
        </w:rPr>
        <w:t xml:space="preserve">on bank lending decisions is moderated by </w:t>
      </w:r>
      <w:r w:rsidR="00E3399A" w:rsidRPr="00BA0E8D">
        <w:rPr>
          <w:rFonts w:ascii="Times New Roman" w:hAnsi="Times New Roman"/>
          <w:color w:val="222222"/>
          <w:sz w:val="24"/>
          <w:szCs w:val="24"/>
          <w:shd w:val="clear" w:color="auto" w:fill="FFFFFF"/>
        </w:rPr>
        <w:t xml:space="preserve">banking market concentration. </w:t>
      </w:r>
      <w:r w:rsidR="00447FBF" w:rsidRPr="00BA0E8D">
        <w:rPr>
          <w:rFonts w:ascii="Times New Roman" w:hAnsi="Times New Roman"/>
          <w:color w:val="222222"/>
          <w:sz w:val="24"/>
          <w:szCs w:val="24"/>
          <w:shd w:val="clear" w:color="auto" w:fill="FFFFFF"/>
        </w:rPr>
        <w:t xml:space="preserve">For example, </w:t>
      </w:r>
      <w:r w:rsidR="008736E8" w:rsidRPr="00BA0E8D">
        <w:rPr>
          <w:rFonts w:ascii="Times New Roman" w:hAnsi="Times New Roman"/>
          <w:color w:val="222222"/>
          <w:sz w:val="24"/>
          <w:szCs w:val="24"/>
          <w:shd w:val="clear" w:color="auto" w:fill="FFFFFF"/>
        </w:rPr>
        <w:t xml:space="preserve">Petersen </w:t>
      </w:r>
      <w:r w:rsidR="00D557B0" w:rsidRPr="00BA0E8D">
        <w:rPr>
          <w:rFonts w:ascii="Times New Roman" w:hAnsi="Times New Roman"/>
          <w:color w:val="222222"/>
          <w:sz w:val="24"/>
          <w:szCs w:val="24"/>
          <w:shd w:val="clear" w:color="auto" w:fill="FFFFFF"/>
        </w:rPr>
        <w:t xml:space="preserve">and </w:t>
      </w:r>
      <w:proofErr w:type="spellStart"/>
      <w:r w:rsidR="008736E8" w:rsidRPr="00BA0E8D">
        <w:rPr>
          <w:rFonts w:ascii="Times New Roman" w:hAnsi="Times New Roman"/>
          <w:color w:val="222222"/>
          <w:sz w:val="24"/>
          <w:szCs w:val="24"/>
          <w:shd w:val="clear" w:color="auto" w:fill="FFFFFF"/>
        </w:rPr>
        <w:t>Rajan</w:t>
      </w:r>
      <w:proofErr w:type="spellEnd"/>
      <w:r w:rsidR="008736E8" w:rsidRPr="00BA0E8D">
        <w:rPr>
          <w:rFonts w:ascii="Times New Roman" w:hAnsi="Times New Roman"/>
          <w:color w:val="222222"/>
          <w:sz w:val="24"/>
          <w:szCs w:val="24"/>
          <w:shd w:val="clear" w:color="auto" w:fill="FFFFFF"/>
        </w:rPr>
        <w:t xml:space="preserve"> (1995) </w:t>
      </w:r>
      <w:r w:rsidR="00D557B0" w:rsidRPr="00BA0E8D">
        <w:rPr>
          <w:rFonts w:ascii="Times New Roman" w:hAnsi="Times New Roman"/>
          <w:color w:val="222222"/>
          <w:sz w:val="24"/>
          <w:szCs w:val="24"/>
          <w:shd w:val="clear" w:color="auto" w:fill="FFFFFF"/>
        </w:rPr>
        <w:t xml:space="preserve">report </w:t>
      </w:r>
      <w:r w:rsidR="008736E8" w:rsidRPr="00BA0E8D">
        <w:rPr>
          <w:rFonts w:ascii="Times New Roman" w:hAnsi="Times New Roman"/>
          <w:color w:val="222222"/>
          <w:sz w:val="24"/>
          <w:szCs w:val="24"/>
          <w:shd w:val="clear" w:color="auto" w:fill="FFFFFF"/>
        </w:rPr>
        <w:t>that concentration in banking market</w:t>
      </w:r>
      <w:r w:rsidR="00D557B0" w:rsidRPr="00BA0E8D">
        <w:rPr>
          <w:rFonts w:ascii="Times New Roman" w:hAnsi="Times New Roman"/>
          <w:color w:val="222222"/>
          <w:sz w:val="24"/>
          <w:szCs w:val="24"/>
          <w:shd w:val="clear" w:color="auto" w:fill="FFFFFF"/>
        </w:rPr>
        <w:t>s</w:t>
      </w:r>
      <w:r w:rsidR="008736E8" w:rsidRPr="00BA0E8D">
        <w:rPr>
          <w:rFonts w:ascii="Times New Roman" w:hAnsi="Times New Roman"/>
          <w:color w:val="222222"/>
          <w:sz w:val="24"/>
          <w:szCs w:val="24"/>
          <w:shd w:val="clear" w:color="auto" w:fill="FFFFFF"/>
        </w:rPr>
        <w:t xml:space="preserve"> leads to </w:t>
      </w:r>
      <w:r w:rsidR="00A24DDF">
        <w:rPr>
          <w:rFonts w:ascii="Times New Roman" w:hAnsi="Times New Roman"/>
          <w:color w:val="222222"/>
          <w:sz w:val="24"/>
          <w:szCs w:val="24"/>
          <w:shd w:val="clear" w:color="auto" w:fill="FFFFFF"/>
        </w:rPr>
        <w:t xml:space="preserve">a </w:t>
      </w:r>
      <w:r w:rsidR="008736E8" w:rsidRPr="00BA0E8D">
        <w:rPr>
          <w:rFonts w:ascii="Times New Roman" w:hAnsi="Times New Roman"/>
          <w:color w:val="222222"/>
          <w:sz w:val="24"/>
          <w:szCs w:val="24"/>
          <w:shd w:val="clear" w:color="auto" w:fill="FFFFFF"/>
        </w:rPr>
        <w:t>long</w:t>
      </w:r>
      <w:r w:rsidR="00A24DDF">
        <w:rPr>
          <w:rFonts w:ascii="Times New Roman" w:hAnsi="Times New Roman"/>
          <w:color w:val="222222"/>
          <w:sz w:val="24"/>
          <w:szCs w:val="24"/>
          <w:shd w:val="clear" w:color="auto" w:fill="FFFFFF"/>
        </w:rPr>
        <w:t>-</w:t>
      </w:r>
      <w:r w:rsidR="008736E8" w:rsidRPr="00BA0E8D">
        <w:rPr>
          <w:rFonts w:ascii="Times New Roman" w:hAnsi="Times New Roman"/>
          <w:color w:val="222222"/>
          <w:sz w:val="24"/>
          <w:szCs w:val="24"/>
          <w:shd w:val="clear" w:color="auto" w:fill="FFFFFF"/>
        </w:rPr>
        <w:t xml:space="preserve">term </w:t>
      </w:r>
      <w:r w:rsidR="00975D4B" w:rsidRPr="00BA0E8D">
        <w:rPr>
          <w:rFonts w:ascii="Times New Roman" w:hAnsi="Times New Roman"/>
          <w:color w:val="222222"/>
          <w:sz w:val="24"/>
          <w:szCs w:val="24"/>
          <w:shd w:val="clear" w:color="auto" w:fill="FFFFFF"/>
        </w:rPr>
        <w:t xml:space="preserve">lending </w:t>
      </w:r>
      <w:r w:rsidR="008736E8" w:rsidRPr="00BA0E8D">
        <w:rPr>
          <w:rFonts w:ascii="Times New Roman" w:hAnsi="Times New Roman"/>
          <w:color w:val="222222"/>
          <w:sz w:val="24"/>
          <w:szCs w:val="24"/>
          <w:shd w:val="clear" w:color="auto" w:fill="FFFFFF"/>
        </w:rPr>
        <w:t>relationship</w:t>
      </w:r>
      <w:r w:rsidR="00D557B0" w:rsidRPr="00BA0E8D">
        <w:rPr>
          <w:rFonts w:ascii="Times New Roman" w:hAnsi="Times New Roman"/>
          <w:color w:val="222222"/>
          <w:sz w:val="24"/>
          <w:szCs w:val="24"/>
          <w:shd w:val="clear" w:color="auto" w:fill="FFFFFF"/>
        </w:rPr>
        <w:t>,</w:t>
      </w:r>
      <w:r w:rsidR="008736E8" w:rsidRPr="00BA0E8D">
        <w:rPr>
          <w:rFonts w:ascii="Times New Roman" w:hAnsi="Times New Roman"/>
          <w:color w:val="222222"/>
          <w:sz w:val="24"/>
          <w:szCs w:val="24"/>
          <w:shd w:val="clear" w:color="auto" w:fill="FFFFFF"/>
        </w:rPr>
        <w:t xml:space="preserve"> </w:t>
      </w:r>
      <w:r w:rsidR="00975D4B" w:rsidRPr="00BA0E8D">
        <w:rPr>
          <w:rFonts w:ascii="Times New Roman" w:hAnsi="Times New Roman"/>
          <w:color w:val="222222"/>
          <w:sz w:val="24"/>
          <w:szCs w:val="24"/>
          <w:shd w:val="clear" w:color="auto" w:fill="FFFFFF"/>
        </w:rPr>
        <w:t>which</w:t>
      </w:r>
      <w:r w:rsidR="00D557B0" w:rsidRPr="00BA0E8D">
        <w:rPr>
          <w:rFonts w:ascii="Times New Roman" w:hAnsi="Times New Roman"/>
          <w:color w:val="222222"/>
          <w:sz w:val="24"/>
          <w:szCs w:val="24"/>
          <w:shd w:val="clear" w:color="auto" w:fill="FFFFFF"/>
        </w:rPr>
        <w:t xml:space="preserve"> can</w:t>
      </w:r>
      <w:r w:rsidR="00975D4B" w:rsidRPr="00BA0E8D">
        <w:rPr>
          <w:rFonts w:ascii="Times New Roman" w:hAnsi="Times New Roman"/>
          <w:color w:val="222222"/>
          <w:sz w:val="24"/>
          <w:szCs w:val="24"/>
          <w:shd w:val="clear" w:color="auto" w:fill="FFFFFF"/>
        </w:rPr>
        <w:t xml:space="preserve"> </w:t>
      </w:r>
      <w:r w:rsidR="00510FAD" w:rsidRPr="00BA0E8D">
        <w:rPr>
          <w:rFonts w:ascii="Times New Roman" w:hAnsi="Times New Roman"/>
          <w:color w:val="222222"/>
          <w:sz w:val="24"/>
          <w:szCs w:val="24"/>
          <w:shd w:val="clear" w:color="auto" w:fill="FFFFFF"/>
        </w:rPr>
        <w:t xml:space="preserve">facilitate the acquisition of </w:t>
      </w:r>
      <w:r w:rsidR="00675E28" w:rsidRPr="00BA0E8D">
        <w:rPr>
          <w:rFonts w:ascii="Times New Roman" w:hAnsi="Times New Roman"/>
          <w:color w:val="222222"/>
          <w:sz w:val="24"/>
          <w:szCs w:val="24"/>
          <w:shd w:val="clear" w:color="auto" w:fill="FFFFFF"/>
        </w:rPr>
        <w:t xml:space="preserve">soft </w:t>
      </w:r>
      <w:r w:rsidR="00510FAD" w:rsidRPr="00BA0E8D">
        <w:rPr>
          <w:rFonts w:ascii="Times New Roman" w:hAnsi="Times New Roman"/>
          <w:color w:val="222222"/>
          <w:sz w:val="24"/>
          <w:szCs w:val="24"/>
          <w:shd w:val="clear" w:color="auto" w:fill="FFFFFF"/>
        </w:rPr>
        <w:t>credit information about borrowers.</w:t>
      </w:r>
      <w:r w:rsidR="001D400B" w:rsidRPr="00BA0E8D">
        <w:rPr>
          <w:rFonts w:ascii="Times New Roman" w:hAnsi="Times New Roman"/>
          <w:color w:val="222222"/>
          <w:sz w:val="24"/>
          <w:szCs w:val="24"/>
          <w:shd w:val="clear" w:color="auto" w:fill="FFFFFF"/>
        </w:rPr>
        <w:t xml:space="preserve"> </w:t>
      </w:r>
      <w:r w:rsidR="00975D4B" w:rsidRPr="00BA0E8D">
        <w:rPr>
          <w:rFonts w:ascii="Times New Roman" w:hAnsi="Times New Roman"/>
          <w:color w:val="222222"/>
          <w:sz w:val="24"/>
          <w:szCs w:val="24"/>
          <w:shd w:val="clear" w:color="auto" w:fill="FFFFFF"/>
        </w:rPr>
        <w:t xml:space="preserve">Further, Marquez (2002) </w:t>
      </w:r>
      <w:r w:rsidR="006D394C" w:rsidRPr="00BA0E8D">
        <w:rPr>
          <w:rFonts w:ascii="Times New Roman" w:hAnsi="Times New Roman"/>
          <w:color w:val="222222"/>
          <w:sz w:val="24"/>
          <w:szCs w:val="24"/>
          <w:shd w:val="clear" w:color="auto" w:fill="FFFFFF"/>
        </w:rPr>
        <w:t xml:space="preserve">and </w:t>
      </w:r>
      <w:proofErr w:type="spellStart"/>
      <w:r w:rsidR="00975D4B" w:rsidRPr="00BA0E8D">
        <w:rPr>
          <w:rFonts w:ascii="Times New Roman" w:hAnsi="Times New Roman"/>
          <w:sz w:val="24"/>
          <w:szCs w:val="24"/>
        </w:rPr>
        <w:t>Hauswald</w:t>
      </w:r>
      <w:proofErr w:type="spellEnd"/>
      <w:r w:rsidR="00975D4B" w:rsidRPr="00BA0E8D">
        <w:rPr>
          <w:rFonts w:ascii="Times New Roman" w:hAnsi="Times New Roman"/>
          <w:sz w:val="24"/>
          <w:szCs w:val="24"/>
        </w:rPr>
        <w:t xml:space="preserve"> </w:t>
      </w:r>
      <w:r w:rsidR="00803E50" w:rsidRPr="00BA0E8D">
        <w:rPr>
          <w:rFonts w:ascii="Times New Roman" w:hAnsi="Times New Roman"/>
          <w:sz w:val="24"/>
          <w:szCs w:val="24"/>
        </w:rPr>
        <w:t xml:space="preserve">and </w:t>
      </w:r>
      <w:r w:rsidR="00975D4B" w:rsidRPr="00BA0E8D">
        <w:rPr>
          <w:rFonts w:ascii="Times New Roman" w:hAnsi="Times New Roman"/>
          <w:sz w:val="24"/>
          <w:szCs w:val="24"/>
        </w:rPr>
        <w:t>Marquez (2006)</w:t>
      </w:r>
      <w:r w:rsidR="006D394C" w:rsidRPr="00BA0E8D">
        <w:rPr>
          <w:rFonts w:ascii="Times New Roman" w:hAnsi="Times New Roman"/>
          <w:sz w:val="24"/>
          <w:szCs w:val="24"/>
        </w:rPr>
        <w:t xml:space="preserve"> suggest that banking sector concentration increases the pool of borrowers per bank in the banking market. Moreover, </w:t>
      </w:r>
      <w:proofErr w:type="spellStart"/>
      <w:r w:rsidR="00675E28" w:rsidRPr="00BA0E8D">
        <w:rPr>
          <w:rFonts w:ascii="Times New Roman" w:hAnsi="Times New Roman"/>
          <w:sz w:val="24"/>
          <w:szCs w:val="24"/>
        </w:rPr>
        <w:t>Cetorelli</w:t>
      </w:r>
      <w:proofErr w:type="spellEnd"/>
      <w:r w:rsidR="00675E28" w:rsidRPr="00BA0E8D">
        <w:rPr>
          <w:rFonts w:ascii="Times New Roman" w:hAnsi="Times New Roman"/>
          <w:sz w:val="24"/>
          <w:szCs w:val="24"/>
        </w:rPr>
        <w:t xml:space="preserve"> </w:t>
      </w:r>
      <w:r w:rsidR="00803E50" w:rsidRPr="00BA0E8D">
        <w:rPr>
          <w:rFonts w:ascii="Times New Roman" w:hAnsi="Times New Roman"/>
          <w:sz w:val="24"/>
          <w:szCs w:val="24"/>
        </w:rPr>
        <w:t xml:space="preserve">and </w:t>
      </w:r>
      <w:proofErr w:type="spellStart"/>
      <w:r w:rsidR="006D394C" w:rsidRPr="00BA0E8D">
        <w:rPr>
          <w:rFonts w:ascii="Times New Roman" w:hAnsi="Times New Roman"/>
          <w:sz w:val="24"/>
          <w:szCs w:val="24"/>
        </w:rPr>
        <w:t>Peretto</w:t>
      </w:r>
      <w:proofErr w:type="spellEnd"/>
      <w:r w:rsidR="006D394C" w:rsidRPr="00BA0E8D">
        <w:rPr>
          <w:rFonts w:ascii="Times New Roman" w:hAnsi="Times New Roman"/>
          <w:sz w:val="24"/>
          <w:szCs w:val="24"/>
        </w:rPr>
        <w:t xml:space="preserve"> (2000) show that concentrated banking markets are characterised </w:t>
      </w:r>
      <w:r w:rsidR="00E54B59" w:rsidRPr="00BA0E8D">
        <w:rPr>
          <w:rFonts w:ascii="Times New Roman" w:hAnsi="Times New Roman"/>
          <w:sz w:val="24"/>
          <w:szCs w:val="24"/>
        </w:rPr>
        <w:t xml:space="preserve">by </w:t>
      </w:r>
      <w:r w:rsidR="006D394C" w:rsidRPr="00BA0E8D">
        <w:rPr>
          <w:rFonts w:ascii="Times New Roman" w:hAnsi="Times New Roman"/>
          <w:sz w:val="24"/>
          <w:szCs w:val="24"/>
        </w:rPr>
        <w:t>more efficient screening</w:t>
      </w:r>
      <w:r w:rsidR="009852A7" w:rsidRPr="00BA0E8D">
        <w:rPr>
          <w:rFonts w:ascii="Times New Roman" w:hAnsi="Times New Roman"/>
          <w:sz w:val="24"/>
          <w:szCs w:val="24"/>
        </w:rPr>
        <w:t xml:space="preserve"> </w:t>
      </w:r>
      <w:r w:rsidR="006D394C" w:rsidRPr="00BA0E8D">
        <w:rPr>
          <w:rFonts w:ascii="Times New Roman" w:hAnsi="Times New Roman"/>
          <w:sz w:val="24"/>
          <w:szCs w:val="24"/>
        </w:rPr>
        <w:t>compared to less concentrated banking markets.</w:t>
      </w:r>
      <w:r w:rsidR="00975D4B" w:rsidRPr="00BA0E8D">
        <w:rPr>
          <w:rFonts w:ascii="Times New Roman" w:hAnsi="Times New Roman"/>
          <w:sz w:val="24"/>
          <w:szCs w:val="24"/>
        </w:rPr>
        <w:t xml:space="preserve"> </w:t>
      </w:r>
      <w:r w:rsidR="00675E28" w:rsidRPr="00BA0E8D">
        <w:rPr>
          <w:rFonts w:ascii="Times New Roman" w:hAnsi="Times New Roman"/>
          <w:color w:val="222222"/>
          <w:sz w:val="24"/>
          <w:szCs w:val="24"/>
          <w:shd w:val="clear" w:color="auto" w:fill="FFFFFF"/>
        </w:rPr>
        <w:t>The foregoing</w:t>
      </w:r>
      <w:r w:rsidR="006D394C" w:rsidRPr="00BA0E8D">
        <w:rPr>
          <w:rFonts w:ascii="Times New Roman" w:hAnsi="Times New Roman"/>
          <w:color w:val="222222"/>
          <w:sz w:val="24"/>
          <w:szCs w:val="24"/>
          <w:shd w:val="clear" w:color="auto" w:fill="FFFFFF"/>
        </w:rPr>
        <w:t xml:space="preserve"> </w:t>
      </w:r>
      <w:r w:rsidR="00675E28" w:rsidRPr="00BA0E8D">
        <w:rPr>
          <w:rFonts w:ascii="Times New Roman" w:hAnsi="Times New Roman"/>
          <w:color w:val="222222"/>
          <w:sz w:val="24"/>
          <w:szCs w:val="24"/>
          <w:shd w:val="clear" w:color="auto" w:fill="FFFFFF"/>
        </w:rPr>
        <w:t>arguments suggest</w:t>
      </w:r>
      <w:r w:rsidR="001D400B" w:rsidRPr="00BA0E8D">
        <w:rPr>
          <w:rFonts w:ascii="Times New Roman" w:hAnsi="Times New Roman"/>
          <w:color w:val="222222"/>
          <w:sz w:val="24"/>
          <w:szCs w:val="24"/>
          <w:shd w:val="clear" w:color="auto" w:fill="FFFFFF"/>
        </w:rPr>
        <w:t xml:space="preserve"> that credit information sharing is</w:t>
      </w:r>
      <w:r w:rsidR="00975D4B" w:rsidRPr="00BA0E8D">
        <w:rPr>
          <w:rFonts w:ascii="Times New Roman" w:hAnsi="Times New Roman"/>
          <w:color w:val="222222"/>
          <w:sz w:val="24"/>
          <w:szCs w:val="24"/>
          <w:shd w:val="clear" w:color="auto" w:fill="FFFFFF"/>
        </w:rPr>
        <w:t xml:space="preserve"> less</w:t>
      </w:r>
      <w:r w:rsidR="001D400B" w:rsidRPr="00BA0E8D">
        <w:rPr>
          <w:rFonts w:ascii="Times New Roman" w:hAnsi="Times New Roman"/>
          <w:color w:val="222222"/>
          <w:sz w:val="24"/>
          <w:szCs w:val="24"/>
          <w:shd w:val="clear" w:color="auto" w:fill="FFFFFF"/>
        </w:rPr>
        <w:t xml:space="preserve"> beneficial </w:t>
      </w:r>
      <w:r w:rsidR="006D394C" w:rsidRPr="00BA0E8D">
        <w:rPr>
          <w:rFonts w:ascii="Times New Roman" w:hAnsi="Times New Roman"/>
          <w:color w:val="222222"/>
          <w:sz w:val="24"/>
          <w:szCs w:val="24"/>
          <w:shd w:val="clear" w:color="auto" w:fill="FFFFFF"/>
        </w:rPr>
        <w:t xml:space="preserve">in facilitating lending decisions </w:t>
      </w:r>
      <w:r w:rsidR="001D400B" w:rsidRPr="00BA0E8D">
        <w:rPr>
          <w:rFonts w:ascii="Times New Roman" w:hAnsi="Times New Roman"/>
          <w:color w:val="222222"/>
          <w:sz w:val="24"/>
          <w:szCs w:val="24"/>
          <w:shd w:val="clear" w:color="auto" w:fill="FFFFFF"/>
        </w:rPr>
        <w:t xml:space="preserve">in concentrated markets. </w:t>
      </w:r>
      <w:r w:rsidR="00A24DDF">
        <w:rPr>
          <w:rFonts w:ascii="Times New Roman" w:hAnsi="Times New Roman"/>
          <w:color w:val="222222"/>
          <w:sz w:val="24"/>
          <w:szCs w:val="24"/>
          <w:shd w:val="clear" w:color="auto" w:fill="FFFFFF"/>
        </w:rPr>
        <w:t>This</w:t>
      </w:r>
      <w:r w:rsidR="006531BA" w:rsidRPr="00BA0E8D">
        <w:rPr>
          <w:rFonts w:ascii="Times New Roman" w:hAnsi="Times New Roman"/>
          <w:color w:val="222222"/>
          <w:sz w:val="24"/>
          <w:szCs w:val="24"/>
          <w:shd w:val="clear" w:color="auto" w:fill="FFFFFF"/>
        </w:rPr>
        <w:t xml:space="preserve"> review</w:t>
      </w:r>
      <w:r w:rsidR="00675E28" w:rsidRPr="00BA0E8D">
        <w:rPr>
          <w:rFonts w:ascii="Times New Roman" w:hAnsi="Times New Roman"/>
          <w:color w:val="222222"/>
          <w:sz w:val="24"/>
          <w:szCs w:val="24"/>
          <w:shd w:val="clear" w:color="auto" w:fill="FFFFFF"/>
        </w:rPr>
        <w:t xml:space="preserve"> lead</w:t>
      </w:r>
      <w:r w:rsidR="00F8312F">
        <w:rPr>
          <w:rFonts w:ascii="Times New Roman" w:hAnsi="Times New Roman"/>
          <w:color w:val="222222"/>
          <w:sz w:val="24"/>
          <w:szCs w:val="24"/>
          <w:shd w:val="clear" w:color="auto" w:fill="FFFFFF"/>
        </w:rPr>
        <w:t>s</w:t>
      </w:r>
      <w:r w:rsidR="00675E28" w:rsidRPr="00BA0E8D">
        <w:rPr>
          <w:rFonts w:ascii="Times New Roman" w:hAnsi="Times New Roman"/>
          <w:color w:val="222222"/>
          <w:sz w:val="24"/>
          <w:szCs w:val="24"/>
          <w:shd w:val="clear" w:color="auto" w:fill="FFFFFF"/>
        </w:rPr>
        <w:t xml:space="preserve"> to our second hypothes</w:t>
      </w:r>
      <w:r w:rsidR="00E761E0" w:rsidRPr="00BA0E8D">
        <w:rPr>
          <w:rFonts w:ascii="Times New Roman" w:hAnsi="Times New Roman"/>
          <w:color w:val="222222"/>
          <w:sz w:val="24"/>
          <w:szCs w:val="24"/>
          <w:shd w:val="clear" w:color="auto" w:fill="FFFFFF"/>
        </w:rPr>
        <w:t>i</w:t>
      </w:r>
      <w:r w:rsidR="00675E28" w:rsidRPr="00BA0E8D">
        <w:rPr>
          <w:rFonts w:ascii="Times New Roman" w:hAnsi="Times New Roman"/>
          <w:color w:val="222222"/>
          <w:sz w:val="24"/>
          <w:szCs w:val="24"/>
          <w:shd w:val="clear" w:color="auto" w:fill="FFFFFF"/>
        </w:rPr>
        <w:t>s</w:t>
      </w:r>
      <w:r w:rsidR="006B5BA8" w:rsidRPr="00BA0E8D">
        <w:rPr>
          <w:rFonts w:ascii="Times New Roman" w:hAnsi="Times New Roman"/>
          <w:color w:val="222222"/>
          <w:sz w:val="24"/>
          <w:szCs w:val="24"/>
          <w:shd w:val="clear" w:color="auto" w:fill="FFFFFF"/>
        </w:rPr>
        <w:t xml:space="preserve"> as</w:t>
      </w:r>
      <w:r w:rsidR="00C5031F" w:rsidRPr="00BA0E8D">
        <w:rPr>
          <w:rFonts w:ascii="Times New Roman" w:hAnsi="Times New Roman"/>
          <w:color w:val="222222"/>
          <w:sz w:val="24"/>
          <w:szCs w:val="24"/>
          <w:shd w:val="clear" w:color="auto" w:fill="FFFFFF"/>
        </w:rPr>
        <w:t xml:space="preserve"> follow</w:t>
      </w:r>
      <w:r w:rsidR="00A24DDF">
        <w:rPr>
          <w:rFonts w:ascii="Times New Roman" w:hAnsi="Times New Roman"/>
          <w:color w:val="222222"/>
          <w:sz w:val="24"/>
          <w:szCs w:val="24"/>
          <w:shd w:val="clear" w:color="auto" w:fill="FFFFFF"/>
        </w:rPr>
        <w:t>s</w:t>
      </w:r>
      <w:r w:rsidR="00675E28" w:rsidRPr="00BA0E8D">
        <w:rPr>
          <w:rFonts w:ascii="Times New Roman" w:hAnsi="Times New Roman"/>
          <w:color w:val="222222"/>
          <w:sz w:val="24"/>
          <w:szCs w:val="24"/>
          <w:shd w:val="clear" w:color="auto" w:fill="FFFFFF"/>
        </w:rPr>
        <w:t>:</w:t>
      </w:r>
    </w:p>
    <w:p w14:paraId="06B12D48" w14:textId="77777777" w:rsidR="00675E28" w:rsidRPr="00BA0E8D" w:rsidRDefault="00675E28" w:rsidP="006D394C">
      <w:pPr>
        <w:spacing w:after="0" w:line="360" w:lineRule="auto"/>
        <w:jc w:val="both"/>
        <w:rPr>
          <w:rFonts w:ascii="Times New Roman" w:hAnsi="Times New Roman"/>
          <w:color w:val="222222"/>
          <w:sz w:val="24"/>
          <w:szCs w:val="24"/>
          <w:shd w:val="clear" w:color="auto" w:fill="FFFFFF"/>
        </w:rPr>
      </w:pPr>
    </w:p>
    <w:p w14:paraId="5622D56F" w14:textId="0C7A9868" w:rsidR="00675E28" w:rsidRPr="00BA0E8D" w:rsidRDefault="00675E28" w:rsidP="006D394C">
      <w:pPr>
        <w:spacing w:after="0" w:line="360" w:lineRule="auto"/>
        <w:jc w:val="both"/>
        <w:rPr>
          <w:rFonts w:ascii="Times New Roman" w:hAnsi="Times New Roman"/>
          <w:i/>
          <w:sz w:val="24"/>
          <w:szCs w:val="24"/>
        </w:rPr>
      </w:pPr>
      <w:r w:rsidRPr="00BA0E8D">
        <w:rPr>
          <w:rFonts w:ascii="Times New Roman" w:hAnsi="Times New Roman"/>
          <w:i/>
          <w:color w:val="222222"/>
          <w:sz w:val="24"/>
          <w:szCs w:val="24"/>
          <w:shd w:val="clear" w:color="auto" w:fill="FFFFFF"/>
        </w:rPr>
        <w:t xml:space="preserve">H2: The effect of credit information sharing on credit intermediation cost </w:t>
      </w:r>
      <w:r w:rsidR="00560BD8" w:rsidRPr="00BA0E8D">
        <w:rPr>
          <w:rFonts w:ascii="Times New Roman" w:hAnsi="Times New Roman"/>
          <w:i/>
          <w:color w:val="222222"/>
          <w:sz w:val="24"/>
          <w:szCs w:val="24"/>
          <w:shd w:val="clear" w:color="auto" w:fill="FFFFFF"/>
        </w:rPr>
        <w:t>is</w:t>
      </w:r>
      <w:r w:rsidRPr="00BA0E8D">
        <w:rPr>
          <w:rFonts w:ascii="Times New Roman" w:hAnsi="Times New Roman"/>
          <w:i/>
          <w:color w:val="222222"/>
          <w:sz w:val="24"/>
          <w:szCs w:val="24"/>
          <w:shd w:val="clear" w:color="auto" w:fill="FFFFFF"/>
        </w:rPr>
        <w:t xml:space="preserve"> </w:t>
      </w:r>
      <w:r w:rsidR="00560BD8" w:rsidRPr="00BA0E8D">
        <w:rPr>
          <w:rFonts w:ascii="Times New Roman" w:hAnsi="Times New Roman"/>
          <w:i/>
          <w:color w:val="222222"/>
          <w:sz w:val="24"/>
          <w:szCs w:val="24"/>
          <w:shd w:val="clear" w:color="auto" w:fill="FFFFFF"/>
        </w:rPr>
        <w:t xml:space="preserve">conditional on </w:t>
      </w:r>
      <w:r w:rsidRPr="00BA0E8D">
        <w:rPr>
          <w:rFonts w:ascii="Times New Roman" w:hAnsi="Times New Roman"/>
          <w:i/>
          <w:color w:val="222222"/>
          <w:sz w:val="24"/>
          <w:szCs w:val="24"/>
          <w:shd w:val="clear" w:color="auto" w:fill="FFFFFF"/>
        </w:rPr>
        <w:t>banking market concentration.</w:t>
      </w:r>
    </w:p>
    <w:p w14:paraId="1162D899" w14:textId="77777777" w:rsidR="00975D4B" w:rsidRPr="00BA0E8D" w:rsidRDefault="00975D4B" w:rsidP="008913AC">
      <w:pPr>
        <w:spacing w:after="0" w:line="360" w:lineRule="auto"/>
        <w:jc w:val="both"/>
        <w:rPr>
          <w:rFonts w:ascii="Times New Roman" w:hAnsi="Times New Roman"/>
          <w:color w:val="222222"/>
          <w:sz w:val="24"/>
          <w:szCs w:val="24"/>
          <w:shd w:val="clear" w:color="auto" w:fill="FFFFFF"/>
        </w:rPr>
      </w:pPr>
    </w:p>
    <w:p w14:paraId="641E3B7A" w14:textId="3D0DC030" w:rsidR="00E463FD" w:rsidRPr="00BA0E8D" w:rsidRDefault="000B245E" w:rsidP="00E463FD">
      <w:pPr>
        <w:spacing w:after="0" w:line="360" w:lineRule="auto"/>
        <w:jc w:val="both"/>
        <w:rPr>
          <w:rFonts w:ascii="Times New Roman" w:hAnsi="Times New Roman"/>
          <w:color w:val="222222"/>
          <w:sz w:val="24"/>
          <w:szCs w:val="24"/>
          <w:shd w:val="clear" w:color="auto" w:fill="FFFFFF"/>
        </w:rPr>
      </w:pPr>
      <w:r w:rsidRPr="00BA0E8D">
        <w:rPr>
          <w:rFonts w:ascii="Times New Roman" w:hAnsi="Times New Roman"/>
          <w:color w:val="222222"/>
          <w:sz w:val="24"/>
          <w:szCs w:val="24"/>
          <w:shd w:val="clear" w:color="auto" w:fill="FFFFFF"/>
        </w:rPr>
        <w:t xml:space="preserve">It is noteworthy that the extant literature </w:t>
      </w:r>
      <w:r w:rsidR="006D48C2" w:rsidRPr="00BA0E8D">
        <w:rPr>
          <w:rFonts w:ascii="Times New Roman" w:hAnsi="Times New Roman"/>
          <w:color w:val="222222"/>
          <w:sz w:val="24"/>
          <w:szCs w:val="24"/>
          <w:shd w:val="clear" w:color="auto" w:fill="FFFFFF"/>
        </w:rPr>
        <w:t>is inconclusive on the</w:t>
      </w:r>
      <w:r w:rsidRPr="00BA0E8D">
        <w:rPr>
          <w:rFonts w:ascii="Times New Roman" w:hAnsi="Times New Roman"/>
          <w:color w:val="222222"/>
          <w:sz w:val="24"/>
          <w:szCs w:val="24"/>
          <w:shd w:val="clear" w:color="auto" w:fill="FFFFFF"/>
        </w:rPr>
        <w:t xml:space="preserve"> effect of banking market concentration on </w:t>
      </w:r>
      <w:r w:rsidR="009E54ED" w:rsidRPr="00BA0E8D">
        <w:rPr>
          <w:rFonts w:ascii="Times New Roman" w:hAnsi="Times New Roman"/>
          <w:color w:val="222222"/>
          <w:sz w:val="24"/>
          <w:szCs w:val="24"/>
          <w:shd w:val="clear" w:color="auto" w:fill="FFFFFF"/>
        </w:rPr>
        <w:t xml:space="preserve">credit </w:t>
      </w:r>
      <w:r w:rsidRPr="00BA0E8D">
        <w:rPr>
          <w:rFonts w:ascii="Times New Roman" w:hAnsi="Times New Roman"/>
          <w:color w:val="222222"/>
          <w:sz w:val="24"/>
          <w:szCs w:val="24"/>
          <w:shd w:val="clear" w:color="auto" w:fill="FFFFFF"/>
        </w:rPr>
        <w:t>intermediation cost</w:t>
      </w:r>
      <w:r w:rsidR="00E463FD" w:rsidRPr="00BA0E8D">
        <w:rPr>
          <w:rFonts w:ascii="Times New Roman" w:hAnsi="Times New Roman"/>
          <w:color w:val="222222"/>
          <w:sz w:val="24"/>
          <w:szCs w:val="24"/>
          <w:shd w:val="clear" w:color="auto" w:fill="FFFFFF"/>
        </w:rPr>
        <w:t>. For instance, a strand of the literature suggest</w:t>
      </w:r>
      <w:r w:rsidR="00E761E0" w:rsidRPr="00BA0E8D">
        <w:rPr>
          <w:rFonts w:ascii="Times New Roman" w:hAnsi="Times New Roman"/>
          <w:color w:val="222222"/>
          <w:sz w:val="24"/>
          <w:szCs w:val="24"/>
          <w:shd w:val="clear" w:color="auto" w:fill="FFFFFF"/>
        </w:rPr>
        <w:t>s</w:t>
      </w:r>
      <w:r w:rsidR="00E463FD" w:rsidRPr="00BA0E8D">
        <w:rPr>
          <w:rFonts w:ascii="Times New Roman" w:hAnsi="Times New Roman"/>
          <w:color w:val="222222"/>
          <w:sz w:val="24"/>
          <w:szCs w:val="24"/>
          <w:shd w:val="clear" w:color="auto" w:fill="FFFFFF"/>
        </w:rPr>
        <w:t xml:space="preserve"> that concentrated banking markets are inefficient,</w:t>
      </w:r>
      <w:r w:rsidR="00E31649">
        <w:rPr>
          <w:rFonts w:ascii="Times New Roman" w:hAnsi="Times New Roman"/>
          <w:color w:val="222222"/>
          <w:sz w:val="24"/>
          <w:szCs w:val="24"/>
          <w:shd w:val="clear" w:color="auto" w:fill="FFFFFF"/>
        </w:rPr>
        <w:t xml:space="preserve"> </w:t>
      </w:r>
      <w:r w:rsidR="00E31649" w:rsidRPr="00E31649">
        <w:rPr>
          <w:rFonts w:ascii="Times New Roman" w:hAnsi="Times New Roman"/>
          <w:color w:val="222222"/>
          <w:sz w:val="24"/>
          <w:szCs w:val="24"/>
          <w:shd w:val="clear" w:color="auto" w:fill="FFFFFF"/>
        </w:rPr>
        <w:t xml:space="preserve">as </w:t>
      </w:r>
      <w:r w:rsidR="00E31649" w:rsidRPr="00E31649">
        <w:rPr>
          <w:rFonts w:ascii="Times New Roman" w:hAnsi="Times New Roman"/>
          <w:sz w:val="24"/>
          <w:szCs w:val="24"/>
        </w:rPr>
        <w:t>having only a few larger banks stifles competition</w:t>
      </w:r>
      <w:r w:rsidR="00E463FD" w:rsidRPr="00E31649">
        <w:rPr>
          <w:rFonts w:ascii="Times New Roman" w:hAnsi="Times New Roman"/>
          <w:color w:val="222222"/>
          <w:sz w:val="24"/>
          <w:szCs w:val="24"/>
          <w:shd w:val="clear" w:color="auto" w:fill="FFFFFF"/>
        </w:rPr>
        <w:t xml:space="preserve"> </w:t>
      </w:r>
      <w:r w:rsidR="00826189" w:rsidRPr="00BA0E8D">
        <w:rPr>
          <w:rFonts w:ascii="Times New Roman" w:hAnsi="Times New Roman"/>
          <w:color w:val="222222"/>
          <w:sz w:val="24"/>
          <w:szCs w:val="24"/>
          <w:shd w:val="clear" w:color="auto" w:fill="FFFFFF"/>
        </w:rPr>
        <w:t>(Berger and Hannan, 1998)</w:t>
      </w:r>
      <w:r w:rsidR="00E463FD" w:rsidRPr="00BA0E8D">
        <w:rPr>
          <w:rFonts w:ascii="Times New Roman" w:hAnsi="Times New Roman"/>
          <w:color w:val="222222"/>
          <w:sz w:val="24"/>
          <w:szCs w:val="24"/>
          <w:shd w:val="clear" w:color="auto" w:fill="FFFFFF"/>
        </w:rPr>
        <w:t xml:space="preserve"> and</w:t>
      </w:r>
      <w:r w:rsidR="00E31649">
        <w:rPr>
          <w:rFonts w:ascii="Times New Roman" w:hAnsi="Times New Roman"/>
          <w:color w:val="222222"/>
          <w:sz w:val="24"/>
          <w:szCs w:val="24"/>
          <w:shd w:val="clear" w:color="auto" w:fill="FFFFFF"/>
        </w:rPr>
        <w:t xml:space="preserve"> makes the banks</w:t>
      </w:r>
      <w:r w:rsidR="00E463FD" w:rsidRPr="00BA0E8D">
        <w:rPr>
          <w:rFonts w:ascii="Times New Roman" w:hAnsi="Times New Roman"/>
          <w:color w:val="222222"/>
          <w:sz w:val="24"/>
          <w:szCs w:val="24"/>
          <w:shd w:val="clear" w:color="auto" w:fill="FFFFFF"/>
        </w:rPr>
        <w:t xml:space="preserve"> assume a “too big to fail” status </w:t>
      </w:r>
      <w:r w:rsidR="00826189" w:rsidRPr="00BA0E8D">
        <w:rPr>
          <w:rFonts w:ascii="Times New Roman" w:hAnsi="Times New Roman"/>
          <w:color w:val="222222"/>
          <w:sz w:val="24"/>
          <w:szCs w:val="24"/>
          <w:shd w:val="clear" w:color="auto" w:fill="FFFFFF"/>
        </w:rPr>
        <w:t>(</w:t>
      </w:r>
      <w:proofErr w:type="gramStart"/>
      <w:r w:rsidR="00EB4158" w:rsidRPr="00EB4158">
        <w:rPr>
          <w:rFonts w:ascii="Times New Roman" w:hAnsi="Times New Roman"/>
          <w:sz w:val="24"/>
          <w:szCs w:val="24"/>
          <w:lang w:eastAsia="en-GB"/>
        </w:rPr>
        <w:t xml:space="preserve">Acharya </w:t>
      </w:r>
      <w:r w:rsidR="00CE640F">
        <w:rPr>
          <w:rFonts w:ascii="Times New Roman" w:hAnsi="Times New Roman"/>
          <w:sz w:val="24"/>
          <w:szCs w:val="24"/>
          <w:lang w:eastAsia="en-GB"/>
        </w:rPr>
        <w:t xml:space="preserve"> et al.</w:t>
      </w:r>
      <w:proofErr w:type="gramEnd"/>
      <w:r w:rsidR="00CE640F">
        <w:rPr>
          <w:rFonts w:ascii="Times New Roman" w:hAnsi="Times New Roman"/>
          <w:sz w:val="24"/>
          <w:szCs w:val="24"/>
          <w:lang w:eastAsia="en-GB"/>
        </w:rPr>
        <w:t>,</w:t>
      </w:r>
      <w:r w:rsidR="00826189" w:rsidRPr="00BA0E8D">
        <w:rPr>
          <w:rFonts w:ascii="Times New Roman" w:hAnsi="Times New Roman"/>
          <w:color w:val="222222"/>
          <w:sz w:val="24"/>
          <w:szCs w:val="24"/>
          <w:shd w:val="clear" w:color="auto" w:fill="FFFFFF"/>
        </w:rPr>
        <w:t xml:space="preserve"> 201</w:t>
      </w:r>
      <w:r w:rsidR="00EB4158">
        <w:rPr>
          <w:rFonts w:ascii="Times New Roman" w:hAnsi="Times New Roman"/>
          <w:color w:val="222222"/>
          <w:sz w:val="24"/>
          <w:szCs w:val="24"/>
          <w:shd w:val="clear" w:color="auto" w:fill="FFFFFF"/>
        </w:rPr>
        <w:t>3</w:t>
      </w:r>
      <w:r w:rsidR="00E463FD" w:rsidRPr="00BA0E8D">
        <w:rPr>
          <w:rFonts w:ascii="Times New Roman" w:hAnsi="Times New Roman"/>
          <w:color w:val="222222"/>
          <w:sz w:val="24"/>
          <w:szCs w:val="24"/>
          <w:shd w:val="clear" w:color="auto" w:fill="FFFFFF"/>
        </w:rPr>
        <w:t xml:space="preserve">). On the other hand, banking market concentration could </w:t>
      </w:r>
      <w:r w:rsidR="0000577C" w:rsidRPr="00BA0E8D">
        <w:rPr>
          <w:rFonts w:ascii="Times New Roman" w:hAnsi="Times New Roman"/>
          <w:color w:val="222222"/>
          <w:sz w:val="24"/>
          <w:szCs w:val="24"/>
          <w:shd w:val="clear" w:color="auto" w:fill="FFFFFF"/>
        </w:rPr>
        <w:t>emerge</w:t>
      </w:r>
      <w:r w:rsidR="00E463FD" w:rsidRPr="00BA0E8D">
        <w:rPr>
          <w:rFonts w:ascii="Times New Roman" w:hAnsi="Times New Roman"/>
          <w:color w:val="222222"/>
          <w:sz w:val="24"/>
          <w:szCs w:val="24"/>
          <w:shd w:val="clear" w:color="auto" w:fill="FFFFFF"/>
        </w:rPr>
        <w:t xml:space="preserve"> from a situation in which </w:t>
      </w:r>
      <w:r w:rsidR="00A24DDF">
        <w:rPr>
          <w:rFonts w:ascii="Times New Roman" w:hAnsi="Times New Roman"/>
          <w:color w:val="222222"/>
          <w:sz w:val="24"/>
          <w:szCs w:val="24"/>
          <w:shd w:val="clear" w:color="auto" w:fill="FFFFFF"/>
        </w:rPr>
        <w:t xml:space="preserve">the presence of </w:t>
      </w:r>
      <w:r w:rsidR="00E463FD" w:rsidRPr="00BA0E8D">
        <w:rPr>
          <w:rFonts w:ascii="Times New Roman" w:hAnsi="Times New Roman"/>
          <w:color w:val="222222"/>
          <w:sz w:val="24"/>
          <w:szCs w:val="24"/>
          <w:shd w:val="clear" w:color="auto" w:fill="FFFFFF"/>
        </w:rPr>
        <w:t>more efficient banks drive</w:t>
      </w:r>
      <w:r w:rsidR="00A24DDF">
        <w:rPr>
          <w:rFonts w:ascii="Times New Roman" w:hAnsi="Times New Roman"/>
          <w:color w:val="222222"/>
          <w:sz w:val="24"/>
          <w:szCs w:val="24"/>
          <w:shd w:val="clear" w:color="auto" w:fill="FFFFFF"/>
        </w:rPr>
        <w:t>s</w:t>
      </w:r>
      <w:r w:rsidR="00E463FD" w:rsidRPr="00BA0E8D">
        <w:rPr>
          <w:rFonts w:ascii="Times New Roman" w:hAnsi="Times New Roman"/>
          <w:color w:val="222222"/>
          <w:sz w:val="24"/>
          <w:szCs w:val="24"/>
          <w:shd w:val="clear" w:color="auto" w:fill="FFFFFF"/>
        </w:rPr>
        <w:t xml:space="preserve"> </w:t>
      </w:r>
      <w:r w:rsidR="00A24DDF" w:rsidRPr="00BA0E8D">
        <w:rPr>
          <w:rFonts w:ascii="Times New Roman" w:hAnsi="Times New Roman"/>
          <w:color w:val="222222"/>
          <w:sz w:val="24"/>
          <w:szCs w:val="24"/>
          <w:shd w:val="clear" w:color="auto" w:fill="FFFFFF"/>
        </w:rPr>
        <w:t xml:space="preserve">less efficient ones </w:t>
      </w:r>
      <w:r w:rsidR="00E463FD" w:rsidRPr="00BA0E8D">
        <w:rPr>
          <w:rFonts w:ascii="Times New Roman" w:hAnsi="Times New Roman"/>
          <w:color w:val="222222"/>
          <w:sz w:val="24"/>
          <w:szCs w:val="24"/>
          <w:shd w:val="clear" w:color="auto" w:fill="FFFFFF"/>
        </w:rPr>
        <w:t>out of the market, suggesting that less concentrated banking market</w:t>
      </w:r>
      <w:r w:rsidR="00A24DDF">
        <w:rPr>
          <w:rFonts w:ascii="Times New Roman" w:hAnsi="Times New Roman"/>
          <w:color w:val="222222"/>
          <w:sz w:val="24"/>
          <w:szCs w:val="24"/>
          <w:shd w:val="clear" w:color="auto" w:fill="FFFFFF"/>
        </w:rPr>
        <w:t>s</w:t>
      </w:r>
      <w:r w:rsidR="00E463FD" w:rsidRPr="00BA0E8D">
        <w:rPr>
          <w:rFonts w:ascii="Times New Roman" w:hAnsi="Times New Roman"/>
          <w:color w:val="222222"/>
          <w:sz w:val="24"/>
          <w:szCs w:val="24"/>
          <w:shd w:val="clear" w:color="auto" w:fill="FFFFFF"/>
        </w:rPr>
        <w:t xml:space="preserve"> are efficient (</w:t>
      </w:r>
      <w:proofErr w:type="spellStart"/>
      <w:r w:rsidR="00745265" w:rsidRPr="00BA0E8D">
        <w:rPr>
          <w:rFonts w:ascii="Times New Roman" w:hAnsi="Times New Roman"/>
          <w:color w:val="222222"/>
          <w:sz w:val="24"/>
          <w:szCs w:val="24"/>
          <w:shd w:val="clear" w:color="auto" w:fill="FFFFFF"/>
        </w:rPr>
        <w:t>Demstz</w:t>
      </w:r>
      <w:proofErr w:type="spellEnd"/>
      <w:r w:rsidR="00745265" w:rsidRPr="00BA0E8D">
        <w:rPr>
          <w:rFonts w:ascii="Times New Roman" w:hAnsi="Times New Roman"/>
          <w:color w:val="222222"/>
          <w:sz w:val="24"/>
          <w:szCs w:val="24"/>
          <w:shd w:val="clear" w:color="auto" w:fill="FFFFFF"/>
        </w:rPr>
        <w:t>, 1973</w:t>
      </w:r>
      <w:r w:rsidR="00E463FD" w:rsidRPr="00BA0E8D">
        <w:rPr>
          <w:rFonts w:ascii="Times New Roman" w:hAnsi="Times New Roman"/>
          <w:color w:val="222222"/>
          <w:sz w:val="24"/>
          <w:szCs w:val="24"/>
          <w:shd w:val="clear" w:color="auto" w:fill="FFFFFF"/>
        </w:rPr>
        <w:t xml:space="preserve">). </w:t>
      </w:r>
      <w:r w:rsidR="0000577C" w:rsidRPr="00BA0E8D">
        <w:rPr>
          <w:rFonts w:ascii="Times New Roman" w:hAnsi="Times New Roman"/>
          <w:color w:val="222222"/>
          <w:sz w:val="24"/>
          <w:szCs w:val="24"/>
          <w:shd w:val="clear" w:color="auto" w:fill="FFFFFF"/>
        </w:rPr>
        <w:t>Nonetheless, it</w:t>
      </w:r>
      <w:r w:rsidR="005D3F85" w:rsidRPr="00BA0E8D">
        <w:rPr>
          <w:rFonts w:ascii="Times New Roman" w:hAnsi="Times New Roman"/>
          <w:color w:val="222222"/>
          <w:sz w:val="24"/>
          <w:szCs w:val="24"/>
          <w:shd w:val="clear" w:color="auto" w:fill="FFFFFF"/>
        </w:rPr>
        <w:t xml:space="preserve"> is </w:t>
      </w:r>
      <w:r w:rsidR="00E463FD" w:rsidRPr="00BA0E8D">
        <w:rPr>
          <w:rFonts w:ascii="Times New Roman" w:hAnsi="Times New Roman"/>
          <w:color w:val="222222"/>
          <w:sz w:val="24"/>
          <w:szCs w:val="24"/>
          <w:shd w:val="clear" w:color="auto" w:fill="FFFFFF"/>
        </w:rPr>
        <w:t xml:space="preserve">insightful to note that credit information sharing has a role to play in the </w:t>
      </w:r>
      <w:r w:rsidR="00E463FD" w:rsidRPr="00BA0E8D">
        <w:rPr>
          <w:rFonts w:ascii="Times New Roman" w:hAnsi="Times New Roman"/>
          <w:color w:val="222222"/>
          <w:sz w:val="24"/>
          <w:szCs w:val="24"/>
          <w:shd w:val="clear" w:color="auto" w:fill="FFFFFF"/>
        </w:rPr>
        <w:lastRenderedPageBreak/>
        <w:t xml:space="preserve">concentration-efficiency nexus. </w:t>
      </w:r>
      <w:r w:rsidR="00442D77" w:rsidRPr="00BA0E8D">
        <w:rPr>
          <w:rFonts w:ascii="Times New Roman" w:hAnsi="Times New Roman"/>
          <w:color w:val="222222"/>
          <w:sz w:val="24"/>
          <w:szCs w:val="24"/>
          <w:shd w:val="clear" w:color="auto" w:fill="FFFFFF"/>
        </w:rPr>
        <w:t>On the one hand, by facilitating the acquisition of credit information</w:t>
      </w:r>
      <w:r w:rsidR="003A5D8F" w:rsidRPr="00BA0E8D">
        <w:rPr>
          <w:rFonts w:ascii="Times New Roman" w:hAnsi="Times New Roman"/>
          <w:color w:val="222222"/>
          <w:sz w:val="24"/>
          <w:szCs w:val="24"/>
          <w:shd w:val="clear" w:color="auto" w:fill="FFFFFF"/>
        </w:rPr>
        <w:t xml:space="preserve"> (e.g., Petersen and </w:t>
      </w:r>
      <w:proofErr w:type="spellStart"/>
      <w:r w:rsidR="003A5D8F" w:rsidRPr="00BA0E8D">
        <w:rPr>
          <w:rFonts w:ascii="Times New Roman" w:hAnsi="Times New Roman"/>
          <w:color w:val="222222"/>
          <w:sz w:val="24"/>
          <w:szCs w:val="24"/>
          <w:shd w:val="clear" w:color="auto" w:fill="FFFFFF"/>
        </w:rPr>
        <w:t>Rajan</w:t>
      </w:r>
      <w:proofErr w:type="spellEnd"/>
      <w:r w:rsidR="003A5D8F" w:rsidRPr="00BA0E8D">
        <w:rPr>
          <w:rFonts w:ascii="Times New Roman" w:hAnsi="Times New Roman"/>
          <w:color w:val="222222"/>
          <w:sz w:val="24"/>
          <w:szCs w:val="24"/>
          <w:shd w:val="clear" w:color="auto" w:fill="FFFFFF"/>
        </w:rPr>
        <w:t xml:space="preserve"> 1995; </w:t>
      </w:r>
      <w:proofErr w:type="spellStart"/>
      <w:r w:rsidR="003A5D8F" w:rsidRPr="00BA0E8D">
        <w:rPr>
          <w:rFonts w:ascii="Times New Roman" w:hAnsi="Times New Roman"/>
          <w:sz w:val="24"/>
          <w:szCs w:val="24"/>
        </w:rPr>
        <w:t>Cetorelli</w:t>
      </w:r>
      <w:proofErr w:type="spellEnd"/>
      <w:r w:rsidR="003A5D8F" w:rsidRPr="00BA0E8D">
        <w:rPr>
          <w:rFonts w:ascii="Times New Roman" w:hAnsi="Times New Roman"/>
          <w:sz w:val="24"/>
          <w:szCs w:val="24"/>
        </w:rPr>
        <w:t xml:space="preserve"> and </w:t>
      </w:r>
      <w:proofErr w:type="spellStart"/>
      <w:r w:rsidR="003A5D8F" w:rsidRPr="00BA0E8D">
        <w:rPr>
          <w:rFonts w:ascii="Times New Roman" w:hAnsi="Times New Roman"/>
          <w:sz w:val="24"/>
          <w:szCs w:val="24"/>
        </w:rPr>
        <w:t>Peretto</w:t>
      </w:r>
      <w:proofErr w:type="spellEnd"/>
      <w:r w:rsidR="003A5D8F" w:rsidRPr="00BA0E8D">
        <w:rPr>
          <w:rFonts w:ascii="Times New Roman" w:hAnsi="Times New Roman"/>
          <w:sz w:val="24"/>
          <w:szCs w:val="24"/>
        </w:rPr>
        <w:t>, 2000)</w:t>
      </w:r>
      <w:r w:rsidR="00442D77" w:rsidRPr="00BA0E8D">
        <w:rPr>
          <w:rFonts w:ascii="Times New Roman" w:hAnsi="Times New Roman"/>
          <w:color w:val="222222"/>
          <w:sz w:val="24"/>
          <w:szCs w:val="24"/>
          <w:shd w:val="clear" w:color="auto" w:fill="FFFFFF"/>
        </w:rPr>
        <w:t xml:space="preserve">, </w:t>
      </w:r>
      <w:r w:rsidR="00B869F4" w:rsidRPr="00BA0E8D">
        <w:rPr>
          <w:rFonts w:ascii="Times New Roman" w:hAnsi="Times New Roman"/>
          <w:color w:val="222222"/>
          <w:sz w:val="24"/>
          <w:szCs w:val="24"/>
          <w:shd w:val="clear" w:color="auto" w:fill="FFFFFF"/>
        </w:rPr>
        <w:t>the effect of concentration on credit intermediation cost</w:t>
      </w:r>
      <w:r w:rsidR="002C5132">
        <w:rPr>
          <w:rFonts w:ascii="Times New Roman" w:hAnsi="Times New Roman"/>
          <w:color w:val="222222"/>
          <w:sz w:val="24"/>
          <w:szCs w:val="24"/>
          <w:shd w:val="clear" w:color="auto" w:fill="FFFFFF"/>
        </w:rPr>
        <w:t xml:space="preserve"> </w:t>
      </w:r>
      <w:r w:rsidR="00B869F4" w:rsidRPr="00BA0E8D">
        <w:rPr>
          <w:rFonts w:ascii="Times New Roman" w:hAnsi="Times New Roman"/>
          <w:color w:val="222222"/>
          <w:sz w:val="24"/>
          <w:szCs w:val="24"/>
          <w:shd w:val="clear" w:color="auto" w:fill="FFFFFF"/>
        </w:rPr>
        <w:t>can be moderated</w:t>
      </w:r>
      <w:r w:rsidR="00993E68" w:rsidRPr="00BA0E8D">
        <w:rPr>
          <w:rFonts w:ascii="Times New Roman" w:hAnsi="Times New Roman"/>
          <w:color w:val="222222"/>
          <w:sz w:val="24"/>
          <w:szCs w:val="24"/>
          <w:shd w:val="clear" w:color="auto" w:fill="FFFFFF"/>
        </w:rPr>
        <w:t xml:space="preserve"> by </w:t>
      </w:r>
      <w:r w:rsidR="00442D77" w:rsidRPr="00BA0E8D">
        <w:rPr>
          <w:rFonts w:ascii="Times New Roman" w:hAnsi="Times New Roman"/>
          <w:color w:val="222222"/>
          <w:sz w:val="24"/>
          <w:szCs w:val="24"/>
          <w:shd w:val="clear" w:color="auto" w:fill="FFFFFF"/>
        </w:rPr>
        <w:t>credit information sharing</w:t>
      </w:r>
      <w:r w:rsidR="008E1045">
        <w:rPr>
          <w:rFonts w:ascii="Times New Roman" w:hAnsi="Times New Roman"/>
          <w:color w:val="222222"/>
          <w:sz w:val="24"/>
          <w:szCs w:val="24"/>
          <w:shd w:val="clear" w:color="auto" w:fill="FFFFFF"/>
        </w:rPr>
        <w:t>.</w:t>
      </w:r>
      <w:r w:rsidR="002C5132">
        <w:rPr>
          <w:rFonts w:ascii="Times New Roman" w:hAnsi="Times New Roman"/>
          <w:color w:val="222222"/>
          <w:sz w:val="24"/>
          <w:szCs w:val="24"/>
          <w:shd w:val="clear" w:color="auto" w:fill="FFFFFF"/>
        </w:rPr>
        <w:t xml:space="preserve"> </w:t>
      </w:r>
      <w:r w:rsidR="00B53695">
        <w:rPr>
          <w:rFonts w:ascii="Times New Roman" w:hAnsi="Times New Roman"/>
          <w:color w:val="222222"/>
          <w:sz w:val="24"/>
          <w:szCs w:val="24"/>
          <w:shd w:val="clear" w:color="auto" w:fill="FFFFFF"/>
        </w:rPr>
        <w:t>These</w:t>
      </w:r>
      <w:r w:rsidR="00B53695" w:rsidRPr="00BA0E8D">
        <w:rPr>
          <w:rFonts w:ascii="Times New Roman" w:hAnsi="Times New Roman"/>
          <w:color w:val="222222"/>
          <w:sz w:val="24"/>
          <w:szCs w:val="24"/>
          <w:shd w:val="clear" w:color="auto" w:fill="FFFFFF"/>
        </w:rPr>
        <w:t xml:space="preserve"> arguments lead</w:t>
      </w:r>
      <w:r w:rsidR="00E463FD" w:rsidRPr="00BA0E8D">
        <w:rPr>
          <w:rFonts w:ascii="Times New Roman" w:hAnsi="Times New Roman"/>
          <w:color w:val="222222"/>
          <w:sz w:val="24"/>
          <w:szCs w:val="24"/>
          <w:shd w:val="clear" w:color="auto" w:fill="FFFFFF"/>
        </w:rPr>
        <w:t xml:space="preserve"> to our third hypothes</w:t>
      </w:r>
      <w:r w:rsidR="00E761E0" w:rsidRPr="00BA0E8D">
        <w:rPr>
          <w:rFonts w:ascii="Times New Roman" w:hAnsi="Times New Roman"/>
          <w:color w:val="222222"/>
          <w:sz w:val="24"/>
          <w:szCs w:val="24"/>
          <w:shd w:val="clear" w:color="auto" w:fill="FFFFFF"/>
        </w:rPr>
        <w:t>i</w:t>
      </w:r>
      <w:r w:rsidR="00E463FD" w:rsidRPr="00BA0E8D">
        <w:rPr>
          <w:rFonts w:ascii="Times New Roman" w:hAnsi="Times New Roman"/>
          <w:color w:val="222222"/>
          <w:sz w:val="24"/>
          <w:szCs w:val="24"/>
          <w:shd w:val="clear" w:color="auto" w:fill="FFFFFF"/>
        </w:rPr>
        <w:t>s as follow</w:t>
      </w:r>
      <w:r w:rsidR="00A24DDF">
        <w:rPr>
          <w:rFonts w:ascii="Times New Roman" w:hAnsi="Times New Roman"/>
          <w:color w:val="222222"/>
          <w:sz w:val="24"/>
          <w:szCs w:val="24"/>
          <w:shd w:val="clear" w:color="auto" w:fill="FFFFFF"/>
        </w:rPr>
        <w:t>s</w:t>
      </w:r>
      <w:r w:rsidR="00E463FD" w:rsidRPr="00BA0E8D">
        <w:rPr>
          <w:rFonts w:ascii="Times New Roman" w:hAnsi="Times New Roman"/>
          <w:color w:val="222222"/>
          <w:sz w:val="24"/>
          <w:szCs w:val="24"/>
          <w:shd w:val="clear" w:color="auto" w:fill="FFFFFF"/>
        </w:rPr>
        <w:t>:</w:t>
      </w:r>
    </w:p>
    <w:p w14:paraId="4F655416" w14:textId="77777777" w:rsidR="006531BA" w:rsidRPr="00BA0E8D" w:rsidRDefault="006531BA" w:rsidP="008913AC">
      <w:pPr>
        <w:spacing w:after="0" w:line="360" w:lineRule="auto"/>
        <w:jc w:val="both"/>
        <w:rPr>
          <w:rFonts w:ascii="Times New Roman" w:hAnsi="Times New Roman"/>
          <w:color w:val="222222"/>
          <w:sz w:val="24"/>
          <w:szCs w:val="24"/>
          <w:shd w:val="clear" w:color="auto" w:fill="FFFFFF"/>
        </w:rPr>
      </w:pPr>
    </w:p>
    <w:p w14:paraId="04FFDDCB" w14:textId="0F223CFC" w:rsidR="006909B4" w:rsidRPr="00BA0E8D" w:rsidRDefault="006909B4" w:rsidP="006909B4">
      <w:pPr>
        <w:spacing w:after="0" w:line="360" w:lineRule="auto"/>
        <w:jc w:val="both"/>
        <w:rPr>
          <w:rFonts w:ascii="Times New Roman" w:hAnsi="Times New Roman"/>
          <w:i/>
          <w:sz w:val="24"/>
          <w:szCs w:val="24"/>
        </w:rPr>
      </w:pPr>
      <w:r w:rsidRPr="00BA0E8D">
        <w:rPr>
          <w:rFonts w:ascii="Times New Roman" w:hAnsi="Times New Roman"/>
          <w:i/>
          <w:color w:val="222222"/>
          <w:sz w:val="24"/>
          <w:szCs w:val="24"/>
          <w:shd w:val="clear" w:color="auto" w:fill="FFFFFF"/>
        </w:rPr>
        <w:t>H3: Credit information sharing moderates the effect of banking market concentration on credit intermediation cost.</w:t>
      </w:r>
    </w:p>
    <w:p w14:paraId="33BA168D" w14:textId="77777777" w:rsidR="006909B4" w:rsidRPr="00BA0E8D" w:rsidRDefault="006909B4" w:rsidP="00894076">
      <w:pPr>
        <w:spacing w:after="0" w:line="360" w:lineRule="auto"/>
        <w:jc w:val="center"/>
        <w:rPr>
          <w:rFonts w:ascii="Times New Roman" w:hAnsi="Times New Roman"/>
          <w:color w:val="222222"/>
          <w:sz w:val="24"/>
          <w:szCs w:val="24"/>
          <w:shd w:val="clear" w:color="auto" w:fill="FFFFFF"/>
        </w:rPr>
      </w:pPr>
    </w:p>
    <w:p w14:paraId="181C0DD2" w14:textId="690CDFA8" w:rsidR="00B34977" w:rsidRPr="00BA0E8D" w:rsidRDefault="00E77905" w:rsidP="00A91E8F">
      <w:pPr>
        <w:spacing w:after="0" w:line="360" w:lineRule="auto"/>
        <w:jc w:val="both"/>
        <w:rPr>
          <w:rFonts w:ascii="Times New Roman" w:hAnsi="Times New Roman"/>
          <w:sz w:val="24"/>
          <w:szCs w:val="24"/>
          <w:lang w:eastAsia="en-GB"/>
        </w:rPr>
      </w:pPr>
      <w:r w:rsidRPr="00BA0E8D">
        <w:rPr>
          <w:rFonts w:ascii="Times New Roman" w:hAnsi="Times New Roman"/>
          <w:sz w:val="24"/>
          <w:szCs w:val="24"/>
          <w:lang w:eastAsia="en-GB"/>
        </w:rPr>
        <w:t xml:space="preserve">We take the view that the nature of the institutional environment is likely to impact on the </w:t>
      </w:r>
      <w:r w:rsidR="00DC5AD4" w:rsidRPr="00BA0E8D">
        <w:rPr>
          <w:rFonts w:ascii="Times New Roman" w:hAnsi="Times New Roman"/>
          <w:sz w:val="24"/>
          <w:szCs w:val="24"/>
          <w:lang w:eastAsia="en-GB"/>
        </w:rPr>
        <w:t xml:space="preserve">relationship </w:t>
      </w:r>
      <w:r w:rsidR="00E500B9" w:rsidRPr="00BA0E8D">
        <w:rPr>
          <w:rFonts w:ascii="Times New Roman" w:hAnsi="Times New Roman"/>
          <w:sz w:val="24"/>
          <w:szCs w:val="24"/>
          <w:lang w:eastAsia="en-GB"/>
        </w:rPr>
        <w:t>between information</w:t>
      </w:r>
      <w:r w:rsidR="004745B5" w:rsidRPr="00BA0E8D">
        <w:rPr>
          <w:rFonts w:ascii="Times New Roman" w:hAnsi="Times New Roman"/>
          <w:sz w:val="24"/>
          <w:szCs w:val="24"/>
          <w:lang w:eastAsia="en-GB"/>
        </w:rPr>
        <w:t xml:space="preserve"> sharing</w:t>
      </w:r>
      <w:r w:rsidRPr="00BA0E8D">
        <w:rPr>
          <w:rFonts w:ascii="Times New Roman" w:hAnsi="Times New Roman"/>
          <w:sz w:val="24"/>
          <w:szCs w:val="24"/>
          <w:lang w:eastAsia="en-GB"/>
        </w:rPr>
        <w:t xml:space="preserve"> and credit intermediation cost</w:t>
      </w:r>
      <w:r w:rsidR="009F1983" w:rsidRPr="00BA0E8D">
        <w:rPr>
          <w:rFonts w:ascii="Times New Roman" w:hAnsi="Times New Roman"/>
          <w:sz w:val="24"/>
          <w:szCs w:val="24"/>
          <w:lang w:eastAsia="en-GB"/>
        </w:rPr>
        <w:t xml:space="preserve">. </w:t>
      </w:r>
      <w:r w:rsidRPr="00BA0E8D">
        <w:rPr>
          <w:rFonts w:ascii="Times New Roman" w:hAnsi="Times New Roman"/>
          <w:sz w:val="24"/>
          <w:szCs w:val="24"/>
          <w:lang w:eastAsia="en-GB"/>
        </w:rPr>
        <w:t>For instance</w:t>
      </w:r>
      <w:r w:rsidR="009F1983" w:rsidRPr="00BA0E8D">
        <w:rPr>
          <w:rFonts w:ascii="Times New Roman" w:hAnsi="Times New Roman"/>
          <w:sz w:val="24"/>
          <w:szCs w:val="24"/>
          <w:lang w:eastAsia="en-GB"/>
        </w:rPr>
        <w:t>, Brown et al</w:t>
      </w:r>
      <w:r w:rsidR="00A24DDF">
        <w:rPr>
          <w:rFonts w:ascii="Times New Roman" w:hAnsi="Times New Roman"/>
          <w:sz w:val="24"/>
          <w:szCs w:val="24"/>
          <w:lang w:eastAsia="en-GB"/>
        </w:rPr>
        <w:t>.</w:t>
      </w:r>
      <w:r w:rsidR="009F1983" w:rsidRPr="00BA0E8D">
        <w:rPr>
          <w:rFonts w:ascii="Times New Roman" w:hAnsi="Times New Roman"/>
          <w:sz w:val="24"/>
          <w:szCs w:val="24"/>
          <w:lang w:eastAsia="en-GB"/>
        </w:rPr>
        <w:t xml:space="preserve"> (2009)</w:t>
      </w:r>
      <w:r w:rsidR="003A5371" w:rsidRPr="00BA0E8D">
        <w:rPr>
          <w:rFonts w:ascii="Times New Roman" w:hAnsi="Times New Roman"/>
          <w:sz w:val="24"/>
          <w:szCs w:val="24"/>
          <w:lang w:eastAsia="en-GB"/>
        </w:rPr>
        <w:t xml:space="preserve"> and Fo</w:t>
      </w:r>
      <w:r w:rsidR="005A6BA2" w:rsidRPr="00BA0E8D">
        <w:rPr>
          <w:rFonts w:ascii="Times New Roman" w:hAnsi="Times New Roman"/>
          <w:sz w:val="24"/>
          <w:szCs w:val="24"/>
          <w:lang w:eastAsia="en-GB"/>
        </w:rPr>
        <w:t>s</w:t>
      </w:r>
      <w:r w:rsidR="003A5371" w:rsidRPr="00BA0E8D">
        <w:rPr>
          <w:rFonts w:ascii="Times New Roman" w:hAnsi="Times New Roman"/>
          <w:sz w:val="24"/>
          <w:szCs w:val="24"/>
          <w:lang w:eastAsia="en-GB"/>
        </w:rPr>
        <w:t>u (2014)</w:t>
      </w:r>
      <w:r w:rsidR="009F1983" w:rsidRPr="00BA0E8D">
        <w:rPr>
          <w:rFonts w:ascii="Times New Roman" w:hAnsi="Times New Roman"/>
          <w:sz w:val="24"/>
          <w:szCs w:val="24"/>
          <w:lang w:eastAsia="en-GB"/>
        </w:rPr>
        <w:t xml:space="preserve"> note </w:t>
      </w:r>
      <w:r w:rsidR="00573902" w:rsidRPr="00BA0E8D">
        <w:rPr>
          <w:rFonts w:ascii="Times New Roman" w:hAnsi="Times New Roman"/>
          <w:sz w:val="24"/>
          <w:szCs w:val="24"/>
          <w:lang w:eastAsia="en-GB"/>
        </w:rPr>
        <w:t xml:space="preserve">that information sharing is an important determinant of credit </w:t>
      </w:r>
      <w:r w:rsidR="003A5371" w:rsidRPr="00BA0E8D">
        <w:rPr>
          <w:rFonts w:ascii="Times New Roman" w:hAnsi="Times New Roman"/>
          <w:sz w:val="24"/>
          <w:szCs w:val="24"/>
          <w:lang w:eastAsia="en-GB"/>
        </w:rPr>
        <w:t xml:space="preserve">market </w:t>
      </w:r>
      <w:r w:rsidR="00573902" w:rsidRPr="00BA0E8D">
        <w:rPr>
          <w:rFonts w:ascii="Times New Roman" w:hAnsi="Times New Roman"/>
          <w:sz w:val="24"/>
          <w:szCs w:val="24"/>
          <w:lang w:eastAsia="en-GB"/>
        </w:rPr>
        <w:t>performance</w:t>
      </w:r>
      <w:r w:rsidR="00DB4F69">
        <w:rPr>
          <w:rFonts w:ascii="Times New Roman" w:hAnsi="Times New Roman"/>
          <w:sz w:val="24"/>
          <w:szCs w:val="24"/>
          <w:lang w:eastAsia="en-GB"/>
        </w:rPr>
        <w:t>,</w:t>
      </w:r>
      <w:r w:rsidR="00573902" w:rsidRPr="00BA0E8D">
        <w:rPr>
          <w:rFonts w:ascii="Times New Roman" w:hAnsi="Times New Roman"/>
          <w:sz w:val="24"/>
          <w:szCs w:val="24"/>
          <w:lang w:eastAsia="en-GB"/>
        </w:rPr>
        <w:t xml:space="preserve"> especially in countries </w:t>
      </w:r>
      <w:r w:rsidR="00351C5E" w:rsidRPr="00BA0E8D">
        <w:rPr>
          <w:rFonts w:ascii="Times New Roman" w:hAnsi="Times New Roman"/>
          <w:sz w:val="24"/>
          <w:szCs w:val="24"/>
          <w:lang w:eastAsia="en-GB"/>
        </w:rPr>
        <w:t xml:space="preserve">where governance </w:t>
      </w:r>
      <w:r w:rsidR="0036024D" w:rsidRPr="00BA0E8D">
        <w:rPr>
          <w:rFonts w:ascii="Times New Roman" w:hAnsi="Times New Roman"/>
          <w:sz w:val="24"/>
          <w:szCs w:val="24"/>
          <w:lang w:eastAsia="en-GB"/>
        </w:rPr>
        <w:t>quality, rule</w:t>
      </w:r>
      <w:r w:rsidR="00351C5E" w:rsidRPr="00BA0E8D">
        <w:rPr>
          <w:rFonts w:ascii="Times New Roman" w:hAnsi="Times New Roman"/>
          <w:sz w:val="24"/>
          <w:szCs w:val="24"/>
          <w:lang w:eastAsia="en-GB"/>
        </w:rPr>
        <w:t xml:space="preserve"> of law, control of corruption and regulatory quality are weak</w:t>
      </w:r>
      <w:r w:rsidR="00784B65" w:rsidRPr="00BA0E8D">
        <w:rPr>
          <w:rFonts w:ascii="Times New Roman" w:hAnsi="Times New Roman"/>
          <w:sz w:val="24"/>
          <w:szCs w:val="24"/>
          <w:lang w:eastAsia="en-GB"/>
        </w:rPr>
        <w:t>.</w:t>
      </w:r>
      <w:r w:rsidR="003A5371" w:rsidRPr="00BA0E8D">
        <w:rPr>
          <w:rFonts w:ascii="Times New Roman" w:hAnsi="Times New Roman"/>
          <w:sz w:val="24"/>
          <w:szCs w:val="24"/>
          <w:lang w:eastAsia="en-GB"/>
        </w:rPr>
        <w:t xml:space="preserve"> Further</w:t>
      </w:r>
      <w:r w:rsidR="00A02077" w:rsidRPr="00BA0E8D">
        <w:rPr>
          <w:rFonts w:ascii="Times New Roman" w:hAnsi="Times New Roman"/>
          <w:sz w:val="24"/>
          <w:szCs w:val="24"/>
          <w:lang w:eastAsia="en-GB"/>
        </w:rPr>
        <w:t>more</w:t>
      </w:r>
      <w:r w:rsidR="003A5371" w:rsidRPr="00BA0E8D">
        <w:rPr>
          <w:rFonts w:ascii="Times New Roman" w:hAnsi="Times New Roman"/>
          <w:sz w:val="24"/>
          <w:szCs w:val="24"/>
          <w:lang w:eastAsia="en-GB"/>
        </w:rPr>
        <w:t xml:space="preserve">, </w:t>
      </w:r>
      <w:proofErr w:type="spellStart"/>
      <w:r w:rsidR="003A5371" w:rsidRPr="00BA0E8D">
        <w:rPr>
          <w:rFonts w:ascii="Times New Roman" w:hAnsi="Times New Roman"/>
          <w:color w:val="222222"/>
          <w:sz w:val="24"/>
          <w:szCs w:val="24"/>
          <w:shd w:val="clear" w:color="auto" w:fill="FFFFFF"/>
        </w:rPr>
        <w:t>Djankov</w:t>
      </w:r>
      <w:proofErr w:type="spellEnd"/>
      <w:r w:rsidR="003A5371" w:rsidRPr="00BA0E8D">
        <w:rPr>
          <w:rFonts w:ascii="Times New Roman" w:hAnsi="Times New Roman"/>
          <w:color w:val="222222"/>
          <w:sz w:val="24"/>
          <w:szCs w:val="24"/>
          <w:shd w:val="clear" w:color="auto" w:fill="FFFFFF"/>
        </w:rPr>
        <w:t xml:space="preserve"> et al.</w:t>
      </w:r>
      <w:r w:rsidR="00B34977" w:rsidRPr="00BA0E8D">
        <w:rPr>
          <w:rFonts w:ascii="Times New Roman" w:hAnsi="Times New Roman"/>
          <w:color w:val="222222"/>
          <w:sz w:val="24"/>
          <w:szCs w:val="24"/>
          <w:shd w:val="clear" w:color="auto" w:fill="FFFFFF"/>
        </w:rPr>
        <w:t xml:space="preserve"> </w:t>
      </w:r>
      <w:r w:rsidR="003A5371" w:rsidRPr="00BA0E8D">
        <w:rPr>
          <w:rFonts w:ascii="Times New Roman" w:hAnsi="Times New Roman"/>
          <w:color w:val="222222"/>
          <w:sz w:val="24"/>
          <w:szCs w:val="24"/>
          <w:shd w:val="clear" w:color="auto" w:fill="FFFFFF"/>
        </w:rPr>
        <w:t>(2007) show that</w:t>
      </w:r>
      <w:r w:rsidR="00DB4F69">
        <w:rPr>
          <w:rFonts w:ascii="Times New Roman" w:hAnsi="Times New Roman"/>
          <w:color w:val="222222"/>
          <w:sz w:val="24"/>
          <w:szCs w:val="24"/>
          <w:shd w:val="clear" w:color="auto" w:fill="FFFFFF"/>
        </w:rPr>
        <w:t>,</w:t>
      </w:r>
      <w:r w:rsidR="003A5371" w:rsidRPr="00BA0E8D">
        <w:rPr>
          <w:rFonts w:ascii="Times New Roman" w:hAnsi="Times New Roman"/>
          <w:color w:val="222222"/>
          <w:sz w:val="24"/>
          <w:szCs w:val="24"/>
          <w:shd w:val="clear" w:color="auto" w:fill="FFFFFF"/>
        </w:rPr>
        <w:t xml:space="preserve"> whilst credit information sharing mitigates bank risk-taking, the effect decreases with the quality of creditor rights protection.</w:t>
      </w:r>
      <w:r w:rsidR="00664A7D" w:rsidRPr="00BA0E8D">
        <w:rPr>
          <w:rFonts w:ascii="Times New Roman" w:hAnsi="Times New Roman"/>
          <w:sz w:val="24"/>
          <w:szCs w:val="24"/>
          <w:lang w:eastAsia="en-GB"/>
        </w:rPr>
        <w:t xml:space="preserve"> </w:t>
      </w:r>
      <w:r w:rsidR="00B34977" w:rsidRPr="00BA0E8D">
        <w:rPr>
          <w:rFonts w:ascii="Times New Roman" w:hAnsi="Times New Roman"/>
          <w:sz w:val="24"/>
          <w:szCs w:val="24"/>
          <w:lang w:eastAsia="en-GB"/>
        </w:rPr>
        <w:t>The foregoing suggest</w:t>
      </w:r>
      <w:r w:rsidR="0074169E" w:rsidRPr="00BA0E8D">
        <w:rPr>
          <w:rFonts w:ascii="Times New Roman" w:hAnsi="Times New Roman"/>
          <w:sz w:val="24"/>
          <w:szCs w:val="24"/>
          <w:lang w:eastAsia="en-GB"/>
        </w:rPr>
        <w:t>s</w:t>
      </w:r>
      <w:r w:rsidR="00B34977" w:rsidRPr="00BA0E8D">
        <w:rPr>
          <w:rFonts w:ascii="Times New Roman" w:hAnsi="Times New Roman"/>
          <w:sz w:val="24"/>
          <w:szCs w:val="24"/>
          <w:lang w:eastAsia="en-GB"/>
        </w:rPr>
        <w:t xml:space="preserve"> that</w:t>
      </w:r>
      <w:r w:rsidR="00664A7D" w:rsidRPr="00BA0E8D">
        <w:rPr>
          <w:rFonts w:ascii="Times New Roman" w:hAnsi="Times New Roman"/>
          <w:sz w:val="24"/>
          <w:szCs w:val="24"/>
          <w:lang w:eastAsia="en-GB"/>
        </w:rPr>
        <w:t xml:space="preserve"> information sharing plays a substitution role </w:t>
      </w:r>
      <w:r w:rsidR="003A5371" w:rsidRPr="00BA0E8D">
        <w:rPr>
          <w:rFonts w:ascii="Times New Roman" w:hAnsi="Times New Roman"/>
          <w:sz w:val="24"/>
          <w:szCs w:val="24"/>
          <w:lang w:eastAsia="en-GB"/>
        </w:rPr>
        <w:t xml:space="preserve">to institutional quality </w:t>
      </w:r>
      <w:r w:rsidR="00664A7D" w:rsidRPr="00BA0E8D">
        <w:rPr>
          <w:rFonts w:ascii="Times New Roman" w:hAnsi="Times New Roman"/>
          <w:sz w:val="24"/>
          <w:szCs w:val="24"/>
          <w:lang w:eastAsia="en-GB"/>
        </w:rPr>
        <w:t xml:space="preserve">as </w:t>
      </w:r>
      <w:r w:rsidR="006835D5" w:rsidRPr="00BA0E8D">
        <w:rPr>
          <w:rFonts w:ascii="Times New Roman" w:hAnsi="Times New Roman"/>
          <w:sz w:val="24"/>
          <w:szCs w:val="24"/>
          <w:lang w:eastAsia="en-GB"/>
        </w:rPr>
        <w:t xml:space="preserve">it </w:t>
      </w:r>
      <w:r w:rsidR="00664A7D" w:rsidRPr="00BA0E8D">
        <w:rPr>
          <w:rFonts w:ascii="Times New Roman" w:hAnsi="Times New Roman"/>
          <w:sz w:val="24"/>
          <w:szCs w:val="24"/>
          <w:lang w:eastAsia="en-GB"/>
        </w:rPr>
        <w:t>mitigate</w:t>
      </w:r>
      <w:r w:rsidR="006835D5" w:rsidRPr="00BA0E8D">
        <w:rPr>
          <w:rFonts w:ascii="Times New Roman" w:hAnsi="Times New Roman"/>
          <w:sz w:val="24"/>
          <w:szCs w:val="24"/>
          <w:lang w:eastAsia="en-GB"/>
        </w:rPr>
        <w:t>s</w:t>
      </w:r>
      <w:r w:rsidR="00664A7D" w:rsidRPr="00BA0E8D">
        <w:rPr>
          <w:rFonts w:ascii="Times New Roman" w:hAnsi="Times New Roman"/>
          <w:sz w:val="24"/>
          <w:szCs w:val="24"/>
          <w:lang w:eastAsia="en-GB"/>
        </w:rPr>
        <w:t xml:space="preserve"> the effects of weak protection afforded to creditors</w:t>
      </w:r>
      <w:r w:rsidR="00B34977" w:rsidRPr="00BA0E8D">
        <w:rPr>
          <w:rFonts w:ascii="Times New Roman" w:hAnsi="Times New Roman"/>
          <w:sz w:val="24"/>
          <w:szCs w:val="24"/>
          <w:lang w:eastAsia="en-GB"/>
        </w:rPr>
        <w:t xml:space="preserve">. </w:t>
      </w:r>
      <w:r w:rsidR="006B5BA8" w:rsidRPr="00BA0E8D">
        <w:rPr>
          <w:rFonts w:ascii="Times New Roman" w:hAnsi="Times New Roman"/>
          <w:sz w:val="24"/>
          <w:szCs w:val="24"/>
          <w:lang w:eastAsia="en-GB"/>
        </w:rPr>
        <w:t xml:space="preserve">In the light of the above discussion, </w:t>
      </w:r>
      <w:r w:rsidR="00B34977" w:rsidRPr="00BA0E8D">
        <w:rPr>
          <w:rFonts w:ascii="Times New Roman" w:hAnsi="Times New Roman"/>
          <w:sz w:val="24"/>
          <w:szCs w:val="24"/>
          <w:lang w:eastAsia="en-GB"/>
        </w:rPr>
        <w:t xml:space="preserve">we formulate our </w:t>
      </w:r>
      <w:r w:rsidR="0090486F" w:rsidRPr="00BA0E8D">
        <w:rPr>
          <w:rFonts w:ascii="Times New Roman" w:hAnsi="Times New Roman"/>
          <w:sz w:val="24"/>
          <w:szCs w:val="24"/>
          <w:lang w:eastAsia="en-GB"/>
        </w:rPr>
        <w:t xml:space="preserve">fourth </w:t>
      </w:r>
      <w:r w:rsidR="00B34977" w:rsidRPr="00BA0E8D">
        <w:rPr>
          <w:rFonts w:ascii="Times New Roman" w:hAnsi="Times New Roman"/>
          <w:sz w:val="24"/>
          <w:szCs w:val="24"/>
          <w:lang w:eastAsia="en-GB"/>
        </w:rPr>
        <w:t>hypothesis as follow</w:t>
      </w:r>
      <w:r w:rsidR="00BA6E0A" w:rsidRPr="00BA0E8D">
        <w:rPr>
          <w:rFonts w:ascii="Times New Roman" w:hAnsi="Times New Roman"/>
          <w:sz w:val="24"/>
          <w:szCs w:val="24"/>
          <w:lang w:eastAsia="en-GB"/>
        </w:rPr>
        <w:t>s</w:t>
      </w:r>
      <w:r w:rsidR="00B34977" w:rsidRPr="00BA0E8D">
        <w:rPr>
          <w:rFonts w:ascii="Times New Roman" w:hAnsi="Times New Roman"/>
          <w:sz w:val="24"/>
          <w:szCs w:val="24"/>
          <w:lang w:eastAsia="en-GB"/>
        </w:rPr>
        <w:t>:</w:t>
      </w:r>
    </w:p>
    <w:p w14:paraId="074AF986" w14:textId="77777777" w:rsidR="00B34977" w:rsidRPr="00BA0E8D" w:rsidRDefault="00B34977" w:rsidP="00A91E8F">
      <w:pPr>
        <w:spacing w:after="0" w:line="360" w:lineRule="auto"/>
        <w:jc w:val="both"/>
        <w:rPr>
          <w:rFonts w:ascii="Times New Roman" w:hAnsi="Times New Roman"/>
          <w:sz w:val="24"/>
          <w:szCs w:val="24"/>
          <w:lang w:eastAsia="en-GB"/>
        </w:rPr>
      </w:pPr>
    </w:p>
    <w:p w14:paraId="6253410D" w14:textId="26D4029C" w:rsidR="00322D52" w:rsidRPr="00BA0E8D" w:rsidRDefault="00322D52" w:rsidP="0032127A">
      <w:pPr>
        <w:spacing w:after="0" w:line="360" w:lineRule="auto"/>
        <w:jc w:val="both"/>
        <w:rPr>
          <w:rFonts w:ascii="Times New Roman" w:hAnsi="Times New Roman"/>
          <w:i/>
          <w:color w:val="222222"/>
          <w:sz w:val="24"/>
          <w:szCs w:val="24"/>
          <w:shd w:val="clear" w:color="auto" w:fill="FFFFFF"/>
        </w:rPr>
      </w:pPr>
      <w:r w:rsidRPr="00BA0E8D">
        <w:rPr>
          <w:rFonts w:ascii="Times New Roman" w:hAnsi="Times New Roman"/>
          <w:i/>
          <w:color w:val="222222"/>
          <w:sz w:val="24"/>
          <w:szCs w:val="24"/>
          <w:shd w:val="clear" w:color="auto" w:fill="FFFFFF"/>
        </w:rPr>
        <w:t>H</w:t>
      </w:r>
      <w:r w:rsidR="006A46FB" w:rsidRPr="00BA0E8D">
        <w:rPr>
          <w:rFonts w:ascii="Times New Roman" w:hAnsi="Times New Roman"/>
          <w:i/>
          <w:color w:val="222222"/>
          <w:sz w:val="24"/>
          <w:szCs w:val="24"/>
          <w:shd w:val="clear" w:color="auto" w:fill="FFFFFF"/>
        </w:rPr>
        <w:t>4</w:t>
      </w:r>
      <w:r w:rsidRPr="00BA0E8D">
        <w:rPr>
          <w:rFonts w:ascii="Times New Roman" w:hAnsi="Times New Roman"/>
          <w:i/>
          <w:color w:val="222222"/>
          <w:sz w:val="24"/>
          <w:szCs w:val="24"/>
          <w:shd w:val="clear" w:color="auto" w:fill="FFFFFF"/>
        </w:rPr>
        <w:t xml:space="preserve">: The effect of credit information sharing on credit intermediation cost </w:t>
      </w:r>
      <w:r w:rsidR="00560BD8" w:rsidRPr="00BA0E8D">
        <w:rPr>
          <w:rFonts w:ascii="Times New Roman" w:hAnsi="Times New Roman"/>
          <w:i/>
          <w:color w:val="222222"/>
          <w:sz w:val="24"/>
          <w:szCs w:val="24"/>
          <w:shd w:val="clear" w:color="auto" w:fill="FFFFFF"/>
        </w:rPr>
        <w:t>is</w:t>
      </w:r>
      <w:r w:rsidRPr="00BA0E8D">
        <w:rPr>
          <w:rFonts w:ascii="Times New Roman" w:hAnsi="Times New Roman"/>
          <w:i/>
          <w:color w:val="222222"/>
          <w:sz w:val="24"/>
          <w:szCs w:val="24"/>
          <w:shd w:val="clear" w:color="auto" w:fill="FFFFFF"/>
        </w:rPr>
        <w:t xml:space="preserve"> moderated by </w:t>
      </w:r>
      <w:r w:rsidR="00C508B8" w:rsidRPr="00BA0E8D">
        <w:rPr>
          <w:rFonts w:ascii="Times New Roman" w:hAnsi="Times New Roman"/>
          <w:i/>
          <w:color w:val="222222"/>
          <w:sz w:val="24"/>
          <w:szCs w:val="24"/>
          <w:shd w:val="clear" w:color="auto" w:fill="FFFFFF"/>
        </w:rPr>
        <w:t>governance quality</w:t>
      </w:r>
      <w:r w:rsidRPr="00BA0E8D">
        <w:rPr>
          <w:rFonts w:ascii="Times New Roman" w:hAnsi="Times New Roman"/>
          <w:i/>
          <w:color w:val="222222"/>
          <w:sz w:val="24"/>
          <w:szCs w:val="24"/>
          <w:shd w:val="clear" w:color="auto" w:fill="FFFFFF"/>
        </w:rPr>
        <w:t>.</w:t>
      </w:r>
    </w:p>
    <w:p w14:paraId="2EF3727B" w14:textId="77777777" w:rsidR="00322D52" w:rsidRPr="00BA0E8D" w:rsidRDefault="00322D52" w:rsidP="0032127A">
      <w:pPr>
        <w:spacing w:after="0" w:line="360" w:lineRule="auto"/>
        <w:jc w:val="both"/>
        <w:rPr>
          <w:rFonts w:ascii="Times New Roman" w:hAnsi="Times New Roman"/>
          <w:i/>
          <w:color w:val="222222"/>
          <w:sz w:val="24"/>
          <w:szCs w:val="24"/>
          <w:shd w:val="clear" w:color="auto" w:fill="FFFFFF"/>
        </w:rPr>
      </w:pPr>
    </w:p>
    <w:p w14:paraId="4C7B9B98" w14:textId="6F34A674" w:rsidR="00F77175" w:rsidRPr="00BA0E8D" w:rsidRDefault="00A02077" w:rsidP="0032127A">
      <w:pPr>
        <w:spacing w:after="0" w:line="360" w:lineRule="auto"/>
        <w:jc w:val="both"/>
        <w:rPr>
          <w:rFonts w:ascii="Times New Roman" w:hAnsi="Times New Roman"/>
          <w:color w:val="222222"/>
          <w:sz w:val="24"/>
          <w:szCs w:val="24"/>
        </w:rPr>
      </w:pPr>
      <w:r w:rsidRPr="00BA0E8D">
        <w:rPr>
          <w:rFonts w:ascii="Times New Roman" w:hAnsi="Times New Roman"/>
          <w:color w:val="222222"/>
          <w:sz w:val="24"/>
          <w:szCs w:val="24"/>
          <w:shd w:val="clear" w:color="auto" w:fill="FFFFFF"/>
        </w:rPr>
        <w:t xml:space="preserve">The </w:t>
      </w:r>
      <w:r w:rsidR="00587081" w:rsidRPr="00BA0E8D">
        <w:rPr>
          <w:rFonts w:ascii="Times New Roman" w:hAnsi="Times New Roman"/>
          <w:color w:val="222222"/>
          <w:sz w:val="24"/>
          <w:szCs w:val="24"/>
          <w:shd w:val="clear" w:color="auto" w:fill="FFFFFF"/>
        </w:rPr>
        <w:t xml:space="preserve">foregoing </w:t>
      </w:r>
      <w:r w:rsidRPr="00BA0E8D">
        <w:rPr>
          <w:rFonts w:ascii="Times New Roman" w:hAnsi="Times New Roman"/>
          <w:color w:val="222222"/>
          <w:sz w:val="24"/>
          <w:szCs w:val="24"/>
          <w:shd w:val="clear" w:color="auto" w:fill="FFFFFF"/>
        </w:rPr>
        <w:t xml:space="preserve">suggests </w:t>
      </w:r>
      <w:r w:rsidR="00587081" w:rsidRPr="00BA0E8D">
        <w:rPr>
          <w:rFonts w:ascii="Times New Roman" w:hAnsi="Times New Roman"/>
          <w:color w:val="222222"/>
          <w:sz w:val="24"/>
          <w:szCs w:val="24"/>
          <w:shd w:val="clear" w:color="auto" w:fill="FFFFFF"/>
        </w:rPr>
        <w:t xml:space="preserve">that information sharing generally improves lending decisions. </w:t>
      </w:r>
      <w:r w:rsidR="00C43960" w:rsidRPr="00BA0E8D">
        <w:rPr>
          <w:rFonts w:ascii="Times New Roman" w:hAnsi="Times New Roman"/>
          <w:color w:val="222222"/>
          <w:sz w:val="24"/>
          <w:szCs w:val="24"/>
          <w:shd w:val="clear" w:color="auto" w:fill="FFFFFF"/>
        </w:rPr>
        <w:t>We</w:t>
      </w:r>
      <w:r w:rsidR="008F2CDB">
        <w:rPr>
          <w:rFonts w:ascii="Times New Roman" w:hAnsi="Times New Roman"/>
          <w:color w:val="222222"/>
          <w:sz w:val="24"/>
          <w:szCs w:val="24"/>
          <w:shd w:val="clear" w:color="auto" w:fill="FFFFFF"/>
        </w:rPr>
        <w:t>,</w:t>
      </w:r>
      <w:r w:rsidR="00C43960" w:rsidRPr="00BA0E8D">
        <w:rPr>
          <w:rFonts w:ascii="Times New Roman" w:hAnsi="Times New Roman"/>
          <w:color w:val="222222"/>
          <w:sz w:val="24"/>
          <w:szCs w:val="24"/>
          <w:shd w:val="clear" w:color="auto" w:fill="FFFFFF"/>
        </w:rPr>
        <w:t xml:space="preserve"> thus</w:t>
      </w:r>
      <w:r w:rsidR="008F2CDB">
        <w:rPr>
          <w:rFonts w:ascii="Times New Roman" w:hAnsi="Times New Roman"/>
          <w:color w:val="222222"/>
          <w:sz w:val="24"/>
          <w:szCs w:val="24"/>
          <w:shd w:val="clear" w:color="auto" w:fill="FFFFFF"/>
        </w:rPr>
        <w:t>,</w:t>
      </w:r>
      <w:r w:rsidR="00C43960" w:rsidRPr="00BA0E8D">
        <w:rPr>
          <w:rFonts w:ascii="Times New Roman" w:hAnsi="Times New Roman"/>
          <w:color w:val="222222"/>
          <w:sz w:val="24"/>
          <w:szCs w:val="24"/>
          <w:shd w:val="clear" w:color="auto" w:fill="FFFFFF"/>
        </w:rPr>
        <w:t xml:space="preserve"> argue</w:t>
      </w:r>
      <w:r w:rsidR="00587081" w:rsidRPr="00BA0E8D">
        <w:rPr>
          <w:rFonts w:ascii="Times New Roman" w:hAnsi="Times New Roman"/>
          <w:color w:val="222222"/>
          <w:sz w:val="24"/>
          <w:szCs w:val="24"/>
          <w:shd w:val="clear" w:color="auto" w:fill="FFFFFF"/>
        </w:rPr>
        <w:t xml:space="preserve"> that credit information sharing should </w:t>
      </w:r>
      <w:r w:rsidR="00C43960" w:rsidRPr="00BA0E8D">
        <w:rPr>
          <w:rFonts w:ascii="Times New Roman" w:hAnsi="Times New Roman"/>
          <w:color w:val="222222"/>
          <w:sz w:val="24"/>
          <w:szCs w:val="24"/>
          <w:shd w:val="clear" w:color="auto" w:fill="FFFFFF"/>
        </w:rPr>
        <w:t xml:space="preserve">also </w:t>
      </w:r>
      <w:r w:rsidR="00587081" w:rsidRPr="00BA0E8D">
        <w:rPr>
          <w:rFonts w:ascii="Times New Roman" w:hAnsi="Times New Roman"/>
          <w:color w:val="222222"/>
          <w:sz w:val="24"/>
          <w:szCs w:val="24"/>
          <w:shd w:val="clear" w:color="auto" w:fill="FFFFFF"/>
        </w:rPr>
        <w:t xml:space="preserve">help reduce credit intermediation cost. Further, it </w:t>
      </w:r>
      <w:r w:rsidRPr="00BA0E8D">
        <w:rPr>
          <w:rFonts w:ascii="Times New Roman" w:hAnsi="Times New Roman"/>
          <w:color w:val="222222"/>
          <w:sz w:val="24"/>
          <w:szCs w:val="24"/>
          <w:shd w:val="clear" w:color="auto" w:fill="FFFFFF"/>
        </w:rPr>
        <w:t xml:space="preserve">posits </w:t>
      </w:r>
      <w:r w:rsidR="00587081" w:rsidRPr="00BA0E8D">
        <w:rPr>
          <w:rFonts w:ascii="Times New Roman" w:hAnsi="Times New Roman"/>
          <w:color w:val="222222"/>
          <w:sz w:val="24"/>
          <w:szCs w:val="24"/>
          <w:shd w:val="clear" w:color="auto" w:fill="FFFFFF"/>
        </w:rPr>
        <w:t>that the effect of credit information sharing on intermediation cost is moderated b</w:t>
      </w:r>
      <w:r w:rsidR="00E70EC9" w:rsidRPr="00BA0E8D">
        <w:rPr>
          <w:rFonts w:ascii="Times New Roman" w:hAnsi="Times New Roman"/>
          <w:color w:val="222222"/>
          <w:sz w:val="24"/>
          <w:szCs w:val="24"/>
          <w:shd w:val="clear" w:color="auto" w:fill="FFFFFF"/>
        </w:rPr>
        <w:t>y</w:t>
      </w:r>
      <w:r w:rsidR="00587081" w:rsidRPr="00BA0E8D">
        <w:rPr>
          <w:rFonts w:ascii="Times New Roman" w:hAnsi="Times New Roman"/>
          <w:color w:val="222222"/>
          <w:sz w:val="24"/>
          <w:szCs w:val="24"/>
          <w:shd w:val="clear" w:color="auto" w:fill="FFFFFF"/>
        </w:rPr>
        <w:t xml:space="preserve"> the extent of banking market concentration and the quality of governance. We extend the existing literature by exploring these hypothes</w:t>
      </w:r>
      <w:r w:rsidR="00447FBF" w:rsidRPr="00BA0E8D">
        <w:rPr>
          <w:rFonts w:ascii="Times New Roman" w:hAnsi="Times New Roman"/>
          <w:color w:val="222222"/>
          <w:sz w:val="24"/>
          <w:szCs w:val="24"/>
          <w:shd w:val="clear" w:color="auto" w:fill="FFFFFF"/>
        </w:rPr>
        <w:t>e</w:t>
      </w:r>
      <w:r w:rsidR="00587081" w:rsidRPr="00BA0E8D">
        <w:rPr>
          <w:rFonts w:ascii="Times New Roman" w:hAnsi="Times New Roman"/>
          <w:color w:val="222222"/>
          <w:sz w:val="24"/>
          <w:szCs w:val="24"/>
          <w:shd w:val="clear" w:color="auto" w:fill="FFFFFF"/>
        </w:rPr>
        <w:t>s further.</w:t>
      </w:r>
      <w:r w:rsidR="00447FBF" w:rsidRPr="00BA0E8D">
        <w:rPr>
          <w:rFonts w:ascii="Times New Roman" w:hAnsi="Times New Roman"/>
          <w:color w:val="222222"/>
          <w:sz w:val="24"/>
          <w:szCs w:val="24"/>
          <w:shd w:val="clear" w:color="auto" w:fill="FFFFFF"/>
        </w:rPr>
        <w:t xml:space="preserve"> </w:t>
      </w:r>
      <w:r w:rsidR="00B55E46" w:rsidRPr="00BA0E8D">
        <w:rPr>
          <w:rFonts w:ascii="Times New Roman" w:hAnsi="Times New Roman"/>
          <w:color w:val="222222"/>
          <w:sz w:val="24"/>
          <w:szCs w:val="24"/>
          <w:shd w:val="clear" w:color="auto" w:fill="FFFFFF"/>
        </w:rPr>
        <w:t>With African</w:t>
      </w:r>
      <w:r w:rsidR="007E4603" w:rsidRPr="00BA0E8D">
        <w:rPr>
          <w:rFonts w:ascii="Times New Roman" w:hAnsi="Times New Roman"/>
          <w:color w:val="222222"/>
          <w:sz w:val="24"/>
          <w:szCs w:val="24"/>
          <w:shd w:val="clear" w:color="auto" w:fill="FFFFFF"/>
        </w:rPr>
        <w:t xml:space="preserve"> countries</w:t>
      </w:r>
      <w:r w:rsidR="00B55E46" w:rsidRPr="00BA0E8D">
        <w:rPr>
          <w:rFonts w:ascii="Times New Roman" w:hAnsi="Times New Roman"/>
          <w:color w:val="222222"/>
          <w:sz w:val="24"/>
          <w:szCs w:val="24"/>
          <w:shd w:val="clear" w:color="auto" w:fill="FFFFFF"/>
        </w:rPr>
        <w:t xml:space="preserve"> characterised by low banking depth and breadth (Fosu, 201</w:t>
      </w:r>
      <w:r w:rsidR="003E2015" w:rsidRPr="00BA0E8D">
        <w:rPr>
          <w:rFonts w:ascii="Times New Roman" w:hAnsi="Times New Roman"/>
          <w:color w:val="222222"/>
          <w:sz w:val="24"/>
          <w:szCs w:val="24"/>
          <w:shd w:val="clear" w:color="auto" w:fill="FFFFFF"/>
        </w:rPr>
        <w:t>4</w:t>
      </w:r>
      <w:r w:rsidRPr="00BA0E8D">
        <w:rPr>
          <w:rFonts w:ascii="Times New Roman" w:hAnsi="Times New Roman"/>
          <w:color w:val="222222"/>
          <w:sz w:val="24"/>
          <w:szCs w:val="24"/>
          <w:shd w:val="clear" w:color="auto" w:fill="FFFFFF"/>
        </w:rPr>
        <w:t xml:space="preserve">; </w:t>
      </w:r>
      <w:r w:rsidRPr="00BA0E8D">
        <w:rPr>
          <w:rFonts w:ascii="Times New Roman" w:hAnsi="Times New Roman"/>
          <w:sz w:val="24"/>
          <w:szCs w:val="24"/>
        </w:rPr>
        <w:t xml:space="preserve">Tahir, </w:t>
      </w:r>
      <w:r w:rsidR="0049000A" w:rsidRPr="00BA0E8D">
        <w:rPr>
          <w:rFonts w:ascii="Times New Roman" w:hAnsi="Times New Roman"/>
          <w:sz w:val="24"/>
          <w:szCs w:val="24"/>
        </w:rPr>
        <w:t>et al.</w:t>
      </w:r>
      <w:r w:rsidRPr="00BA0E8D">
        <w:rPr>
          <w:rFonts w:ascii="Times New Roman" w:hAnsi="Times New Roman"/>
          <w:sz w:val="24"/>
          <w:szCs w:val="24"/>
        </w:rPr>
        <w:t>, 2016</w:t>
      </w:r>
      <w:r w:rsidR="00B55E46" w:rsidRPr="00BA0E8D">
        <w:rPr>
          <w:rFonts w:ascii="Times New Roman" w:hAnsi="Times New Roman"/>
          <w:color w:val="222222"/>
          <w:sz w:val="24"/>
          <w:szCs w:val="24"/>
          <w:shd w:val="clear" w:color="auto" w:fill="FFFFFF"/>
        </w:rPr>
        <w:t xml:space="preserve">), </w:t>
      </w:r>
      <w:r w:rsidR="0020141D" w:rsidRPr="00BA0E8D">
        <w:rPr>
          <w:rFonts w:ascii="Times New Roman" w:hAnsi="Times New Roman"/>
          <w:color w:val="222222"/>
          <w:sz w:val="24"/>
          <w:szCs w:val="24"/>
          <w:shd w:val="clear" w:color="auto" w:fill="FFFFFF"/>
        </w:rPr>
        <w:t xml:space="preserve">credit information sharing remains one of the substantial issues that impact on lending decisions. However, </w:t>
      </w:r>
      <w:proofErr w:type="gramStart"/>
      <w:r w:rsidR="0020141D" w:rsidRPr="00BA0E8D">
        <w:rPr>
          <w:rFonts w:ascii="Times New Roman" w:hAnsi="Times New Roman"/>
          <w:color w:val="222222"/>
          <w:sz w:val="24"/>
          <w:szCs w:val="24"/>
          <w:shd w:val="clear" w:color="auto" w:fill="FFFFFF"/>
        </w:rPr>
        <w:t>o</w:t>
      </w:r>
      <w:r w:rsidR="00B21220" w:rsidRPr="00BA0E8D">
        <w:rPr>
          <w:rFonts w:ascii="Times New Roman" w:hAnsi="Times New Roman"/>
          <w:color w:val="222222"/>
          <w:sz w:val="24"/>
          <w:szCs w:val="24"/>
          <w:shd w:val="clear" w:color="auto" w:fill="FFFFFF"/>
        </w:rPr>
        <w:t>n the whole</w:t>
      </w:r>
      <w:proofErr w:type="gramEnd"/>
      <w:r w:rsidR="00B21220" w:rsidRPr="00BA0E8D">
        <w:rPr>
          <w:rFonts w:ascii="Times New Roman" w:hAnsi="Times New Roman"/>
          <w:color w:val="222222"/>
          <w:sz w:val="24"/>
          <w:szCs w:val="24"/>
          <w:shd w:val="clear" w:color="auto" w:fill="FFFFFF"/>
        </w:rPr>
        <w:t xml:space="preserve">, </w:t>
      </w:r>
      <w:r w:rsidR="00B21220" w:rsidRPr="00BA0E8D">
        <w:rPr>
          <w:rFonts w:ascii="Times New Roman" w:hAnsi="Times New Roman"/>
          <w:color w:val="000000"/>
          <w:sz w:val="24"/>
          <w:szCs w:val="24"/>
          <w:lang w:eastAsia="en-GB"/>
        </w:rPr>
        <w:t>r</w:t>
      </w:r>
      <w:r w:rsidR="00F77175" w:rsidRPr="00BA0E8D">
        <w:rPr>
          <w:rFonts w:ascii="Times New Roman" w:hAnsi="Times New Roman"/>
          <w:color w:val="000000"/>
          <w:sz w:val="24"/>
          <w:szCs w:val="24"/>
          <w:lang w:eastAsia="en-GB"/>
        </w:rPr>
        <w:t>esearch on</w:t>
      </w:r>
      <w:r w:rsidR="00B21220" w:rsidRPr="00BA0E8D">
        <w:rPr>
          <w:rFonts w:ascii="Times New Roman" w:hAnsi="Times New Roman"/>
          <w:color w:val="000000"/>
          <w:sz w:val="24"/>
          <w:szCs w:val="24"/>
          <w:lang w:eastAsia="en-GB"/>
        </w:rPr>
        <w:t xml:space="preserve"> information sharing </w:t>
      </w:r>
      <w:r w:rsidR="0028099D">
        <w:rPr>
          <w:rFonts w:ascii="Times New Roman" w:hAnsi="Times New Roman"/>
          <w:color w:val="000000"/>
          <w:sz w:val="24"/>
          <w:szCs w:val="24"/>
          <w:lang w:eastAsia="en-GB"/>
        </w:rPr>
        <w:t>in</w:t>
      </w:r>
      <w:r w:rsidR="0028099D" w:rsidRPr="00BA0E8D">
        <w:rPr>
          <w:rFonts w:ascii="Times New Roman" w:hAnsi="Times New Roman"/>
          <w:color w:val="000000"/>
          <w:sz w:val="24"/>
          <w:szCs w:val="24"/>
          <w:lang w:eastAsia="en-GB"/>
        </w:rPr>
        <w:t xml:space="preserve"> </w:t>
      </w:r>
      <w:r w:rsidR="0020141D" w:rsidRPr="00BA0E8D">
        <w:rPr>
          <w:rFonts w:ascii="Times New Roman" w:hAnsi="Times New Roman"/>
          <w:color w:val="000000"/>
          <w:sz w:val="24"/>
          <w:szCs w:val="24"/>
          <w:lang w:eastAsia="en-GB"/>
        </w:rPr>
        <w:t xml:space="preserve">this context </w:t>
      </w:r>
      <w:r w:rsidR="00F77175" w:rsidRPr="00BA0E8D">
        <w:rPr>
          <w:rFonts w:ascii="Times New Roman" w:hAnsi="Times New Roman"/>
          <w:color w:val="000000"/>
          <w:sz w:val="24"/>
          <w:szCs w:val="24"/>
          <w:lang w:eastAsia="en-GB"/>
        </w:rPr>
        <w:t>is scant to date.</w:t>
      </w:r>
      <w:r w:rsidR="007F7FF6" w:rsidRPr="00BA0E8D">
        <w:rPr>
          <w:rFonts w:ascii="Times New Roman" w:hAnsi="Times New Roman"/>
          <w:color w:val="000000"/>
          <w:sz w:val="24"/>
          <w:szCs w:val="24"/>
          <w:lang w:eastAsia="en-GB"/>
        </w:rPr>
        <w:t xml:space="preserve"> </w:t>
      </w:r>
      <w:r w:rsidR="007F7FF6" w:rsidRPr="00BA0E8D">
        <w:rPr>
          <w:rFonts w:ascii="Times New Roman" w:hAnsi="Times New Roman"/>
          <w:w w:val="105"/>
          <w:sz w:val="24"/>
          <w:szCs w:val="24"/>
        </w:rPr>
        <w:t xml:space="preserve">In response, we depart from the existing literature by </w:t>
      </w:r>
      <w:r w:rsidR="007E4603" w:rsidRPr="00BA0E8D">
        <w:rPr>
          <w:rFonts w:ascii="Times New Roman" w:hAnsi="Times New Roman"/>
          <w:w w:val="105"/>
          <w:sz w:val="24"/>
          <w:szCs w:val="24"/>
        </w:rPr>
        <w:t>providing</w:t>
      </w:r>
      <w:r w:rsidR="007F7FF6" w:rsidRPr="00BA0E8D">
        <w:rPr>
          <w:rFonts w:ascii="Times New Roman" w:hAnsi="Times New Roman"/>
          <w:w w:val="105"/>
          <w:sz w:val="24"/>
          <w:szCs w:val="24"/>
        </w:rPr>
        <w:t xml:space="preserve"> new evidence on the link between information sharing and banks</w:t>
      </w:r>
      <w:r w:rsidRPr="00BA0E8D">
        <w:rPr>
          <w:rFonts w:ascii="Times New Roman" w:hAnsi="Times New Roman"/>
          <w:w w:val="105"/>
          <w:sz w:val="24"/>
          <w:szCs w:val="24"/>
        </w:rPr>
        <w:t>’</w:t>
      </w:r>
      <w:r w:rsidR="007F7FF6" w:rsidRPr="00BA0E8D">
        <w:rPr>
          <w:rFonts w:ascii="Times New Roman" w:hAnsi="Times New Roman"/>
          <w:w w:val="105"/>
          <w:sz w:val="24"/>
          <w:szCs w:val="24"/>
        </w:rPr>
        <w:t xml:space="preserve"> intermediation cost</w:t>
      </w:r>
      <w:r w:rsidR="007E4603" w:rsidRPr="00BA0E8D">
        <w:rPr>
          <w:rFonts w:ascii="Times New Roman" w:hAnsi="Times New Roman"/>
          <w:w w:val="105"/>
          <w:sz w:val="24"/>
          <w:szCs w:val="24"/>
        </w:rPr>
        <w:t xml:space="preserve">, </w:t>
      </w:r>
      <w:r w:rsidRPr="00BA0E8D">
        <w:rPr>
          <w:rFonts w:ascii="Times New Roman" w:hAnsi="Times New Roman"/>
          <w:w w:val="105"/>
          <w:sz w:val="24"/>
          <w:szCs w:val="24"/>
        </w:rPr>
        <w:t xml:space="preserve">specifically </w:t>
      </w:r>
      <w:r w:rsidR="007E4603" w:rsidRPr="00BA0E8D">
        <w:rPr>
          <w:rFonts w:ascii="Times New Roman" w:hAnsi="Times New Roman"/>
          <w:w w:val="105"/>
          <w:sz w:val="24"/>
          <w:szCs w:val="24"/>
        </w:rPr>
        <w:t>highlighting the interaction effects of banking market concentration and institutional quality</w:t>
      </w:r>
      <w:r w:rsidR="007F7FF6" w:rsidRPr="00BA0E8D">
        <w:rPr>
          <w:rFonts w:ascii="Times New Roman" w:hAnsi="Times New Roman"/>
          <w:w w:val="105"/>
          <w:sz w:val="24"/>
          <w:szCs w:val="24"/>
        </w:rPr>
        <w:t>.</w:t>
      </w:r>
    </w:p>
    <w:p w14:paraId="3D0CF7ED" w14:textId="77777777" w:rsidR="00A651BC" w:rsidRPr="00BA0E8D" w:rsidRDefault="00A651BC" w:rsidP="00444D9D">
      <w:pPr>
        <w:spacing w:before="240" w:after="240" w:line="360" w:lineRule="auto"/>
        <w:jc w:val="both"/>
        <w:rPr>
          <w:rFonts w:ascii="Times New Roman" w:hAnsi="Times New Roman"/>
          <w:sz w:val="24"/>
          <w:szCs w:val="24"/>
        </w:rPr>
      </w:pPr>
    </w:p>
    <w:p w14:paraId="3590138B" w14:textId="4006460E" w:rsidR="00A651BC" w:rsidRPr="00BA0E8D" w:rsidRDefault="00495FED" w:rsidP="00444D9D">
      <w:pPr>
        <w:spacing w:before="240" w:after="240" w:line="360" w:lineRule="auto"/>
        <w:jc w:val="both"/>
        <w:rPr>
          <w:rFonts w:ascii="Times New Roman" w:hAnsi="Times New Roman"/>
          <w:sz w:val="24"/>
          <w:szCs w:val="24"/>
        </w:rPr>
      </w:pPr>
      <w:r>
        <w:rPr>
          <w:rFonts w:ascii="Times New Roman" w:hAnsi="Times New Roman"/>
          <w:b/>
          <w:sz w:val="24"/>
          <w:szCs w:val="24"/>
        </w:rPr>
        <w:t>4</w:t>
      </w:r>
      <w:r w:rsidR="00A651BC" w:rsidRPr="00BA0E8D">
        <w:rPr>
          <w:rFonts w:ascii="Times New Roman" w:hAnsi="Times New Roman"/>
          <w:b/>
          <w:sz w:val="24"/>
          <w:szCs w:val="24"/>
        </w:rPr>
        <w:t xml:space="preserve">. Data and </w:t>
      </w:r>
      <w:r w:rsidR="00391AC3" w:rsidRPr="00BA0E8D">
        <w:rPr>
          <w:rFonts w:ascii="Times New Roman" w:hAnsi="Times New Roman"/>
          <w:b/>
          <w:sz w:val="24"/>
          <w:szCs w:val="24"/>
        </w:rPr>
        <w:t>e</w:t>
      </w:r>
      <w:r w:rsidR="00A651BC" w:rsidRPr="00BA0E8D">
        <w:rPr>
          <w:rFonts w:ascii="Times New Roman" w:hAnsi="Times New Roman"/>
          <w:b/>
          <w:sz w:val="24"/>
          <w:szCs w:val="24"/>
        </w:rPr>
        <w:t xml:space="preserve">mpirical </w:t>
      </w:r>
      <w:r w:rsidR="00391AC3" w:rsidRPr="00BA0E8D">
        <w:rPr>
          <w:rFonts w:ascii="Times New Roman" w:hAnsi="Times New Roman"/>
          <w:b/>
          <w:sz w:val="24"/>
          <w:szCs w:val="24"/>
        </w:rPr>
        <w:t xml:space="preserve">methodology </w:t>
      </w:r>
    </w:p>
    <w:p w14:paraId="734A8A2B" w14:textId="4BBA517D" w:rsidR="00A651BC" w:rsidRPr="00BA0E8D" w:rsidRDefault="00495FED" w:rsidP="00444D9D">
      <w:pPr>
        <w:spacing w:before="240" w:after="240" w:line="360" w:lineRule="auto"/>
        <w:jc w:val="both"/>
        <w:rPr>
          <w:rFonts w:ascii="Times New Roman" w:hAnsi="Times New Roman"/>
          <w:b/>
          <w:sz w:val="24"/>
          <w:szCs w:val="24"/>
        </w:rPr>
      </w:pPr>
      <w:r>
        <w:rPr>
          <w:rFonts w:ascii="Times New Roman" w:hAnsi="Times New Roman"/>
          <w:b/>
          <w:sz w:val="24"/>
          <w:szCs w:val="24"/>
        </w:rPr>
        <w:t>4</w:t>
      </w:r>
      <w:r w:rsidR="00A651BC" w:rsidRPr="00BA0E8D">
        <w:rPr>
          <w:rFonts w:ascii="Times New Roman" w:hAnsi="Times New Roman"/>
          <w:b/>
          <w:sz w:val="24"/>
          <w:szCs w:val="24"/>
        </w:rPr>
        <w:t xml:space="preserve">.1. Data </w:t>
      </w:r>
      <w:r w:rsidR="00391AC3" w:rsidRPr="00BA0E8D">
        <w:rPr>
          <w:rFonts w:ascii="Times New Roman" w:hAnsi="Times New Roman"/>
          <w:b/>
          <w:sz w:val="24"/>
          <w:szCs w:val="24"/>
        </w:rPr>
        <w:t>description</w:t>
      </w:r>
    </w:p>
    <w:p w14:paraId="0DA38930" w14:textId="51E2A541" w:rsidR="00BF4301" w:rsidRPr="00BA0E8D" w:rsidRDefault="00BF4301"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t>Bank</w:t>
      </w:r>
      <w:r w:rsidR="0028099D">
        <w:rPr>
          <w:rFonts w:ascii="Times New Roman" w:hAnsi="Times New Roman"/>
          <w:sz w:val="24"/>
          <w:szCs w:val="24"/>
        </w:rPr>
        <w:t>-</w:t>
      </w:r>
      <w:r w:rsidRPr="00BA0E8D">
        <w:rPr>
          <w:rFonts w:ascii="Times New Roman" w:hAnsi="Times New Roman"/>
          <w:sz w:val="24"/>
          <w:szCs w:val="24"/>
        </w:rPr>
        <w:t xml:space="preserve">level data for this study </w:t>
      </w:r>
      <w:r w:rsidR="00465CE0" w:rsidRPr="00BA0E8D">
        <w:rPr>
          <w:rFonts w:ascii="Times New Roman" w:hAnsi="Times New Roman"/>
          <w:sz w:val="24"/>
          <w:szCs w:val="24"/>
        </w:rPr>
        <w:t xml:space="preserve">was </w:t>
      </w:r>
      <w:r w:rsidRPr="00BA0E8D">
        <w:rPr>
          <w:rFonts w:ascii="Times New Roman" w:hAnsi="Times New Roman"/>
          <w:sz w:val="24"/>
          <w:szCs w:val="24"/>
        </w:rPr>
        <w:t xml:space="preserve">obtained from </w:t>
      </w:r>
      <w:proofErr w:type="spellStart"/>
      <w:r w:rsidRPr="003C588D">
        <w:rPr>
          <w:rFonts w:ascii="Times New Roman" w:hAnsi="Times New Roman"/>
          <w:sz w:val="24"/>
          <w:szCs w:val="24"/>
        </w:rPr>
        <w:t>Bankscope</w:t>
      </w:r>
      <w:proofErr w:type="spellEnd"/>
      <w:r w:rsidRPr="003C588D">
        <w:rPr>
          <w:rFonts w:ascii="Times New Roman" w:hAnsi="Times New Roman"/>
          <w:sz w:val="24"/>
          <w:szCs w:val="24"/>
        </w:rPr>
        <w:t xml:space="preserve"> database</w:t>
      </w:r>
      <w:r w:rsidR="0028099D" w:rsidRPr="003C588D">
        <w:rPr>
          <w:rFonts w:ascii="Times New Roman" w:hAnsi="Times New Roman"/>
          <w:sz w:val="24"/>
          <w:szCs w:val="24"/>
        </w:rPr>
        <w:t>,</w:t>
      </w:r>
      <w:r w:rsidRPr="003C588D">
        <w:rPr>
          <w:rFonts w:ascii="Times New Roman" w:hAnsi="Times New Roman"/>
          <w:sz w:val="24"/>
          <w:szCs w:val="24"/>
        </w:rPr>
        <w:t xml:space="preserve"> which contains information on banks around the world. The sample period for this study is from </w:t>
      </w:r>
      <w:r w:rsidR="005E1330" w:rsidRPr="003C588D">
        <w:rPr>
          <w:rFonts w:ascii="Times New Roman" w:hAnsi="Times New Roman"/>
          <w:sz w:val="24"/>
          <w:szCs w:val="24"/>
        </w:rPr>
        <w:t>2004 – 2012.</w:t>
      </w:r>
      <w:r w:rsidR="005E1330" w:rsidRPr="003C588D">
        <w:rPr>
          <w:rStyle w:val="FootnoteReference"/>
          <w:rFonts w:ascii="Times New Roman" w:hAnsi="Times New Roman"/>
          <w:sz w:val="24"/>
          <w:szCs w:val="24"/>
        </w:rPr>
        <w:footnoteReference w:id="3"/>
      </w:r>
      <w:r w:rsidRPr="003C588D">
        <w:rPr>
          <w:rFonts w:ascii="Times New Roman" w:hAnsi="Times New Roman"/>
          <w:sz w:val="24"/>
          <w:szCs w:val="24"/>
        </w:rPr>
        <w:t xml:space="preserve"> In line with existing literature (e.g. Fosu, 2013; </w:t>
      </w:r>
      <w:r w:rsidRPr="003C588D">
        <w:rPr>
          <w:rFonts w:ascii="Times New Roman" w:hAnsi="Times New Roman"/>
          <w:color w:val="222222"/>
          <w:sz w:val="24"/>
          <w:szCs w:val="24"/>
        </w:rPr>
        <w:t>Beck et al, 2013</w:t>
      </w:r>
      <w:r w:rsidRPr="003C588D">
        <w:rPr>
          <w:rFonts w:ascii="Times New Roman" w:hAnsi="Times New Roman"/>
          <w:sz w:val="24"/>
          <w:szCs w:val="24"/>
        </w:rPr>
        <w:t xml:space="preserve">), </w:t>
      </w:r>
      <w:proofErr w:type="gramStart"/>
      <w:r w:rsidRPr="003C588D">
        <w:rPr>
          <w:rFonts w:ascii="Times New Roman" w:hAnsi="Times New Roman"/>
          <w:sz w:val="24"/>
          <w:szCs w:val="24"/>
        </w:rPr>
        <w:t>a number of</w:t>
      </w:r>
      <w:proofErr w:type="gramEnd"/>
      <w:r w:rsidRPr="003C588D">
        <w:rPr>
          <w:rFonts w:ascii="Times New Roman" w:hAnsi="Times New Roman"/>
          <w:sz w:val="24"/>
          <w:szCs w:val="24"/>
        </w:rPr>
        <w:t xml:space="preserve"> exclusion criteria were applied. These include the exclusion of countries with </w:t>
      </w:r>
      <w:r w:rsidR="0028099D" w:rsidRPr="003C588D">
        <w:rPr>
          <w:rFonts w:ascii="Times New Roman" w:hAnsi="Times New Roman"/>
          <w:sz w:val="24"/>
          <w:szCs w:val="24"/>
        </w:rPr>
        <w:t xml:space="preserve">fewer than </w:t>
      </w:r>
      <w:r w:rsidR="000A64AF" w:rsidRPr="003C588D">
        <w:rPr>
          <w:rFonts w:ascii="Times New Roman" w:hAnsi="Times New Roman"/>
          <w:sz w:val="24"/>
          <w:szCs w:val="24"/>
        </w:rPr>
        <w:t>1</w:t>
      </w:r>
      <w:r w:rsidR="0028099D" w:rsidRPr="003C588D">
        <w:rPr>
          <w:rFonts w:ascii="Times New Roman" w:hAnsi="Times New Roman"/>
          <w:sz w:val="24"/>
          <w:szCs w:val="24"/>
        </w:rPr>
        <w:t xml:space="preserve">0 </w:t>
      </w:r>
      <w:r w:rsidRPr="003C588D">
        <w:rPr>
          <w:rFonts w:ascii="Times New Roman" w:hAnsi="Times New Roman"/>
          <w:sz w:val="24"/>
          <w:szCs w:val="24"/>
        </w:rPr>
        <w:t>bank observations. Also,</w:t>
      </w:r>
      <w:r w:rsidR="000A64AF" w:rsidRPr="003C588D">
        <w:t xml:space="preserve"> </w:t>
      </w:r>
      <w:r w:rsidR="000A64AF" w:rsidRPr="003C588D">
        <w:rPr>
          <w:rFonts w:ascii="Times New Roman" w:hAnsi="Times New Roman"/>
          <w:sz w:val="24"/>
          <w:szCs w:val="24"/>
        </w:rPr>
        <w:t>banks with less than three consecutive years of observations</w:t>
      </w:r>
      <w:r w:rsidR="000A64AF" w:rsidRPr="003C588D" w:rsidDel="000A64AF">
        <w:rPr>
          <w:rFonts w:ascii="Times New Roman" w:hAnsi="Times New Roman"/>
          <w:sz w:val="24"/>
          <w:szCs w:val="24"/>
        </w:rPr>
        <w:t xml:space="preserve"> </w:t>
      </w:r>
      <w:r w:rsidRPr="003C588D">
        <w:rPr>
          <w:rFonts w:ascii="Times New Roman" w:hAnsi="Times New Roman"/>
          <w:sz w:val="24"/>
          <w:szCs w:val="24"/>
        </w:rPr>
        <w:t>were</w:t>
      </w:r>
      <w:r w:rsidR="00611F87" w:rsidRPr="003C588D">
        <w:rPr>
          <w:rFonts w:ascii="Times New Roman" w:hAnsi="Times New Roman"/>
          <w:sz w:val="24"/>
          <w:szCs w:val="24"/>
        </w:rPr>
        <w:t xml:space="preserve"> </w:t>
      </w:r>
      <w:r w:rsidRPr="003C588D">
        <w:rPr>
          <w:rFonts w:ascii="Times New Roman" w:hAnsi="Times New Roman"/>
          <w:sz w:val="24"/>
          <w:szCs w:val="24"/>
        </w:rPr>
        <w:t xml:space="preserve">excluded. Finally, bank-year observations </w:t>
      </w:r>
      <w:r w:rsidR="000A64AF" w:rsidRPr="003C588D">
        <w:rPr>
          <w:rFonts w:ascii="Times New Roman" w:hAnsi="Times New Roman"/>
          <w:sz w:val="24"/>
          <w:szCs w:val="24"/>
        </w:rPr>
        <w:t>with missing</w:t>
      </w:r>
      <w:r w:rsidRPr="003C588D">
        <w:rPr>
          <w:rFonts w:ascii="Times New Roman" w:hAnsi="Times New Roman"/>
          <w:sz w:val="24"/>
          <w:szCs w:val="24"/>
        </w:rPr>
        <w:t xml:space="preserve"> data on </w:t>
      </w:r>
      <w:r w:rsidR="000A64AF" w:rsidRPr="003C588D">
        <w:rPr>
          <w:rFonts w:ascii="Times New Roman" w:hAnsi="Times New Roman"/>
          <w:sz w:val="24"/>
          <w:szCs w:val="24"/>
        </w:rPr>
        <w:t xml:space="preserve">key </w:t>
      </w:r>
      <w:r w:rsidRPr="003C588D">
        <w:rPr>
          <w:rFonts w:ascii="Times New Roman" w:hAnsi="Times New Roman"/>
          <w:sz w:val="24"/>
          <w:szCs w:val="24"/>
        </w:rPr>
        <w:t xml:space="preserve">variables were also dropped. A total of </w:t>
      </w:r>
      <w:r w:rsidR="003838FE" w:rsidRPr="003C588D">
        <w:rPr>
          <w:rFonts w:ascii="Times New Roman" w:hAnsi="Times New Roman"/>
          <w:sz w:val="24"/>
          <w:szCs w:val="24"/>
        </w:rPr>
        <w:t xml:space="preserve">272 </w:t>
      </w:r>
      <w:r w:rsidR="00465DC7" w:rsidRPr="003C588D">
        <w:rPr>
          <w:rFonts w:ascii="Times New Roman" w:hAnsi="Times New Roman"/>
          <w:sz w:val="24"/>
          <w:szCs w:val="24"/>
        </w:rPr>
        <w:t>banks</w:t>
      </w:r>
      <w:r w:rsidRPr="003C588D">
        <w:rPr>
          <w:rFonts w:ascii="Times New Roman" w:hAnsi="Times New Roman"/>
          <w:sz w:val="24"/>
          <w:szCs w:val="24"/>
        </w:rPr>
        <w:t xml:space="preserve"> from </w:t>
      </w:r>
      <w:r w:rsidR="003838FE" w:rsidRPr="003C588D">
        <w:rPr>
          <w:rFonts w:ascii="Times New Roman" w:hAnsi="Times New Roman"/>
          <w:sz w:val="24"/>
          <w:szCs w:val="24"/>
        </w:rPr>
        <w:t xml:space="preserve">27 </w:t>
      </w:r>
      <w:r w:rsidRPr="003C588D">
        <w:rPr>
          <w:rFonts w:ascii="Times New Roman" w:hAnsi="Times New Roman"/>
          <w:sz w:val="24"/>
          <w:szCs w:val="24"/>
        </w:rPr>
        <w:t xml:space="preserve">countries in Africa were </w:t>
      </w:r>
      <w:r w:rsidR="00465DC7" w:rsidRPr="003C588D">
        <w:rPr>
          <w:rFonts w:ascii="Times New Roman" w:hAnsi="Times New Roman"/>
          <w:sz w:val="24"/>
          <w:szCs w:val="24"/>
        </w:rPr>
        <w:t xml:space="preserve">employed in our analysis. </w:t>
      </w:r>
      <w:r w:rsidR="00ED2D7C" w:rsidRPr="003C588D">
        <w:rPr>
          <w:rFonts w:ascii="Times New Roman" w:hAnsi="Times New Roman"/>
          <w:sz w:val="24"/>
          <w:szCs w:val="24"/>
        </w:rPr>
        <w:t>Information sharing variables and other m</w:t>
      </w:r>
      <w:r w:rsidR="00465DC7" w:rsidRPr="003C588D">
        <w:rPr>
          <w:rFonts w:ascii="Times New Roman" w:hAnsi="Times New Roman"/>
          <w:sz w:val="24"/>
          <w:szCs w:val="24"/>
        </w:rPr>
        <w:t>a</w:t>
      </w:r>
      <w:r w:rsidRPr="003C588D">
        <w:rPr>
          <w:rFonts w:ascii="Times New Roman" w:hAnsi="Times New Roman"/>
          <w:sz w:val="24"/>
          <w:szCs w:val="24"/>
        </w:rPr>
        <w:t>croeconomic variables used were obtained from the</w:t>
      </w:r>
      <w:r w:rsidR="009B6256" w:rsidRPr="003C588D">
        <w:rPr>
          <w:rFonts w:ascii="Times New Roman" w:hAnsi="Times New Roman"/>
          <w:sz w:val="24"/>
          <w:szCs w:val="24"/>
        </w:rPr>
        <w:t xml:space="preserve"> </w:t>
      </w:r>
      <w:r w:rsidR="009B6256" w:rsidRPr="003C588D">
        <w:rPr>
          <w:rFonts w:ascii="Times New Roman" w:hAnsi="Times New Roman"/>
          <w:bCs/>
          <w:sz w:val="24"/>
          <w:szCs w:val="24"/>
        </w:rPr>
        <w:t>World Bank Doing Business and</w:t>
      </w:r>
      <w:r w:rsidRPr="003C588D">
        <w:rPr>
          <w:rFonts w:ascii="Times New Roman" w:hAnsi="Times New Roman"/>
          <w:sz w:val="24"/>
          <w:szCs w:val="24"/>
        </w:rPr>
        <w:t xml:space="preserve"> World Bank </w:t>
      </w:r>
      <w:r w:rsidR="00EA2ADC" w:rsidRPr="003C588D">
        <w:rPr>
          <w:rFonts w:ascii="Times New Roman" w:hAnsi="Times New Roman"/>
          <w:sz w:val="24"/>
          <w:szCs w:val="24"/>
        </w:rPr>
        <w:t>World Development Indicators</w:t>
      </w:r>
      <w:r w:rsidR="00AA64B2" w:rsidRPr="003C588D">
        <w:rPr>
          <w:rFonts w:ascii="Times New Roman" w:hAnsi="Times New Roman"/>
          <w:sz w:val="24"/>
          <w:szCs w:val="24"/>
        </w:rPr>
        <w:t>, respectively</w:t>
      </w:r>
      <w:r w:rsidR="00465DC7" w:rsidRPr="003C588D">
        <w:rPr>
          <w:rFonts w:ascii="Times New Roman" w:hAnsi="Times New Roman"/>
          <w:sz w:val="24"/>
          <w:szCs w:val="24"/>
        </w:rPr>
        <w:t>. Governance variables were obtained from World</w:t>
      </w:r>
      <w:r w:rsidR="00F64B01" w:rsidRPr="003C588D">
        <w:rPr>
          <w:rFonts w:ascii="Times New Roman" w:hAnsi="Times New Roman"/>
          <w:sz w:val="24"/>
          <w:szCs w:val="24"/>
        </w:rPr>
        <w:t>wide</w:t>
      </w:r>
      <w:r w:rsidR="00465DC7" w:rsidRPr="003C588D">
        <w:rPr>
          <w:rFonts w:ascii="Times New Roman" w:hAnsi="Times New Roman"/>
          <w:sz w:val="24"/>
          <w:szCs w:val="24"/>
        </w:rPr>
        <w:t xml:space="preserve"> Governance indicators.</w:t>
      </w:r>
      <w:r w:rsidR="00EE5099" w:rsidRPr="003C588D">
        <w:rPr>
          <w:rFonts w:ascii="Times New Roman" w:hAnsi="Times New Roman"/>
          <w:sz w:val="24"/>
          <w:szCs w:val="24"/>
        </w:rPr>
        <w:t xml:space="preserve"> Details of sample construction procedures and justification for filters</w:t>
      </w:r>
      <w:r w:rsidR="008F2CDB" w:rsidRPr="003C588D">
        <w:rPr>
          <w:rFonts w:ascii="Times New Roman" w:hAnsi="Times New Roman"/>
          <w:sz w:val="24"/>
          <w:szCs w:val="24"/>
        </w:rPr>
        <w:t>,</w:t>
      </w:r>
      <w:r w:rsidR="00EE5099" w:rsidRPr="003C588D">
        <w:rPr>
          <w:rFonts w:ascii="Times New Roman" w:hAnsi="Times New Roman"/>
          <w:sz w:val="24"/>
          <w:szCs w:val="24"/>
        </w:rPr>
        <w:t xml:space="preserve"> as well as the sample distribution across the 27 countries are provided in Appendixes 1 and 2.</w:t>
      </w:r>
    </w:p>
    <w:p w14:paraId="0DC787F1" w14:textId="77777777" w:rsidR="006E1360" w:rsidRPr="00BA0E8D" w:rsidRDefault="006E1360" w:rsidP="00444D9D">
      <w:pPr>
        <w:spacing w:before="240" w:after="240" w:line="360" w:lineRule="auto"/>
        <w:jc w:val="both"/>
        <w:rPr>
          <w:rFonts w:ascii="Times New Roman" w:hAnsi="Times New Roman"/>
          <w:b/>
          <w:sz w:val="24"/>
          <w:szCs w:val="24"/>
        </w:rPr>
      </w:pPr>
    </w:p>
    <w:p w14:paraId="3AB6E3D2" w14:textId="5392C116" w:rsidR="00A651BC" w:rsidRPr="00BA0E8D" w:rsidRDefault="00495FED" w:rsidP="00444D9D">
      <w:pPr>
        <w:spacing w:before="240" w:after="240" w:line="360" w:lineRule="auto"/>
        <w:jc w:val="both"/>
        <w:rPr>
          <w:rFonts w:ascii="Times New Roman" w:hAnsi="Times New Roman"/>
          <w:b/>
          <w:sz w:val="24"/>
          <w:szCs w:val="24"/>
        </w:rPr>
      </w:pPr>
      <w:r>
        <w:rPr>
          <w:rFonts w:ascii="Times New Roman" w:hAnsi="Times New Roman"/>
          <w:b/>
          <w:sz w:val="24"/>
          <w:szCs w:val="24"/>
        </w:rPr>
        <w:t>4</w:t>
      </w:r>
      <w:r w:rsidR="00A651BC" w:rsidRPr="00BA0E8D">
        <w:rPr>
          <w:rFonts w:ascii="Times New Roman" w:hAnsi="Times New Roman"/>
          <w:b/>
          <w:sz w:val="24"/>
          <w:szCs w:val="24"/>
        </w:rPr>
        <w:t xml:space="preserve">.2. Measurements of </w:t>
      </w:r>
      <w:r w:rsidR="00391AC3" w:rsidRPr="00BA0E8D">
        <w:rPr>
          <w:rFonts w:ascii="Times New Roman" w:hAnsi="Times New Roman"/>
          <w:b/>
          <w:sz w:val="24"/>
          <w:szCs w:val="24"/>
        </w:rPr>
        <w:t>variables</w:t>
      </w:r>
    </w:p>
    <w:p w14:paraId="154EBCC5" w14:textId="6FEBED80" w:rsidR="002C626C" w:rsidRPr="00BA0E8D" w:rsidRDefault="002C626C" w:rsidP="00444D9D">
      <w:pPr>
        <w:spacing w:before="240" w:after="240" w:line="360" w:lineRule="auto"/>
        <w:jc w:val="both"/>
        <w:rPr>
          <w:rFonts w:ascii="Times New Roman" w:hAnsi="Times New Roman"/>
          <w:color w:val="000000"/>
          <w:sz w:val="24"/>
          <w:szCs w:val="24"/>
        </w:rPr>
      </w:pPr>
      <w:r w:rsidRPr="00BA0E8D">
        <w:rPr>
          <w:rFonts w:ascii="Times New Roman" w:hAnsi="Times New Roman"/>
          <w:sz w:val="24"/>
          <w:szCs w:val="24"/>
        </w:rPr>
        <w:t xml:space="preserve">The measures used in this study were chosen </w:t>
      </w:r>
      <w:r w:rsidR="002664F1" w:rsidRPr="00BA0E8D">
        <w:rPr>
          <w:rFonts w:ascii="Times New Roman" w:hAnsi="Times New Roman"/>
          <w:sz w:val="24"/>
          <w:szCs w:val="24"/>
        </w:rPr>
        <w:t>in line with the previously discussed empirical and theoretical literature</w:t>
      </w:r>
      <w:r w:rsidR="00800A8D" w:rsidRPr="00BA0E8D">
        <w:rPr>
          <w:rFonts w:ascii="Times New Roman" w:hAnsi="Times New Roman"/>
          <w:sz w:val="24"/>
          <w:szCs w:val="24"/>
        </w:rPr>
        <w:t>.</w:t>
      </w:r>
      <w:r w:rsidRPr="00BA0E8D">
        <w:rPr>
          <w:rFonts w:ascii="Times New Roman" w:hAnsi="Times New Roman"/>
          <w:sz w:val="24"/>
          <w:szCs w:val="24"/>
        </w:rPr>
        <w:t xml:space="preserve"> This is important to enable us </w:t>
      </w:r>
      <w:proofErr w:type="gramStart"/>
      <w:r w:rsidRPr="00BA0E8D">
        <w:rPr>
          <w:rFonts w:ascii="Times New Roman" w:hAnsi="Times New Roman"/>
          <w:sz w:val="24"/>
          <w:szCs w:val="24"/>
        </w:rPr>
        <w:t>compare</w:t>
      </w:r>
      <w:proofErr w:type="gramEnd"/>
      <w:r w:rsidRPr="00BA0E8D">
        <w:rPr>
          <w:rFonts w:ascii="Times New Roman" w:hAnsi="Times New Roman"/>
          <w:sz w:val="24"/>
          <w:szCs w:val="24"/>
        </w:rPr>
        <w:t xml:space="preserve"> our results with </w:t>
      </w:r>
      <w:r w:rsidR="002664F1" w:rsidRPr="00BA0E8D">
        <w:rPr>
          <w:rFonts w:ascii="Times New Roman" w:hAnsi="Times New Roman"/>
          <w:sz w:val="24"/>
          <w:szCs w:val="24"/>
        </w:rPr>
        <w:t>prior research</w:t>
      </w:r>
      <w:r w:rsidR="00E674AB" w:rsidRPr="00BA0E8D">
        <w:rPr>
          <w:rFonts w:ascii="Times New Roman" w:hAnsi="Times New Roman"/>
          <w:sz w:val="24"/>
          <w:szCs w:val="24"/>
        </w:rPr>
        <w:t>.</w:t>
      </w:r>
      <w:r w:rsidRPr="00BA0E8D">
        <w:rPr>
          <w:rFonts w:ascii="Times New Roman" w:hAnsi="Times New Roman"/>
          <w:sz w:val="24"/>
          <w:szCs w:val="24"/>
        </w:rPr>
        <w:t xml:space="preserve"> </w:t>
      </w:r>
      <w:r w:rsidR="00215131" w:rsidRPr="00BA0E8D">
        <w:rPr>
          <w:rFonts w:ascii="Times New Roman" w:hAnsi="Times New Roman"/>
          <w:sz w:val="24"/>
          <w:szCs w:val="24"/>
        </w:rPr>
        <w:t>We</w:t>
      </w:r>
      <w:r w:rsidR="00D92927" w:rsidRPr="00BA0E8D">
        <w:rPr>
          <w:rFonts w:ascii="Times New Roman" w:hAnsi="Times New Roman"/>
          <w:sz w:val="24"/>
          <w:szCs w:val="24"/>
        </w:rPr>
        <w:t xml:space="preserve"> draw on the extant </w:t>
      </w:r>
      <w:r w:rsidR="00D92927" w:rsidRPr="00BA0E8D">
        <w:rPr>
          <w:rFonts w:ascii="Times New Roman" w:hAnsi="Times New Roman"/>
          <w:color w:val="000000"/>
          <w:sz w:val="24"/>
          <w:szCs w:val="24"/>
        </w:rPr>
        <w:t>literature (e.g.</w:t>
      </w:r>
      <w:r w:rsidR="00394FF5" w:rsidRPr="00BA0E8D">
        <w:rPr>
          <w:rFonts w:ascii="Times New Roman" w:hAnsi="Times New Roman"/>
          <w:color w:val="000000"/>
          <w:sz w:val="24"/>
          <w:szCs w:val="24"/>
        </w:rPr>
        <w:t xml:space="preserve"> </w:t>
      </w:r>
      <w:proofErr w:type="spellStart"/>
      <w:r w:rsidR="00394FF5" w:rsidRPr="00BA0E8D">
        <w:rPr>
          <w:rFonts w:ascii="Times New Roman" w:hAnsi="Times New Roman"/>
          <w:color w:val="000000"/>
          <w:sz w:val="24"/>
          <w:szCs w:val="24"/>
          <w:shd w:val="clear" w:color="auto" w:fill="FFFFFF"/>
        </w:rPr>
        <w:t>Demirg</w:t>
      </w:r>
      <w:r w:rsidR="00F77A15" w:rsidRPr="00697D0E">
        <w:rPr>
          <w:rFonts w:ascii="Times New Roman" w:hAnsi="Times New Roman"/>
          <w:sz w:val="24"/>
          <w:szCs w:val="24"/>
        </w:rPr>
        <w:t>üç</w:t>
      </w:r>
      <w:r w:rsidR="00394FF5" w:rsidRPr="00BA0E8D">
        <w:rPr>
          <w:rFonts w:ascii="Times New Roman" w:hAnsi="Times New Roman"/>
          <w:color w:val="000000"/>
          <w:sz w:val="24"/>
          <w:szCs w:val="24"/>
          <w:shd w:val="clear" w:color="auto" w:fill="FFFFFF"/>
        </w:rPr>
        <w:t>-Kunt</w:t>
      </w:r>
      <w:proofErr w:type="spellEnd"/>
      <w:r w:rsidR="00394FF5" w:rsidRPr="00BA0E8D">
        <w:rPr>
          <w:rFonts w:ascii="Times New Roman" w:hAnsi="Times New Roman"/>
          <w:color w:val="000000"/>
          <w:sz w:val="24"/>
          <w:szCs w:val="24"/>
          <w:shd w:val="clear" w:color="auto" w:fill="FFFFFF"/>
        </w:rPr>
        <w:t xml:space="preserve"> et al., 2003; Valverde and Fernández, 2007;</w:t>
      </w:r>
      <w:r w:rsidR="009A0F9D" w:rsidRPr="00BA0E8D">
        <w:rPr>
          <w:rFonts w:ascii="Times New Roman" w:hAnsi="Times New Roman"/>
          <w:color w:val="000000"/>
          <w:sz w:val="24"/>
          <w:szCs w:val="24"/>
        </w:rPr>
        <w:t xml:space="preserve"> </w:t>
      </w:r>
      <w:r w:rsidR="009A0F9D" w:rsidRPr="00BA0E8D">
        <w:rPr>
          <w:rFonts w:ascii="Times New Roman" w:hAnsi="Times New Roman"/>
          <w:color w:val="222222"/>
          <w:sz w:val="24"/>
          <w:szCs w:val="20"/>
        </w:rPr>
        <w:t xml:space="preserve">De </w:t>
      </w:r>
      <w:proofErr w:type="spellStart"/>
      <w:r w:rsidR="009A0F9D" w:rsidRPr="00BA0E8D">
        <w:rPr>
          <w:rFonts w:ascii="Times New Roman" w:hAnsi="Times New Roman"/>
          <w:color w:val="222222"/>
          <w:sz w:val="24"/>
          <w:szCs w:val="20"/>
        </w:rPr>
        <w:t>Haan</w:t>
      </w:r>
      <w:proofErr w:type="spellEnd"/>
      <w:r w:rsidR="009A0F9D" w:rsidRPr="00BA0E8D">
        <w:rPr>
          <w:rFonts w:ascii="Times New Roman" w:hAnsi="Times New Roman"/>
          <w:color w:val="222222"/>
          <w:sz w:val="24"/>
          <w:szCs w:val="20"/>
        </w:rPr>
        <w:t xml:space="preserve"> </w:t>
      </w:r>
      <w:r w:rsidR="00803E50" w:rsidRPr="00BA0E8D">
        <w:rPr>
          <w:rFonts w:ascii="Times New Roman" w:hAnsi="Times New Roman"/>
          <w:color w:val="222222"/>
          <w:sz w:val="24"/>
          <w:szCs w:val="20"/>
        </w:rPr>
        <w:t xml:space="preserve">and </w:t>
      </w:r>
      <w:r w:rsidR="009A0F9D" w:rsidRPr="00BA0E8D">
        <w:rPr>
          <w:rFonts w:ascii="Times New Roman" w:hAnsi="Times New Roman"/>
          <w:color w:val="222222"/>
          <w:sz w:val="24"/>
          <w:szCs w:val="20"/>
        </w:rPr>
        <w:t>Poghosyan, 2012</w:t>
      </w:r>
      <w:r w:rsidR="001D4C46" w:rsidRPr="00BA0E8D">
        <w:rPr>
          <w:rFonts w:ascii="Times New Roman" w:hAnsi="Times New Roman"/>
          <w:color w:val="000000"/>
          <w:sz w:val="24"/>
          <w:szCs w:val="24"/>
        </w:rPr>
        <w:t>)</w:t>
      </w:r>
      <w:r w:rsidR="00D92927" w:rsidRPr="00BA0E8D">
        <w:rPr>
          <w:rFonts w:ascii="Times New Roman" w:hAnsi="Times New Roman"/>
          <w:color w:val="000000"/>
          <w:sz w:val="24"/>
          <w:szCs w:val="24"/>
        </w:rPr>
        <w:t xml:space="preserve"> </w:t>
      </w:r>
      <w:r w:rsidR="001D4C46" w:rsidRPr="00BA0E8D">
        <w:rPr>
          <w:rFonts w:ascii="Times New Roman" w:hAnsi="Times New Roman"/>
          <w:color w:val="000000"/>
          <w:sz w:val="24"/>
          <w:szCs w:val="24"/>
        </w:rPr>
        <w:t>and include</w:t>
      </w:r>
      <w:r w:rsidR="00215131" w:rsidRPr="00BA0E8D">
        <w:rPr>
          <w:rFonts w:ascii="Times New Roman" w:hAnsi="Times New Roman"/>
          <w:color w:val="000000"/>
          <w:sz w:val="24"/>
          <w:szCs w:val="24"/>
        </w:rPr>
        <w:t xml:space="preserve"> </w:t>
      </w:r>
      <w:proofErr w:type="gramStart"/>
      <w:r w:rsidR="00215131" w:rsidRPr="00BA0E8D">
        <w:rPr>
          <w:rFonts w:ascii="Times New Roman" w:hAnsi="Times New Roman"/>
          <w:color w:val="000000"/>
          <w:sz w:val="24"/>
          <w:szCs w:val="24"/>
        </w:rPr>
        <w:t>a number of</w:t>
      </w:r>
      <w:proofErr w:type="gramEnd"/>
      <w:r w:rsidR="00215131" w:rsidRPr="00BA0E8D">
        <w:rPr>
          <w:rFonts w:ascii="Times New Roman" w:hAnsi="Times New Roman"/>
          <w:color w:val="000000"/>
          <w:sz w:val="24"/>
          <w:szCs w:val="24"/>
        </w:rPr>
        <w:t xml:space="preserve"> bank</w:t>
      </w:r>
      <w:r w:rsidR="0028099D">
        <w:rPr>
          <w:rFonts w:ascii="Times New Roman" w:hAnsi="Times New Roman"/>
          <w:color w:val="000000"/>
          <w:sz w:val="24"/>
          <w:szCs w:val="24"/>
        </w:rPr>
        <w:t>-</w:t>
      </w:r>
      <w:r w:rsidR="00215131" w:rsidRPr="00BA0E8D">
        <w:rPr>
          <w:rFonts w:ascii="Times New Roman" w:hAnsi="Times New Roman"/>
          <w:color w:val="000000"/>
          <w:sz w:val="24"/>
          <w:szCs w:val="24"/>
        </w:rPr>
        <w:t xml:space="preserve">specific and </w:t>
      </w:r>
      <w:r w:rsidR="001D4C46" w:rsidRPr="00BA0E8D">
        <w:rPr>
          <w:rFonts w:ascii="Times New Roman" w:hAnsi="Times New Roman"/>
          <w:color w:val="000000"/>
          <w:sz w:val="24"/>
          <w:szCs w:val="24"/>
        </w:rPr>
        <w:t xml:space="preserve">macroeconomic </w:t>
      </w:r>
      <w:r w:rsidR="00215131" w:rsidRPr="00BA0E8D">
        <w:rPr>
          <w:rFonts w:ascii="Times New Roman" w:hAnsi="Times New Roman"/>
          <w:color w:val="000000"/>
          <w:sz w:val="24"/>
          <w:szCs w:val="24"/>
        </w:rPr>
        <w:t xml:space="preserve">variables in our </w:t>
      </w:r>
      <w:r w:rsidR="00215131" w:rsidRPr="003C588D">
        <w:rPr>
          <w:rFonts w:ascii="Times New Roman" w:hAnsi="Times New Roman"/>
          <w:color w:val="000000"/>
          <w:sz w:val="24"/>
          <w:szCs w:val="24"/>
        </w:rPr>
        <w:t>analysis.</w:t>
      </w:r>
      <w:r w:rsidR="00722D6E" w:rsidRPr="003C588D">
        <w:rPr>
          <w:rFonts w:ascii="Times New Roman" w:hAnsi="Times New Roman"/>
          <w:color w:val="000000"/>
          <w:sz w:val="24"/>
          <w:szCs w:val="24"/>
        </w:rPr>
        <w:t xml:space="preserve"> </w:t>
      </w:r>
      <w:r w:rsidR="00234C01" w:rsidRPr="003C588D">
        <w:rPr>
          <w:rFonts w:ascii="Times New Roman" w:hAnsi="Times New Roman"/>
          <w:color w:val="000000"/>
          <w:sz w:val="24"/>
          <w:szCs w:val="24"/>
        </w:rPr>
        <w:t xml:space="preserve">To minimize estimation challenges associated with outliers, we follow standard procedures in the literature to </w:t>
      </w:r>
      <w:proofErr w:type="spellStart"/>
      <w:r w:rsidR="00234C01" w:rsidRPr="003C588D">
        <w:rPr>
          <w:rFonts w:ascii="Times New Roman" w:hAnsi="Times New Roman"/>
          <w:color w:val="000000"/>
          <w:sz w:val="24"/>
          <w:szCs w:val="24"/>
        </w:rPr>
        <w:t>winzorise</w:t>
      </w:r>
      <w:proofErr w:type="spellEnd"/>
      <w:r w:rsidR="00234C01" w:rsidRPr="003C588D">
        <w:rPr>
          <w:rFonts w:ascii="Times New Roman" w:hAnsi="Times New Roman"/>
          <w:color w:val="000000"/>
          <w:sz w:val="24"/>
          <w:szCs w:val="24"/>
        </w:rPr>
        <w:t xml:space="preserve"> all continuous variables at the top and bottom 1%. All</w:t>
      </w:r>
      <w:r w:rsidR="00722D6E" w:rsidRPr="003C588D">
        <w:rPr>
          <w:rFonts w:ascii="Times New Roman" w:hAnsi="Times New Roman"/>
          <w:color w:val="000000"/>
          <w:sz w:val="24"/>
          <w:szCs w:val="24"/>
        </w:rPr>
        <w:t xml:space="preserve"> variables </w:t>
      </w:r>
      <w:r w:rsidR="00A075B7" w:rsidRPr="003C588D">
        <w:rPr>
          <w:rFonts w:ascii="Times New Roman" w:hAnsi="Times New Roman"/>
          <w:color w:val="000000"/>
          <w:sz w:val="24"/>
          <w:szCs w:val="24"/>
        </w:rPr>
        <w:t>have been fully defined under Table 1</w:t>
      </w:r>
      <w:r w:rsidR="000B2F97" w:rsidRPr="003C588D">
        <w:rPr>
          <w:rFonts w:ascii="Times New Roman" w:hAnsi="Times New Roman"/>
          <w:color w:val="000000"/>
          <w:sz w:val="24"/>
          <w:szCs w:val="24"/>
        </w:rPr>
        <w:t>, as well as in Table A1 in the appendices, and</w:t>
      </w:r>
      <w:r w:rsidR="002B1729" w:rsidRPr="003C588D">
        <w:rPr>
          <w:rFonts w:ascii="Times New Roman" w:hAnsi="Times New Roman"/>
          <w:color w:val="000000"/>
          <w:sz w:val="24"/>
          <w:szCs w:val="24"/>
        </w:rPr>
        <w:t xml:space="preserve"> are </w:t>
      </w:r>
      <w:r w:rsidR="00B95328" w:rsidRPr="003C588D">
        <w:rPr>
          <w:rFonts w:ascii="Times New Roman" w:hAnsi="Times New Roman"/>
          <w:color w:val="000000"/>
          <w:sz w:val="24"/>
          <w:szCs w:val="24"/>
        </w:rPr>
        <w:t>discussed below</w:t>
      </w:r>
      <w:r w:rsidR="000B2F97" w:rsidRPr="003C588D">
        <w:rPr>
          <w:rFonts w:ascii="Times New Roman" w:hAnsi="Times New Roman"/>
          <w:color w:val="000000"/>
          <w:sz w:val="24"/>
          <w:szCs w:val="24"/>
        </w:rPr>
        <w:t>.</w:t>
      </w:r>
    </w:p>
    <w:p w14:paraId="5C6A94D3" w14:textId="19E36A7B" w:rsidR="0073194F" w:rsidRPr="00BA0E8D" w:rsidRDefault="00495FED" w:rsidP="00444D9D">
      <w:pPr>
        <w:spacing w:before="240" w:after="24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4</w:t>
      </w:r>
      <w:r w:rsidR="0073194F" w:rsidRPr="00BA0E8D">
        <w:rPr>
          <w:rFonts w:ascii="Times New Roman" w:hAnsi="Times New Roman"/>
          <w:b/>
          <w:color w:val="000000"/>
          <w:sz w:val="24"/>
          <w:szCs w:val="24"/>
        </w:rPr>
        <w:t>.2.1.</w:t>
      </w:r>
      <w:r w:rsidR="00CC240C" w:rsidRPr="00BA0E8D">
        <w:rPr>
          <w:rFonts w:ascii="Times New Roman" w:hAnsi="Times New Roman"/>
          <w:b/>
          <w:color w:val="000000"/>
          <w:sz w:val="24"/>
          <w:szCs w:val="24"/>
        </w:rPr>
        <w:t xml:space="preserve"> Credit</w:t>
      </w:r>
      <w:r w:rsidR="0073194F" w:rsidRPr="00BA0E8D">
        <w:rPr>
          <w:rFonts w:ascii="Times New Roman" w:hAnsi="Times New Roman"/>
          <w:b/>
          <w:color w:val="000000"/>
          <w:sz w:val="24"/>
          <w:szCs w:val="24"/>
        </w:rPr>
        <w:t xml:space="preserve"> </w:t>
      </w:r>
      <w:r w:rsidR="00405DA4">
        <w:rPr>
          <w:rFonts w:ascii="Times New Roman" w:hAnsi="Times New Roman"/>
          <w:b/>
          <w:color w:val="000000"/>
          <w:sz w:val="24"/>
          <w:szCs w:val="24"/>
        </w:rPr>
        <w:t>i</w:t>
      </w:r>
      <w:r w:rsidR="0073194F" w:rsidRPr="00BA0E8D">
        <w:rPr>
          <w:rFonts w:ascii="Times New Roman" w:hAnsi="Times New Roman"/>
          <w:b/>
          <w:color w:val="000000"/>
          <w:sz w:val="24"/>
          <w:szCs w:val="24"/>
        </w:rPr>
        <w:t xml:space="preserve">nformation </w:t>
      </w:r>
      <w:r w:rsidR="00405DA4">
        <w:rPr>
          <w:rFonts w:ascii="Times New Roman" w:hAnsi="Times New Roman"/>
          <w:b/>
          <w:color w:val="000000"/>
          <w:sz w:val="24"/>
          <w:szCs w:val="24"/>
        </w:rPr>
        <w:t>s</w:t>
      </w:r>
      <w:r w:rsidR="0073194F" w:rsidRPr="00BA0E8D">
        <w:rPr>
          <w:rFonts w:ascii="Times New Roman" w:hAnsi="Times New Roman"/>
          <w:b/>
          <w:color w:val="000000"/>
          <w:sz w:val="24"/>
          <w:szCs w:val="24"/>
        </w:rPr>
        <w:t xml:space="preserve">haring </w:t>
      </w:r>
      <w:r w:rsidR="00466856" w:rsidRPr="00BA0E8D">
        <w:rPr>
          <w:rFonts w:ascii="Times New Roman" w:hAnsi="Times New Roman"/>
          <w:b/>
          <w:color w:val="000000"/>
          <w:sz w:val="24"/>
          <w:szCs w:val="24"/>
        </w:rPr>
        <w:t xml:space="preserve">and </w:t>
      </w:r>
      <w:r w:rsidR="00405DA4">
        <w:rPr>
          <w:rFonts w:ascii="Times New Roman" w:hAnsi="Times New Roman"/>
          <w:b/>
          <w:color w:val="000000"/>
          <w:sz w:val="24"/>
          <w:szCs w:val="24"/>
        </w:rPr>
        <w:t>i</w:t>
      </w:r>
      <w:r w:rsidR="00466856" w:rsidRPr="00BA0E8D">
        <w:rPr>
          <w:rFonts w:ascii="Times New Roman" w:hAnsi="Times New Roman"/>
          <w:b/>
          <w:color w:val="000000"/>
          <w:sz w:val="24"/>
          <w:szCs w:val="24"/>
        </w:rPr>
        <w:t xml:space="preserve">ntermediation </w:t>
      </w:r>
      <w:r w:rsidR="00405DA4">
        <w:rPr>
          <w:rFonts w:ascii="Times New Roman" w:hAnsi="Times New Roman"/>
          <w:b/>
          <w:color w:val="000000"/>
          <w:sz w:val="24"/>
          <w:szCs w:val="24"/>
        </w:rPr>
        <w:t>c</w:t>
      </w:r>
      <w:r w:rsidR="00466856" w:rsidRPr="00BA0E8D">
        <w:rPr>
          <w:rFonts w:ascii="Times New Roman" w:hAnsi="Times New Roman"/>
          <w:b/>
          <w:color w:val="000000"/>
          <w:sz w:val="24"/>
          <w:szCs w:val="24"/>
        </w:rPr>
        <w:t>ost</w:t>
      </w:r>
    </w:p>
    <w:p w14:paraId="42D36368" w14:textId="3D665D9E" w:rsidR="00037D2E" w:rsidRDefault="004E7A0A" w:rsidP="00444D9D">
      <w:pPr>
        <w:spacing w:before="240" w:after="240" w:line="360" w:lineRule="auto"/>
        <w:jc w:val="both"/>
        <w:rPr>
          <w:rFonts w:ascii="sans-serif!important" w:hAnsi="sans-serif!important"/>
          <w:b/>
          <w:bCs/>
        </w:rPr>
      </w:pPr>
      <w:r w:rsidRPr="00BA0E8D">
        <w:rPr>
          <w:rFonts w:ascii="Times New Roman" w:hAnsi="Times New Roman"/>
          <w:sz w:val="24"/>
          <w:szCs w:val="24"/>
        </w:rPr>
        <w:t>Consistent with the emerging empirical literature on the role of information sharing on credit markets (e.g. Fosu, 2014</w:t>
      </w:r>
      <w:r w:rsidR="00621DA3" w:rsidRPr="00BA0E8D">
        <w:rPr>
          <w:rFonts w:ascii="Times New Roman" w:hAnsi="Times New Roman"/>
          <w:sz w:val="24"/>
          <w:szCs w:val="24"/>
        </w:rPr>
        <w:t>; Nana, 2014</w:t>
      </w:r>
      <w:r w:rsidRPr="00BA0E8D">
        <w:rPr>
          <w:rFonts w:ascii="Times New Roman" w:hAnsi="Times New Roman"/>
          <w:sz w:val="24"/>
          <w:szCs w:val="24"/>
        </w:rPr>
        <w:t>), we adopt the d</w:t>
      </w:r>
      <w:r w:rsidR="00CC240C" w:rsidRPr="00BA0E8D">
        <w:rPr>
          <w:rFonts w:ascii="Times New Roman" w:hAnsi="Times New Roman"/>
          <w:sz w:val="24"/>
          <w:szCs w:val="24"/>
        </w:rPr>
        <w:t>epth of credit information sharing</w:t>
      </w:r>
      <w:r w:rsidR="00621DA3" w:rsidRPr="00BA0E8D">
        <w:rPr>
          <w:rFonts w:ascii="Times New Roman" w:hAnsi="Times New Roman"/>
          <w:sz w:val="24"/>
          <w:szCs w:val="24"/>
        </w:rPr>
        <w:t xml:space="preserve"> index</w:t>
      </w:r>
      <w:r w:rsidR="00CC240C" w:rsidRPr="00BA0E8D">
        <w:rPr>
          <w:rFonts w:ascii="Times New Roman" w:hAnsi="Times New Roman"/>
          <w:sz w:val="24"/>
          <w:szCs w:val="24"/>
        </w:rPr>
        <w:t xml:space="preserve"> as our main measure of information sharing</w:t>
      </w:r>
      <w:r w:rsidRPr="00BA0E8D">
        <w:rPr>
          <w:rFonts w:ascii="Times New Roman" w:hAnsi="Times New Roman"/>
          <w:sz w:val="24"/>
          <w:szCs w:val="24"/>
        </w:rPr>
        <w:t xml:space="preserve">. </w:t>
      </w:r>
      <w:r w:rsidR="00621DA3" w:rsidRPr="00BA0E8D">
        <w:rPr>
          <w:rFonts w:ascii="Times New Roman" w:hAnsi="Times New Roman"/>
          <w:sz w:val="24"/>
          <w:szCs w:val="24"/>
        </w:rPr>
        <w:t xml:space="preserve">This index </w:t>
      </w:r>
      <w:r w:rsidR="000F7B31">
        <w:rPr>
          <w:rFonts w:ascii="Times New Roman" w:hAnsi="Times New Roman"/>
          <w:sz w:val="24"/>
          <w:szCs w:val="24"/>
        </w:rPr>
        <w:t>“</w:t>
      </w:r>
      <w:r w:rsidR="00992420" w:rsidRPr="00BA0E8D">
        <w:rPr>
          <w:rFonts w:ascii="Times New Roman" w:hAnsi="Times New Roman"/>
          <w:bCs/>
          <w:sz w:val="24"/>
          <w:szCs w:val="24"/>
        </w:rPr>
        <w:t>measures rules and practices affecting the coverage, scope and accessibility of credit information available through either a public credit registry or a private credit bureau</w:t>
      </w:r>
      <w:r w:rsidR="000F7B31">
        <w:rPr>
          <w:rFonts w:ascii="Times New Roman" w:hAnsi="Times New Roman"/>
          <w:bCs/>
          <w:sz w:val="24"/>
          <w:szCs w:val="24"/>
        </w:rPr>
        <w:t>”</w:t>
      </w:r>
      <w:r w:rsidR="00992420" w:rsidRPr="00BA0E8D">
        <w:rPr>
          <w:rFonts w:ascii="Times New Roman" w:hAnsi="Times New Roman"/>
          <w:bCs/>
          <w:sz w:val="24"/>
          <w:szCs w:val="24"/>
        </w:rPr>
        <w:t xml:space="preserve"> (</w:t>
      </w:r>
      <w:r w:rsidR="00E56A06">
        <w:rPr>
          <w:rFonts w:ascii="Times New Roman" w:hAnsi="Times New Roman"/>
          <w:bCs/>
          <w:sz w:val="24"/>
          <w:szCs w:val="24"/>
        </w:rPr>
        <w:t xml:space="preserve">World Bank </w:t>
      </w:r>
      <w:r w:rsidR="00992420" w:rsidRPr="00BA0E8D">
        <w:rPr>
          <w:rFonts w:ascii="Times New Roman" w:hAnsi="Times New Roman"/>
          <w:bCs/>
          <w:sz w:val="24"/>
          <w:szCs w:val="24"/>
        </w:rPr>
        <w:t>Doing Business, 2016)</w:t>
      </w:r>
      <w:r w:rsidR="00992420" w:rsidRPr="00BA0E8D">
        <w:rPr>
          <w:rFonts w:ascii="Times New Roman" w:hAnsi="Times New Roman"/>
          <w:sz w:val="24"/>
          <w:szCs w:val="24"/>
        </w:rPr>
        <w:t xml:space="preserve">. </w:t>
      </w:r>
      <w:r w:rsidR="001D2181" w:rsidRPr="00BA0E8D">
        <w:rPr>
          <w:rFonts w:ascii="Times New Roman" w:hAnsi="Times New Roman"/>
          <w:sz w:val="24"/>
          <w:szCs w:val="24"/>
        </w:rPr>
        <w:t>Over our sample period, t</w:t>
      </w:r>
      <w:r w:rsidR="00992420" w:rsidRPr="00BA0E8D">
        <w:rPr>
          <w:rFonts w:ascii="Times New Roman" w:hAnsi="Times New Roman"/>
          <w:sz w:val="24"/>
          <w:szCs w:val="24"/>
        </w:rPr>
        <w:t xml:space="preserve">he index ranges from 0 to </w:t>
      </w:r>
      <w:r w:rsidR="001D2181" w:rsidRPr="00BA0E8D">
        <w:rPr>
          <w:rFonts w:ascii="Times New Roman" w:hAnsi="Times New Roman"/>
          <w:sz w:val="24"/>
          <w:szCs w:val="24"/>
        </w:rPr>
        <w:t>6</w:t>
      </w:r>
      <w:r w:rsidR="00621DA3" w:rsidRPr="00BA0E8D">
        <w:rPr>
          <w:rFonts w:ascii="Times New Roman" w:hAnsi="Times New Roman"/>
          <w:sz w:val="24"/>
          <w:szCs w:val="24"/>
        </w:rPr>
        <w:t xml:space="preserve">, </w:t>
      </w:r>
      <w:r w:rsidR="00354921" w:rsidRPr="00BA0E8D">
        <w:rPr>
          <w:rFonts w:ascii="Times New Roman" w:hAnsi="Times New Roman"/>
          <w:sz w:val="24"/>
          <w:szCs w:val="24"/>
        </w:rPr>
        <w:t>where</w:t>
      </w:r>
      <w:r w:rsidR="00621DA3" w:rsidRPr="00BA0E8D">
        <w:rPr>
          <w:rFonts w:ascii="Times New Roman" w:hAnsi="Times New Roman"/>
          <w:sz w:val="24"/>
          <w:szCs w:val="24"/>
        </w:rPr>
        <w:t xml:space="preserve"> higher values indicat</w:t>
      </w:r>
      <w:r w:rsidR="00354921" w:rsidRPr="00BA0E8D">
        <w:rPr>
          <w:rFonts w:ascii="Times New Roman" w:hAnsi="Times New Roman"/>
          <w:sz w:val="24"/>
          <w:szCs w:val="24"/>
        </w:rPr>
        <w:t>e</w:t>
      </w:r>
      <w:r w:rsidR="00621DA3" w:rsidRPr="00BA0E8D">
        <w:rPr>
          <w:rFonts w:ascii="Times New Roman" w:hAnsi="Times New Roman"/>
          <w:sz w:val="24"/>
          <w:szCs w:val="24"/>
        </w:rPr>
        <w:t xml:space="preserve"> </w:t>
      </w:r>
      <w:r w:rsidR="00354921" w:rsidRPr="00BA0E8D">
        <w:rPr>
          <w:rFonts w:ascii="Times New Roman" w:hAnsi="Times New Roman"/>
          <w:sz w:val="24"/>
          <w:szCs w:val="24"/>
        </w:rPr>
        <w:t xml:space="preserve">the </w:t>
      </w:r>
      <w:r w:rsidR="00C42A8B" w:rsidRPr="00BA0E8D">
        <w:rPr>
          <w:rFonts w:ascii="Times New Roman" w:hAnsi="Times New Roman"/>
          <w:sz w:val="24"/>
          <w:szCs w:val="24"/>
        </w:rPr>
        <w:t>a</w:t>
      </w:r>
      <w:r w:rsidR="00354921" w:rsidRPr="00BA0E8D">
        <w:rPr>
          <w:rFonts w:ascii="Times New Roman" w:hAnsi="Times New Roman"/>
          <w:sz w:val="24"/>
          <w:szCs w:val="24"/>
        </w:rPr>
        <w:t>vailability of more credit information to help in lending decision</w:t>
      </w:r>
      <w:r w:rsidR="0028099D">
        <w:rPr>
          <w:rFonts w:ascii="Times New Roman" w:hAnsi="Times New Roman"/>
          <w:sz w:val="24"/>
          <w:szCs w:val="24"/>
        </w:rPr>
        <w:t>s</w:t>
      </w:r>
      <w:r w:rsidR="00C42A8B" w:rsidRPr="00BA0E8D">
        <w:rPr>
          <w:rFonts w:ascii="Times New Roman" w:hAnsi="Times New Roman"/>
          <w:sz w:val="24"/>
          <w:szCs w:val="24"/>
        </w:rPr>
        <w:t>.</w:t>
      </w:r>
      <w:r w:rsidR="00354921" w:rsidRPr="00BA0E8D">
        <w:rPr>
          <w:rFonts w:ascii="Times New Roman" w:hAnsi="Times New Roman"/>
          <w:sz w:val="24"/>
          <w:szCs w:val="24"/>
        </w:rPr>
        <w:t xml:space="preserve"> Zero index means that the credit registry or private credit bureau is </w:t>
      </w:r>
      <w:r w:rsidR="00E93D40" w:rsidRPr="00BA0E8D">
        <w:rPr>
          <w:rFonts w:ascii="Times New Roman" w:hAnsi="Times New Roman"/>
          <w:sz w:val="24"/>
          <w:szCs w:val="24"/>
        </w:rPr>
        <w:t>non-operational,</w:t>
      </w:r>
      <w:r w:rsidR="00354921" w:rsidRPr="00BA0E8D">
        <w:rPr>
          <w:rFonts w:ascii="Times New Roman" w:hAnsi="Times New Roman"/>
          <w:sz w:val="24"/>
          <w:szCs w:val="24"/>
        </w:rPr>
        <w:t xml:space="preserve"> or its coverage falls below 1% of the adult population.</w:t>
      </w:r>
      <w:r w:rsidR="00611F87">
        <w:rPr>
          <w:rFonts w:ascii="Times New Roman" w:hAnsi="Times New Roman"/>
          <w:sz w:val="24"/>
          <w:szCs w:val="24"/>
        </w:rPr>
        <w:t xml:space="preserve"> </w:t>
      </w:r>
      <w:r w:rsidR="000F7B31">
        <w:rPr>
          <w:rFonts w:ascii="Times New Roman" w:hAnsi="Times New Roman"/>
          <w:sz w:val="24"/>
          <w:szCs w:val="24"/>
        </w:rPr>
        <w:t>In order to provide a</w:t>
      </w:r>
      <w:r w:rsidR="000F7B31" w:rsidRPr="00BA0E8D">
        <w:rPr>
          <w:rFonts w:ascii="Times New Roman" w:hAnsi="Times New Roman"/>
          <w:sz w:val="24"/>
          <w:szCs w:val="24"/>
        </w:rPr>
        <w:t xml:space="preserve"> </w:t>
      </w:r>
      <w:r w:rsidR="00F96201" w:rsidRPr="00BA0E8D">
        <w:rPr>
          <w:rFonts w:ascii="Times New Roman" w:hAnsi="Times New Roman"/>
          <w:sz w:val="24"/>
          <w:szCs w:val="24"/>
        </w:rPr>
        <w:t xml:space="preserve">robustness check, two other measures of </w:t>
      </w:r>
      <w:r w:rsidR="00F13953" w:rsidRPr="00BA0E8D">
        <w:rPr>
          <w:rFonts w:ascii="Times New Roman" w:hAnsi="Times New Roman"/>
          <w:sz w:val="24"/>
          <w:szCs w:val="24"/>
        </w:rPr>
        <w:t xml:space="preserve">credit information sharing </w:t>
      </w:r>
      <w:r w:rsidR="00F96201" w:rsidRPr="00BA0E8D">
        <w:rPr>
          <w:rFonts w:ascii="Times New Roman" w:hAnsi="Times New Roman"/>
          <w:sz w:val="24"/>
          <w:szCs w:val="24"/>
        </w:rPr>
        <w:t>are adopted. These are credit registry coverage and credit bureau coverage</w:t>
      </w:r>
      <w:r w:rsidR="00F13953" w:rsidRPr="00BA0E8D">
        <w:rPr>
          <w:rFonts w:ascii="Times New Roman" w:hAnsi="Times New Roman"/>
          <w:sz w:val="24"/>
          <w:szCs w:val="24"/>
        </w:rPr>
        <w:t>.</w:t>
      </w:r>
      <w:r w:rsidR="00992420" w:rsidRPr="00BA0E8D">
        <w:rPr>
          <w:rFonts w:ascii="Times New Roman" w:hAnsi="Times New Roman"/>
          <w:sz w:val="24"/>
          <w:szCs w:val="24"/>
        </w:rPr>
        <w:t xml:space="preserve"> Credit registry coverage </w:t>
      </w:r>
      <w:r w:rsidR="00BA5E76" w:rsidRPr="00BA0E8D">
        <w:rPr>
          <w:rFonts w:ascii="Times New Roman" w:hAnsi="Times New Roman"/>
          <w:bCs/>
          <w:sz w:val="24"/>
          <w:szCs w:val="24"/>
        </w:rPr>
        <w:t xml:space="preserve">measures the </w:t>
      </w:r>
      <w:r w:rsidR="0076224B">
        <w:rPr>
          <w:rFonts w:ascii="Times New Roman" w:hAnsi="Times New Roman"/>
          <w:bCs/>
          <w:sz w:val="24"/>
          <w:szCs w:val="24"/>
        </w:rPr>
        <w:t xml:space="preserve">number of individuals and firms listed by a public credit registry </w:t>
      </w:r>
      <w:r w:rsidR="0076224B" w:rsidRPr="00BA0E8D">
        <w:rPr>
          <w:rFonts w:ascii="Times New Roman" w:hAnsi="Times New Roman"/>
          <w:bCs/>
          <w:sz w:val="24"/>
          <w:szCs w:val="24"/>
        </w:rPr>
        <w:t xml:space="preserve">concerning the information on their borrowing history for the past </w:t>
      </w:r>
      <w:r w:rsidR="0076224B">
        <w:rPr>
          <w:rFonts w:ascii="Times New Roman" w:hAnsi="Times New Roman"/>
          <w:bCs/>
          <w:sz w:val="24"/>
          <w:szCs w:val="24"/>
        </w:rPr>
        <w:t>five</w:t>
      </w:r>
      <w:r w:rsidR="0076224B" w:rsidRPr="00BA0E8D">
        <w:rPr>
          <w:rFonts w:ascii="Times New Roman" w:hAnsi="Times New Roman"/>
          <w:bCs/>
          <w:sz w:val="24"/>
          <w:szCs w:val="24"/>
        </w:rPr>
        <w:t xml:space="preserve"> years</w:t>
      </w:r>
      <w:r w:rsidR="0076224B">
        <w:rPr>
          <w:rFonts w:ascii="Times New Roman" w:hAnsi="Times New Roman"/>
          <w:bCs/>
          <w:sz w:val="24"/>
          <w:szCs w:val="24"/>
        </w:rPr>
        <w:t xml:space="preserve">, expressed as a percentage of </w:t>
      </w:r>
      <w:r w:rsidR="00BA5E76" w:rsidRPr="00BA0E8D">
        <w:rPr>
          <w:rFonts w:ascii="Times New Roman" w:hAnsi="Times New Roman"/>
          <w:bCs/>
          <w:sz w:val="24"/>
          <w:szCs w:val="24"/>
        </w:rPr>
        <w:t>the adult population</w:t>
      </w:r>
      <w:r w:rsidR="00005A62" w:rsidRPr="00BA0E8D">
        <w:rPr>
          <w:rFonts w:ascii="Times New Roman" w:hAnsi="Times New Roman"/>
          <w:bCs/>
          <w:sz w:val="24"/>
          <w:szCs w:val="24"/>
        </w:rPr>
        <w:t>.</w:t>
      </w:r>
      <w:r w:rsidR="004D55AC" w:rsidRPr="00BA0E8D">
        <w:rPr>
          <w:rFonts w:ascii="Times New Roman" w:hAnsi="Times New Roman"/>
          <w:bCs/>
          <w:sz w:val="24"/>
          <w:szCs w:val="24"/>
        </w:rPr>
        <w:t xml:space="preserve"> Similarly, </w:t>
      </w:r>
      <w:r w:rsidR="004D55AC" w:rsidRPr="00BA0E8D">
        <w:rPr>
          <w:rFonts w:ascii="Times New Roman" w:hAnsi="Times New Roman"/>
          <w:sz w:val="24"/>
          <w:szCs w:val="24"/>
        </w:rPr>
        <w:t>credit bureau coverage</w:t>
      </w:r>
      <w:r w:rsidR="004D55AC" w:rsidRPr="00BA0E8D">
        <w:rPr>
          <w:rFonts w:ascii="Times New Roman" w:hAnsi="Times New Roman"/>
          <w:bCs/>
          <w:sz w:val="24"/>
          <w:szCs w:val="24"/>
        </w:rPr>
        <w:t xml:space="preserve"> </w:t>
      </w:r>
      <w:r w:rsidR="000221F5" w:rsidRPr="00BA0E8D">
        <w:rPr>
          <w:rFonts w:ascii="Times New Roman" w:hAnsi="Times New Roman"/>
          <w:bCs/>
          <w:sz w:val="24"/>
          <w:szCs w:val="24"/>
        </w:rPr>
        <w:t>measures</w:t>
      </w:r>
      <w:r w:rsidR="004D55AC" w:rsidRPr="00BA0E8D">
        <w:rPr>
          <w:rFonts w:ascii="Times New Roman" w:hAnsi="Times New Roman"/>
          <w:bCs/>
          <w:sz w:val="24"/>
          <w:szCs w:val="24"/>
        </w:rPr>
        <w:t xml:space="preserve"> the</w:t>
      </w:r>
      <w:r w:rsidR="00FD1368" w:rsidRPr="00BA0E8D">
        <w:rPr>
          <w:rFonts w:ascii="Times New Roman" w:hAnsi="Times New Roman"/>
          <w:bCs/>
          <w:sz w:val="24"/>
          <w:szCs w:val="24"/>
        </w:rPr>
        <w:t xml:space="preserve"> </w:t>
      </w:r>
      <w:r w:rsidR="0076224B">
        <w:rPr>
          <w:rFonts w:ascii="Times New Roman" w:hAnsi="Times New Roman"/>
          <w:bCs/>
          <w:sz w:val="24"/>
          <w:szCs w:val="24"/>
        </w:rPr>
        <w:t>number</w:t>
      </w:r>
      <w:r w:rsidR="0076224B" w:rsidRPr="00BA0E8D">
        <w:rPr>
          <w:rFonts w:ascii="Times New Roman" w:hAnsi="Times New Roman"/>
          <w:bCs/>
          <w:sz w:val="24"/>
          <w:szCs w:val="24"/>
        </w:rPr>
        <w:t xml:space="preserve"> </w:t>
      </w:r>
      <w:r w:rsidR="004D55AC" w:rsidRPr="00BA0E8D">
        <w:rPr>
          <w:rFonts w:ascii="Times New Roman" w:hAnsi="Times New Roman"/>
          <w:bCs/>
          <w:sz w:val="24"/>
          <w:szCs w:val="24"/>
        </w:rPr>
        <w:t>of individuals and firms</w:t>
      </w:r>
      <w:r w:rsidR="00980E51">
        <w:rPr>
          <w:rFonts w:ascii="Times New Roman" w:hAnsi="Times New Roman"/>
          <w:bCs/>
          <w:sz w:val="24"/>
          <w:szCs w:val="24"/>
        </w:rPr>
        <w:t xml:space="preserve"> </w:t>
      </w:r>
      <w:r w:rsidR="004D55AC" w:rsidRPr="00BA0E8D">
        <w:rPr>
          <w:rFonts w:ascii="Times New Roman" w:hAnsi="Times New Roman"/>
          <w:bCs/>
          <w:sz w:val="24"/>
          <w:szCs w:val="24"/>
        </w:rPr>
        <w:t xml:space="preserve">listed </w:t>
      </w:r>
      <w:r w:rsidR="0076224B">
        <w:rPr>
          <w:rFonts w:ascii="Times New Roman" w:hAnsi="Times New Roman"/>
          <w:bCs/>
          <w:sz w:val="24"/>
          <w:szCs w:val="24"/>
        </w:rPr>
        <w:t>in</w:t>
      </w:r>
      <w:r w:rsidR="0076224B" w:rsidRPr="00BA0E8D">
        <w:rPr>
          <w:rFonts w:ascii="Times New Roman" w:hAnsi="Times New Roman"/>
          <w:bCs/>
          <w:sz w:val="24"/>
          <w:szCs w:val="24"/>
        </w:rPr>
        <w:t xml:space="preserve"> </w:t>
      </w:r>
      <w:r w:rsidR="004D55AC" w:rsidRPr="00BA0E8D">
        <w:rPr>
          <w:rFonts w:ascii="Times New Roman" w:hAnsi="Times New Roman"/>
          <w:bCs/>
          <w:sz w:val="24"/>
          <w:szCs w:val="24"/>
        </w:rPr>
        <w:t xml:space="preserve">a private credit bureau </w:t>
      </w:r>
      <w:r w:rsidR="000221F5" w:rsidRPr="00BA0E8D">
        <w:rPr>
          <w:rFonts w:ascii="Times New Roman" w:hAnsi="Times New Roman"/>
          <w:bCs/>
          <w:sz w:val="24"/>
          <w:szCs w:val="24"/>
        </w:rPr>
        <w:t xml:space="preserve">concerning the </w:t>
      </w:r>
      <w:r w:rsidR="004D55AC" w:rsidRPr="00BA0E8D">
        <w:rPr>
          <w:rFonts w:ascii="Times New Roman" w:hAnsi="Times New Roman"/>
          <w:bCs/>
          <w:sz w:val="24"/>
          <w:szCs w:val="24"/>
        </w:rPr>
        <w:t xml:space="preserve">information on their borrowing history </w:t>
      </w:r>
      <w:r w:rsidR="00FD1368" w:rsidRPr="00BA0E8D">
        <w:rPr>
          <w:rFonts w:ascii="Times New Roman" w:hAnsi="Times New Roman"/>
          <w:bCs/>
          <w:sz w:val="24"/>
          <w:szCs w:val="24"/>
        </w:rPr>
        <w:t xml:space="preserve">for </w:t>
      </w:r>
      <w:r w:rsidR="004D55AC" w:rsidRPr="00BA0E8D">
        <w:rPr>
          <w:rFonts w:ascii="Times New Roman" w:hAnsi="Times New Roman"/>
          <w:bCs/>
          <w:sz w:val="24"/>
          <w:szCs w:val="24"/>
        </w:rPr>
        <w:t xml:space="preserve">the past </w:t>
      </w:r>
      <w:r w:rsidR="000F7B31">
        <w:rPr>
          <w:rFonts w:ascii="Times New Roman" w:hAnsi="Times New Roman"/>
          <w:bCs/>
          <w:sz w:val="24"/>
          <w:szCs w:val="24"/>
        </w:rPr>
        <w:t>five</w:t>
      </w:r>
      <w:r w:rsidR="000F7B31" w:rsidRPr="00BA0E8D">
        <w:rPr>
          <w:rFonts w:ascii="Times New Roman" w:hAnsi="Times New Roman"/>
          <w:bCs/>
          <w:sz w:val="24"/>
          <w:szCs w:val="24"/>
        </w:rPr>
        <w:t xml:space="preserve"> </w:t>
      </w:r>
      <w:r w:rsidR="004D55AC" w:rsidRPr="00BA0E8D">
        <w:rPr>
          <w:rFonts w:ascii="Times New Roman" w:hAnsi="Times New Roman"/>
          <w:bCs/>
          <w:sz w:val="24"/>
          <w:szCs w:val="24"/>
        </w:rPr>
        <w:t>years</w:t>
      </w:r>
      <w:r w:rsidR="00980E51">
        <w:rPr>
          <w:rFonts w:ascii="Times New Roman" w:hAnsi="Times New Roman"/>
          <w:bCs/>
          <w:sz w:val="24"/>
          <w:szCs w:val="24"/>
        </w:rPr>
        <w:t>, expressed as a percentage of the adult population</w:t>
      </w:r>
      <w:r w:rsidR="004D55AC" w:rsidRPr="00BA0E8D">
        <w:rPr>
          <w:rFonts w:ascii="sans-serif!important" w:hAnsi="sans-serif!important"/>
          <w:b/>
          <w:bCs/>
        </w:rPr>
        <w:t>.</w:t>
      </w:r>
      <w:r w:rsidR="00611F87">
        <w:rPr>
          <w:rFonts w:ascii="sans-serif!important" w:hAnsi="sans-serif!important"/>
          <w:b/>
          <w:bCs/>
        </w:rPr>
        <w:t xml:space="preserve"> </w:t>
      </w:r>
    </w:p>
    <w:p w14:paraId="454207F1" w14:textId="05F7A206" w:rsidR="00BA5E76" w:rsidRPr="00BA0E8D" w:rsidRDefault="004D42DC" w:rsidP="00444D9D">
      <w:pPr>
        <w:spacing w:before="240" w:after="240" w:line="360" w:lineRule="auto"/>
        <w:jc w:val="both"/>
        <w:rPr>
          <w:rFonts w:ascii="Times New Roman" w:hAnsi="Times New Roman"/>
          <w:b/>
          <w:color w:val="000000"/>
          <w:sz w:val="24"/>
          <w:szCs w:val="24"/>
        </w:rPr>
      </w:pPr>
      <w:r w:rsidRPr="00BA0E8D">
        <w:rPr>
          <w:rFonts w:ascii="Times New Roman" w:hAnsi="Times New Roman"/>
          <w:color w:val="000000"/>
          <w:sz w:val="24"/>
          <w:szCs w:val="24"/>
        </w:rPr>
        <w:t>Following</w:t>
      </w:r>
      <w:r w:rsidR="00F63CF5" w:rsidRPr="00BA0E8D">
        <w:rPr>
          <w:rFonts w:ascii="Times New Roman" w:hAnsi="Times New Roman"/>
          <w:color w:val="000000"/>
          <w:sz w:val="24"/>
          <w:szCs w:val="24"/>
        </w:rPr>
        <w:t xml:space="preserve"> </w:t>
      </w:r>
      <w:r w:rsidR="00ED71C6" w:rsidRPr="00BA0E8D">
        <w:rPr>
          <w:rFonts w:ascii="Times New Roman" w:hAnsi="Times New Roman"/>
          <w:color w:val="000000"/>
          <w:sz w:val="24"/>
          <w:szCs w:val="24"/>
        </w:rPr>
        <w:t xml:space="preserve">other scholarly works </w:t>
      </w:r>
      <w:r w:rsidR="00F63CF5" w:rsidRPr="00BA0E8D">
        <w:rPr>
          <w:rFonts w:ascii="Times New Roman" w:hAnsi="Times New Roman"/>
          <w:color w:val="000000"/>
          <w:sz w:val="24"/>
          <w:szCs w:val="24"/>
        </w:rPr>
        <w:t>(e.g.</w:t>
      </w:r>
      <w:r w:rsidR="008F2CDB">
        <w:rPr>
          <w:rFonts w:ascii="Times New Roman" w:hAnsi="Times New Roman"/>
          <w:color w:val="000000"/>
          <w:sz w:val="24"/>
          <w:szCs w:val="24"/>
        </w:rPr>
        <w:t>,</w:t>
      </w:r>
      <w:r w:rsidR="000E6640" w:rsidRPr="00BA0E8D">
        <w:rPr>
          <w:rFonts w:ascii="Times New Roman" w:hAnsi="Times New Roman"/>
          <w:color w:val="000000"/>
          <w:sz w:val="24"/>
          <w:szCs w:val="24"/>
        </w:rPr>
        <w:t xml:space="preserve"> </w:t>
      </w:r>
      <w:r w:rsidR="000E6640" w:rsidRPr="00BA0E8D">
        <w:rPr>
          <w:rFonts w:ascii="Times New Roman" w:hAnsi="Times New Roman"/>
          <w:color w:val="000000"/>
          <w:sz w:val="24"/>
          <w:szCs w:val="24"/>
          <w:shd w:val="clear" w:color="auto" w:fill="FFFFFF"/>
        </w:rPr>
        <w:t>Valverde and Fernández, 2007;</w:t>
      </w:r>
      <w:r w:rsidR="00ED71C6" w:rsidRPr="00BA0E8D">
        <w:rPr>
          <w:rFonts w:ascii="Times New Roman" w:hAnsi="Times New Roman"/>
          <w:color w:val="000000"/>
          <w:sz w:val="24"/>
          <w:szCs w:val="24"/>
        </w:rPr>
        <w:t xml:space="preserve"> </w:t>
      </w:r>
      <w:proofErr w:type="spellStart"/>
      <w:r w:rsidR="00ED71C6" w:rsidRPr="00BA0E8D">
        <w:rPr>
          <w:rFonts w:ascii="Times New Roman" w:hAnsi="Times New Roman"/>
          <w:color w:val="222222"/>
          <w:sz w:val="24"/>
          <w:szCs w:val="24"/>
        </w:rPr>
        <w:t>Aydemir</w:t>
      </w:r>
      <w:proofErr w:type="spellEnd"/>
      <w:r w:rsidR="00ED71C6" w:rsidRPr="00BA0E8D">
        <w:rPr>
          <w:rFonts w:ascii="Times New Roman" w:hAnsi="Times New Roman"/>
          <w:color w:val="222222"/>
          <w:sz w:val="24"/>
          <w:szCs w:val="24"/>
        </w:rPr>
        <w:t xml:space="preserve"> </w:t>
      </w:r>
      <w:r w:rsidR="00803E50" w:rsidRPr="00BA0E8D">
        <w:rPr>
          <w:rFonts w:ascii="Times New Roman" w:hAnsi="Times New Roman"/>
          <w:color w:val="222222"/>
          <w:sz w:val="24"/>
          <w:szCs w:val="24"/>
        </w:rPr>
        <w:t xml:space="preserve">and </w:t>
      </w:r>
      <w:proofErr w:type="spellStart"/>
      <w:r w:rsidR="00ED71C6" w:rsidRPr="00BA0E8D">
        <w:rPr>
          <w:rFonts w:ascii="Times New Roman" w:hAnsi="Times New Roman"/>
          <w:color w:val="222222"/>
          <w:sz w:val="24"/>
          <w:szCs w:val="24"/>
        </w:rPr>
        <w:t>Guloglu</w:t>
      </w:r>
      <w:proofErr w:type="spellEnd"/>
      <w:r w:rsidR="00ED71C6" w:rsidRPr="00BA0E8D">
        <w:rPr>
          <w:rFonts w:ascii="Times New Roman" w:hAnsi="Times New Roman"/>
          <w:color w:val="222222"/>
          <w:sz w:val="24"/>
          <w:szCs w:val="24"/>
        </w:rPr>
        <w:t xml:space="preserve"> 2016</w:t>
      </w:r>
      <w:r w:rsidR="00F63CF5" w:rsidRPr="00BA0E8D">
        <w:rPr>
          <w:rFonts w:ascii="Times New Roman" w:hAnsi="Times New Roman"/>
          <w:color w:val="000000"/>
          <w:sz w:val="24"/>
          <w:szCs w:val="24"/>
          <w:shd w:val="clear" w:color="auto" w:fill="FFFFFF"/>
        </w:rPr>
        <w:t>)</w:t>
      </w:r>
      <w:r w:rsidR="002664F1" w:rsidRPr="00BA0E8D">
        <w:rPr>
          <w:rFonts w:ascii="Times New Roman" w:hAnsi="Times New Roman"/>
          <w:color w:val="000000"/>
          <w:sz w:val="24"/>
          <w:szCs w:val="24"/>
          <w:shd w:val="clear" w:color="auto" w:fill="FFFFFF"/>
        </w:rPr>
        <w:t>,</w:t>
      </w:r>
      <w:r w:rsidRPr="00BA0E8D">
        <w:rPr>
          <w:rFonts w:ascii="Times New Roman" w:hAnsi="Times New Roman"/>
          <w:color w:val="000000"/>
          <w:sz w:val="24"/>
          <w:szCs w:val="24"/>
        </w:rPr>
        <w:t xml:space="preserve"> o</w:t>
      </w:r>
      <w:r w:rsidR="001D2651" w:rsidRPr="00BA0E8D">
        <w:rPr>
          <w:rFonts w:ascii="Times New Roman" w:hAnsi="Times New Roman"/>
          <w:color w:val="000000"/>
          <w:sz w:val="24"/>
          <w:szCs w:val="24"/>
        </w:rPr>
        <w:t xml:space="preserve">ur </w:t>
      </w:r>
      <w:r w:rsidR="002664F1" w:rsidRPr="00BA0E8D">
        <w:rPr>
          <w:rFonts w:ascii="Times New Roman" w:hAnsi="Times New Roman"/>
          <w:color w:val="000000"/>
          <w:sz w:val="24"/>
          <w:szCs w:val="24"/>
        </w:rPr>
        <w:t xml:space="preserve">study </w:t>
      </w:r>
      <w:r w:rsidR="001D2651" w:rsidRPr="00BA0E8D">
        <w:rPr>
          <w:rFonts w:ascii="Times New Roman" w:hAnsi="Times New Roman"/>
          <w:color w:val="000000"/>
          <w:sz w:val="24"/>
          <w:szCs w:val="24"/>
        </w:rPr>
        <w:t>util</w:t>
      </w:r>
      <w:r w:rsidR="00611F87">
        <w:rPr>
          <w:rFonts w:ascii="Times New Roman" w:hAnsi="Times New Roman"/>
          <w:color w:val="000000"/>
          <w:sz w:val="24"/>
          <w:szCs w:val="24"/>
        </w:rPr>
        <w:t>ise</w:t>
      </w:r>
      <w:r w:rsidR="001D2651" w:rsidRPr="00BA0E8D">
        <w:rPr>
          <w:rFonts w:ascii="Times New Roman" w:hAnsi="Times New Roman"/>
          <w:color w:val="000000"/>
          <w:sz w:val="24"/>
          <w:szCs w:val="24"/>
        </w:rPr>
        <w:t xml:space="preserve">s </w:t>
      </w:r>
      <w:r w:rsidRPr="00BA0E8D">
        <w:rPr>
          <w:rFonts w:ascii="Times New Roman" w:eastAsia="AdvEPSTIM" w:hAnsi="Times New Roman"/>
          <w:sz w:val="24"/>
          <w:szCs w:val="24"/>
          <w:lang w:eastAsia="en-GB"/>
        </w:rPr>
        <w:t>the</w:t>
      </w:r>
      <w:r w:rsidR="00AE242E" w:rsidRPr="00BA0E8D">
        <w:rPr>
          <w:rFonts w:ascii="Times New Roman" w:eastAsia="AdvEPSTIM" w:hAnsi="Times New Roman"/>
          <w:sz w:val="24"/>
          <w:szCs w:val="24"/>
          <w:lang w:eastAsia="en-GB"/>
        </w:rPr>
        <w:t xml:space="preserve"> difference between</w:t>
      </w:r>
      <w:r w:rsidRPr="00BA0E8D">
        <w:rPr>
          <w:rFonts w:ascii="Times New Roman" w:eastAsia="AdvEPSTIM" w:hAnsi="Times New Roman"/>
          <w:sz w:val="24"/>
          <w:szCs w:val="24"/>
          <w:lang w:eastAsia="en-GB"/>
        </w:rPr>
        <w:t xml:space="preserve"> loan</w:t>
      </w:r>
      <w:r w:rsidR="00AE242E" w:rsidRPr="00BA0E8D">
        <w:rPr>
          <w:rFonts w:ascii="Times New Roman" w:eastAsia="AdvEPSTIM" w:hAnsi="Times New Roman"/>
          <w:sz w:val="24"/>
          <w:szCs w:val="24"/>
          <w:lang w:eastAsia="en-GB"/>
        </w:rPr>
        <w:t xml:space="preserve"> rate and </w:t>
      </w:r>
      <w:r w:rsidRPr="00BA0E8D">
        <w:rPr>
          <w:rFonts w:ascii="Times New Roman" w:eastAsia="AdvEPSTIM" w:hAnsi="Times New Roman"/>
          <w:sz w:val="24"/>
          <w:szCs w:val="24"/>
          <w:lang w:eastAsia="en-GB"/>
        </w:rPr>
        <w:t>deposits rate</w:t>
      </w:r>
      <w:r w:rsidR="002664F1" w:rsidRPr="00BA0E8D">
        <w:rPr>
          <w:rFonts w:ascii="Times New Roman" w:eastAsia="AdvEPSTIM" w:hAnsi="Times New Roman"/>
          <w:sz w:val="24"/>
          <w:szCs w:val="24"/>
          <w:lang w:eastAsia="en-GB"/>
        </w:rPr>
        <w:t>, otherwise referred to as</w:t>
      </w:r>
      <w:r w:rsidRPr="00BA0E8D">
        <w:rPr>
          <w:rFonts w:ascii="Times New Roman" w:eastAsia="AdvEPSTIM" w:hAnsi="Times New Roman"/>
          <w:sz w:val="24"/>
          <w:szCs w:val="24"/>
          <w:lang w:eastAsia="en-GB"/>
        </w:rPr>
        <w:t xml:space="preserve"> spread</w:t>
      </w:r>
      <w:r w:rsidR="00AE242E" w:rsidRPr="00BA0E8D">
        <w:rPr>
          <w:rFonts w:ascii="Times New Roman" w:eastAsia="AdvEPSTIM" w:hAnsi="Times New Roman"/>
          <w:sz w:val="24"/>
          <w:szCs w:val="24"/>
          <w:lang w:eastAsia="en-GB"/>
        </w:rPr>
        <w:t>,</w:t>
      </w:r>
      <w:r w:rsidR="001D2651" w:rsidRPr="00BA0E8D">
        <w:rPr>
          <w:rFonts w:ascii="Times New Roman" w:hAnsi="Times New Roman"/>
          <w:color w:val="000000"/>
          <w:sz w:val="24"/>
          <w:szCs w:val="24"/>
        </w:rPr>
        <w:t xml:space="preserve"> as a measure of </w:t>
      </w:r>
      <w:r w:rsidRPr="00BA0E8D">
        <w:rPr>
          <w:rFonts w:ascii="Times New Roman" w:hAnsi="Times New Roman"/>
          <w:color w:val="000000"/>
          <w:sz w:val="24"/>
          <w:szCs w:val="24"/>
        </w:rPr>
        <w:t>credit intermediation cost.</w:t>
      </w:r>
    </w:p>
    <w:p w14:paraId="23C40616" w14:textId="77777777" w:rsidR="009A47AB" w:rsidRPr="00BA0E8D" w:rsidRDefault="009A47AB" w:rsidP="00444D9D">
      <w:pPr>
        <w:spacing w:before="240" w:after="240" w:line="360" w:lineRule="auto"/>
        <w:jc w:val="both"/>
        <w:rPr>
          <w:rFonts w:ascii="Times New Roman" w:hAnsi="Times New Roman"/>
          <w:color w:val="000000"/>
          <w:sz w:val="24"/>
          <w:szCs w:val="24"/>
        </w:rPr>
      </w:pPr>
    </w:p>
    <w:p w14:paraId="322A442C" w14:textId="4478BE76" w:rsidR="00B95328" w:rsidRPr="00BA0E8D" w:rsidRDefault="00495FED" w:rsidP="00444D9D">
      <w:pPr>
        <w:spacing w:before="240" w:after="240" w:line="360" w:lineRule="auto"/>
        <w:jc w:val="both"/>
        <w:rPr>
          <w:rFonts w:ascii="Times New Roman" w:hAnsi="Times New Roman"/>
          <w:b/>
          <w:color w:val="000000"/>
          <w:sz w:val="24"/>
          <w:szCs w:val="24"/>
        </w:rPr>
      </w:pPr>
      <w:r>
        <w:rPr>
          <w:rFonts w:ascii="Times New Roman" w:hAnsi="Times New Roman"/>
          <w:b/>
          <w:color w:val="000000"/>
          <w:sz w:val="24"/>
          <w:szCs w:val="24"/>
        </w:rPr>
        <w:t>4</w:t>
      </w:r>
      <w:r w:rsidR="00B95328" w:rsidRPr="00BA0E8D">
        <w:rPr>
          <w:rFonts w:ascii="Times New Roman" w:hAnsi="Times New Roman"/>
          <w:b/>
          <w:color w:val="000000"/>
          <w:sz w:val="24"/>
          <w:szCs w:val="24"/>
        </w:rPr>
        <w:t>.2.</w:t>
      </w:r>
      <w:r w:rsidR="00466856" w:rsidRPr="00BA0E8D">
        <w:rPr>
          <w:rFonts w:ascii="Times New Roman" w:hAnsi="Times New Roman"/>
          <w:b/>
          <w:color w:val="000000"/>
          <w:sz w:val="24"/>
          <w:szCs w:val="24"/>
        </w:rPr>
        <w:t>2</w:t>
      </w:r>
      <w:r w:rsidR="00533B14" w:rsidRPr="00BA0E8D">
        <w:rPr>
          <w:rFonts w:ascii="Times New Roman" w:hAnsi="Times New Roman"/>
          <w:b/>
          <w:color w:val="000000"/>
          <w:sz w:val="24"/>
          <w:szCs w:val="24"/>
        </w:rPr>
        <w:t>. Concentration</w:t>
      </w:r>
    </w:p>
    <w:p w14:paraId="1A861F15" w14:textId="080F795B" w:rsidR="00533B14" w:rsidRPr="00BA0E8D" w:rsidRDefault="00C856E0" w:rsidP="004B3A7C">
      <w:pPr>
        <w:autoSpaceDE w:val="0"/>
        <w:autoSpaceDN w:val="0"/>
        <w:adjustRightInd w:val="0"/>
        <w:spacing w:after="0" w:line="360" w:lineRule="auto"/>
        <w:jc w:val="both"/>
        <w:rPr>
          <w:rFonts w:ascii="Times New Roman" w:hAnsi="Times New Roman"/>
          <w:sz w:val="24"/>
          <w:szCs w:val="24"/>
          <w:lang w:eastAsia="en-GB"/>
        </w:rPr>
      </w:pPr>
      <w:r w:rsidRPr="00BA0E8D">
        <w:rPr>
          <w:rFonts w:ascii="Times New Roman" w:hAnsi="Times New Roman"/>
          <w:color w:val="000000"/>
          <w:sz w:val="24"/>
          <w:szCs w:val="24"/>
        </w:rPr>
        <w:t>In the light of extant literature (e.g.</w:t>
      </w:r>
      <w:r w:rsidR="00980E51">
        <w:rPr>
          <w:rFonts w:ascii="Times New Roman" w:hAnsi="Times New Roman"/>
          <w:color w:val="000000"/>
          <w:sz w:val="24"/>
          <w:szCs w:val="24"/>
        </w:rPr>
        <w:t xml:space="preserve">, </w:t>
      </w:r>
      <w:r w:rsidR="00980E51" w:rsidRPr="00BA0E8D">
        <w:rPr>
          <w:rFonts w:ascii="Times New Roman" w:hAnsi="Times New Roman"/>
          <w:color w:val="000000"/>
          <w:sz w:val="24"/>
          <w:szCs w:val="24"/>
          <w:lang w:eastAsia="en-GB"/>
        </w:rPr>
        <w:t>Beck et al., 2006</w:t>
      </w:r>
      <w:r w:rsidR="00980E51">
        <w:rPr>
          <w:rFonts w:ascii="Times New Roman" w:hAnsi="Times New Roman"/>
          <w:color w:val="000000"/>
          <w:sz w:val="24"/>
          <w:szCs w:val="24"/>
          <w:lang w:eastAsia="en-GB"/>
        </w:rPr>
        <w:t>;</w:t>
      </w:r>
      <w:r w:rsidRPr="00BA0E8D">
        <w:rPr>
          <w:rFonts w:ascii="Times New Roman" w:hAnsi="Times New Roman"/>
          <w:color w:val="000000"/>
          <w:sz w:val="24"/>
          <w:szCs w:val="24"/>
        </w:rPr>
        <w:t xml:space="preserve"> Fosu, 2014</w:t>
      </w:r>
      <w:r w:rsidR="00141D75">
        <w:rPr>
          <w:rFonts w:ascii="Times New Roman" w:hAnsi="Times New Roman"/>
          <w:color w:val="000000"/>
          <w:sz w:val="24"/>
          <w:szCs w:val="24"/>
        </w:rPr>
        <w:t>; Dietrich, 2016</w:t>
      </w:r>
      <w:r w:rsidRPr="00BA0E8D">
        <w:rPr>
          <w:rFonts w:ascii="Times New Roman" w:hAnsi="Times New Roman"/>
          <w:color w:val="000000"/>
          <w:sz w:val="24"/>
          <w:szCs w:val="24"/>
        </w:rPr>
        <w:t>)</w:t>
      </w:r>
      <w:r w:rsidR="00FC3795" w:rsidRPr="00BA0E8D">
        <w:rPr>
          <w:rFonts w:ascii="Times New Roman" w:hAnsi="Times New Roman"/>
          <w:color w:val="000000"/>
          <w:sz w:val="24"/>
          <w:szCs w:val="24"/>
        </w:rPr>
        <w:t>,</w:t>
      </w:r>
      <w:r w:rsidRPr="00BA0E8D">
        <w:rPr>
          <w:rFonts w:ascii="Times New Roman" w:hAnsi="Times New Roman"/>
          <w:color w:val="000000"/>
          <w:sz w:val="24"/>
          <w:szCs w:val="24"/>
        </w:rPr>
        <w:t xml:space="preserve"> we measure banking market concentration by using the three-bank concentration ratio defined as the share of assets of the largest three banks as a percentage of the entire banking assets.</w:t>
      </w:r>
      <w:r w:rsidR="00A93C71" w:rsidRPr="00BA0E8D">
        <w:rPr>
          <w:rFonts w:ascii="Times New Roman" w:hAnsi="Times New Roman"/>
          <w:color w:val="000000"/>
          <w:sz w:val="24"/>
          <w:szCs w:val="24"/>
        </w:rPr>
        <w:t xml:space="preserve"> The choice of this measure as against other alternative measures (e.g.</w:t>
      </w:r>
      <w:r w:rsidR="008F2CDB">
        <w:rPr>
          <w:rFonts w:ascii="Times New Roman" w:hAnsi="Times New Roman"/>
          <w:color w:val="000000"/>
          <w:sz w:val="24"/>
          <w:szCs w:val="24"/>
        </w:rPr>
        <w:t>,</w:t>
      </w:r>
      <w:r w:rsidR="005E01C0" w:rsidRPr="00BA0E8D">
        <w:rPr>
          <w:rFonts w:ascii="Times New Roman" w:hAnsi="Times New Roman"/>
          <w:sz w:val="24"/>
          <w:szCs w:val="24"/>
          <w:lang w:eastAsia="en-GB"/>
        </w:rPr>
        <w:t xml:space="preserve"> the Herfindahl–Hirschman Index and five-bank concentration</w:t>
      </w:r>
      <w:r w:rsidR="00A93C71" w:rsidRPr="00BA0E8D">
        <w:rPr>
          <w:rFonts w:ascii="Times New Roman" w:hAnsi="Times New Roman"/>
          <w:color w:val="000000"/>
          <w:sz w:val="24"/>
          <w:szCs w:val="24"/>
        </w:rPr>
        <w:t xml:space="preserve">) is due to </w:t>
      </w:r>
      <w:r w:rsidR="005E01C0" w:rsidRPr="00BA0E8D">
        <w:rPr>
          <w:rFonts w:ascii="Times New Roman" w:hAnsi="Times New Roman"/>
          <w:color w:val="000000"/>
          <w:sz w:val="24"/>
          <w:szCs w:val="24"/>
        </w:rPr>
        <w:t xml:space="preserve">the fact that the sample size changes over the sample period and this could lead to a </w:t>
      </w:r>
      <w:r w:rsidR="005E01C0" w:rsidRPr="00980E51">
        <w:rPr>
          <w:rFonts w:ascii="Times New Roman" w:hAnsi="Times New Roman"/>
          <w:color w:val="000000"/>
          <w:sz w:val="24"/>
          <w:szCs w:val="24"/>
        </w:rPr>
        <w:t xml:space="preserve">measurement </w:t>
      </w:r>
      <w:r w:rsidR="00A12F29">
        <w:rPr>
          <w:rFonts w:ascii="Times New Roman" w:hAnsi="Times New Roman"/>
          <w:color w:val="000000"/>
          <w:sz w:val="24"/>
          <w:szCs w:val="24"/>
        </w:rPr>
        <w:t xml:space="preserve"> error </w:t>
      </w:r>
      <w:r w:rsidR="00980E51" w:rsidRPr="00980E51">
        <w:rPr>
          <w:rFonts w:ascii="Times New Roman" w:hAnsi="Times New Roman"/>
          <w:sz w:val="24"/>
          <w:szCs w:val="24"/>
        </w:rPr>
        <w:t>if we utilised more than the top three banks</w:t>
      </w:r>
      <w:r w:rsidR="00980E51" w:rsidRPr="00BA0E8D" w:rsidDel="00980E51">
        <w:rPr>
          <w:rFonts w:ascii="Times New Roman" w:hAnsi="Times New Roman"/>
          <w:color w:val="000000"/>
          <w:sz w:val="24"/>
          <w:szCs w:val="24"/>
        </w:rPr>
        <w:t xml:space="preserve"> </w:t>
      </w:r>
      <w:r w:rsidR="005E01C0" w:rsidRPr="00BA0E8D">
        <w:rPr>
          <w:rFonts w:ascii="Times New Roman" w:hAnsi="Times New Roman"/>
          <w:color w:val="000000"/>
          <w:sz w:val="24"/>
          <w:szCs w:val="24"/>
        </w:rPr>
        <w:t>(</w:t>
      </w:r>
      <w:r w:rsidR="00980E51">
        <w:rPr>
          <w:rFonts w:ascii="Times New Roman" w:hAnsi="Times New Roman"/>
          <w:color w:val="000000"/>
          <w:sz w:val="24"/>
          <w:szCs w:val="24"/>
        </w:rPr>
        <w:t>see</w:t>
      </w:r>
      <w:r w:rsidR="005E01C0" w:rsidRPr="00BA0E8D">
        <w:rPr>
          <w:rFonts w:ascii="Times New Roman" w:hAnsi="Times New Roman"/>
          <w:color w:val="000000"/>
          <w:sz w:val="24"/>
          <w:szCs w:val="24"/>
        </w:rPr>
        <w:t xml:space="preserve"> </w:t>
      </w:r>
      <w:r w:rsidR="005E01C0" w:rsidRPr="00BA0E8D">
        <w:rPr>
          <w:rFonts w:ascii="Times New Roman" w:hAnsi="Times New Roman"/>
          <w:color w:val="000000"/>
          <w:sz w:val="24"/>
          <w:szCs w:val="24"/>
          <w:lang w:eastAsia="en-GB"/>
        </w:rPr>
        <w:t>Beck</w:t>
      </w:r>
      <w:r w:rsidR="005D2849" w:rsidRPr="00BA0E8D">
        <w:rPr>
          <w:rFonts w:ascii="Times New Roman" w:hAnsi="Times New Roman"/>
          <w:color w:val="000000"/>
          <w:sz w:val="24"/>
          <w:szCs w:val="24"/>
          <w:lang w:eastAsia="en-GB"/>
        </w:rPr>
        <w:t xml:space="preserve"> et al.</w:t>
      </w:r>
      <w:r w:rsidR="005E01C0" w:rsidRPr="00BA0E8D">
        <w:rPr>
          <w:rFonts w:ascii="Times New Roman" w:hAnsi="Times New Roman"/>
          <w:color w:val="000000"/>
          <w:sz w:val="24"/>
          <w:szCs w:val="24"/>
          <w:lang w:eastAsia="en-GB"/>
        </w:rPr>
        <w:t>, 2006)</w:t>
      </w:r>
      <w:r w:rsidR="005E01C0" w:rsidRPr="00BA0E8D">
        <w:rPr>
          <w:rFonts w:ascii="Times New Roman" w:hAnsi="Times New Roman"/>
          <w:color w:val="000000"/>
          <w:sz w:val="24"/>
          <w:szCs w:val="24"/>
        </w:rPr>
        <w:t>.</w:t>
      </w:r>
    </w:p>
    <w:p w14:paraId="7D77E013" w14:textId="77777777" w:rsidR="008D0966" w:rsidRPr="00BA0E8D" w:rsidRDefault="008D0966" w:rsidP="00444D9D">
      <w:pPr>
        <w:spacing w:before="240" w:after="240" w:line="360" w:lineRule="auto"/>
        <w:jc w:val="both"/>
        <w:rPr>
          <w:rFonts w:ascii="Times New Roman" w:hAnsi="Times New Roman"/>
          <w:b/>
          <w:color w:val="000000"/>
          <w:sz w:val="24"/>
          <w:szCs w:val="24"/>
        </w:rPr>
      </w:pPr>
    </w:p>
    <w:p w14:paraId="45C0CC62" w14:textId="672F7D2C" w:rsidR="00533B14" w:rsidRPr="00BA0E8D" w:rsidRDefault="00495FED" w:rsidP="00444D9D">
      <w:pPr>
        <w:spacing w:before="240" w:after="24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4</w:t>
      </w:r>
      <w:r w:rsidR="00533B14" w:rsidRPr="00BA0E8D">
        <w:rPr>
          <w:rFonts w:ascii="Times New Roman" w:hAnsi="Times New Roman"/>
          <w:b/>
          <w:color w:val="000000"/>
          <w:sz w:val="24"/>
          <w:szCs w:val="24"/>
        </w:rPr>
        <w:t>.2.</w:t>
      </w:r>
      <w:r w:rsidR="00466856" w:rsidRPr="00BA0E8D">
        <w:rPr>
          <w:rFonts w:ascii="Times New Roman" w:hAnsi="Times New Roman"/>
          <w:b/>
          <w:color w:val="000000"/>
          <w:sz w:val="24"/>
          <w:szCs w:val="24"/>
        </w:rPr>
        <w:t>3</w:t>
      </w:r>
      <w:r w:rsidR="00533B14" w:rsidRPr="00BA0E8D">
        <w:rPr>
          <w:rFonts w:ascii="Times New Roman" w:hAnsi="Times New Roman"/>
          <w:b/>
          <w:color w:val="000000"/>
          <w:sz w:val="24"/>
          <w:szCs w:val="24"/>
        </w:rPr>
        <w:t xml:space="preserve">. Other </w:t>
      </w:r>
      <w:r w:rsidR="005B765A" w:rsidRPr="00BA0E8D">
        <w:rPr>
          <w:rFonts w:ascii="Times New Roman" w:hAnsi="Times New Roman"/>
          <w:b/>
          <w:color w:val="000000"/>
          <w:sz w:val="24"/>
          <w:szCs w:val="24"/>
        </w:rPr>
        <w:t>bank</w:t>
      </w:r>
      <w:r w:rsidR="000F7B31">
        <w:rPr>
          <w:rFonts w:ascii="Times New Roman" w:hAnsi="Times New Roman"/>
          <w:b/>
          <w:color w:val="000000"/>
          <w:sz w:val="24"/>
          <w:szCs w:val="24"/>
        </w:rPr>
        <w:t>-</w:t>
      </w:r>
      <w:r w:rsidR="00533B14" w:rsidRPr="00BA0E8D">
        <w:rPr>
          <w:rFonts w:ascii="Times New Roman" w:hAnsi="Times New Roman"/>
          <w:b/>
          <w:color w:val="000000"/>
          <w:sz w:val="24"/>
          <w:szCs w:val="24"/>
        </w:rPr>
        <w:t xml:space="preserve">specific </w:t>
      </w:r>
      <w:r w:rsidR="005B765A" w:rsidRPr="00BA0E8D">
        <w:rPr>
          <w:rFonts w:ascii="Times New Roman" w:hAnsi="Times New Roman"/>
          <w:b/>
          <w:color w:val="000000"/>
          <w:sz w:val="24"/>
          <w:szCs w:val="24"/>
        </w:rPr>
        <w:t>f</w:t>
      </w:r>
      <w:r w:rsidR="00533B14" w:rsidRPr="00BA0E8D">
        <w:rPr>
          <w:rFonts w:ascii="Times New Roman" w:hAnsi="Times New Roman"/>
          <w:b/>
          <w:color w:val="000000"/>
          <w:sz w:val="24"/>
          <w:szCs w:val="24"/>
        </w:rPr>
        <w:t>actors</w:t>
      </w:r>
    </w:p>
    <w:p w14:paraId="106D9E7A" w14:textId="54AF3BE0" w:rsidR="00E903BF" w:rsidRPr="00BA0E8D" w:rsidRDefault="0092511C" w:rsidP="00444D9D">
      <w:pPr>
        <w:spacing w:before="240" w:after="240" w:line="360" w:lineRule="auto"/>
        <w:jc w:val="both"/>
        <w:rPr>
          <w:rFonts w:ascii="Times New Roman" w:hAnsi="Times New Roman"/>
          <w:color w:val="000000"/>
          <w:sz w:val="24"/>
          <w:szCs w:val="24"/>
        </w:rPr>
      </w:pPr>
      <w:r w:rsidRPr="00BA0E8D">
        <w:rPr>
          <w:rFonts w:ascii="Times New Roman" w:hAnsi="Times New Roman"/>
          <w:color w:val="000000"/>
          <w:sz w:val="24"/>
          <w:szCs w:val="24"/>
        </w:rPr>
        <w:t>The econometric models we specify in</w:t>
      </w:r>
      <w:r w:rsidR="004052D5" w:rsidRPr="00BA0E8D">
        <w:rPr>
          <w:rFonts w:ascii="Times New Roman" w:hAnsi="Times New Roman"/>
          <w:color w:val="000000"/>
          <w:sz w:val="24"/>
          <w:szCs w:val="24"/>
        </w:rPr>
        <w:t xml:space="preserve"> our study also account for other bank</w:t>
      </w:r>
      <w:r w:rsidR="000F7B31">
        <w:rPr>
          <w:rFonts w:ascii="Times New Roman" w:hAnsi="Times New Roman"/>
          <w:color w:val="000000"/>
          <w:sz w:val="24"/>
          <w:szCs w:val="24"/>
        </w:rPr>
        <w:t>-</w:t>
      </w:r>
      <w:r w:rsidR="004052D5" w:rsidRPr="00BA0E8D">
        <w:rPr>
          <w:rFonts w:ascii="Times New Roman" w:hAnsi="Times New Roman"/>
          <w:color w:val="000000"/>
          <w:sz w:val="24"/>
          <w:szCs w:val="24"/>
        </w:rPr>
        <w:t xml:space="preserve">specific variables. These include size, </w:t>
      </w:r>
      <w:r w:rsidR="004052D5" w:rsidRPr="00BA0E8D">
        <w:rPr>
          <w:rFonts w:ascii="Times New Roman" w:hAnsi="Times New Roman"/>
          <w:sz w:val="24"/>
          <w:szCs w:val="24"/>
        </w:rPr>
        <w:t>liquidity</w:t>
      </w:r>
      <w:r w:rsidR="00D073DA" w:rsidRPr="00BA0E8D">
        <w:rPr>
          <w:rFonts w:ascii="Times New Roman" w:hAnsi="Times New Roman"/>
          <w:sz w:val="24"/>
          <w:szCs w:val="24"/>
        </w:rPr>
        <w:t xml:space="preserve"> of bank assets</w:t>
      </w:r>
      <w:r w:rsidR="004052D5" w:rsidRPr="00BA0E8D">
        <w:rPr>
          <w:rFonts w:ascii="Times New Roman" w:hAnsi="Times New Roman"/>
          <w:sz w:val="24"/>
          <w:szCs w:val="24"/>
        </w:rPr>
        <w:t xml:space="preserve">, </w:t>
      </w:r>
      <w:r w:rsidR="007D7CE2" w:rsidRPr="00BA0E8D">
        <w:rPr>
          <w:rFonts w:ascii="Times New Roman" w:hAnsi="Times New Roman"/>
          <w:sz w:val="24"/>
          <w:szCs w:val="24"/>
        </w:rPr>
        <w:t xml:space="preserve">loan loss </w:t>
      </w:r>
      <w:r w:rsidR="00205FE4" w:rsidRPr="00BA0E8D">
        <w:rPr>
          <w:rFonts w:ascii="Times New Roman" w:hAnsi="Times New Roman"/>
          <w:sz w:val="24"/>
          <w:szCs w:val="24"/>
        </w:rPr>
        <w:t>provision</w:t>
      </w:r>
      <w:r w:rsidR="00EA1284" w:rsidRPr="00BA0E8D">
        <w:rPr>
          <w:rFonts w:ascii="Times New Roman" w:hAnsi="Times New Roman"/>
          <w:sz w:val="24"/>
          <w:szCs w:val="24"/>
        </w:rPr>
        <w:t>s</w:t>
      </w:r>
      <w:r w:rsidR="00205FE4" w:rsidRPr="00BA0E8D">
        <w:rPr>
          <w:rFonts w:ascii="Times New Roman" w:hAnsi="Times New Roman"/>
          <w:sz w:val="24"/>
          <w:szCs w:val="24"/>
        </w:rPr>
        <w:t>, lending</w:t>
      </w:r>
      <w:r w:rsidR="000C1814" w:rsidRPr="00BA0E8D">
        <w:rPr>
          <w:rFonts w:ascii="Times New Roman" w:hAnsi="Times New Roman"/>
          <w:sz w:val="24"/>
          <w:szCs w:val="24"/>
        </w:rPr>
        <w:t xml:space="preserve"> special</w:t>
      </w:r>
      <w:r w:rsidR="00611F87">
        <w:rPr>
          <w:rFonts w:ascii="Times New Roman" w:hAnsi="Times New Roman"/>
          <w:sz w:val="24"/>
          <w:szCs w:val="24"/>
        </w:rPr>
        <w:t>isa</w:t>
      </w:r>
      <w:r w:rsidR="000C1814" w:rsidRPr="00BA0E8D">
        <w:rPr>
          <w:rFonts w:ascii="Times New Roman" w:hAnsi="Times New Roman"/>
          <w:sz w:val="24"/>
          <w:szCs w:val="24"/>
        </w:rPr>
        <w:t>tion</w:t>
      </w:r>
      <w:r w:rsidR="00205FE4" w:rsidRPr="00BA0E8D">
        <w:rPr>
          <w:rFonts w:ascii="Times New Roman" w:hAnsi="Times New Roman"/>
          <w:sz w:val="24"/>
          <w:szCs w:val="24"/>
        </w:rPr>
        <w:t xml:space="preserve">, deposit mix, </w:t>
      </w:r>
      <w:r w:rsidR="007951EA" w:rsidRPr="00BA0E8D">
        <w:rPr>
          <w:rFonts w:ascii="Times New Roman" w:hAnsi="Times New Roman"/>
          <w:sz w:val="24"/>
          <w:szCs w:val="24"/>
        </w:rPr>
        <w:t xml:space="preserve">bank </w:t>
      </w:r>
      <w:r w:rsidR="004052D5" w:rsidRPr="00BA0E8D">
        <w:rPr>
          <w:rFonts w:ascii="Times New Roman" w:hAnsi="Times New Roman"/>
          <w:sz w:val="24"/>
          <w:szCs w:val="24"/>
        </w:rPr>
        <w:t>equity, fee income</w:t>
      </w:r>
      <w:r w:rsidR="00205FE4" w:rsidRPr="00BA0E8D">
        <w:rPr>
          <w:rFonts w:ascii="Times New Roman" w:hAnsi="Times New Roman"/>
          <w:sz w:val="24"/>
          <w:szCs w:val="24"/>
        </w:rPr>
        <w:t xml:space="preserve"> and </w:t>
      </w:r>
      <w:r w:rsidR="00425BFC" w:rsidRPr="00BA0E8D">
        <w:rPr>
          <w:rFonts w:ascii="Times New Roman" w:hAnsi="Times New Roman"/>
          <w:sz w:val="24"/>
          <w:szCs w:val="24"/>
        </w:rPr>
        <w:t>in</w:t>
      </w:r>
      <w:r w:rsidR="00205FE4" w:rsidRPr="00BA0E8D">
        <w:rPr>
          <w:rFonts w:ascii="Times New Roman" w:hAnsi="Times New Roman"/>
          <w:sz w:val="24"/>
          <w:szCs w:val="24"/>
        </w:rPr>
        <w:t>efficiency.</w:t>
      </w:r>
      <w:r w:rsidR="001A0BC2" w:rsidRPr="00BA0E8D">
        <w:rPr>
          <w:rFonts w:ascii="Times New Roman" w:hAnsi="Times New Roman"/>
          <w:sz w:val="24"/>
          <w:szCs w:val="24"/>
        </w:rPr>
        <w:t xml:space="preserve"> </w:t>
      </w:r>
      <w:r w:rsidR="00E903BF" w:rsidRPr="00BA0E8D">
        <w:rPr>
          <w:rFonts w:ascii="Times New Roman" w:hAnsi="Times New Roman"/>
          <w:sz w:val="24"/>
          <w:szCs w:val="24"/>
        </w:rPr>
        <w:t>Bank size is defined as the logarithm of the total bank assets.</w:t>
      </w:r>
      <w:r w:rsidR="00A5466F" w:rsidRPr="00BA0E8D">
        <w:rPr>
          <w:rFonts w:ascii="Times New Roman" w:hAnsi="Times New Roman"/>
          <w:sz w:val="24"/>
          <w:szCs w:val="24"/>
        </w:rPr>
        <w:t xml:space="preserve"> Size may be</w:t>
      </w:r>
      <w:r w:rsidR="00A5466F" w:rsidRPr="00BA0E8D">
        <w:rPr>
          <w:rFonts w:ascii="Times New Roman" w:hAnsi="Times New Roman"/>
          <w:color w:val="000000"/>
          <w:sz w:val="24"/>
          <w:szCs w:val="24"/>
        </w:rPr>
        <w:t xml:space="preserve"> an important determinant of </w:t>
      </w:r>
      <w:r w:rsidR="008D0966">
        <w:rPr>
          <w:rFonts w:ascii="Times New Roman" w:hAnsi="Times New Roman"/>
          <w:color w:val="000000"/>
          <w:sz w:val="24"/>
          <w:szCs w:val="24"/>
        </w:rPr>
        <w:t>credit intermediation cost</w:t>
      </w:r>
      <w:r w:rsidR="00A5466F" w:rsidRPr="00BA0E8D">
        <w:rPr>
          <w:rFonts w:ascii="Times New Roman" w:hAnsi="Times New Roman"/>
          <w:color w:val="000000"/>
          <w:sz w:val="24"/>
          <w:szCs w:val="24"/>
        </w:rPr>
        <w:t xml:space="preserve"> </w:t>
      </w:r>
      <w:r w:rsidR="001156EE" w:rsidRPr="00BA0E8D">
        <w:rPr>
          <w:rFonts w:ascii="Times New Roman" w:hAnsi="Times New Roman"/>
          <w:color w:val="000000"/>
          <w:sz w:val="24"/>
          <w:szCs w:val="24"/>
        </w:rPr>
        <w:t>where there are increasing returns to scale in banking (</w:t>
      </w:r>
      <w:proofErr w:type="spellStart"/>
      <w:r w:rsidR="001156EE" w:rsidRPr="00BA0E8D">
        <w:rPr>
          <w:rFonts w:ascii="Times New Roman" w:hAnsi="Times New Roman"/>
          <w:color w:val="222222"/>
          <w:sz w:val="24"/>
          <w:szCs w:val="24"/>
        </w:rPr>
        <w:t>Demirgüç-Kunt</w:t>
      </w:r>
      <w:proofErr w:type="spellEnd"/>
      <w:r w:rsidR="001156EE" w:rsidRPr="00BA0E8D">
        <w:rPr>
          <w:rFonts w:ascii="Times New Roman" w:hAnsi="Times New Roman"/>
          <w:color w:val="222222"/>
          <w:sz w:val="24"/>
          <w:szCs w:val="24"/>
        </w:rPr>
        <w:t xml:space="preserve"> et al.</w:t>
      </w:r>
      <w:r w:rsidR="000F7B31">
        <w:rPr>
          <w:rFonts w:ascii="Times New Roman" w:hAnsi="Times New Roman"/>
          <w:color w:val="222222"/>
          <w:sz w:val="24"/>
          <w:szCs w:val="24"/>
        </w:rPr>
        <w:t>,</w:t>
      </w:r>
      <w:r w:rsidR="001156EE" w:rsidRPr="00BA0E8D">
        <w:rPr>
          <w:rFonts w:ascii="Times New Roman" w:hAnsi="Times New Roman"/>
          <w:color w:val="222222"/>
          <w:sz w:val="24"/>
          <w:szCs w:val="24"/>
        </w:rPr>
        <w:t xml:space="preserve"> 2003).</w:t>
      </w:r>
      <w:r w:rsidR="00E903BF" w:rsidRPr="00BA0E8D">
        <w:rPr>
          <w:rFonts w:ascii="Times New Roman" w:hAnsi="Times New Roman"/>
          <w:color w:val="000000"/>
          <w:sz w:val="24"/>
          <w:szCs w:val="24"/>
        </w:rPr>
        <w:t xml:space="preserve"> Also, liquidity is computed as the</w:t>
      </w:r>
      <w:r w:rsidR="008D0966">
        <w:rPr>
          <w:rFonts w:ascii="Times New Roman" w:hAnsi="Times New Roman"/>
          <w:color w:val="000000"/>
          <w:sz w:val="24"/>
          <w:szCs w:val="24"/>
        </w:rPr>
        <w:t xml:space="preserve"> percentage of</w:t>
      </w:r>
      <w:r w:rsidR="00E903BF" w:rsidRPr="00BA0E8D">
        <w:rPr>
          <w:rFonts w:ascii="Times New Roman" w:hAnsi="Times New Roman"/>
          <w:color w:val="000000"/>
          <w:sz w:val="24"/>
          <w:szCs w:val="24"/>
        </w:rPr>
        <w:t xml:space="preserve"> liquid assets </w:t>
      </w:r>
      <w:r w:rsidR="008D0966">
        <w:rPr>
          <w:rFonts w:ascii="Times New Roman" w:hAnsi="Times New Roman"/>
          <w:color w:val="000000"/>
          <w:sz w:val="24"/>
          <w:szCs w:val="24"/>
        </w:rPr>
        <w:t>to</w:t>
      </w:r>
      <w:r w:rsidR="00E903BF" w:rsidRPr="00BA0E8D">
        <w:rPr>
          <w:rFonts w:ascii="Times New Roman" w:hAnsi="Times New Roman"/>
          <w:color w:val="000000"/>
          <w:sz w:val="24"/>
          <w:szCs w:val="24"/>
        </w:rPr>
        <w:t xml:space="preserve"> total asset</w:t>
      </w:r>
      <w:r w:rsidR="00D073DA" w:rsidRPr="00BA0E8D">
        <w:rPr>
          <w:rFonts w:ascii="Times New Roman" w:hAnsi="Times New Roman"/>
          <w:color w:val="000000"/>
          <w:sz w:val="24"/>
          <w:szCs w:val="24"/>
        </w:rPr>
        <w:t>s</w:t>
      </w:r>
      <w:r w:rsidR="00EC67D6">
        <w:rPr>
          <w:rFonts w:ascii="Times New Roman" w:hAnsi="Times New Roman"/>
          <w:color w:val="000000"/>
          <w:sz w:val="24"/>
          <w:szCs w:val="24"/>
        </w:rPr>
        <w:t xml:space="preserve"> </w:t>
      </w:r>
      <w:r w:rsidR="00EC67D6" w:rsidRPr="00BA0E8D">
        <w:rPr>
          <w:rFonts w:ascii="Times New Roman" w:hAnsi="Times New Roman"/>
          <w:color w:val="000000"/>
          <w:sz w:val="24"/>
          <w:szCs w:val="24"/>
        </w:rPr>
        <w:t>of the bank</w:t>
      </w:r>
      <w:r w:rsidR="00D073DA" w:rsidRPr="00BA0E8D">
        <w:rPr>
          <w:rFonts w:ascii="Times New Roman" w:hAnsi="Times New Roman"/>
          <w:color w:val="000000"/>
          <w:sz w:val="24"/>
          <w:szCs w:val="24"/>
        </w:rPr>
        <w:t xml:space="preserve"> and this accounts for differences in bank assets. Empirical literature (e.g.</w:t>
      </w:r>
      <w:r w:rsidR="008F2CDB">
        <w:rPr>
          <w:rFonts w:ascii="Times New Roman" w:hAnsi="Times New Roman"/>
          <w:color w:val="000000"/>
          <w:sz w:val="24"/>
          <w:szCs w:val="24"/>
        </w:rPr>
        <w:t>,</w:t>
      </w:r>
      <w:r w:rsidR="00606F47" w:rsidRPr="00BA0E8D">
        <w:rPr>
          <w:rFonts w:ascii="Times New Roman" w:hAnsi="Times New Roman"/>
          <w:color w:val="000000"/>
          <w:sz w:val="24"/>
          <w:szCs w:val="24"/>
        </w:rPr>
        <w:t xml:space="preserve"> </w:t>
      </w:r>
      <w:proofErr w:type="spellStart"/>
      <w:r w:rsidR="00606F47" w:rsidRPr="00BA0E8D">
        <w:rPr>
          <w:rFonts w:ascii="Times New Roman" w:hAnsi="Times New Roman"/>
          <w:color w:val="222222"/>
          <w:sz w:val="24"/>
          <w:szCs w:val="24"/>
        </w:rPr>
        <w:t>Demirgüç-Kunt</w:t>
      </w:r>
      <w:proofErr w:type="spellEnd"/>
      <w:r w:rsidR="00606F47" w:rsidRPr="00BA0E8D">
        <w:rPr>
          <w:rFonts w:ascii="Times New Roman" w:hAnsi="Times New Roman"/>
          <w:color w:val="222222"/>
          <w:sz w:val="24"/>
          <w:szCs w:val="24"/>
        </w:rPr>
        <w:t xml:space="preserve"> et al.</w:t>
      </w:r>
      <w:r w:rsidR="000F7B31">
        <w:rPr>
          <w:rFonts w:ascii="Times New Roman" w:hAnsi="Times New Roman"/>
          <w:color w:val="222222"/>
          <w:sz w:val="24"/>
          <w:szCs w:val="24"/>
        </w:rPr>
        <w:t>,</w:t>
      </w:r>
      <w:r w:rsidR="00606F47" w:rsidRPr="00BA0E8D">
        <w:rPr>
          <w:rFonts w:ascii="Times New Roman" w:hAnsi="Times New Roman"/>
          <w:color w:val="222222"/>
          <w:sz w:val="24"/>
          <w:szCs w:val="24"/>
        </w:rPr>
        <w:t xml:space="preserve"> 2003</w:t>
      </w:r>
      <w:r w:rsidR="00464AF1" w:rsidRPr="00BA0E8D">
        <w:rPr>
          <w:rFonts w:ascii="Times New Roman" w:hAnsi="Times New Roman"/>
          <w:color w:val="222222"/>
          <w:sz w:val="24"/>
          <w:szCs w:val="24"/>
        </w:rPr>
        <w:t>)</w:t>
      </w:r>
      <w:r w:rsidR="00464AF1" w:rsidRPr="00BA0E8D">
        <w:rPr>
          <w:rFonts w:ascii="Times New Roman" w:hAnsi="Times New Roman"/>
          <w:color w:val="000000"/>
          <w:sz w:val="24"/>
          <w:szCs w:val="24"/>
        </w:rPr>
        <w:t xml:space="preserve"> argues</w:t>
      </w:r>
      <w:r w:rsidR="00D073DA" w:rsidRPr="00BA0E8D">
        <w:rPr>
          <w:rFonts w:ascii="Times New Roman" w:hAnsi="Times New Roman"/>
          <w:color w:val="000000"/>
          <w:sz w:val="24"/>
          <w:szCs w:val="24"/>
        </w:rPr>
        <w:t xml:space="preserve"> that banks that have </w:t>
      </w:r>
      <w:r w:rsidR="000F7B31">
        <w:rPr>
          <w:rFonts w:ascii="Times New Roman" w:hAnsi="Times New Roman"/>
          <w:color w:val="000000"/>
          <w:sz w:val="24"/>
          <w:szCs w:val="24"/>
        </w:rPr>
        <w:t xml:space="preserve">a </w:t>
      </w:r>
      <w:r w:rsidR="00D073DA" w:rsidRPr="00BA0E8D">
        <w:rPr>
          <w:rFonts w:ascii="Times New Roman" w:hAnsi="Times New Roman"/>
          <w:color w:val="000000"/>
          <w:sz w:val="24"/>
          <w:szCs w:val="24"/>
        </w:rPr>
        <w:t>high level of liquid assets in the form of cash and government securities may receive lower interest income than their counterparts</w:t>
      </w:r>
      <w:r w:rsidR="00464AF1" w:rsidRPr="00BA0E8D">
        <w:rPr>
          <w:rFonts w:ascii="Times New Roman" w:hAnsi="Times New Roman"/>
          <w:color w:val="000000"/>
          <w:sz w:val="24"/>
          <w:szCs w:val="24"/>
        </w:rPr>
        <w:t xml:space="preserve"> that</w:t>
      </w:r>
      <w:r w:rsidR="00205822" w:rsidRPr="00BA0E8D">
        <w:rPr>
          <w:rFonts w:ascii="Times New Roman" w:hAnsi="Times New Roman"/>
          <w:color w:val="000000"/>
          <w:sz w:val="24"/>
          <w:szCs w:val="24"/>
        </w:rPr>
        <w:t xml:space="preserve"> charge </w:t>
      </w:r>
      <w:r w:rsidR="000F7B31">
        <w:rPr>
          <w:rFonts w:ascii="Times New Roman" w:hAnsi="Times New Roman"/>
          <w:color w:val="000000"/>
          <w:sz w:val="24"/>
          <w:szCs w:val="24"/>
        </w:rPr>
        <w:t xml:space="preserve">a </w:t>
      </w:r>
      <w:r w:rsidR="00205822" w:rsidRPr="00BA0E8D">
        <w:rPr>
          <w:rFonts w:ascii="Times New Roman" w:hAnsi="Times New Roman"/>
          <w:color w:val="000000"/>
          <w:sz w:val="24"/>
          <w:szCs w:val="24"/>
        </w:rPr>
        <w:t xml:space="preserve">higher </w:t>
      </w:r>
      <w:r w:rsidR="00D073DA" w:rsidRPr="00BA0E8D">
        <w:rPr>
          <w:rFonts w:ascii="Times New Roman" w:hAnsi="Times New Roman"/>
          <w:color w:val="000000"/>
          <w:sz w:val="24"/>
          <w:szCs w:val="24"/>
        </w:rPr>
        <w:t>liquid</w:t>
      </w:r>
      <w:r w:rsidR="00205822" w:rsidRPr="00BA0E8D">
        <w:rPr>
          <w:rFonts w:ascii="Times New Roman" w:hAnsi="Times New Roman"/>
          <w:color w:val="000000"/>
          <w:sz w:val="24"/>
          <w:szCs w:val="24"/>
        </w:rPr>
        <w:t>ity premium</w:t>
      </w:r>
      <w:r w:rsidR="0078346E" w:rsidRPr="00BA0E8D">
        <w:rPr>
          <w:rFonts w:ascii="Times New Roman" w:hAnsi="Times New Roman"/>
          <w:color w:val="000000"/>
          <w:sz w:val="24"/>
          <w:szCs w:val="24"/>
        </w:rPr>
        <w:t xml:space="preserve">. </w:t>
      </w:r>
      <w:r w:rsidR="00A23B91" w:rsidRPr="00BA0E8D">
        <w:rPr>
          <w:rFonts w:ascii="Times New Roman" w:hAnsi="Times New Roman"/>
          <w:sz w:val="24"/>
          <w:szCs w:val="24"/>
        </w:rPr>
        <w:t>Loan</w:t>
      </w:r>
      <w:r w:rsidR="007D7CE2" w:rsidRPr="00BA0E8D">
        <w:rPr>
          <w:rFonts w:ascii="Times New Roman" w:hAnsi="Times New Roman"/>
          <w:sz w:val="24"/>
          <w:szCs w:val="24"/>
        </w:rPr>
        <w:t xml:space="preserve"> loss</w:t>
      </w:r>
      <w:r w:rsidR="00A23B91" w:rsidRPr="00BA0E8D">
        <w:rPr>
          <w:rFonts w:ascii="Times New Roman" w:hAnsi="Times New Roman"/>
          <w:color w:val="000000"/>
          <w:sz w:val="24"/>
          <w:szCs w:val="24"/>
        </w:rPr>
        <w:t xml:space="preserve"> provision</w:t>
      </w:r>
      <w:r w:rsidR="004A7EF4" w:rsidRPr="00BA0E8D">
        <w:rPr>
          <w:rFonts w:ascii="Times New Roman" w:hAnsi="Times New Roman"/>
          <w:color w:val="000000"/>
          <w:sz w:val="24"/>
          <w:szCs w:val="24"/>
        </w:rPr>
        <w:t>s</w:t>
      </w:r>
      <w:r w:rsidR="00A23B91" w:rsidRPr="00BA0E8D">
        <w:rPr>
          <w:rFonts w:ascii="Times New Roman" w:hAnsi="Times New Roman"/>
          <w:color w:val="000000"/>
          <w:sz w:val="24"/>
          <w:szCs w:val="24"/>
        </w:rPr>
        <w:t xml:space="preserve"> is measured as </w:t>
      </w:r>
      <w:r w:rsidR="004A7EF4" w:rsidRPr="00BA0E8D">
        <w:rPr>
          <w:rFonts w:ascii="Times New Roman" w:hAnsi="Times New Roman"/>
          <w:color w:val="000000"/>
          <w:sz w:val="24"/>
          <w:szCs w:val="24"/>
        </w:rPr>
        <w:t xml:space="preserve">the </w:t>
      </w:r>
      <w:r w:rsidR="008D0966">
        <w:rPr>
          <w:rFonts w:ascii="Times New Roman" w:hAnsi="Times New Roman"/>
          <w:color w:val="000000"/>
          <w:sz w:val="24"/>
          <w:szCs w:val="24"/>
        </w:rPr>
        <w:t>percentage</w:t>
      </w:r>
      <w:r w:rsidR="008D0966" w:rsidRPr="00BA0E8D">
        <w:rPr>
          <w:rFonts w:ascii="Times New Roman" w:hAnsi="Times New Roman"/>
          <w:color w:val="000000"/>
          <w:sz w:val="24"/>
          <w:szCs w:val="24"/>
        </w:rPr>
        <w:t xml:space="preserve"> </w:t>
      </w:r>
      <w:r w:rsidR="004A7EF4" w:rsidRPr="00BA0E8D">
        <w:rPr>
          <w:rFonts w:ascii="Times New Roman" w:hAnsi="Times New Roman"/>
          <w:color w:val="000000"/>
          <w:sz w:val="24"/>
          <w:szCs w:val="24"/>
        </w:rPr>
        <w:t xml:space="preserve">of loan loss provisions to </w:t>
      </w:r>
      <w:r w:rsidR="008D0966">
        <w:rPr>
          <w:rFonts w:ascii="Times New Roman" w:hAnsi="Times New Roman"/>
          <w:color w:val="000000"/>
          <w:sz w:val="24"/>
          <w:szCs w:val="24"/>
        </w:rPr>
        <w:t>total</w:t>
      </w:r>
      <w:r w:rsidR="008D0966" w:rsidRPr="00BA0E8D">
        <w:rPr>
          <w:rFonts w:ascii="Times New Roman" w:hAnsi="Times New Roman"/>
          <w:color w:val="000000"/>
          <w:sz w:val="24"/>
          <w:szCs w:val="24"/>
        </w:rPr>
        <w:t xml:space="preserve"> </w:t>
      </w:r>
      <w:r w:rsidR="004A7EF4" w:rsidRPr="00BA0E8D">
        <w:rPr>
          <w:rFonts w:ascii="Times New Roman" w:hAnsi="Times New Roman"/>
          <w:color w:val="000000"/>
          <w:sz w:val="24"/>
          <w:szCs w:val="24"/>
        </w:rPr>
        <w:t>loans and this account</w:t>
      </w:r>
      <w:r w:rsidR="000F7B31">
        <w:rPr>
          <w:rFonts w:ascii="Times New Roman" w:hAnsi="Times New Roman"/>
          <w:color w:val="000000"/>
          <w:sz w:val="24"/>
          <w:szCs w:val="24"/>
        </w:rPr>
        <w:t>s</w:t>
      </w:r>
      <w:r w:rsidR="004A7EF4" w:rsidRPr="00BA0E8D">
        <w:rPr>
          <w:rFonts w:ascii="Times New Roman" w:hAnsi="Times New Roman"/>
          <w:color w:val="000000"/>
          <w:sz w:val="24"/>
          <w:szCs w:val="24"/>
        </w:rPr>
        <w:t xml:space="preserve"> for borrowers’ default risk (</w:t>
      </w:r>
      <w:proofErr w:type="spellStart"/>
      <w:r w:rsidR="004A7EF4" w:rsidRPr="00BA0E8D">
        <w:rPr>
          <w:rFonts w:ascii="Times New Roman" w:hAnsi="Times New Roman"/>
          <w:color w:val="222222"/>
          <w:sz w:val="24"/>
          <w:szCs w:val="24"/>
          <w:shd w:val="clear" w:color="auto" w:fill="FFFFFF"/>
        </w:rPr>
        <w:t>Lepetit</w:t>
      </w:r>
      <w:proofErr w:type="spellEnd"/>
      <w:r w:rsidR="004A7EF4" w:rsidRPr="00BA0E8D">
        <w:rPr>
          <w:rFonts w:ascii="Times New Roman" w:hAnsi="Times New Roman"/>
          <w:color w:val="222222"/>
          <w:sz w:val="24"/>
          <w:szCs w:val="24"/>
          <w:shd w:val="clear" w:color="auto" w:fill="FFFFFF"/>
        </w:rPr>
        <w:t xml:space="preserve"> et al</w:t>
      </w:r>
      <w:r w:rsidR="005D2849" w:rsidRPr="00BA0E8D">
        <w:rPr>
          <w:rFonts w:ascii="Times New Roman" w:hAnsi="Times New Roman"/>
          <w:color w:val="222222"/>
          <w:sz w:val="24"/>
          <w:szCs w:val="24"/>
          <w:shd w:val="clear" w:color="auto" w:fill="FFFFFF"/>
        </w:rPr>
        <w:t>.</w:t>
      </w:r>
      <w:r w:rsidR="004A7EF4" w:rsidRPr="00BA0E8D">
        <w:rPr>
          <w:rFonts w:ascii="Times New Roman" w:hAnsi="Times New Roman"/>
          <w:color w:val="222222"/>
          <w:sz w:val="24"/>
          <w:szCs w:val="24"/>
          <w:shd w:val="clear" w:color="auto" w:fill="FFFFFF"/>
        </w:rPr>
        <w:t>, 2008)</w:t>
      </w:r>
      <w:r w:rsidR="00874833" w:rsidRPr="00BA0E8D">
        <w:rPr>
          <w:rFonts w:ascii="Times New Roman" w:hAnsi="Times New Roman"/>
          <w:color w:val="222222"/>
          <w:sz w:val="24"/>
          <w:szCs w:val="24"/>
          <w:shd w:val="clear" w:color="auto" w:fill="FFFFFF"/>
        </w:rPr>
        <w:t>.</w:t>
      </w:r>
      <w:r w:rsidR="00611F87">
        <w:rPr>
          <w:rFonts w:ascii="Times New Roman" w:hAnsi="Times New Roman"/>
          <w:color w:val="222222"/>
          <w:sz w:val="24"/>
          <w:szCs w:val="24"/>
          <w:shd w:val="clear" w:color="auto" w:fill="FFFFFF"/>
        </w:rPr>
        <w:t xml:space="preserve"> </w:t>
      </w:r>
      <w:r w:rsidR="007D7CE2" w:rsidRPr="00BA0E8D">
        <w:rPr>
          <w:rFonts w:ascii="Times New Roman" w:hAnsi="Times New Roman"/>
          <w:sz w:val="24"/>
          <w:szCs w:val="24"/>
        </w:rPr>
        <w:t>Lending</w:t>
      </w:r>
      <w:r w:rsidR="000C1814" w:rsidRPr="00BA0E8D">
        <w:rPr>
          <w:rFonts w:ascii="Times New Roman" w:hAnsi="Times New Roman"/>
          <w:sz w:val="24"/>
          <w:szCs w:val="24"/>
        </w:rPr>
        <w:t xml:space="preserve"> special</w:t>
      </w:r>
      <w:r w:rsidR="00611F87">
        <w:rPr>
          <w:rFonts w:ascii="Times New Roman" w:hAnsi="Times New Roman"/>
          <w:sz w:val="24"/>
          <w:szCs w:val="24"/>
        </w:rPr>
        <w:t>isa</w:t>
      </w:r>
      <w:r w:rsidR="000C1814" w:rsidRPr="00BA0E8D">
        <w:rPr>
          <w:rFonts w:ascii="Times New Roman" w:hAnsi="Times New Roman"/>
          <w:sz w:val="24"/>
          <w:szCs w:val="24"/>
        </w:rPr>
        <w:t>tion</w:t>
      </w:r>
      <w:r w:rsidR="007D7CE2" w:rsidRPr="00BA0E8D">
        <w:rPr>
          <w:rFonts w:ascii="Times New Roman" w:hAnsi="Times New Roman"/>
          <w:color w:val="000000"/>
          <w:sz w:val="24"/>
          <w:szCs w:val="24"/>
        </w:rPr>
        <w:t xml:space="preserve"> is also defined </w:t>
      </w:r>
      <w:r w:rsidR="00995AA5" w:rsidRPr="00BA0E8D">
        <w:rPr>
          <w:rFonts w:ascii="Times New Roman" w:hAnsi="Times New Roman"/>
          <w:color w:val="000000"/>
          <w:sz w:val="24"/>
          <w:szCs w:val="24"/>
        </w:rPr>
        <w:t>as</w:t>
      </w:r>
      <w:r w:rsidR="00EC67D6">
        <w:rPr>
          <w:rFonts w:ascii="Times New Roman" w:hAnsi="Times New Roman"/>
          <w:color w:val="000000"/>
          <w:sz w:val="24"/>
          <w:szCs w:val="24"/>
        </w:rPr>
        <w:t xml:space="preserve"> the percentage of</w:t>
      </w:r>
      <w:r w:rsidR="00995AA5" w:rsidRPr="00BA0E8D">
        <w:rPr>
          <w:rFonts w:ascii="Times New Roman" w:hAnsi="Times New Roman"/>
          <w:color w:val="000000"/>
          <w:sz w:val="24"/>
          <w:szCs w:val="24"/>
        </w:rPr>
        <w:t xml:space="preserve"> </w:t>
      </w:r>
      <w:r w:rsidR="008507D3" w:rsidRPr="00BA0E8D">
        <w:rPr>
          <w:rFonts w:ascii="Times New Roman" w:hAnsi="Times New Roman"/>
          <w:color w:val="000000"/>
          <w:sz w:val="24"/>
          <w:szCs w:val="24"/>
        </w:rPr>
        <w:t>total</w:t>
      </w:r>
      <w:r w:rsidR="00874833" w:rsidRPr="00BA0E8D">
        <w:rPr>
          <w:rFonts w:ascii="Times New Roman" w:hAnsi="Times New Roman"/>
          <w:color w:val="000000"/>
          <w:sz w:val="24"/>
          <w:szCs w:val="24"/>
        </w:rPr>
        <w:t xml:space="preserve"> loans</w:t>
      </w:r>
      <w:r w:rsidR="0078346E" w:rsidRPr="00BA0E8D">
        <w:rPr>
          <w:rFonts w:ascii="Times New Roman" w:hAnsi="Times New Roman"/>
          <w:color w:val="000000"/>
          <w:sz w:val="24"/>
          <w:szCs w:val="24"/>
        </w:rPr>
        <w:t xml:space="preserve"> </w:t>
      </w:r>
      <w:r w:rsidR="00EC67D6">
        <w:rPr>
          <w:rFonts w:ascii="Times New Roman" w:hAnsi="Times New Roman"/>
          <w:color w:val="000000"/>
          <w:sz w:val="24"/>
          <w:szCs w:val="24"/>
        </w:rPr>
        <w:t>to</w:t>
      </w:r>
      <w:r w:rsidR="0078346E" w:rsidRPr="00BA0E8D">
        <w:rPr>
          <w:rFonts w:ascii="Times New Roman" w:hAnsi="Times New Roman"/>
          <w:color w:val="000000"/>
          <w:sz w:val="24"/>
          <w:szCs w:val="24"/>
        </w:rPr>
        <w:t xml:space="preserve"> total assets</w:t>
      </w:r>
      <w:r w:rsidR="00995AA5" w:rsidRPr="00BA0E8D">
        <w:rPr>
          <w:rFonts w:ascii="Times New Roman" w:hAnsi="Times New Roman"/>
          <w:color w:val="000000"/>
          <w:sz w:val="24"/>
          <w:szCs w:val="24"/>
        </w:rPr>
        <w:t>.</w:t>
      </w:r>
      <w:r w:rsidR="00874833" w:rsidRPr="00BA0E8D">
        <w:rPr>
          <w:rFonts w:ascii="Times New Roman" w:hAnsi="Times New Roman"/>
          <w:color w:val="000000"/>
          <w:sz w:val="24"/>
          <w:szCs w:val="24"/>
        </w:rPr>
        <w:t xml:space="preserve"> An increase in the </w:t>
      </w:r>
      <w:r w:rsidR="008507D3" w:rsidRPr="00BA0E8D">
        <w:rPr>
          <w:rFonts w:ascii="Times New Roman" w:hAnsi="Times New Roman"/>
          <w:color w:val="000000"/>
          <w:sz w:val="24"/>
          <w:szCs w:val="24"/>
        </w:rPr>
        <w:t xml:space="preserve">lending </w:t>
      </w:r>
      <w:r w:rsidR="00874833" w:rsidRPr="00BA0E8D">
        <w:rPr>
          <w:rFonts w:ascii="Times New Roman" w:hAnsi="Times New Roman"/>
          <w:color w:val="000000"/>
          <w:sz w:val="24"/>
          <w:szCs w:val="24"/>
        </w:rPr>
        <w:t>special</w:t>
      </w:r>
      <w:r w:rsidR="00611F87">
        <w:rPr>
          <w:rFonts w:ascii="Times New Roman" w:hAnsi="Times New Roman"/>
          <w:color w:val="000000"/>
          <w:sz w:val="24"/>
          <w:szCs w:val="24"/>
        </w:rPr>
        <w:t>isa</w:t>
      </w:r>
      <w:r w:rsidR="00874833" w:rsidRPr="00BA0E8D">
        <w:rPr>
          <w:rFonts w:ascii="Times New Roman" w:hAnsi="Times New Roman"/>
          <w:color w:val="000000"/>
          <w:sz w:val="24"/>
          <w:szCs w:val="24"/>
        </w:rPr>
        <w:t>tion may lead to</w:t>
      </w:r>
      <w:r w:rsidR="00FC3795" w:rsidRPr="00BA0E8D">
        <w:rPr>
          <w:rFonts w:ascii="Times New Roman" w:hAnsi="Times New Roman"/>
          <w:color w:val="000000"/>
          <w:sz w:val="24"/>
          <w:szCs w:val="24"/>
        </w:rPr>
        <w:t xml:space="preserve"> an</w:t>
      </w:r>
      <w:r w:rsidR="00874833" w:rsidRPr="00BA0E8D">
        <w:rPr>
          <w:rFonts w:ascii="Times New Roman" w:hAnsi="Times New Roman"/>
          <w:color w:val="000000"/>
          <w:sz w:val="24"/>
          <w:szCs w:val="24"/>
        </w:rPr>
        <w:t xml:space="preserve"> </w:t>
      </w:r>
      <w:r w:rsidR="0078346E" w:rsidRPr="00BA0E8D">
        <w:rPr>
          <w:rFonts w:ascii="Times New Roman" w:hAnsi="Times New Roman"/>
          <w:color w:val="000000"/>
          <w:sz w:val="24"/>
          <w:szCs w:val="24"/>
        </w:rPr>
        <w:t>increase</w:t>
      </w:r>
      <w:r w:rsidR="00874833" w:rsidRPr="00BA0E8D">
        <w:rPr>
          <w:rFonts w:ascii="Times New Roman" w:hAnsi="Times New Roman"/>
          <w:color w:val="000000"/>
          <w:sz w:val="24"/>
          <w:szCs w:val="24"/>
        </w:rPr>
        <w:t xml:space="preserve"> in efficiency</w:t>
      </w:r>
      <w:r w:rsidR="008507D3" w:rsidRPr="00BA0E8D">
        <w:rPr>
          <w:rFonts w:ascii="Times New Roman" w:hAnsi="Times New Roman"/>
          <w:color w:val="000000"/>
          <w:sz w:val="24"/>
          <w:szCs w:val="24"/>
        </w:rPr>
        <w:t>, hence</w:t>
      </w:r>
      <w:r w:rsidR="00874833" w:rsidRPr="00BA0E8D">
        <w:rPr>
          <w:rFonts w:ascii="Times New Roman" w:hAnsi="Times New Roman"/>
          <w:color w:val="000000"/>
          <w:sz w:val="24"/>
          <w:szCs w:val="24"/>
        </w:rPr>
        <w:t>,</w:t>
      </w:r>
      <w:r w:rsidR="000F7B31">
        <w:rPr>
          <w:rFonts w:ascii="Times New Roman" w:hAnsi="Times New Roman"/>
          <w:color w:val="000000"/>
          <w:sz w:val="24"/>
          <w:szCs w:val="24"/>
        </w:rPr>
        <w:t xml:space="preserve"> a</w:t>
      </w:r>
      <w:r w:rsidR="00874833" w:rsidRPr="00BA0E8D">
        <w:rPr>
          <w:rFonts w:ascii="Times New Roman" w:hAnsi="Times New Roman"/>
          <w:color w:val="000000"/>
          <w:sz w:val="24"/>
          <w:szCs w:val="24"/>
        </w:rPr>
        <w:t xml:space="preserve"> lower </w:t>
      </w:r>
      <w:r w:rsidR="008D0966">
        <w:rPr>
          <w:rFonts w:ascii="Times New Roman" w:hAnsi="Times New Roman"/>
          <w:color w:val="000000"/>
          <w:sz w:val="24"/>
          <w:szCs w:val="24"/>
        </w:rPr>
        <w:t>intermediation cost</w:t>
      </w:r>
      <w:r w:rsidR="008D0966" w:rsidRPr="00BA0E8D">
        <w:rPr>
          <w:rFonts w:ascii="Times New Roman" w:hAnsi="Times New Roman"/>
          <w:color w:val="000000"/>
          <w:sz w:val="24"/>
          <w:szCs w:val="24"/>
        </w:rPr>
        <w:t xml:space="preserve"> </w:t>
      </w:r>
      <w:r w:rsidR="00874833" w:rsidRPr="00BA0E8D">
        <w:rPr>
          <w:rFonts w:ascii="Times New Roman" w:hAnsi="Times New Roman"/>
          <w:color w:val="000000"/>
          <w:sz w:val="24"/>
          <w:szCs w:val="24"/>
        </w:rPr>
        <w:t>(e.g.</w:t>
      </w:r>
      <w:r w:rsidR="0008273D" w:rsidRPr="00BA0E8D">
        <w:rPr>
          <w:rFonts w:ascii="Times New Roman" w:hAnsi="Times New Roman"/>
          <w:color w:val="000000"/>
          <w:sz w:val="24"/>
          <w:szCs w:val="24"/>
        </w:rPr>
        <w:t xml:space="preserve"> </w:t>
      </w:r>
      <w:r w:rsidR="0008273D" w:rsidRPr="00BA0E8D">
        <w:rPr>
          <w:rFonts w:ascii="Times New Roman" w:hAnsi="Times New Roman"/>
          <w:color w:val="222222"/>
          <w:sz w:val="24"/>
          <w:szCs w:val="20"/>
          <w:shd w:val="clear" w:color="auto" w:fill="FFFFFF"/>
        </w:rPr>
        <w:t xml:space="preserve">Petersen and </w:t>
      </w:r>
      <w:proofErr w:type="spellStart"/>
      <w:r w:rsidR="0008273D" w:rsidRPr="00BA0E8D">
        <w:rPr>
          <w:rFonts w:ascii="Times New Roman" w:hAnsi="Times New Roman"/>
          <w:color w:val="222222"/>
          <w:sz w:val="24"/>
          <w:szCs w:val="20"/>
          <w:shd w:val="clear" w:color="auto" w:fill="FFFFFF"/>
        </w:rPr>
        <w:t>Rajan</w:t>
      </w:r>
      <w:proofErr w:type="spellEnd"/>
      <w:r w:rsidR="0008273D" w:rsidRPr="00BA0E8D">
        <w:rPr>
          <w:rFonts w:ascii="Times New Roman" w:hAnsi="Times New Roman"/>
          <w:color w:val="222222"/>
          <w:sz w:val="24"/>
          <w:szCs w:val="20"/>
          <w:shd w:val="clear" w:color="auto" w:fill="FFFFFF"/>
        </w:rPr>
        <w:t xml:space="preserve"> 1995;</w:t>
      </w:r>
      <w:r w:rsidR="00874833" w:rsidRPr="00BA0E8D">
        <w:rPr>
          <w:rFonts w:ascii="Times New Roman" w:hAnsi="Times New Roman"/>
          <w:color w:val="000000"/>
          <w:sz w:val="24"/>
          <w:szCs w:val="24"/>
        </w:rPr>
        <w:t xml:space="preserve"> </w:t>
      </w:r>
      <w:r w:rsidR="00874833" w:rsidRPr="00BA0E8D">
        <w:rPr>
          <w:rFonts w:ascii="Times New Roman" w:hAnsi="Times New Roman"/>
          <w:color w:val="000000"/>
          <w:sz w:val="24"/>
          <w:szCs w:val="24"/>
          <w:shd w:val="clear" w:color="auto" w:fill="FFFFFF"/>
        </w:rPr>
        <w:t xml:space="preserve">Valverde </w:t>
      </w:r>
      <w:r w:rsidR="00803E50" w:rsidRPr="00BA0E8D">
        <w:rPr>
          <w:rFonts w:ascii="Times New Roman" w:hAnsi="Times New Roman"/>
          <w:color w:val="000000"/>
          <w:sz w:val="24"/>
          <w:szCs w:val="24"/>
          <w:shd w:val="clear" w:color="auto" w:fill="FFFFFF"/>
        </w:rPr>
        <w:t xml:space="preserve">and </w:t>
      </w:r>
      <w:r w:rsidR="00874833" w:rsidRPr="00BA0E8D">
        <w:rPr>
          <w:rFonts w:ascii="Times New Roman" w:hAnsi="Times New Roman"/>
          <w:color w:val="000000"/>
          <w:sz w:val="24"/>
          <w:szCs w:val="24"/>
          <w:shd w:val="clear" w:color="auto" w:fill="FFFFFF"/>
        </w:rPr>
        <w:t>Fernández, 2007)</w:t>
      </w:r>
      <w:r w:rsidR="00995AA5" w:rsidRPr="00BA0E8D">
        <w:rPr>
          <w:rFonts w:ascii="Times New Roman" w:hAnsi="Times New Roman"/>
          <w:color w:val="000000"/>
          <w:sz w:val="24"/>
          <w:szCs w:val="24"/>
          <w:shd w:val="clear" w:color="auto" w:fill="FFFFFF"/>
        </w:rPr>
        <w:t>.</w:t>
      </w:r>
      <w:r w:rsidR="00611F87">
        <w:rPr>
          <w:rFonts w:ascii="Times New Roman" w:hAnsi="Times New Roman"/>
          <w:color w:val="000000"/>
          <w:sz w:val="24"/>
          <w:szCs w:val="24"/>
        </w:rPr>
        <w:t xml:space="preserve"> </w:t>
      </w:r>
      <w:r w:rsidR="007D7CE2" w:rsidRPr="00BA0E8D">
        <w:rPr>
          <w:rFonts w:ascii="Times New Roman" w:hAnsi="Times New Roman"/>
          <w:sz w:val="24"/>
          <w:szCs w:val="24"/>
        </w:rPr>
        <w:t>Deposit mix</w:t>
      </w:r>
      <w:r w:rsidR="007D7CE2" w:rsidRPr="00BA0E8D">
        <w:rPr>
          <w:rFonts w:ascii="Times New Roman" w:hAnsi="Times New Roman"/>
          <w:color w:val="000000"/>
          <w:sz w:val="24"/>
          <w:szCs w:val="24"/>
        </w:rPr>
        <w:t xml:space="preserve"> is also </w:t>
      </w:r>
      <w:r w:rsidR="00B41044" w:rsidRPr="00BA0E8D">
        <w:rPr>
          <w:rFonts w:ascii="Times New Roman" w:hAnsi="Times New Roman"/>
          <w:color w:val="000000"/>
          <w:sz w:val="24"/>
          <w:szCs w:val="24"/>
        </w:rPr>
        <w:t xml:space="preserve">defined as the percentage of </w:t>
      </w:r>
      <w:r w:rsidR="008507D3" w:rsidRPr="00BA0E8D">
        <w:rPr>
          <w:rFonts w:ascii="Times New Roman" w:hAnsi="Times New Roman"/>
          <w:color w:val="000000"/>
          <w:sz w:val="24"/>
          <w:szCs w:val="24"/>
        </w:rPr>
        <w:t xml:space="preserve">total </w:t>
      </w:r>
      <w:r w:rsidR="00B41044" w:rsidRPr="00BA0E8D">
        <w:rPr>
          <w:rFonts w:ascii="Times New Roman" w:hAnsi="Times New Roman"/>
          <w:color w:val="000000"/>
          <w:sz w:val="24"/>
          <w:szCs w:val="24"/>
        </w:rPr>
        <w:t xml:space="preserve">deposits to total </w:t>
      </w:r>
      <w:r w:rsidR="008507D3" w:rsidRPr="00BA0E8D">
        <w:rPr>
          <w:rFonts w:ascii="Times New Roman" w:hAnsi="Times New Roman"/>
          <w:color w:val="000000"/>
          <w:sz w:val="24"/>
          <w:szCs w:val="24"/>
        </w:rPr>
        <w:t>liabilities</w:t>
      </w:r>
      <w:r w:rsidR="00324334" w:rsidRPr="00BA0E8D">
        <w:rPr>
          <w:rFonts w:ascii="Times New Roman" w:hAnsi="Times New Roman"/>
          <w:color w:val="000000"/>
          <w:sz w:val="24"/>
          <w:szCs w:val="24"/>
        </w:rPr>
        <w:t>. This account</w:t>
      </w:r>
      <w:r w:rsidR="00B36D5F" w:rsidRPr="00BA0E8D">
        <w:rPr>
          <w:rFonts w:ascii="Times New Roman" w:hAnsi="Times New Roman"/>
          <w:color w:val="000000"/>
          <w:sz w:val="24"/>
          <w:szCs w:val="24"/>
        </w:rPr>
        <w:t>s</w:t>
      </w:r>
      <w:r w:rsidR="00324334" w:rsidRPr="00BA0E8D">
        <w:rPr>
          <w:rFonts w:ascii="Times New Roman" w:hAnsi="Times New Roman"/>
          <w:color w:val="000000"/>
          <w:sz w:val="24"/>
          <w:szCs w:val="24"/>
        </w:rPr>
        <w:t xml:space="preserve"> for the level of reliance on deposit</w:t>
      </w:r>
      <w:r w:rsidR="00EC67D6">
        <w:rPr>
          <w:rFonts w:ascii="Times New Roman" w:hAnsi="Times New Roman"/>
          <w:color w:val="000000"/>
          <w:sz w:val="24"/>
          <w:szCs w:val="24"/>
        </w:rPr>
        <w:t xml:space="preserve"> funding</w:t>
      </w:r>
      <w:r w:rsidR="007D7CE2" w:rsidRPr="00BA0E8D">
        <w:rPr>
          <w:rFonts w:ascii="Times New Roman" w:hAnsi="Times New Roman"/>
          <w:color w:val="000000"/>
          <w:sz w:val="24"/>
          <w:szCs w:val="24"/>
        </w:rPr>
        <w:t>.</w:t>
      </w:r>
      <w:r w:rsidR="007951EA" w:rsidRPr="00BA0E8D">
        <w:rPr>
          <w:rFonts w:ascii="Times New Roman" w:hAnsi="Times New Roman"/>
          <w:color w:val="000000"/>
          <w:sz w:val="24"/>
          <w:szCs w:val="24"/>
        </w:rPr>
        <w:t xml:space="preserve"> Bank</w:t>
      </w:r>
      <w:r w:rsidR="007D7CE2" w:rsidRPr="00BA0E8D">
        <w:rPr>
          <w:rFonts w:ascii="Times New Roman" w:hAnsi="Times New Roman"/>
          <w:color w:val="000000"/>
          <w:sz w:val="24"/>
          <w:szCs w:val="24"/>
        </w:rPr>
        <w:t xml:space="preserve"> </w:t>
      </w:r>
      <w:r w:rsidR="007951EA" w:rsidRPr="00BA0E8D">
        <w:rPr>
          <w:rFonts w:ascii="Times New Roman" w:hAnsi="Times New Roman"/>
          <w:sz w:val="24"/>
          <w:szCs w:val="24"/>
        </w:rPr>
        <w:t>e</w:t>
      </w:r>
      <w:r w:rsidR="00E903BF" w:rsidRPr="00BA0E8D">
        <w:rPr>
          <w:rFonts w:ascii="Times New Roman" w:hAnsi="Times New Roman"/>
          <w:sz w:val="24"/>
          <w:szCs w:val="24"/>
        </w:rPr>
        <w:t>quity</w:t>
      </w:r>
      <w:r w:rsidR="00E903BF" w:rsidRPr="00BA0E8D">
        <w:rPr>
          <w:rFonts w:ascii="Times New Roman" w:hAnsi="Times New Roman"/>
          <w:color w:val="FF0000"/>
          <w:sz w:val="24"/>
          <w:szCs w:val="24"/>
        </w:rPr>
        <w:t xml:space="preserve"> </w:t>
      </w:r>
      <w:r w:rsidR="00E903BF" w:rsidRPr="00BA0E8D">
        <w:rPr>
          <w:rFonts w:ascii="Times New Roman" w:hAnsi="Times New Roman"/>
          <w:color w:val="000000"/>
          <w:sz w:val="24"/>
          <w:szCs w:val="24"/>
        </w:rPr>
        <w:t>is measured as</w:t>
      </w:r>
      <w:r w:rsidR="007F2DBD" w:rsidRPr="00BA0E8D">
        <w:rPr>
          <w:rFonts w:ascii="Times New Roman" w:hAnsi="Times New Roman"/>
          <w:color w:val="000000"/>
          <w:sz w:val="24"/>
          <w:szCs w:val="24"/>
        </w:rPr>
        <w:t xml:space="preserve"> the ratio of</w:t>
      </w:r>
      <w:r w:rsidR="00E903BF" w:rsidRPr="00BA0E8D">
        <w:rPr>
          <w:rFonts w:ascii="Times New Roman" w:hAnsi="Times New Roman"/>
          <w:color w:val="000000"/>
          <w:sz w:val="24"/>
          <w:szCs w:val="24"/>
        </w:rPr>
        <w:t xml:space="preserve"> </w:t>
      </w:r>
      <w:r w:rsidR="00444DBA" w:rsidRPr="00BA0E8D">
        <w:rPr>
          <w:rFonts w:ascii="Times New Roman" w:hAnsi="Times New Roman"/>
          <w:color w:val="000000"/>
          <w:sz w:val="24"/>
          <w:szCs w:val="24"/>
        </w:rPr>
        <w:t xml:space="preserve">book value of equity </w:t>
      </w:r>
      <w:r w:rsidR="007F2DBD" w:rsidRPr="00BA0E8D">
        <w:rPr>
          <w:rFonts w:ascii="Times New Roman" w:hAnsi="Times New Roman"/>
          <w:color w:val="000000"/>
          <w:sz w:val="24"/>
          <w:szCs w:val="24"/>
        </w:rPr>
        <w:t>to</w:t>
      </w:r>
      <w:r w:rsidR="00444DBA" w:rsidRPr="00BA0E8D">
        <w:rPr>
          <w:rFonts w:ascii="Times New Roman" w:hAnsi="Times New Roman"/>
          <w:color w:val="000000"/>
          <w:sz w:val="24"/>
          <w:szCs w:val="24"/>
        </w:rPr>
        <w:t xml:space="preserve"> total assets</w:t>
      </w:r>
      <w:r w:rsidR="007951EA" w:rsidRPr="00BA0E8D">
        <w:rPr>
          <w:rFonts w:ascii="Times New Roman" w:hAnsi="Times New Roman"/>
          <w:color w:val="000000"/>
          <w:sz w:val="24"/>
          <w:szCs w:val="24"/>
        </w:rPr>
        <w:t>. This account</w:t>
      </w:r>
      <w:r w:rsidR="00425BFC" w:rsidRPr="00BA0E8D">
        <w:rPr>
          <w:rFonts w:ascii="Times New Roman" w:hAnsi="Times New Roman"/>
          <w:color w:val="000000"/>
          <w:sz w:val="24"/>
          <w:szCs w:val="24"/>
        </w:rPr>
        <w:t>s</w:t>
      </w:r>
      <w:r w:rsidR="007951EA" w:rsidRPr="00BA0E8D">
        <w:rPr>
          <w:rFonts w:ascii="Times New Roman" w:hAnsi="Times New Roman"/>
          <w:color w:val="000000"/>
          <w:sz w:val="24"/>
          <w:szCs w:val="24"/>
        </w:rPr>
        <w:t xml:space="preserve"> for the effects of leverage on risk level and the required risk premium (</w:t>
      </w:r>
      <w:proofErr w:type="spellStart"/>
      <w:r w:rsidR="007951EA" w:rsidRPr="00BA0E8D">
        <w:rPr>
          <w:rFonts w:ascii="Times New Roman" w:hAnsi="Times New Roman"/>
          <w:color w:val="222222"/>
          <w:sz w:val="24"/>
          <w:szCs w:val="24"/>
          <w:shd w:val="clear" w:color="auto" w:fill="FFFFFF"/>
        </w:rPr>
        <w:t>Lepetit</w:t>
      </w:r>
      <w:proofErr w:type="spellEnd"/>
      <w:r w:rsidR="007951EA" w:rsidRPr="00BA0E8D">
        <w:rPr>
          <w:rFonts w:ascii="Times New Roman" w:hAnsi="Times New Roman"/>
          <w:color w:val="222222"/>
          <w:sz w:val="24"/>
          <w:szCs w:val="24"/>
          <w:shd w:val="clear" w:color="auto" w:fill="FFFFFF"/>
        </w:rPr>
        <w:t xml:space="preserve"> et al</w:t>
      </w:r>
      <w:r w:rsidR="005D2849" w:rsidRPr="00BA0E8D">
        <w:rPr>
          <w:rFonts w:ascii="Times New Roman" w:hAnsi="Times New Roman"/>
          <w:color w:val="222222"/>
          <w:sz w:val="24"/>
          <w:szCs w:val="24"/>
          <w:shd w:val="clear" w:color="auto" w:fill="FFFFFF"/>
        </w:rPr>
        <w:t>.</w:t>
      </w:r>
      <w:r w:rsidR="007951EA" w:rsidRPr="00BA0E8D">
        <w:rPr>
          <w:rFonts w:ascii="Times New Roman" w:hAnsi="Times New Roman"/>
          <w:color w:val="222222"/>
          <w:sz w:val="24"/>
          <w:szCs w:val="24"/>
          <w:shd w:val="clear" w:color="auto" w:fill="FFFFFF"/>
        </w:rPr>
        <w:t>, 2008)</w:t>
      </w:r>
      <w:r w:rsidR="00106275" w:rsidRPr="00BA0E8D">
        <w:rPr>
          <w:rFonts w:ascii="Times New Roman" w:hAnsi="Times New Roman"/>
          <w:color w:val="222222"/>
          <w:sz w:val="24"/>
          <w:szCs w:val="24"/>
          <w:shd w:val="clear" w:color="auto" w:fill="FFFFFF"/>
        </w:rPr>
        <w:t>.</w:t>
      </w:r>
      <w:r w:rsidR="00611F87">
        <w:rPr>
          <w:rFonts w:ascii="Times New Roman" w:hAnsi="Times New Roman"/>
          <w:color w:val="000000"/>
          <w:sz w:val="24"/>
          <w:szCs w:val="24"/>
        </w:rPr>
        <w:t xml:space="preserve"> </w:t>
      </w:r>
      <w:r w:rsidR="00444DBA" w:rsidRPr="00BA0E8D">
        <w:rPr>
          <w:rFonts w:ascii="Times New Roman" w:hAnsi="Times New Roman"/>
          <w:color w:val="000000"/>
          <w:sz w:val="24"/>
          <w:szCs w:val="24"/>
        </w:rPr>
        <w:t xml:space="preserve">Fee income is </w:t>
      </w:r>
      <w:r w:rsidR="003A2B79" w:rsidRPr="00BA0E8D">
        <w:rPr>
          <w:rFonts w:ascii="Times New Roman" w:hAnsi="Times New Roman"/>
          <w:color w:val="000000"/>
          <w:sz w:val="24"/>
          <w:szCs w:val="24"/>
        </w:rPr>
        <w:t xml:space="preserve">the ratio </w:t>
      </w:r>
      <w:r w:rsidR="008507D3" w:rsidRPr="00BA0E8D">
        <w:rPr>
          <w:rFonts w:ascii="Times New Roman" w:hAnsi="Times New Roman"/>
          <w:color w:val="000000"/>
          <w:sz w:val="24"/>
          <w:szCs w:val="24"/>
        </w:rPr>
        <w:t xml:space="preserve">of net fees and commissions to </w:t>
      </w:r>
      <w:r w:rsidR="003A2B79" w:rsidRPr="00BA0E8D">
        <w:rPr>
          <w:rFonts w:ascii="Times New Roman" w:hAnsi="Times New Roman"/>
          <w:color w:val="000000"/>
          <w:sz w:val="24"/>
          <w:szCs w:val="24"/>
        </w:rPr>
        <w:t>total assets.</w:t>
      </w:r>
      <w:r w:rsidR="007951EA" w:rsidRPr="00BA0E8D">
        <w:rPr>
          <w:rFonts w:ascii="Times New Roman" w:hAnsi="Times New Roman"/>
          <w:color w:val="000000"/>
          <w:sz w:val="24"/>
          <w:szCs w:val="24"/>
        </w:rPr>
        <w:t xml:space="preserve"> This account</w:t>
      </w:r>
      <w:r w:rsidR="00425BFC" w:rsidRPr="00BA0E8D">
        <w:rPr>
          <w:rFonts w:ascii="Times New Roman" w:hAnsi="Times New Roman"/>
          <w:color w:val="000000"/>
          <w:sz w:val="24"/>
          <w:szCs w:val="24"/>
        </w:rPr>
        <w:t>s</w:t>
      </w:r>
      <w:r w:rsidR="007951EA" w:rsidRPr="00BA0E8D">
        <w:rPr>
          <w:rFonts w:ascii="Times New Roman" w:hAnsi="Times New Roman"/>
          <w:color w:val="000000"/>
          <w:sz w:val="24"/>
          <w:szCs w:val="24"/>
        </w:rPr>
        <w:t xml:space="preserve"> for differences in the pricing of </w:t>
      </w:r>
      <w:r w:rsidR="000F7B31">
        <w:rPr>
          <w:rFonts w:ascii="Times New Roman" w:hAnsi="Times New Roman"/>
          <w:color w:val="000000"/>
          <w:sz w:val="24"/>
          <w:szCs w:val="24"/>
        </w:rPr>
        <w:t xml:space="preserve">the </w:t>
      </w:r>
      <w:r w:rsidR="007951EA" w:rsidRPr="00BA0E8D">
        <w:rPr>
          <w:rFonts w:ascii="Times New Roman" w:hAnsi="Times New Roman"/>
          <w:color w:val="000000"/>
          <w:sz w:val="24"/>
          <w:szCs w:val="24"/>
        </w:rPr>
        <w:t>product mix offered by banks (</w:t>
      </w:r>
      <w:proofErr w:type="spellStart"/>
      <w:r w:rsidR="007951EA" w:rsidRPr="00BA0E8D">
        <w:rPr>
          <w:rFonts w:ascii="Times New Roman" w:hAnsi="Times New Roman"/>
          <w:color w:val="222222"/>
          <w:sz w:val="24"/>
          <w:szCs w:val="24"/>
        </w:rPr>
        <w:t>Demirgüç-Kunt</w:t>
      </w:r>
      <w:proofErr w:type="spellEnd"/>
      <w:r w:rsidR="007951EA" w:rsidRPr="00BA0E8D">
        <w:rPr>
          <w:rFonts w:ascii="Times New Roman" w:hAnsi="Times New Roman"/>
          <w:color w:val="222222"/>
          <w:sz w:val="24"/>
          <w:szCs w:val="24"/>
        </w:rPr>
        <w:t xml:space="preserve"> et al</w:t>
      </w:r>
      <w:r w:rsidR="005D2849" w:rsidRPr="00BA0E8D">
        <w:rPr>
          <w:rFonts w:ascii="Times New Roman" w:hAnsi="Times New Roman"/>
          <w:color w:val="222222"/>
          <w:sz w:val="24"/>
          <w:szCs w:val="24"/>
        </w:rPr>
        <w:t>.,</w:t>
      </w:r>
      <w:r w:rsidR="007951EA" w:rsidRPr="00BA0E8D">
        <w:rPr>
          <w:rFonts w:ascii="Times New Roman" w:hAnsi="Times New Roman"/>
          <w:color w:val="222222"/>
          <w:sz w:val="24"/>
          <w:szCs w:val="24"/>
        </w:rPr>
        <w:t xml:space="preserve"> 2003).</w:t>
      </w:r>
      <w:r w:rsidR="003A2B79" w:rsidRPr="00BA0E8D">
        <w:rPr>
          <w:rFonts w:ascii="Times New Roman" w:hAnsi="Times New Roman"/>
          <w:color w:val="000000"/>
          <w:sz w:val="24"/>
          <w:szCs w:val="24"/>
        </w:rPr>
        <w:t xml:space="preserve"> </w:t>
      </w:r>
      <w:r w:rsidR="006F2B2F" w:rsidRPr="00BA0E8D">
        <w:rPr>
          <w:rFonts w:ascii="Times New Roman" w:hAnsi="Times New Roman"/>
          <w:color w:val="000000"/>
          <w:sz w:val="24"/>
          <w:szCs w:val="24"/>
        </w:rPr>
        <w:t>Finally,</w:t>
      </w:r>
      <w:r w:rsidR="007D7CE2" w:rsidRPr="00BA0E8D">
        <w:rPr>
          <w:rFonts w:ascii="Times New Roman" w:hAnsi="Times New Roman"/>
          <w:color w:val="000000"/>
          <w:sz w:val="24"/>
          <w:szCs w:val="24"/>
        </w:rPr>
        <w:t xml:space="preserve"> we measure</w:t>
      </w:r>
      <w:r w:rsidR="007D7CE2" w:rsidRPr="00BA0E8D">
        <w:rPr>
          <w:rFonts w:ascii="Times New Roman" w:hAnsi="Times New Roman"/>
          <w:color w:val="FF0000"/>
          <w:sz w:val="24"/>
          <w:szCs w:val="24"/>
        </w:rPr>
        <w:t xml:space="preserve"> </w:t>
      </w:r>
      <w:r w:rsidR="00607900" w:rsidRPr="00BA0E8D">
        <w:rPr>
          <w:rFonts w:ascii="Times New Roman" w:hAnsi="Times New Roman"/>
          <w:sz w:val="24"/>
          <w:szCs w:val="24"/>
        </w:rPr>
        <w:t>in</w:t>
      </w:r>
      <w:r w:rsidR="007D7CE2" w:rsidRPr="00BA0E8D">
        <w:rPr>
          <w:rFonts w:ascii="Times New Roman" w:hAnsi="Times New Roman"/>
          <w:sz w:val="24"/>
          <w:szCs w:val="24"/>
        </w:rPr>
        <w:t>efficiency</w:t>
      </w:r>
      <w:r w:rsidR="007D7CE2" w:rsidRPr="00BA0E8D">
        <w:rPr>
          <w:rFonts w:ascii="Times New Roman" w:hAnsi="Times New Roman"/>
          <w:color w:val="000000"/>
          <w:sz w:val="24"/>
          <w:szCs w:val="24"/>
        </w:rPr>
        <w:t xml:space="preserve"> as</w:t>
      </w:r>
      <w:r w:rsidR="00607900" w:rsidRPr="00BA0E8D">
        <w:rPr>
          <w:rFonts w:ascii="Times New Roman" w:hAnsi="Times New Roman"/>
          <w:color w:val="000000"/>
          <w:sz w:val="24"/>
          <w:szCs w:val="24"/>
        </w:rPr>
        <w:t xml:space="preserve"> the ratio </w:t>
      </w:r>
      <w:r w:rsidR="000F7B31">
        <w:rPr>
          <w:rFonts w:ascii="Times New Roman" w:hAnsi="Times New Roman"/>
          <w:color w:val="000000"/>
          <w:sz w:val="24"/>
          <w:szCs w:val="24"/>
        </w:rPr>
        <w:t xml:space="preserve">of </w:t>
      </w:r>
      <w:r w:rsidR="008507D3" w:rsidRPr="00BA0E8D">
        <w:rPr>
          <w:rFonts w:ascii="Times New Roman" w:hAnsi="Times New Roman"/>
          <w:color w:val="000000"/>
          <w:sz w:val="24"/>
          <w:szCs w:val="24"/>
        </w:rPr>
        <w:t>overheads</w:t>
      </w:r>
      <w:r w:rsidR="00607900" w:rsidRPr="00BA0E8D">
        <w:rPr>
          <w:rFonts w:ascii="Times New Roman" w:hAnsi="Times New Roman"/>
          <w:color w:val="000000"/>
          <w:sz w:val="24"/>
          <w:szCs w:val="24"/>
        </w:rPr>
        <w:t xml:space="preserve"> to </w:t>
      </w:r>
      <w:r w:rsidR="008507D3" w:rsidRPr="00BA0E8D">
        <w:rPr>
          <w:rFonts w:ascii="Times New Roman" w:hAnsi="Times New Roman"/>
          <w:color w:val="000000"/>
          <w:sz w:val="24"/>
          <w:szCs w:val="24"/>
        </w:rPr>
        <w:t>total assets</w:t>
      </w:r>
      <w:r w:rsidR="00AD7392">
        <w:rPr>
          <w:rFonts w:ascii="Times New Roman" w:hAnsi="Times New Roman"/>
          <w:color w:val="000000"/>
          <w:sz w:val="24"/>
          <w:szCs w:val="24"/>
        </w:rPr>
        <w:t xml:space="preserve"> </w:t>
      </w:r>
      <w:r w:rsidR="00AD7392" w:rsidRPr="00BA0E8D">
        <w:rPr>
          <w:rFonts w:ascii="Times New Roman" w:hAnsi="Times New Roman"/>
          <w:color w:val="000000"/>
          <w:sz w:val="24"/>
          <w:szCs w:val="24"/>
        </w:rPr>
        <w:t>(</w:t>
      </w:r>
      <w:proofErr w:type="spellStart"/>
      <w:r w:rsidR="00AD7392" w:rsidRPr="00BA0E8D">
        <w:rPr>
          <w:rFonts w:ascii="Times New Roman" w:hAnsi="Times New Roman"/>
          <w:color w:val="222222"/>
          <w:sz w:val="24"/>
          <w:szCs w:val="24"/>
        </w:rPr>
        <w:t>Demirgüç-Kunt</w:t>
      </w:r>
      <w:proofErr w:type="spellEnd"/>
      <w:r w:rsidR="00AD7392" w:rsidRPr="00BA0E8D">
        <w:rPr>
          <w:rFonts w:ascii="Times New Roman" w:hAnsi="Times New Roman"/>
          <w:color w:val="222222"/>
          <w:sz w:val="24"/>
          <w:szCs w:val="24"/>
        </w:rPr>
        <w:t xml:space="preserve"> et al., 2003).</w:t>
      </w:r>
      <w:r w:rsidR="00B63E25" w:rsidRPr="00BA0E8D">
        <w:rPr>
          <w:rFonts w:ascii="Times New Roman" w:hAnsi="Times New Roman"/>
          <w:color w:val="000000"/>
          <w:sz w:val="24"/>
          <w:szCs w:val="24"/>
        </w:rPr>
        <w:t xml:space="preserve"> </w:t>
      </w:r>
    </w:p>
    <w:p w14:paraId="58655DC0" w14:textId="77777777" w:rsidR="009526EC" w:rsidRPr="00BA0E8D" w:rsidRDefault="009526EC" w:rsidP="00444D9D">
      <w:pPr>
        <w:spacing w:before="240" w:after="240" w:line="360" w:lineRule="auto"/>
        <w:jc w:val="both"/>
        <w:rPr>
          <w:rFonts w:ascii="Times New Roman" w:hAnsi="Times New Roman"/>
          <w:b/>
          <w:color w:val="000000"/>
          <w:sz w:val="24"/>
          <w:szCs w:val="24"/>
        </w:rPr>
      </w:pPr>
    </w:p>
    <w:p w14:paraId="43CA67C4" w14:textId="23E1E5B1" w:rsidR="00533B14" w:rsidRPr="00BA0E8D" w:rsidRDefault="00495FED" w:rsidP="00444D9D">
      <w:pPr>
        <w:spacing w:before="240" w:after="240" w:line="360" w:lineRule="auto"/>
        <w:jc w:val="both"/>
        <w:rPr>
          <w:rFonts w:ascii="Times New Roman" w:hAnsi="Times New Roman"/>
          <w:b/>
          <w:color w:val="000000"/>
          <w:sz w:val="24"/>
          <w:szCs w:val="24"/>
        </w:rPr>
      </w:pPr>
      <w:r>
        <w:rPr>
          <w:rFonts w:ascii="Times New Roman" w:hAnsi="Times New Roman"/>
          <w:b/>
          <w:color w:val="000000"/>
          <w:sz w:val="24"/>
          <w:szCs w:val="24"/>
        </w:rPr>
        <w:t>4</w:t>
      </w:r>
      <w:r w:rsidR="00533B14" w:rsidRPr="00BA0E8D">
        <w:rPr>
          <w:rFonts w:ascii="Times New Roman" w:hAnsi="Times New Roman"/>
          <w:b/>
          <w:color w:val="000000"/>
          <w:sz w:val="24"/>
          <w:szCs w:val="24"/>
        </w:rPr>
        <w:t>.2.</w:t>
      </w:r>
      <w:r w:rsidR="00466856" w:rsidRPr="00BA0E8D">
        <w:rPr>
          <w:rFonts w:ascii="Times New Roman" w:hAnsi="Times New Roman"/>
          <w:b/>
          <w:color w:val="000000"/>
          <w:sz w:val="24"/>
          <w:szCs w:val="24"/>
        </w:rPr>
        <w:t>4</w:t>
      </w:r>
      <w:r w:rsidR="00533B14" w:rsidRPr="00BA0E8D">
        <w:rPr>
          <w:rFonts w:ascii="Times New Roman" w:hAnsi="Times New Roman"/>
          <w:b/>
          <w:color w:val="000000"/>
          <w:sz w:val="24"/>
          <w:szCs w:val="24"/>
        </w:rPr>
        <w:t xml:space="preserve">. Macroeconomic </w:t>
      </w:r>
      <w:r w:rsidR="00AA7454" w:rsidRPr="00BA0E8D">
        <w:rPr>
          <w:rFonts w:ascii="Times New Roman" w:hAnsi="Times New Roman"/>
          <w:b/>
          <w:color w:val="000000"/>
          <w:sz w:val="24"/>
          <w:szCs w:val="24"/>
        </w:rPr>
        <w:t xml:space="preserve">and </w:t>
      </w:r>
      <w:r w:rsidR="003C090F" w:rsidRPr="00BA0E8D">
        <w:rPr>
          <w:rFonts w:ascii="Times New Roman" w:hAnsi="Times New Roman"/>
          <w:b/>
          <w:color w:val="000000"/>
          <w:sz w:val="24"/>
          <w:szCs w:val="24"/>
        </w:rPr>
        <w:t>g</w:t>
      </w:r>
      <w:r w:rsidR="00AA7454" w:rsidRPr="00BA0E8D">
        <w:rPr>
          <w:rFonts w:ascii="Times New Roman" w:hAnsi="Times New Roman"/>
          <w:b/>
          <w:color w:val="000000"/>
          <w:sz w:val="24"/>
          <w:szCs w:val="24"/>
        </w:rPr>
        <w:t xml:space="preserve">overnance </w:t>
      </w:r>
      <w:r w:rsidR="00533B14" w:rsidRPr="00BA0E8D">
        <w:rPr>
          <w:rFonts w:ascii="Times New Roman" w:hAnsi="Times New Roman"/>
          <w:b/>
          <w:color w:val="000000"/>
          <w:sz w:val="24"/>
          <w:szCs w:val="24"/>
        </w:rPr>
        <w:t>variables</w:t>
      </w:r>
    </w:p>
    <w:p w14:paraId="46FB9BF3" w14:textId="3EF58D4B" w:rsidR="00B95328" w:rsidRPr="00BA0E8D" w:rsidRDefault="00793FBC" w:rsidP="0031099B">
      <w:pPr>
        <w:autoSpaceDE w:val="0"/>
        <w:autoSpaceDN w:val="0"/>
        <w:adjustRightInd w:val="0"/>
        <w:spacing w:after="0" w:line="360" w:lineRule="auto"/>
        <w:jc w:val="both"/>
        <w:rPr>
          <w:rFonts w:ascii="Times New Roman" w:hAnsi="Times New Roman"/>
          <w:color w:val="000000"/>
          <w:sz w:val="24"/>
          <w:szCs w:val="24"/>
          <w:lang w:eastAsia="en-GB"/>
        </w:rPr>
      </w:pPr>
      <w:r w:rsidRPr="00BA0E8D">
        <w:rPr>
          <w:rFonts w:ascii="Times New Roman" w:hAnsi="Times New Roman"/>
          <w:color w:val="000000"/>
          <w:sz w:val="24"/>
          <w:szCs w:val="24"/>
        </w:rPr>
        <w:t>In line with other empirical studies (e.g.</w:t>
      </w:r>
      <w:r w:rsidR="008F2CDB">
        <w:rPr>
          <w:rFonts w:ascii="Times New Roman" w:hAnsi="Times New Roman"/>
          <w:color w:val="000000"/>
          <w:sz w:val="24"/>
          <w:szCs w:val="24"/>
        </w:rPr>
        <w:t>,</w:t>
      </w:r>
      <w:r w:rsidRPr="00BA0E8D">
        <w:rPr>
          <w:rFonts w:ascii="Times New Roman" w:hAnsi="Times New Roman"/>
          <w:color w:val="000000"/>
          <w:sz w:val="24"/>
          <w:szCs w:val="24"/>
        </w:rPr>
        <w:t xml:space="preserve"> </w:t>
      </w:r>
      <w:r w:rsidR="004D42DC" w:rsidRPr="00BA0E8D">
        <w:rPr>
          <w:rFonts w:ascii="Times New Roman" w:hAnsi="Times New Roman"/>
          <w:color w:val="000000"/>
          <w:sz w:val="24"/>
          <w:szCs w:val="24"/>
          <w:shd w:val="clear" w:color="auto" w:fill="FFFFFF"/>
        </w:rPr>
        <w:t xml:space="preserve">Valverde </w:t>
      </w:r>
      <w:r w:rsidR="003C090F" w:rsidRPr="00BA0E8D">
        <w:rPr>
          <w:rFonts w:ascii="Times New Roman" w:hAnsi="Times New Roman"/>
          <w:color w:val="000000"/>
          <w:sz w:val="24"/>
          <w:szCs w:val="24"/>
          <w:shd w:val="clear" w:color="auto" w:fill="FFFFFF"/>
        </w:rPr>
        <w:t xml:space="preserve">and </w:t>
      </w:r>
      <w:r w:rsidR="004D42DC" w:rsidRPr="00BA0E8D">
        <w:rPr>
          <w:rFonts w:ascii="Times New Roman" w:hAnsi="Times New Roman"/>
          <w:color w:val="000000"/>
          <w:sz w:val="24"/>
          <w:szCs w:val="24"/>
          <w:shd w:val="clear" w:color="auto" w:fill="FFFFFF"/>
        </w:rPr>
        <w:t>Fernández, 2007</w:t>
      </w:r>
      <w:r w:rsidR="00950295" w:rsidRPr="00BA0E8D">
        <w:rPr>
          <w:rFonts w:ascii="Times New Roman" w:hAnsi="Times New Roman"/>
          <w:color w:val="222222"/>
          <w:sz w:val="24"/>
          <w:szCs w:val="24"/>
          <w:shd w:val="clear" w:color="auto" w:fill="FFFFFF"/>
        </w:rPr>
        <w:t xml:space="preserve">; </w:t>
      </w:r>
      <w:proofErr w:type="spellStart"/>
      <w:r w:rsidRPr="00BA0E8D">
        <w:rPr>
          <w:rFonts w:ascii="Times New Roman" w:hAnsi="Times New Roman"/>
          <w:color w:val="222222"/>
          <w:sz w:val="24"/>
          <w:szCs w:val="24"/>
          <w:shd w:val="clear" w:color="auto" w:fill="FFFFFF"/>
        </w:rPr>
        <w:t>Demirg</w:t>
      </w:r>
      <w:r w:rsidR="00F77A15" w:rsidRPr="00697D0E">
        <w:rPr>
          <w:rFonts w:ascii="Times New Roman" w:hAnsi="Times New Roman"/>
          <w:sz w:val="24"/>
          <w:szCs w:val="24"/>
        </w:rPr>
        <w:t>üç</w:t>
      </w:r>
      <w:r w:rsidRPr="00BA0E8D">
        <w:rPr>
          <w:rFonts w:ascii="Times New Roman" w:hAnsi="Times New Roman"/>
          <w:color w:val="222222"/>
          <w:sz w:val="24"/>
          <w:szCs w:val="24"/>
          <w:shd w:val="clear" w:color="auto" w:fill="FFFFFF"/>
        </w:rPr>
        <w:t>-Kunt</w:t>
      </w:r>
      <w:proofErr w:type="spellEnd"/>
      <w:r w:rsidRPr="00BA0E8D">
        <w:rPr>
          <w:rFonts w:ascii="Times New Roman" w:hAnsi="Times New Roman"/>
          <w:color w:val="222222"/>
          <w:sz w:val="24"/>
          <w:szCs w:val="24"/>
          <w:shd w:val="clear" w:color="auto" w:fill="FFFFFF"/>
        </w:rPr>
        <w:t xml:space="preserve"> et al.</w:t>
      </w:r>
      <w:r w:rsidR="000F7B31">
        <w:rPr>
          <w:rFonts w:ascii="Times New Roman" w:hAnsi="Times New Roman"/>
          <w:color w:val="222222"/>
          <w:sz w:val="24"/>
          <w:szCs w:val="24"/>
          <w:shd w:val="clear" w:color="auto" w:fill="FFFFFF"/>
        </w:rPr>
        <w:t>,</w:t>
      </w:r>
      <w:r w:rsidRPr="00BA0E8D">
        <w:rPr>
          <w:rFonts w:ascii="Times New Roman" w:hAnsi="Times New Roman"/>
          <w:color w:val="222222"/>
          <w:sz w:val="24"/>
          <w:szCs w:val="24"/>
          <w:shd w:val="clear" w:color="auto" w:fill="FFFFFF"/>
        </w:rPr>
        <w:t xml:space="preserve"> 2003)</w:t>
      </w:r>
      <w:r w:rsidR="00582BDF" w:rsidRPr="00BA0E8D">
        <w:rPr>
          <w:rFonts w:ascii="Times New Roman" w:hAnsi="Times New Roman"/>
          <w:color w:val="222222"/>
          <w:sz w:val="24"/>
          <w:szCs w:val="24"/>
          <w:shd w:val="clear" w:color="auto" w:fill="FFFFFF"/>
        </w:rPr>
        <w:t>,</w:t>
      </w:r>
      <w:r w:rsidRPr="00BA0E8D">
        <w:rPr>
          <w:rFonts w:ascii="Times New Roman" w:hAnsi="Times New Roman"/>
          <w:color w:val="000000"/>
          <w:sz w:val="24"/>
          <w:szCs w:val="24"/>
        </w:rPr>
        <w:t xml:space="preserve"> we control for </w:t>
      </w:r>
      <w:proofErr w:type="gramStart"/>
      <w:r w:rsidRPr="00BA0E8D">
        <w:rPr>
          <w:rFonts w:ascii="Times New Roman" w:hAnsi="Times New Roman"/>
          <w:color w:val="000000"/>
          <w:sz w:val="24"/>
          <w:szCs w:val="24"/>
        </w:rPr>
        <w:t>a number of</w:t>
      </w:r>
      <w:proofErr w:type="gramEnd"/>
      <w:r w:rsidRPr="00BA0E8D">
        <w:rPr>
          <w:rFonts w:ascii="Times New Roman" w:hAnsi="Times New Roman"/>
          <w:color w:val="000000"/>
          <w:sz w:val="24"/>
          <w:szCs w:val="24"/>
        </w:rPr>
        <w:t xml:space="preserve"> country</w:t>
      </w:r>
      <w:r w:rsidR="000F7B31">
        <w:rPr>
          <w:rFonts w:ascii="Times New Roman" w:hAnsi="Times New Roman"/>
          <w:color w:val="000000"/>
          <w:sz w:val="24"/>
          <w:szCs w:val="24"/>
        </w:rPr>
        <w:t>-</w:t>
      </w:r>
      <w:r w:rsidRPr="00BA0E8D">
        <w:rPr>
          <w:rFonts w:ascii="Times New Roman" w:hAnsi="Times New Roman"/>
          <w:color w:val="000000"/>
          <w:sz w:val="24"/>
          <w:szCs w:val="24"/>
        </w:rPr>
        <w:t xml:space="preserve">specific traits. </w:t>
      </w:r>
      <w:r w:rsidR="009928F0" w:rsidRPr="00BA0E8D">
        <w:rPr>
          <w:rFonts w:ascii="Times New Roman" w:hAnsi="Times New Roman"/>
          <w:color w:val="000000"/>
          <w:sz w:val="24"/>
          <w:szCs w:val="24"/>
        </w:rPr>
        <w:t xml:space="preserve">This is to ensure that the relationship between credit information sharing and intermediation cost is not driven by macroeconomic variations. </w:t>
      </w:r>
      <w:r w:rsidR="00613743" w:rsidRPr="00BA0E8D">
        <w:rPr>
          <w:rFonts w:ascii="Times New Roman" w:hAnsi="Times New Roman"/>
          <w:color w:val="000000"/>
          <w:sz w:val="24"/>
          <w:szCs w:val="24"/>
        </w:rPr>
        <w:t xml:space="preserve">These variables include </w:t>
      </w:r>
      <w:r w:rsidR="008A2C43" w:rsidRPr="00BA0E8D">
        <w:rPr>
          <w:rFonts w:ascii="Times New Roman" w:hAnsi="Times New Roman"/>
          <w:color w:val="000000"/>
          <w:sz w:val="24"/>
          <w:szCs w:val="24"/>
        </w:rPr>
        <w:t xml:space="preserve">inflation measured </w:t>
      </w:r>
      <w:r w:rsidR="00E30031" w:rsidRPr="00BA0E8D">
        <w:rPr>
          <w:rFonts w:ascii="Times New Roman" w:hAnsi="Times New Roman"/>
          <w:color w:val="000000"/>
          <w:sz w:val="24"/>
          <w:szCs w:val="24"/>
        </w:rPr>
        <w:t xml:space="preserve">as the annual </w:t>
      </w:r>
      <w:r w:rsidR="00370539" w:rsidRPr="00BA0E8D">
        <w:rPr>
          <w:rFonts w:ascii="Times New Roman" w:hAnsi="Times New Roman"/>
          <w:color w:val="000000"/>
          <w:sz w:val="24"/>
          <w:szCs w:val="24"/>
        </w:rPr>
        <w:t>percentage change</w:t>
      </w:r>
      <w:r w:rsidR="00E30031" w:rsidRPr="00BA0E8D">
        <w:rPr>
          <w:rFonts w:ascii="Times New Roman" w:hAnsi="Times New Roman"/>
          <w:color w:val="000000"/>
          <w:sz w:val="24"/>
          <w:szCs w:val="24"/>
        </w:rPr>
        <w:t xml:space="preserve"> in consumer price index</w:t>
      </w:r>
      <w:r w:rsidR="008A2C43" w:rsidRPr="00BA0E8D">
        <w:rPr>
          <w:rFonts w:ascii="Times New Roman" w:hAnsi="Times New Roman"/>
          <w:color w:val="000000"/>
          <w:sz w:val="24"/>
          <w:szCs w:val="24"/>
        </w:rPr>
        <w:t>. This accounts for possible uncertainty in the credit market (Fosu, 2014).</w:t>
      </w:r>
      <w:r w:rsidR="00D5019C" w:rsidRPr="00BA0E8D">
        <w:rPr>
          <w:rFonts w:ascii="Times New Roman" w:hAnsi="Times New Roman"/>
          <w:color w:val="000000"/>
          <w:sz w:val="24"/>
          <w:szCs w:val="24"/>
        </w:rPr>
        <w:t xml:space="preserve"> We also include</w:t>
      </w:r>
      <w:r w:rsidR="008A2C43" w:rsidRPr="00BA0E8D">
        <w:rPr>
          <w:rFonts w:ascii="Times New Roman" w:hAnsi="Times New Roman"/>
          <w:color w:val="000000"/>
          <w:sz w:val="24"/>
          <w:szCs w:val="24"/>
        </w:rPr>
        <w:t xml:space="preserve"> </w:t>
      </w:r>
      <w:r w:rsidR="00613743" w:rsidRPr="00BA0E8D">
        <w:rPr>
          <w:rFonts w:ascii="Times New Roman" w:hAnsi="Times New Roman"/>
          <w:color w:val="000000"/>
          <w:sz w:val="24"/>
          <w:szCs w:val="24"/>
        </w:rPr>
        <w:t>growth in gross domestic product (GDP</w:t>
      </w:r>
      <w:r w:rsidR="00E30031" w:rsidRPr="00BA0E8D">
        <w:rPr>
          <w:rFonts w:ascii="Times New Roman" w:hAnsi="Times New Roman"/>
          <w:color w:val="000000"/>
          <w:sz w:val="24"/>
          <w:szCs w:val="24"/>
        </w:rPr>
        <w:t xml:space="preserve"> </w:t>
      </w:r>
      <w:r w:rsidR="00613743" w:rsidRPr="00BA0E8D">
        <w:rPr>
          <w:rFonts w:ascii="Times New Roman" w:hAnsi="Times New Roman"/>
          <w:color w:val="000000"/>
          <w:sz w:val="24"/>
          <w:szCs w:val="24"/>
        </w:rPr>
        <w:t>G</w:t>
      </w:r>
      <w:r w:rsidR="00E30031" w:rsidRPr="00BA0E8D">
        <w:rPr>
          <w:rFonts w:ascii="Times New Roman" w:hAnsi="Times New Roman"/>
          <w:color w:val="000000"/>
          <w:sz w:val="24"/>
          <w:szCs w:val="24"/>
        </w:rPr>
        <w:t>rowth</w:t>
      </w:r>
      <w:r w:rsidR="00613743" w:rsidRPr="00BA0E8D">
        <w:rPr>
          <w:rFonts w:ascii="Times New Roman" w:hAnsi="Times New Roman"/>
          <w:color w:val="000000"/>
          <w:sz w:val="24"/>
          <w:szCs w:val="24"/>
        </w:rPr>
        <w:t>)</w:t>
      </w:r>
      <w:r w:rsidR="00B52C44" w:rsidRPr="00BA0E8D">
        <w:rPr>
          <w:rFonts w:ascii="Times New Roman" w:hAnsi="Times New Roman"/>
          <w:color w:val="000000"/>
          <w:sz w:val="24"/>
          <w:szCs w:val="24"/>
        </w:rPr>
        <w:t xml:space="preserve">, which is measured </w:t>
      </w:r>
      <w:r w:rsidR="008A2C43" w:rsidRPr="00BA0E8D">
        <w:rPr>
          <w:rFonts w:ascii="Times New Roman" w:hAnsi="Times New Roman"/>
          <w:color w:val="000000"/>
          <w:sz w:val="24"/>
          <w:szCs w:val="24"/>
        </w:rPr>
        <w:t>as the</w:t>
      </w:r>
      <w:r w:rsidR="00B52C44" w:rsidRPr="00BA0E8D">
        <w:rPr>
          <w:rFonts w:ascii="Times New Roman" w:hAnsi="Times New Roman"/>
          <w:color w:val="000000"/>
          <w:sz w:val="24"/>
          <w:szCs w:val="24"/>
        </w:rPr>
        <w:t xml:space="preserve"> annual percentage change in real GDP.</w:t>
      </w:r>
      <w:r w:rsidR="0092624C" w:rsidRPr="00BA0E8D">
        <w:rPr>
          <w:rFonts w:ascii="Times New Roman" w:hAnsi="Times New Roman"/>
          <w:color w:val="000000"/>
          <w:sz w:val="24"/>
          <w:szCs w:val="24"/>
        </w:rPr>
        <w:t xml:space="preserve"> The inclusion of this variable is to account for changes in credit demand within a country</w:t>
      </w:r>
      <w:r w:rsidR="008F2CDB">
        <w:rPr>
          <w:rFonts w:ascii="Times New Roman" w:hAnsi="Times New Roman"/>
          <w:color w:val="000000"/>
          <w:sz w:val="24"/>
          <w:szCs w:val="24"/>
        </w:rPr>
        <w:t>,</w:t>
      </w:r>
      <w:r w:rsidR="0092624C" w:rsidRPr="00BA0E8D">
        <w:rPr>
          <w:rFonts w:ascii="Times New Roman" w:hAnsi="Times New Roman"/>
          <w:color w:val="000000"/>
          <w:sz w:val="24"/>
          <w:szCs w:val="24"/>
        </w:rPr>
        <w:t xml:space="preserve"> as well as the possible variations in adverse selection and </w:t>
      </w:r>
      <w:r w:rsidR="0092624C" w:rsidRPr="00BA0E8D">
        <w:rPr>
          <w:rFonts w:ascii="Times New Roman" w:hAnsi="Times New Roman"/>
          <w:color w:val="000000"/>
          <w:sz w:val="24"/>
          <w:szCs w:val="24"/>
        </w:rPr>
        <w:lastRenderedPageBreak/>
        <w:t>moral hazards in business cycles (</w:t>
      </w:r>
      <w:proofErr w:type="spellStart"/>
      <w:r w:rsidR="00C82FC3" w:rsidRPr="00BA0E8D">
        <w:rPr>
          <w:rFonts w:ascii="Times New Roman" w:hAnsi="Times New Roman"/>
          <w:color w:val="000000"/>
          <w:sz w:val="24"/>
          <w:szCs w:val="24"/>
        </w:rPr>
        <w:t>Altunbas</w:t>
      </w:r>
      <w:proofErr w:type="spellEnd"/>
      <w:r w:rsidR="00C82FC3" w:rsidRPr="00BA0E8D">
        <w:rPr>
          <w:rFonts w:ascii="Times New Roman" w:hAnsi="Times New Roman"/>
          <w:sz w:val="24"/>
          <w:szCs w:val="24"/>
        </w:rPr>
        <w:t xml:space="preserve"> et al., 2009; </w:t>
      </w:r>
      <w:proofErr w:type="spellStart"/>
      <w:r w:rsidR="008A7FD2" w:rsidRPr="00BA0E8D">
        <w:rPr>
          <w:rFonts w:ascii="Times New Roman" w:hAnsi="Times New Roman"/>
          <w:color w:val="222222"/>
          <w:sz w:val="24"/>
          <w:szCs w:val="24"/>
          <w:shd w:val="clear" w:color="auto" w:fill="FFFFFF"/>
        </w:rPr>
        <w:t>Andrianova</w:t>
      </w:r>
      <w:proofErr w:type="spellEnd"/>
      <w:r w:rsidR="008A7FD2" w:rsidRPr="00BA0E8D">
        <w:rPr>
          <w:rFonts w:ascii="Times New Roman" w:hAnsi="Times New Roman"/>
          <w:color w:val="222222"/>
          <w:sz w:val="24"/>
          <w:szCs w:val="24"/>
          <w:shd w:val="clear" w:color="auto" w:fill="FFFFFF"/>
        </w:rPr>
        <w:t xml:space="preserve"> et al.</w:t>
      </w:r>
      <w:r w:rsidR="003C090F" w:rsidRPr="00BA0E8D">
        <w:rPr>
          <w:rFonts w:ascii="Times New Roman" w:hAnsi="Times New Roman"/>
          <w:color w:val="222222"/>
          <w:sz w:val="24"/>
          <w:szCs w:val="24"/>
          <w:shd w:val="clear" w:color="auto" w:fill="FFFFFF"/>
        </w:rPr>
        <w:t>,</w:t>
      </w:r>
      <w:r w:rsidR="008A7FD2" w:rsidRPr="00BA0E8D">
        <w:rPr>
          <w:rFonts w:ascii="Times New Roman" w:hAnsi="Times New Roman"/>
          <w:color w:val="222222"/>
          <w:sz w:val="24"/>
          <w:szCs w:val="24"/>
          <w:shd w:val="clear" w:color="auto" w:fill="FFFFFF"/>
        </w:rPr>
        <w:t xml:space="preserve"> 2015</w:t>
      </w:r>
      <w:r w:rsidR="00411462" w:rsidRPr="00BA0E8D">
        <w:rPr>
          <w:rFonts w:ascii="Times New Roman" w:hAnsi="Times New Roman"/>
          <w:sz w:val="24"/>
          <w:szCs w:val="24"/>
        </w:rPr>
        <w:t>).</w:t>
      </w:r>
      <w:r w:rsidR="00067690" w:rsidRPr="00BA0E8D">
        <w:rPr>
          <w:rFonts w:ascii="Times New Roman" w:hAnsi="Times New Roman"/>
          <w:sz w:val="24"/>
          <w:szCs w:val="24"/>
        </w:rPr>
        <w:t xml:space="preserve"> </w:t>
      </w:r>
      <w:r w:rsidR="000F7B31">
        <w:rPr>
          <w:rFonts w:ascii="Times New Roman" w:hAnsi="Times New Roman"/>
          <w:sz w:val="24"/>
          <w:szCs w:val="24"/>
        </w:rPr>
        <w:t>In addition to</w:t>
      </w:r>
      <w:r w:rsidR="000F7B31" w:rsidRPr="00BA0E8D">
        <w:rPr>
          <w:rFonts w:ascii="Times New Roman" w:hAnsi="Times New Roman"/>
          <w:sz w:val="24"/>
          <w:szCs w:val="24"/>
        </w:rPr>
        <w:t xml:space="preserve"> </w:t>
      </w:r>
      <w:r w:rsidR="00067690" w:rsidRPr="00BA0E8D">
        <w:rPr>
          <w:rFonts w:ascii="Times New Roman" w:hAnsi="Times New Roman"/>
          <w:sz w:val="24"/>
          <w:szCs w:val="24"/>
        </w:rPr>
        <w:t xml:space="preserve">the variables described above, we also include </w:t>
      </w:r>
      <w:proofErr w:type="gramStart"/>
      <w:r w:rsidR="00067690" w:rsidRPr="00BA0E8D">
        <w:rPr>
          <w:rFonts w:ascii="Times New Roman" w:hAnsi="Times New Roman"/>
          <w:sz w:val="24"/>
          <w:szCs w:val="24"/>
        </w:rPr>
        <w:t>a number of</w:t>
      </w:r>
      <w:proofErr w:type="gramEnd"/>
      <w:r w:rsidR="00067690" w:rsidRPr="00BA0E8D">
        <w:rPr>
          <w:rFonts w:ascii="Times New Roman" w:hAnsi="Times New Roman"/>
          <w:sz w:val="24"/>
          <w:szCs w:val="24"/>
        </w:rPr>
        <w:t xml:space="preserve"> governance indicators. These include rule of law, control o</w:t>
      </w:r>
      <w:r w:rsidR="000F7B31">
        <w:rPr>
          <w:rFonts w:ascii="Times New Roman" w:hAnsi="Times New Roman"/>
          <w:sz w:val="24"/>
          <w:szCs w:val="24"/>
        </w:rPr>
        <w:t>f</w:t>
      </w:r>
      <w:r w:rsidR="00067690" w:rsidRPr="00BA0E8D">
        <w:rPr>
          <w:rFonts w:ascii="Times New Roman" w:hAnsi="Times New Roman"/>
          <w:sz w:val="24"/>
          <w:szCs w:val="24"/>
        </w:rPr>
        <w:t xml:space="preserve"> corruption and regulatory quality. </w:t>
      </w:r>
      <w:r w:rsidR="001E5269" w:rsidRPr="00BA0E8D">
        <w:rPr>
          <w:rFonts w:ascii="Times New Roman" w:hAnsi="Times New Roman"/>
          <w:sz w:val="24"/>
          <w:szCs w:val="24"/>
        </w:rPr>
        <w:t xml:space="preserve">The rule of law </w:t>
      </w:r>
      <w:r w:rsidR="00FD475C" w:rsidRPr="00BA0E8D">
        <w:rPr>
          <w:rFonts w:ascii="Times New Roman" w:hAnsi="Times New Roman"/>
          <w:sz w:val="24"/>
          <w:szCs w:val="24"/>
        </w:rPr>
        <w:t xml:space="preserve">measures </w:t>
      </w:r>
      <w:r w:rsidR="00FD475C" w:rsidRPr="00BA0E8D">
        <w:rPr>
          <w:rFonts w:ascii="Times New Roman" w:hAnsi="Times New Roman"/>
          <w:sz w:val="24"/>
          <w:szCs w:val="24"/>
          <w:lang w:eastAsia="en-GB"/>
        </w:rPr>
        <w:t>“</w:t>
      </w:r>
      <w:r w:rsidR="00E76247" w:rsidRPr="00BA0E8D">
        <w:rPr>
          <w:rFonts w:ascii="Times New Roman" w:hAnsi="Times New Roman"/>
          <w:sz w:val="24"/>
        </w:rPr>
        <w:t>perceptions of the extent to which agents have confidence in and abide by the rules of society, and in particular the quality of contract enforcement, property rights, the police, and the courts, as well as the likelihood of crime and violence</w:t>
      </w:r>
      <w:r w:rsidR="00582BDF" w:rsidRPr="00BA0E8D">
        <w:rPr>
          <w:rFonts w:ascii="Times New Roman" w:hAnsi="Times New Roman"/>
          <w:sz w:val="24"/>
          <w:szCs w:val="24"/>
          <w:lang w:eastAsia="en-GB"/>
        </w:rPr>
        <w:t>”</w:t>
      </w:r>
      <w:r w:rsidR="001E5269" w:rsidRPr="00BA0E8D">
        <w:rPr>
          <w:rFonts w:ascii="Times New Roman" w:hAnsi="Times New Roman"/>
          <w:sz w:val="24"/>
          <w:szCs w:val="24"/>
          <w:lang w:eastAsia="en-GB"/>
        </w:rPr>
        <w:t xml:space="preserve"> </w:t>
      </w:r>
      <w:r w:rsidR="007A3DF7" w:rsidRPr="00BA0E8D">
        <w:rPr>
          <w:rFonts w:ascii="Times New Roman" w:hAnsi="Times New Roman"/>
          <w:color w:val="000000"/>
          <w:sz w:val="24"/>
          <w:szCs w:val="24"/>
          <w:lang w:eastAsia="en-GB"/>
        </w:rPr>
        <w:t>(Kaufmann et al., 2011, p. 223).</w:t>
      </w:r>
      <w:r w:rsidR="00DA5F8B" w:rsidRPr="00BA0E8D">
        <w:rPr>
          <w:rFonts w:ascii="Times New Roman" w:hAnsi="Times New Roman"/>
          <w:color w:val="000000"/>
          <w:sz w:val="24"/>
          <w:szCs w:val="24"/>
          <w:lang w:eastAsia="en-GB"/>
        </w:rPr>
        <w:t xml:space="preserve"> </w:t>
      </w:r>
      <w:r w:rsidR="002F424B" w:rsidRPr="00BA0E8D">
        <w:rPr>
          <w:rFonts w:ascii="Times New Roman" w:hAnsi="Times New Roman"/>
          <w:color w:val="222222"/>
          <w:sz w:val="24"/>
          <w:szCs w:val="24"/>
          <w:shd w:val="clear" w:color="auto" w:fill="FFFFFF"/>
        </w:rPr>
        <w:t xml:space="preserve">The control of corruption index measures </w:t>
      </w:r>
      <w:r w:rsidR="002F424B" w:rsidRPr="00BA0E8D">
        <w:rPr>
          <w:rFonts w:ascii="Times New Roman" w:hAnsi="Times New Roman"/>
          <w:color w:val="000000"/>
          <w:sz w:val="24"/>
          <w:szCs w:val="24"/>
          <w:lang w:eastAsia="en-GB"/>
        </w:rPr>
        <w:t>“</w:t>
      </w:r>
      <w:r w:rsidR="004E76A3" w:rsidRPr="00BA0E8D">
        <w:rPr>
          <w:rFonts w:ascii="Times New Roman" w:hAnsi="Times New Roman"/>
          <w:sz w:val="24"/>
        </w:rPr>
        <w:t xml:space="preserve">perceptions of the extent to which public power is exercised for private gain, including both petty and grand forms of corruption, as well as </w:t>
      </w:r>
      <w:r w:rsidR="000F7B31">
        <w:rPr>
          <w:rFonts w:ascii="Times New Roman" w:hAnsi="Times New Roman"/>
          <w:sz w:val="24"/>
        </w:rPr>
        <w:t>‘</w:t>
      </w:r>
      <w:r w:rsidR="004E76A3" w:rsidRPr="00BA0E8D">
        <w:rPr>
          <w:rFonts w:ascii="Times New Roman" w:hAnsi="Times New Roman"/>
          <w:sz w:val="24"/>
        </w:rPr>
        <w:t>capture</w:t>
      </w:r>
      <w:r w:rsidR="000F7B31">
        <w:rPr>
          <w:rFonts w:ascii="Times New Roman" w:hAnsi="Times New Roman"/>
          <w:sz w:val="24"/>
        </w:rPr>
        <w:t>’</w:t>
      </w:r>
      <w:r w:rsidR="004E76A3" w:rsidRPr="00BA0E8D">
        <w:rPr>
          <w:rFonts w:ascii="Times New Roman" w:hAnsi="Times New Roman"/>
          <w:sz w:val="24"/>
        </w:rPr>
        <w:t xml:space="preserve"> of the state by elites and private interests</w:t>
      </w:r>
      <w:r w:rsidR="00DA5F8B" w:rsidRPr="00BA0E8D">
        <w:rPr>
          <w:rFonts w:ascii="Times New Roman" w:hAnsi="Times New Roman"/>
          <w:color w:val="000000"/>
          <w:sz w:val="24"/>
          <w:szCs w:val="24"/>
          <w:lang w:eastAsia="en-GB"/>
        </w:rPr>
        <w:t>”</w:t>
      </w:r>
      <w:r w:rsidR="002F424B" w:rsidRPr="00BA0E8D">
        <w:rPr>
          <w:rFonts w:ascii="Times New Roman" w:hAnsi="Times New Roman"/>
          <w:color w:val="000000"/>
          <w:sz w:val="24"/>
          <w:szCs w:val="24"/>
          <w:lang w:eastAsia="en-GB"/>
        </w:rPr>
        <w:t xml:space="preserve"> (Kaufmann et al., 2011, p. 223). Fin</w:t>
      </w:r>
      <w:r w:rsidR="008669E2" w:rsidRPr="00BA0E8D">
        <w:rPr>
          <w:rFonts w:ascii="Times New Roman" w:hAnsi="Times New Roman"/>
          <w:color w:val="000000"/>
          <w:sz w:val="24"/>
          <w:szCs w:val="24"/>
          <w:lang w:eastAsia="en-GB"/>
        </w:rPr>
        <w:t xml:space="preserve">ally, </w:t>
      </w:r>
      <w:r w:rsidR="000F7B31">
        <w:rPr>
          <w:rFonts w:ascii="Times New Roman" w:hAnsi="Times New Roman"/>
          <w:color w:val="000000"/>
          <w:sz w:val="24"/>
          <w:szCs w:val="24"/>
          <w:lang w:eastAsia="en-GB"/>
        </w:rPr>
        <w:t xml:space="preserve">the </w:t>
      </w:r>
      <w:r w:rsidR="008669E2" w:rsidRPr="00BA0E8D">
        <w:rPr>
          <w:rFonts w:ascii="Times New Roman" w:hAnsi="Times New Roman"/>
          <w:color w:val="000000"/>
          <w:sz w:val="24"/>
          <w:szCs w:val="24"/>
          <w:lang w:eastAsia="en-GB"/>
        </w:rPr>
        <w:t>regulatory quality index capture</w:t>
      </w:r>
      <w:r w:rsidR="007A3DF7" w:rsidRPr="00BA0E8D">
        <w:rPr>
          <w:rFonts w:ascii="Times New Roman" w:hAnsi="Times New Roman"/>
          <w:color w:val="000000"/>
          <w:sz w:val="24"/>
          <w:szCs w:val="24"/>
          <w:lang w:eastAsia="en-GB"/>
        </w:rPr>
        <w:t>s</w:t>
      </w:r>
      <w:r w:rsidR="008669E2" w:rsidRPr="00BA0E8D">
        <w:rPr>
          <w:rFonts w:ascii="Times New Roman" w:hAnsi="Times New Roman"/>
          <w:color w:val="000000"/>
          <w:sz w:val="24"/>
          <w:szCs w:val="24"/>
          <w:lang w:eastAsia="en-GB"/>
        </w:rPr>
        <w:t xml:space="preserve"> “</w:t>
      </w:r>
      <w:r w:rsidR="007A3DF7" w:rsidRPr="00BA0E8D">
        <w:rPr>
          <w:rFonts w:ascii="Times New Roman" w:hAnsi="Times New Roman"/>
          <w:sz w:val="24"/>
          <w:szCs w:val="24"/>
        </w:rPr>
        <w:t>perceptions of the ability of the government to formulate and implement sound policies and regulations that permit and promote private sector development</w:t>
      </w:r>
      <w:r w:rsidR="008669E2" w:rsidRPr="00BA0E8D">
        <w:rPr>
          <w:rFonts w:ascii="Times New Roman" w:hAnsi="Times New Roman"/>
          <w:color w:val="000000"/>
          <w:sz w:val="24"/>
          <w:szCs w:val="24"/>
          <w:lang w:eastAsia="en-GB"/>
        </w:rPr>
        <w:t>” (Kaufmann et al., 2011, p. 223).</w:t>
      </w:r>
    </w:p>
    <w:p w14:paraId="309EAF9B" w14:textId="77777777" w:rsidR="00310BC8" w:rsidRPr="00BA0E8D" w:rsidRDefault="00310BC8" w:rsidP="00521F59">
      <w:pPr>
        <w:spacing w:before="240" w:after="240" w:line="360" w:lineRule="auto"/>
        <w:rPr>
          <w:rFonts w:ascii="Times New Roman" w:hAnsi="Times New Roman"/>
          <w:sz w:val="24"/>
          <w:szCs w:val="24"/>
        </w:rPr>
      </w:pPr>
    </w:p>
    <w:p w14:paraId="7A58452C" w14:textId="19061DB1" w:rsidR="00A651BC" w:rsidRPr="00BA0E8D" w:rsidRDefault="00495FED" w:rsidP="00444D9D">
      <w:pPr>
        <w:spacing w:before="240" w:after="240" w:line="360" w:lineRule="auto"/>
        <w:jc w:val="both"/>
        <w:rPr>
          <w:rFonts w:ascii="Times New Roman" w:hAnsi="Times New Roman"/>
          <w:b/>
          <w:sz w:val="24"/>
          <w:szCs w:val="24"/>
        </w:rPr>
      </w:pPr>
      <w:r>
        <w:rPr>
          <w:rFonts w:ascii="Times New Roman" w:hAnsi="Times New Roman"/>
          <w:b/>
          <w:sz w:val="24"/>
          <w:szCs w:val="24"/>
        </w:rPr>
        <w:t>4</w:t>
      </w:r>
      <w:r w:rsidR="00A651BC" w:rsidRPr="00BA0E8D">
        <w:rPr>
          <w:rFonts w:ascii="Times New Roman" w:hAnsi="Times New Roman"/>
          <w:b/>
          <w:sz w:val="24"/>
          <w:szCs w:val="24"/>
        </w:rPr>
        <w:t>.</w:t>
      </w:r>
      <w:r>
        <w:rPr>
          <w:rFonts w:ascii="Times New Roman" w:hAnsi="Times New Roman"/>
          <w:b/>
          <w:sz w:val="24"/>
          <w:szCs w:val="24"/>
        </w:rPr>
        <w:t>3</w:t>
      </w:r>
      <w:r w:rsidR="00A651BC" w:rsidRPr="00BA0E8D">
        <w:rPr>
          <w:rFonts w:ascii="Times New Roman" w:hAnsi="Times New Roman"/>
          <w:b/>
          <w:sz w:val="24"/>
          <w:szCs w:val="24"/>
        </w:rPr>
        <w:t xml:space="preserve"> </w:t>
      </w:r>
      <w:r w:rsidR="00235BC5" w:rsidRPr="00BA0E8D">
        <w:rPr>
          <w:rFonts w:ascii="Times New Roman" w:hAnsi="Times New Roman"/>
          <w:b/>
          <w:sz w:val="24"/>
          <w:szCs w:val="24"/>
        </w:rPr>
        <w:t>Estimation method</w:t>
      </w:r>
    </w:p>
    <w:p w14:paraId="2762B2C8" w14:textId="34730515" w:rsidR="0034476E" w:rsidRPr="00BA0E8D" w:rsidRDefault="00A651BC" w:rsidP="003074D1">
      <w:pPr>
        <w:autoSpaceDE w:val="0"/>
        <w:autoSpaceDN w:val="0"/>
        <w:adjustRightInd w:val="0"/>
        <w:spacing w:after="0" w:line="360" w:lineRule="auto"/>
        <w:jc w:val="both"/>
        <w:rPr>
          <w:rFonts w:ascii="Times New Roman" w:hAnsi="Times New Roman"/>
          <w:sz w:val="24"/>
          <w:szCs w:val="24"/>
          <w:lang w:eastAsia="en-GB"/>
        </w:rPr>
      </w:pPr>
      <w:r w:rsidRPr="00BA0E8D">
        <w:rPr>
          <w:rFonts w:ascii="Times New Roman" w:hAnsi="Times New Roman"/>
          <w:sz w:val="24"/>
          <w:szCs w:val="24"/>
        </w:rPr>
        <w:t xml:space="preserve">We formulate empirical models in this section to test out our main </w:t>
      </w:r>
      <w:r w:rsidR="00D332D6" w:rsidRPr="00BA0E8D">
        <w:rPr>
          <w:rFonts w:ascii="Times New Roman" w:hAnsi="Times New Roman"/>
          <w:sz w:val="24"/>
          <w:szCs w:val="24"/>
        </w:rPr>
        <w:t>argument</w:t>
      </w:r>
      <w:r w:rsidR="0036629D" w:rsidRPr="00BA0E8D">
        <w:rPr>
          <w:rFonts w:ascii="Times New Roman" w:hAnsi="Times New Roman"/>
          <w:sz w:val="24"/>
          <w:szCs w:val="24"/>
        </w:rPr>
        <w:t>.</w:t>
      </w:r>
      <w:r w:rsidR="00FE2DB9" w:rsidRPr="00BA0E8D">
        <w:rPr>
          <w:rFonts w:ascii="Times New Roman" w:hAnsi="Times New Roman"/>
          <w:sz w:val="24"/>
          <w:szCs w:val="24"/>
        </w:rPr>
        <w:t xml:space="preserve"> I</w:t>
      </w:r>
      <w:r w:rsidR="00E94350" w:rsidRPr="00BA0E8D">
        <w:rPr>
          <w:rFonts w:ascii="Times New Roman" w:hAnsi="Times New Roman"/>
          <w:sz w:val="24"/>
          <w:szCs w:val="24"/>
        </w:rPr>
        <w:t xml:space="preserve">n order to do this, </w:t>
      </w:r>
      <w:r w:rsidR="00BC6C9A" w:rsidRPr="00BA0E8D">
        <w:rPr>
          <w:rFonts w:ascii="Times New Roman" w:hAnsi="Times New Roman"/>
          <w:sz w:val="24"/>
          <w:szCs w:val="24"/>
        </w:rPr>
        <w:t>and consistent with the extant literature (e.g.</w:t>
      </w:r>
      <w:r w:rsidR="00EE1C0F">
        <w:rPr>
          <w:rFonts w:ascii="Times New Roman" w:hAnsi="Times New Roman"/>
          <w:sz w:val="24"/>
          <w:szCs w:val="24"/>
        </w:rPr>
        <w:t>,</w:t>
      </w:r>
      <w:r w:rsidR="00BC6C9A" w:rsidRPr="00BA0E8D">
        <w:rPr>
          <w:rFonts w:ascii="Times New Roman" w:hAnsi="Times New Roman"/>
          <w:sz w:val="24"/>
          <w:szCs w:val="24"/>
        </w:rPr>
        <w:t xml:space="preserve"> </w:t>
      </w:r>
      <w:r w:rsidR="00A11C73" w:rsidRPr="00BA0E8D">
        <w:rPr>
          <w:rFonts w:ascii="Times New Roman" w:hAnsi="Times New Roman"/>
          <w:sz w:val="24"/>
          <w:szCs w:val="24"/>
        </w:rPr>
        <w:t>Cole et al., 2016</w:t>
      </w:r>
      <w:r w:rsidR="00BC6C9A" w:rsidRPr="00BA0E8D">
        <w:rPr>
          <w:rFonts w:ascii="Times New Roman" w:hAnsi="Times New Roman"/>
          <w:sz w:val="24"/>
          <w:szCs w:val="24"/>
        </w:rPr>
        <w:t>),</w:t>
      </w:r>
      <w:r w:rsidR="006358ED" w:rsidRPr="00BA0E8D">
        <w:rPr>
          <w:rFonts w:ascii="Times New Roman" w:hAnsi="Times New Roman"/>
          <w:sz w:val="24"/>
          <w:szCs w:val="24"/>
        </w:rPr>
        <w:t xml:space="preserve"> we</w:t>
      </w:r>
      <w:r w:rsidR="00BC6C9A" w:rsidRPr="00BA0E8D">
        <w:rPr>
          <w:rFonts w:ascii="Times New Roman" w:hAnsi="Times New Roman"/>
          <w:sz w:val="24"/>
          <w:szCs w:val="24"/>
        </w:rPr>
        <w:t xml:space="preserve"> </w:t>
      </w:r>
      <w:r w:rsidR="004235FF" w:rsidRPr="00BA0E8D">
        <w:rPr>
          <w:rFonts w:ascii="Times New Roman" w:hAnsi="Times New Roman"/>
          <w:sz w:val="24"/>
          <w:szCs w:val="24"/>
          <w:lang w:eastAsia="en-GB"/>
        </w:rPr>
        <w:t xml:space="preserve">adopt a panel data approach, </w:t>
      </w:r>
      <w:r w:rsidR="00BC6C9A" w:rsidRPr="00BA0E8D">
        <w:rPr>
          <w:rFonts w:ascii="Times New Roman" w:hAnsi="Times New Roman"/>
          <w:sz w:val="24"/>
          <w:szCs w:val="24"/>
          <w:lang w:eastAsia="en-GB"/>
        </w:rPr>
        <w:t>which permits</w:t>
      </w:r>
      <w:r w:rsidR="004235FF" w:rsidRPr="00BA0E8D">
        <w:rPr>
          <w:rFonts w:ascii="Times New Roman" w:hAnsi="Times New Roman"/>
          <w:sz w:val="24"/>
          <w:szCs w:val="24"/>
          <w:lang w:eastAsia="en-GB"/>
        </w:rPr>
        <w:t xml:space="preserve"> bank</w:t>
      </w:r>
      <w:r w:rsidR="00F8312F">
        <w:rPr>
          <w:rFonts w:ascii="Times New Roman" w:hAnsi="Times New Roman"/>
          <w:sz w:val="24"/>
          <w:szCs w:val="24"/>
          <w:lang w:eastAsia="en-GB"/>
        </w:rPr>
        <w:t>-</w:t>
      </w:r>
      <w:r w:rsidR="004235FF" w:rsidRPr="00BA0E8D">
        <w:rPr>
          <w:rFonts w:ascii="Times New Roman" w:hAnsi="Times New Roman"/>
          <w:sz w:val="24"/>
          <w:szCs w:val="24"/>
          <w:lang w:eastAsia="en-GB"/>
        </w:rPr>
        <w:t xml:space="preserve"> and country</w:t>
      </w:r>
      <w:r w:rsidR="00F8312F">
        <w:rPr>
          <w:rFonts w:ascii="Times New Roman" w:hAnsi="Times New Roman"/>
          <w:sz w:val="24"/>
          <w:szCs w:val="24"/>
          <w:lang w:eastAsia="en-GB"/>
        </w:rPr>
        <w:t>-</w:t>
      </w:r>
      <w:r w:rsidR="004235FF" w:rsidRPr="00BA0E8D">
        <w:rPr>
          <w:rFonts w:ascii="Times New Roman" w:hAnsi="Times New Roman"/>
          <w:sz w:val="24"/>
          <w:szCs w:val="24"/>
          <w:lang w:eastAsia="en-GB"/>
        </w:rPr>
        <w:t>level variables to vary over time</w:t>
      </w:r>
      <w:r w:rsidR="00BC6C9A" w:rsidRPr="00BA0E8D">
        <w:rPr>
          <w:rFonts w:ascii="Times New Roman" w:hAnsi="Times New Roman"/>
          <w:sz w:val="24"/>
          <w:szCs w:val="24"/>
          <w:lang w:eastAsia="en-GB"/>
        </w:rPr>
        <w:t xml:space="preserve">. </w:t>
      </w:r>
      <w:r w:rsidR="003074D1" w:rsidRPr="00BA0E8D">
        <w:rPr>
          <w:rFonts w:ascii="Times New Roman" w:hAnsi="Times New Roman"/>
          <w:sz w:val="24"/>
          <w:szCs w:val="24"/>
          <w:lang w:eastAsia="en-GB"/>
        </w:rPr>
        <w:t xml:space="preserve">In order to cater for the likelihood that credit </w:t>
      </w:r>
      <w:r w:rsidR="00521F59">
        <w:rPr>
          <w:rFonts w:ascii="Times New Roman" w:hAnsi="Times New Roman"/>
          <w:sz w:val="24"/>
          <w:szCs w:val="24"/>
          <w:lang w:eastAsia="en-GB"/>
        </w:rPr>
        <w:t>intermediation cost</w:t>
      </w:r>
      <w:r w:rsidR="003074D1" w:rsidRPr="00BA0E8D">
        <w:rPr>
          <w:rFonts w:ascii="Times New Roman" w:hAnsi="Times New Roman"/>
          <w:sz w:val="24"/>
          <w:szCs w:val="24"/>
          <w:lang w:eastAsia="en-GB"/>
        </w:rPr>
        <w:t xml:space="preserve"> may not have been observed under long-run equilibrium for any given year, we adopt a dynamic estimation approach to accommodate the possibility of partial adjustment towards equilibrium. Our baseline model is therefore presented as</w:t>
      </w:r>
      <w:r w:rsidR="00F8312F">
        <w:rPr>
          <w:rFonts w:ascii="Times New Roman" w:hAnsi="Times New Roman"/>
          <w:sz w:val="24"/>
          <w:szCs w:val="24"/>
          <w:lang w:eastAsia="en-GB"/>
        </w:rPr>
        <w:t>:</w:t>
      </w:r>
      <w:r w:rsidR="003074D1" w:rsidRPr="00BA0E8D">
        <w:rPr>
          <w:rFonts w:ascii="Times New Roman" w:hAnsi="Times New Roman"/>
          <w:sz w:val="24"/>
          <w:szCs w:val="24"/>
          <w:lang w:eastAsia="en-GB"/>
        </w:rPr>
        <w:t xml:space="preserve"> </w:t>
      </w:r>
    </w:p>
    <w:p w14:paraId="107157A2" w14:textId="77777777" w:rsidR="0034476E" w:rsidRPr="00BA0E8D" w:rsidRDefault="0034476E" w:rsidP="002D46A2">
      <w:pPr>
        <w:autoSpaceDE w:val="0"/>
        <w:autoSpaceDN w:val="0"/>
        <w:adjustRightInd w:val="0"/>
        <w:spacing w:after="0" w:line="240" w:lineRule="auto"/>
        <w:jc w:val="both"/>
        <w:rPr>
          <w:rFonts w:ascii="Times New Roman" w:hAnsi="Times New Roman"/>
          <w:sz w:val="24"/>
          <w:szCs w:val="24"/>
          <w:lang w:eastAsia="en-GB"/>
        </w:rPr>
      </w:pPr>
    </w:p>
    <w:p w14:paraId="34F7B806" w14:textId="673CFF9D" w:rsidR="008C6F09" w:rsidRPr="00BA0E8D" w:rsidRDefault="002D46A2" w:rsidP="008C6F09">
      <w:pPr>
        <w:spacing w:before="240" w:after="240" w:line="360" w:lineRule="auto"/>
        <w:jc w:val="both"/>
        <w:rPr>
          <w:rFonts w:ascii="Times New Roman" w:hAnsi="Times New Roman"/>
          <w:sz w:val="24"/>
          <w:szCs w:val="24"/>
        </w:rPr>
      </w:pPr>
      <m:oMath>
        <m:r>
          <w:rPr>
            <w:rFonts w:ascii="Cambria Math" w:hAnsi="Cambria Math"/>
            <w:sz w:val="24"/>
            <w:szCs w:val="24"/>
            <w:lang w:eastAsia="en-GB"/>
          </w:rPr>
          <m:t xml:space="preserve"> </m:t>
        </m:r>
      </m:oMath>
      <w:r w:rsidR="00AA7454" w:rsidRPr="00BA0E8D">
        <w:rPr>
          <w:rFonts w:ascii="Times New Roman" w:hAnsi="Times New Roman"/>
          <w:sz w:val="24"/>
          <w:szCs w:val="24"/>
          <w:lang w:eastAsia="en-GB"/>
        </w:rPr>
        <w:tab/>
      </w:r>
      <w:r w:rsidR="007677AA" w:rsidRPr="00BA0E8D">
        <w:rPr>
          <w:rFonts w:ascii="Times New Roman" w:hAnsi="Times New Roman"/>
          <w:position w:val="-28"/>
          <w:sz w:val="24"/>
          <w:szCs w:val="24"/>
        </w:rPr>
        <w:object w:dxaOrig="6520" w:dyaOrig="680" w14:anchorId="50750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36pt" o:ole="">
            <v:imagedata r:id="rId8" o:title=""/>
          </v:shape>
          <o:OLEObject Type="Embed" ProgID="Equation.3" ShapeID="_x0000_i1025" DrawAspect="Content" ObjectID="_1654107569" r:id="rId9"/>
        </w:object>
      </w:r>
      <w:r w:rsidR="008C6F09" w:rsidRPr="00BA0E8D">
        <w:rPr>
          <w:rFonts w:ascii="Times New Roman" w:hAnsi="Times New Roman"/>
          <w:sz w:val="24"/>
          <w:szCs w:val="24"/>
        </w:rPr>
        <w:tab/>
      </w:r>
      <w:r w:rsidR="00AC46EC" w:rsidRPr="00BA0E8D">
        <w:rPr>
          <w:rFonts w:ascii="Times New Roman" w:hAnsi="Times New Roman"/>
          <w:sz w:val="24"/>
          <w:szCs w:val="24"/>
        </w:rPr>
        <w:tab/>
      </w:r>
      <w:r w:rsidR="008C6F09" w:rsidRPr="00BA0E8D">
        <w:rPr>
          <w:rFonts w:ascii="Times New Roman" w:hAnsi="Times New Roman"/>
          <w:sz w:val="24"/>
          <w:szCs w:val="24"/>
        </w:rPr>
        <w:t xml:space="preserve">(1)            </w:t>
      </w:r>
    </w:p>
    <w:p w14:paraId="0E29BE66" w14:textId="0FA53DC1" w:rsidR="00B7306A" w:rsidRPr="00BA0E8D" w:rsidRDefault="000E5CA1" w:rsidP="00F8312F">
      <w:pPr>
        <w:autoSpaceDE w:val="0"/>
        <w:autoSpaceDN w:val="0"/>
        <w:adjustRightInd w:val="0"/>
        <w:spacing w:after="0" w:line="360" w:lineRule="auto"/>
        <w:jc w:val="both"/>
        <w:rPr>
          <w:rFonts w:ascii="Times New Roman" w:hAnsi="Times New Roman"/>
          <w:sz w:val="24"/>
          <w:szCs w:val="24"/>
        </w:rPr>
      </w:pPr>
      <w:r w:rsidRPr="00BA0E8D">
        <w:rPr>
          <w:rFonts w:ascii="Times New Roman" w:hAnsi="Times New Roman"/>
          <w:sz w:val="24"/>
          <w:szCs w:val="24"/>
          <w:lang w:eastAsia="en-GB"/>
        </w:rPr>
        <w:t xml:space="preserve">Where </w:t>
      </w:r>
      <w:r w:rsidRPr="00BA0E8D">
        <w:rPr>
          <w:rFonts w:ascii="Times New Roman" w:hAnsi="Times New Roman"/>
          <w:position w:val="-10"/>
          <w:sz w:val="24"/>
          <w:szCs w:val="24"/>
          <w:lang w:eastAsia="en-GB"/>
        </w:rPr>
        <w:object w:dxaOrig="499" w:dyaOrig="300" w14:anchorId="5F96E852">
          <v:shape id="_x0000_i1026" type="#_x0000_t75" style="width:26.25pt;height:15.75pt" o:ole="">
            <v:imagedata r:id="rId10" o:title=""/>
          </v:shape>
          <o:OLEObject Type="Embed" ProgID="Equation.3" ShapeID="_x0000_i1026" DrawAspect="Content" ObjectID="_1654107570" r:id="rId11"/>
        </w:object>
      </w:r>
      <w:r w:rsidRPr="00BA0E8D">
        <w:rPr>
          <w:rFonts w:ascii="Times New Roman" w:hAnsi="Times New Roman"/>
          <w:sz w:val="24"/>
          <w:szCs w:val="24"/>
          <w:lang w:eastAsia="en-GB"/>
        </w:rPr>
        <w:t xml:space="preserve">represents the bank </w:t>
      </w:r>
      <w:r w:rsidRPr="00BA0E8D">
        <w:rPr>
          <w:rFonts w:ascii="Times New Roman" w:hAnsi="Times New Roman"/>
          <w:position w:val="-6"/>
          <w:sz w:val="24"/>
          <w:szCs w:val="24"/>
          <w:lang w:eastAsia="en-GB"/>
        </w:rPr>
        <w:object w:dxaOrig="139" w:dyaOrig="260" w14:anchorId="5A07BDB7">
          <v:shape id="_x0000_i1027" type="#_x0000_t75" style="width:6pt;height:12.75pt" o:ole="">
            <v:imagedata r:id="rId12" o:title=""/>
          </v:shape>
          <o:OLEObject Type="Embed" ProgID="Equation.3" ShapeID="_x0000_i1027" DrawAspect="Content" ObjectID="_1654107571" r:id="rId13"/>
        </w:object>
      </w:r>
      <w:r w:rsidRPr="00BA0E8D">
        <w:rPr>
          <w:rFonts w:ascii="Times New Roman" w:hAnsi="Times New Roman"/>
          <w:sz w:val="24"/>
          <w:szCs w:val="24"/>
          <w:lang w:eastAsia="en-GB"/>
        </w:rPr>
        <w:t xml:space="preserve"> in country</w:t>
      </w:r>
      <w:r w:rsidRPr="00BA0E8D">
        <w:rPr>
          <w:rFonts w:ascii="Times New Roman" w:hAnsi="Times New Roman"/>
          <w:position w:val="-10"/>
          <w:sz w:val="24"/>
          <w:szCs w:val="24"/>
          <w:lang w:eastAsia="en-GB"/>
        </w:rPr>
        <w:object w:dxaOrig="200" w:dyaOrig="300" w14:anchorId="7F996A27">
          <v:shape id="_x0000_i1028" type="#_x0000_t75" style="width:10.5pt;height:15.75pt" o:ole="">
            <v:imagedata r:id="rId14" o:title=""/>
          </v:shape>
          <o:OLEObject Type="Embed" ProgID="Equation.3" ShapeID="_x0000_i1028" DrawAspect="Content" ObjectID="_1654107572" r:id="rId15"/>
        </w:object>
      </w:r>
      <w:r w:rsidRPr="00BA0E8D">
        <w:rPr>
          <w:rFonts w:ascii="Times New Roman" w:hAnsi="Times New Roman"/>
          <w:sz w:val="24"/>
          <w:szCs w:val="24"/>
          <w:lang w:eastAsia="en-GB"/>
        </w:rPr>
        <w:t xml:space="preserve">. </w:t>
      </w:r>
      <w:r w:rsidR="001128DE" w:rsidRPr="00BA0E8D">
        <w:rPr>
          <w:rFonts w:ascii="Times New Roman" w:hAnsi="Times New Roman"/>
          <w:position w:val="-6"/>
          <w:sz w:val="24"/>
          <w:szCs w:val="24"/>
        </w:rPr>
        <w:object w:dxaOrig="340" w:dyaOrig="279" w14:anchorId="38B5ACE2">
          <v:shape id="_x0000_i1029" type="#_x0000_t75" style="width:18.75pt;height:15pt" o:ole="">
            <v:imagedata r:id="rId16" o:title=""/>
          </v:shape>
          <o:OLEObject Type="Embed" ProgID="Equation.3" ShapeID="_x0000_i1029" DrawAspect="Content" ObjectID="_1654107573" r:id="rId17"/>
        </w:object>
      </w:r>
      <w:r w:rsidRPr="00BA0E8D">
        <w:rPr>
          <w:rFonts w:ascii="Times New Roman" w:hAnsi="Times New Roman"/>
          <w:sz w:val="24"/>
          <w:szCs w:val="24"/>
          <w:lang w:eastAsia="en-GB"/>
        </w:rPr>
        <w:t xml:space="preserve">is our measure of credit intermediation cost; </w:t>
      </w:r>
      <w:r w:rsidRPr="00BA0E8D">
        <w:rPr>
          <w:rFonts w:ascii="Times New Roman" w:hAnsi="Times New Roman"/>
          <w:position w:val="-10"/>
          <w:sz w:val="24"/>
          <w:szCs w:val="24"/>
        </w:rPr>
        <w:object w:dxaOrig="480" w:dyaOrig="320" w14:anchorId="215BC307">
          <v:shape id="_x0000_i1030" type="#_x0000_t75" style="width:24pt;height:15.75pt" o:ole="">
            <v:imagedata r:id="rId18" o:title=""/>
          </v:shape>
          <o:OLEObject Type="Embed" ProgID="Equation.3" ShapeID="_x0000_i1030" DrawAspect="Content" ObjectID="_1654107574" r:id="rId19"/>
        </w:object>
      </w:r>
      <w:r w:rsidRPr="00BA0E8D">
        <w:rPr>
          <w:rFonts w:ascii="Times New Roman" w:hAnsi="Times New Roman"/>
          <w:sz w:val="24"/>
          <w:szCs w:val="24"/>
          <w:lang w:eastAsia="en-GB"/>
        </w:rPr>
        <w:t xml:space="preserve"> is the information sharing index, which is alternately the depth of credit information sharing, credit registry coverage and private credit bureau coverage.</w:t>
      </w:r>
      <w:r w:rsidR="00913FFC" w:rsidRPr="00BA0E8D">
        <w:rPr>
          <w:rFonts w:ascii="Times New Roman" w:hAnsi="Times New Roman"/>
          <w:sz w:val="24"/>
          <w:szCs w:val="24"/>
          <w:lang w:eastAsia="en-GB"/>
        </w:rPr>
        <w:t xml:space="preserve"> </w:t>
      </w:r>
      <w:r w:rsidR="002116D8" w:rsidRPr="00BA0E8D">
        <w:rPr>
          <w:rFonts w:ascii="Times New Roman" w:hAnsi="Times New Roman"/>
          <w:position w:val="-6"/>
          <w:sz w:val="24"/>
          <w:szCs w:val="24"/>
        </w:rPr>
        <w:object w:dxaOrig="380" w:dyaOrig="279" w14:anchorId="4754BB37">
          <v:shape id="_x0000_i1031" type="#_x0000_t75" style="width:17.25pt;height:15pt" o:ole="">
            <v:imagedata r:id="rId20" o:title=""/>
          </v:shape>
          <o:OLEObject Type="Embed" ProgID="Equation.3" ShapeID="_x0000_i1031" DrawAspect="Content" ObjectID="_1654107575" r:id="rId21"/>
        </w:object>
      </w:r>
      <w:r w:rsidR="002116D8" w:rsidRPr="00BA0E8D">
        <w:rPr>
          <w:rFonts w:ascii="Times New Roman" w:hAnsi="Times New Roman"/>
          <w:sz w:val="24"/>
          <w:szCs w:val="24"/>
          <w:lang w:eastAsia="en-GB"/>
        </w:rPr>
        <w:t xml:space="preserve"> </w:t>
      </w:r>
      <w:r w:rsidR="00913FFC" w:rsidRPr="00BA0E8D">
        <w:rPr>
          <w:rFonts w:ascii="Times New Roman" w:hAnsi="Times New Roman"/>
          <w:sz w:val="24"/>
          <w:szCs w:val="24"/>
          <w:lang w:eastAsia="en-GB"/>
        </w:rPr>
        <w:t>is the banking market concentration ratio</w:t>
      </w:r>
      <w:r w:rsidR="00AC46EC" w:rsidRPr="00BA0E8D">
        <w:rPr>
          <w:rFonts w:ascii="Times New Roman" w:hAnsi="Times New Roman"/>
          <w:sz w:val="24"/>
          <w:szCs w:val="24"/>
          <w:lang w:eastAsia="en-GB"/>
        </w:rPr>
        <w:t xml:space="preserve">; </w:t>
      </w:r>
      <w:r w:rsidR="002779C9" w:rsidRPr="00BA0E8D">
        <w:rPr>
          <w:position w:val="-6"/>
        </w:rPr>
        <w:object w:dxaOrig="380" w:dyaOrig="279" w14:anchorId="3BDD9ABB">
          <v:shape id="_x0000_i1032" type="#_x0000_t75" style="width:17.25pt;height:15pt" o:ole="">
            <v:imagedata r:id="rId22" o:title=""/>
          </v:shape>
          <o:OLEObject Type="Embed" ProgID="Equation.3" ShapeID="_x0000_i1032" DrawAspect="Content" ObjectID="_1654107576" r:id="rId23"/>
        </w:object>
      </w:r>
      <w:r w:rsidR="007677AA" w:rsidRPr="00BA0E8D">
        <w:rPr>
          <w:rFonts w:ascii="Times New Roman" w:hAnsi="Times New Roman"/>
          <w:sz w:val="24"/>
          <w:szCs w:val="24"/>
          <w:lang w:eastAsia="en-GB"/>
        </w:rPr>
        <w:t>is bank-specific variables</w:t>
      </w:r>
      <w:r w:rsidR="00AD1751" w:rsidRPr="00BA0E8D">
        <w:rPr>
          <w:rFonts w:ascii="Times New Roman" w:hAnsi="Times New Roman"/>
          <w:sz w:val="24"/>
          <w:szCs w:val="24"/>
          <w:lang w:eastAsia="en-GB"/>
        </w:rPr>
        <w:t>;</w:t>
      </w:r>
      <w:r w:rsidR="007677AA" w:rsidRPr="00BA0E8D">
        <w:rPr>
          <w:rFonts w:ascii="Times New Roman" w:hAnsi="Times New Roman"/>
          <w:sz w:val="24"/>
          <w:szCs w:val="24"/>
          <w:lang w:eastAsia="en-GB"/>
        </w:rPr>
        <w:t xml:space="preserve"> </w:t>
      </w:r>
      <w:r w:rsidR="007677AA" w:rsidRPr="00BA0E8D">
        <w:rPr>
          <w:rFonts w:ascii="Times New Roman" w:hAnsi="Times New Roman"/>
          <w:position w:val="-6"/>
          <w:sz w:val="24"/>
          <w:szCs w:val="24"/>
        </w:rPr>
        <w:object w:dxaOrig="460" w:dyaOrig="279" w14:anchorId="4EF521D8">
          <v:shape id="_x0000_i1033" type="#_x0000_t75" style="width:24pt;height:14.25pt" o:ole="">
            <v:imagedata r:id="rId24" o:title=""/>
          </v:shape>
          <o:OLEObject Type="Embed" ProgID="Equation.3" ShapeID="_x0000_i1033" DrawAspect="Content" ObjectID="_1654107577" r:id="rId25"/>
        </w:object>
      </w:r>
      <w:r w:rsidR="0073007A" w:rsidRPr="00BA0E8D">
        <w:rPr>
          <w:rFonts w:ascii="Times New Roman" w:hAnsi="Times New Roman"/>
          <w:sz w:val="24"/>
          <w:szCs w:val="24"/>
          <w:lang w:eastAsia="en-GB"/>
        </w:rPr>
        <w:t xml:space="preserve">is macroeconomic </w:t>
      </w:r>
      <w:r w:rsidR="00AC46EC" w:rsidRPr="00BA0E8D">
        <w:rPr>
          <w:rFonts w:ascii="Times New Roman" w:hAnsi="Times New Roman"/>
          <w:sz w:val="24"/>
          <w:szCs w:val="24"/>
          <w:lang w:eastAsia="en-GB"/>
        </w:rPr>
        <w:t xml:space="preserve">and governance </w:t>
      </w:r>
      <w:r w:rsidR="0073007A" w:rsidRPr="00BA0E8D">
        <w:rPr>
          <w:rFonts w:ascii="Times New Roman" w:hAnsi="Times New Roman"/>
          <w:sz w:val="24"/>
          <w:szCs w:val="24"/>
          <w:lang w:eastAsia="en-GB"/>
        </w:rPr>
        <w:t xml:space="preserve">variables </w:t>
      </w:r>
      <w:r w:rsidR="00AC46EC" w:rsidRPr="00BA0E8D">
        <w:rPr>
          <w:rFonts w:ascii="Times New Roman" w:hAnsi="Times New Roman"/>
          <w:sz w:val="24"/>
          <w:szCs w:val="24"/>
          <w:lang w:eastAsia="en-GB"/>
        </w:rPr>
        <w:t xml:space="preserve">(that is, </w:t>
      </w:r>
      <w:r w:rsidR="0073007A" w:rsidRPr="00BA0E8D">
        <w:rPr>
          <w:rFonts w:ascii="Times New Roman" w:hAnsi="Times New Roman"/>
          <w:sz w:val="24"/>
          <w:szCs w:val="24"/>
          <w:lang w:eastAsia="en-GB"/>
        </w:rPr>
        <w:t>GDP gro</w:t>
      </w:r>
      <w:r w:rsidR="002116D8" w:rsidRPr="00BA0E8D">
        <w:rPr>
          <w:rFonts w:ascii="Times New Roman" w:hAnsi="Times New Roman"/>
          <w:sz w:val="24"/>
          <w:szCs w:val="24"/>
          <w:lang w:eastAsia="en-GB"/>
        </w:rPr>
        <w:t xml:space="preserve">wth </w:t>
      </w:r>
      <w:r w:rsidR="00AC46EC" w:rsidRPr="00BA0E8D">
        <w:rPr>
          <w:rFonts w:ascii="Times New Roman" w:hAnsi="Times New Roman"/>
          <w:sz w:val="24"/>
          <w:szCs w:val="24"/>
          <w:lang w:eastAsia="en-GB"/>
        </w:rPr>
        <w:t xml:space="preserve">rate </w:t>
      </w:r>
      <w:r w:rsidR="002116D8" w:rsidRPr="00BA0E8D">
        <w:rPr>
          <w:rFonts w:ascii="Times New Roman" w:hAnsi="Times New Roman"/>
          <w:sz w:val="24"/>
          <w:szCs w:val="24"/>
          <w:lang w:eastAsia="en-GB"/>
        </w:rPr>
        <w:t>and inflation</w:t>
      </w:r>
      <w:r w:rsidR="00AC46EC" w:rsidRPr="00BA0E8D">
        <w:rPr>
          <w:rFonts w:ascii="Times New Roman" w:hAnsi="Times New Roman"/>
          <w:sz w:val="24"/>
          <w:szCs w:val="24"/>
          <w:lang w:eastAsia="en-GB"/>
        </w:rPr>
        <w:t>) and governance indicator, which is alternately rule of law, regulatory quality and control of corruption</w:t>
      </w:r>
      <w:r w:rsidR="002116D8" w:rsidRPr="00BA0E8D">
        <w:rPr>
          <w:rFonts w:ascii="Times New Roman" w:hAnsi="Times New Roman"/>
          <w:sz w:val="24"/>
          <w:szCs w:val="24"/>
          <w:lang w:eastAsia="en-GB"/>
        </w:rPr>
        <w:t xml:space="preserve">; and </w:t>
      </w:r>
      <w:r w:rsidR="002116D8" w:rsidRPr="00BA0E8D">
        <w:rPr>
          <w:rFonts w:ascii="Times New Roman" w:hAnsi="Times New Roman"/>
          <w:position w:val="-6"/>
          <w:sz w:val="24"/>
          <w:szCs w:val="24"/>
        </w:rPr>
        <w:object w:dxaOrig="200" w:dyaOrig="220" w14:anchorId="7C3106E3">
          <v:shape id="_x0000_i1034" type="#_x0000_t75" style="width:10.5pt;height:10.5pt" o:ole="">
            <v:imagedata r:id="rId26" o:title=""/>
          </v:shape>
          <o:OLEObject Type="Embed" ProgID="Equation.3" ShapeID="_x0000_i1034" DrawAspect="Content" ObjectID="_1654107578" r:id="rId27"/>
        </w:object>
      </w:r>
      <w:r w:rsidR="002116D8" w:rsidRPr="00BA0E8D">
        <w:rPr>
          <w:rFonts w:ascii="Times New Roman" w:hAnsi="Times New Roman"/>
          <w:sz w:val="24"/>
          <w:szCs w:val="24"/>
        </w:rPr>
        <w:t xml:space="preserve">is an error term composed of </w:t>
      </w:r>
      <w:r w:rsidR="002116D8" w:rsidRPr="00BA0E8D">
        <w:rPr>
          <w:rFonts w:ascii="Times New Roman" w:hAnsi="Times New Roman"/>
          <w:sz w:val="24"/>
          <w:szCs w:val="24"/>
        </w:rPr>
        <w:lastRenderedPageBreak/>
        <w:t>bank fixed effect (</w:t>
      </w:r>
      <w:r w:rsidR="002116D8" w:rsidRPr="00BA0E8D">
        <w:rPr>
          <w:rFonts w:ascii="Times New Roman" w:hAnsi="Times New Roman"/>
          <w:position w:val="-12"/>
          <w:sz w:val="24"/>
          <w:szCs w:val="24"/>
        </w:rPr>
        <w:object w:dxaOrig="279" w:dyaOrig="360" w14:anchorId="62536942">
          <v:shape id="_x0000_i1035" type="#_x0000_t75" style="width:15pt;height:18pt" o:ole="">
            <v:imagedata r:id="rId28" o:title=""/>
          </v:shape>
          <o:OLEObject Type="Embed" ProgID="Equation.3" ShapeID="_x0000_i1035" DrawAspect="Content" ObjectID="_1654107579" r:id="rId29"/>
        </w:object>
      </w:r>
      <w:r w:rsidR="002116D8" w:rsidRPr="00BA0E8D">
        <w:rPr>
          <w:rFonts w:ascii="Times New Roman" w:hAnsi="Times New Roman"/>
          <w:sz w:val="24"/>
          <w:szCs w:val="24"/>
        </w:rPr>
        <w:t xml:space="preserve">) and an independently and identically distributed component with zero </w:t>
      </w:r>
      <w:r w:rsidR="00AB6EB2">
        <w:rPr>
          <w:rFonts w:ascii="Times New Roman" w:hAnsi="Times New Roman"/>
          <w:sz w:val="24"/>
          <w:szCs w:val="24"/>
        </w:rPr>
        <w:t xml:space="preserve">mean </w:t>
      </w:r>
      <w:r w:rsidR="002116D8" w:rsidRPr="00BA0E8D">
        <w:rPr>
          <w:rFonts w:ascii="Times New Roman" w:hAnsi="Times New Roman"/>
          <w:sz w:val="24"/>
          <w:szCs w:val="24"/>
        </w:rPr>
        <w:t>and constant variance (</w:t>
      </w:r>
      <w:r w:rsidR="0046268E" w:rsidRPr="00BA0E8D">
        <w:rPr>
          <w:rFonts w:ascii="Times New Roman" w:hAnsi="Times New Roman"/>
          <w:position w:val="-14"/>
          <w:sz w:val="24"/>
          <w:szCs w:val="24"/>
        </w:rPr>
        <w:object w:dxaOrig="340" w:dyaOrig="380" w14:anchorId="307C8B82">
          <v:shape id="_x0000_i1036" type="#_x0000_t75" style="width:18.75pt;height:17.25pt" o:ole="">
            <v:imagedata r:id="rId30" o:title=""/>
          </v:shape>
          <o:OLEObject Type="Embed" ProgID="Equation.3" ShapeID="_x0000_i1036" DrawAspect="Content" ObjectID="_1654107580" r:id="rId31"/>
        </w:object>
      </w:r>
      <w:r w:rsidR="002116D8" w:rsidRPr="00BA0E8D">
        <w:rPr>
          <w:rFonts w:ascii="Times New Roman" w:hAnsi="Times New Roman"/>
          <w:sz w:val="24"/>
          <w:szCs w:val="24"/>
        </w:rPr>
        <w:t>).</w:t>
      </w:r>
    </w:p>
    <w:p w14:paraId="727A1A6E" w14:textId="77777777" w:rsidR="00B7306A" w:rsidRPr="00BA0E8D" w:rsidRDefault="00B7306A" w:rsidP="00894076">
      <w:pPr>
        <w:autoSpaceDE w:val="0"/>
        <w:autoSpaceDN w:val="0"/>
        <w:adjustRightInd w:val="0"/>
        <w:spacing w:after="0" w:line="240" w:lineRule="auto"/>
        <w:jc w:val="both"/>
        <w:rPr>
          <w:rFonts w:ascii="Times New Roman" w:hAnsi="Times New Roman"/>
          <w:sz w:val="24"/>
          <w:szCs w:val="24"/>
        </w:rPr>
      </w:pPr>
    </w:p>
    <w:p w14:paraId="5154E3D3" w14:textId="1232C712" w:rsidR="00B7306A" w:rsidRPr="00BA0E8D" w:rsidRDefault="00B7306A" w:rsidP="00F8312F">
      <w:pPr>
        <w:autoSpaceDE w:val="0"/>
        <w:autoSpaceDN w:val="0"/>
        <w:adjustRightInd w:val="0"/>
        <w:spacing w:after="0" w:line="360" w:lineRule="auto"/>
        <w:jc w:val="both"/>
        <w:rPr>
          <w:rFonts w:ascii="Times New Roman" w:hAnsi="Times New Roman"/>
          <w:sz w:val="24"/>
          <w:szCs w:val="24"/>
        </w:rPr>
      </w:pPr>
      <w:r w:rsidRPr="00BA0E8D">
        <w:rPr>
          <w:rFonts w:ascii="Times New Roman" w:hAnsi="Times New Roman"/>
          <w:sz w:val="24"/>
          <w:szCs w:val="24"/>
        </w:rPr>
        <w:t xml:space="preserve">Eq. </w:t>
      </w:r>
      <w:r w:rsidR="00C255EB" w:rsidRPr="00BA0E8D">
        <w:rPr>
          <w:rFonts w:ascii="Times New Roman" w:hAnsi="Times New Roman"/>
          <w:sz w:val="24"/>
          <w:szCs w:val="24"/>
        </w:rPr>
        <w:t>(</w:t>
      </w:r>
      <w:r w:rsidRPr="00BA0E8D">
        <w:rPr>
          <w:rFonts w:ascii="Times New Roman" w:hAnsi="Times New Roman"/>
          <w:sz w:val="24"/>
          <w:szCs w:val="24"/>
        </w:rPr>
        <w:t>1</w:t>
      </w:r>
      <w:r w:rsidR="00C255EB" w:rsidRPr="00BA0E8D">
        <w:rPr>
          <w:rFonts w:ascii="Times New Roman" w:hAnsi="Times New Roman"/>
          <w:sz w:val="24"/>
          <w:szCs w:val="24"/>
        </w:rPr>
        <w:t>)</w:t>
      </w:r>
      <w:r w:rsidRPr="00BA0E8D">
        <w:rPr>
          <w:rFonts w:ascii="Times New Roman" w:hAnsi="Times New Roman"/>
          <w:sz w:val="24"/>
          <w:szCs w:val="24"/>
        </w:rPr>
        <w:t xml:space="preserve"> permits us to test our first </w:t>
      </w:r>
      <w:r w:rsidR="00AD1751" w:rsidRPr="00BA0E8D">
        <w:rPr>
          <w:rFonts w:ascii="Times New Roman" w:hAnsi="Times New Roman"/>
          <w:sz w:val="24"/>
          <w:szCs w:val="24"/>
        </w:rPr>
        <w:t>hypothesis</w:t>
      </w:r>
      <w:r w:rsidRPr="00BA0E8D">
        <w:rPr>
          <w:rFonts w:ascii="Times New Roman" w:hAnsi="Times New Roman"/>
          <w:sz w:val="24"/>
          <w:szCs w:val="24"/>
        </w:rPr>
        <w:t xml:space="preserve">. In order to test </w:t>
      </w:r>
      <w:r w:rsidR="00525F5C" w:rsidRPr="00BA0E8D">
        <w:rPr>
          <w:rFonts w:ascii="Times New Roman" w:hAnsi="Times New Roman"/>
          <w:sz w:val="24"/>
          <w:szCs w:val="24"/>
        </w:rPr>
        <w:t>the next two</w:t>
      </w:r>
      <w:r w:rsidRPr="00BA0E8D">
        <w:rPr>
          <w:rFonts w:ascii="Times New Roman" w:hAnsi="Times New Roman"/>
          <w:sz w:val="24"/>
          <w:szCs w:val="24"/>
        </w:rPr>
        <w:t xml:space="preserve"> </w:t>
      </w:r>
      <w:r w:rsidR="00AD1751" w:rsidRPr="00BA0E8D">
        <w:rPr>
          <w:rFonts w:ascii="Times New Roman" w:hAnsi="Times New Roman"/>
          <w:sz w:val="24"/>
          <w:szCs w:val="24"/>
        </w:rPr>
        <w:t>hypotheses</w:t>
      </w:r>
      <w:r w:rsidRPr="00BA0E8D">
        <w:rPr>
          <w:rFonts w:ascii="Times New Roman" w:hAnsi="Times New Roman"/>
          <w:sz w:val="24"/>
          <w:szCs w:val="24"/>
        </w:rPr>
        <w:t xml:space="preserve">, we modify </w:t>
      </w:r>
      <w:r w:rsidR="00F8312F">
        <w:rPr>
          <w:rFonts w:ascii="Times New Roman" w:hAnsi="Times New Roman"/>
          <w:sz w:val="24"/>
          <w:szCs w:val="24"/>
        </w:rPr>
        <w:t>Eq</w:t>
      </w:r>
      <w:r w:rsidRPr="00BA0E8D">
        <w:rPr>
          <w:rFonts w:ascii="Times New Roman" w:hAnsi="Times New Roman"/>
          <w:sz w:val="24"/>
          <w:szCs w:val="24"/>
        </w:rPr>
        <w:t xml:space="preserve">. </w:t>
      </w:r>
      <w:r w:rsidR="00E84B95" w:rsidRPr="00BA0E8D">
        <w:rPr>
          <w:rFonts w:ascii="Times New Roman" w:hAnsi="Times New Roman"/>
          <w:sz w:val="24"/>
          <w:szCs w:val="24"/>
        </w:rPr>
        <w:t>(</w:t>
      </w:r>
      <w:r w:rsidRPr="00BA0E8D">
        <w:rPr>
          <w:rFonts w:ascii="Times New Roman" w:hAnsi="Times New Roman"/>
          <w:sz w:val="24"/>
          <w:szCs w:val="24"/>
        </w:rPr>
        <w:t>1</w:t>
      </w:r>
      <w:r w:rsidR="00E84B95" w:rsidRPr="00BA0E8D">
        <w:rPr>
          <w:rFonts w:ascii="Times New Roman" w:hAnsi="Times New Roman"/>
          <w:sz w:val="24"/>
          <w:szCs w:val="24"/>
        </w:rPr>
        <w:t>)</w:t>
      </w:r>
      <w:r w:rsidRPr="00BA0E8D">
        <w:rPr>
          <w:rFonts w:ascii="Times New Roman" w:hAnsi="Times New Roman"/>
          <w:sz w:val="24"/>
          <w:szCs w:val="24"/>
        </w:rPr>
        <w:t xml:space="preserve"> by including interaction terms of credit information sharing variables with banking market concentration.</w:t>
      </w:r>
      <w:r w:rsidR="00C255EB" w:rsidRPr="00BA0E8D">
        <w:rPr>
          <w:rFonts w:ascii="Times New Roman" w:hAnsi="Times New Roman"/>
          <w:sz w:val="24"/>
          <w:szCs w:val="24"/>
        </w:rPr>
        <w:t xml:space="preserve"> We the</w:t>
      </w:r>
      <w:r w:rsidR="00E84B95" w:rsidRPr="00BA0E8D">
        <w:rPr>
          <w:rFonts w:ascii="Times New Roman" w:hAnsi="Times New Roman"/>
          <w:sz w:val="24"/>
          <w:szCs w:val="24"/>
        </w:rPr>
        <w:t>n</w:t>
      </w:r>
      <w:r w:rsidR="00C255EB" w:rsidRPr="00BA0E8D">
        <w:rPr>
          <w:rFonts w:ascii="Times New Roman" w:hAnsi="Times New Roman"/>
          <w:sz w:val="24"/>
          <w:szCs w:val="24"/>
        </w:rPr>
        <w:t xml:space="preserve"> obtain Eq.</w:t>
      </w:r>
      <w:r w:rsidRPr="00BA0E8D">
        <w:rPr>
          <w:rFonts w:ascii="Times New Roman" w:hAnsi="Times New Roman"/>
          <w:sz w:val="24"/>
          <w:szCs w:val="24"/>
        </w:rPr>
        <w:t xml:space="preserve"> </w:t>
      </w:r>
      <w:r w:rsidR="00C255EB" w:rsidRPr="00BA0E8D">
        <w:rPr>
          <w:rFonts w:ascii="Times New Roman" w:hAnsi="Times New Roman"/>
          <w:sz w:val="24"/>
          <w:szCs w:val="24"/>
        </w:rPr>
        <w:t>(</w:t>
      </w:r>
      <w:r w:rsidRPr="00BA0E8D">
        <w:rPr>
          <w:rFonts w:ascii="Times New Roman" w:hAnsi="Times New Roman"/>
          <w:sz w:val="24"/>
          <w:szCs w:val="24"/>
        </w:rPr>
        <w:t>2</w:t>
      </w:r>
      <w:r w:rsidR="00C255EB" w:rsidRPr="00BA0E8D">
        <w:rPr>
          <w:rFonts w:ascii="Times New Roman" w:hAnsi="Times New Roman"/>
          <w:sz w:val="24"/>
          <w:szCs w:val="24"/>
        </w:rPr>
        <w:t>)</w:t>
      </w:r>
      <w:r w:rsidRPr="00BA0E8D">
        <w:rPr>
          <w:rFonts w:ascii="Times New Roman" w:hAnsi="Times New Roman"/>
          <w:sz w:val="24"/>
          <w:szCs w:val="24"/>
        </w:rPr>
        <w:t xml:space="preserve"> as follows:</w:t>
      </w:r>
    </w:p>
    <w:p w14:paraId="7A10F343" w14:textId="77777777" w:rsidR="00B7306A" w:rsidRPr="00BA0E8D" w:rsidRDefault="00B7306A" w:rsidP="00894076">
      <w:pPr>
        <w:autoSpaceDE w:val="0"/>
        <w:autoSpaceDN w:val="0"/>
        <w:adjustRightInd w:val="0"/>
        <w:spacing w:after="0" w:line="240" w:lineRule="auto"/>
        <w:jc w:val="center"/>
        <w:rPr>
          <w:rFonts w:ascii="Times New Roman" w:hAnsi="Times New Roman"/>
          <w:sz w:val="24"/>
          <w:szCs w:val="24"/>
        </w:rPr>
      </w:pPr>
    </w:p>
    <w:p w14:paraId="2434323D" w14:textId="405C9DE4" w:rsidR="007E03EE" w:rsidRPr="00BA0E8D" w:rsidRDefault="007E03EE" w:rsidP="003A2C31">
      <w:pPr>
        <w:spacing w:before="240" w:after="240" w:line="360" w:lineRule="auto"/>
        <w:ind w:firstLine="720"/>
        <w:jc w:val="both"/>
        <w:rPr>
          <w:rFonts w:ascii="Times New Roman" w:hAnsi="Times New Roman"/>
          <w:sz w:val="24"/>
          <w:szCs w:val="24"/>
        </w:rPr>
      </w:pPr>
      <w:r w:rsidRPr="00BA0E8D">
        <w:rPr>
          <w:rFonts w:ascii="Times New Roman" w:hAnsi="Times New Roman"/>
          <w:position w:val="-28"/>
          <w:sz w:val="24"/>
          <w:szCs w:val="24"/>
        </w:rPr>
        <w:object w:dxaOrig="7020" w:dyaOrig="680" w14:anchorId="0C62388A">
          <v:shape id="_x0000_i1037" type="#_x0000_t75" style="width:357pt;height:36pt" o:ole="">
            <v:imagedata r:id="rId32" o:title=""/>
          </v:shape>
          <o:OLEObject Type="Embed" ProgID="Equation.3" ShapeID="_x0000_i1037" DrawAspect="Content" ObjectID="_1654107581" r:id="rId33"/>
        </w:object>
      </w:r>
      <w:r w:rsidR="00AC46EC" w:rsidRPr="00BA0E8D">
        <w:rPr>
          <w:rFonts w:ascii="Times New Roman" w:hAnsi="Times New Roman"/>
          <w:sz w:val="24"/>
          <w:szCs w:val="24"/>
        </w:rPr>
        <w:tab/>
      </w:r>
      <w:r w:rsidR="00AA7454" w:rsidRPr="00BA0E8D">
        <w:rPr>
          <w:rFonts w:ascii="Times New Roman" w:hAnsi="Times New Roman"/>
          <w:sz w:val="24"/>
          <w:szCs w:val="24"/>
        </w:rPr>
        <w:t xml:space="preserve">  </w:t>
      </w:r>
      <w:r w:rsidR="00C255EB" w:rsidRPr="00BA0E8D">
        <w:rPr>
          <w:rFonts w:ascii="Times New Roman" w:hAnsi="Times New Roman"/>
          <w:sz w:val="24"/>
          <w:szCs w:val="24"/>
        </w:rPr>
        <w:t>(2</w:t>
      </w:r>
      <w:r w:rsidR="00AC46EC" w:rsidRPr="00BA0E8D">
        <w:rPr>
          <w:rFonts w:ascii="Times New Roman" w:hAnsi="Times New Roman"/>
          <w:sz w:val="24"/>
          <w:szCs w:val="24"/>
        </w:rPr>
        <w:t xml:space="preserve">)           </w:t>
      </w:r>
    </w:p>
    <w:p w14:paraId="7ABC3E59" w14:textId="5AEA299A" w:rsidR="00091422" w:rsidRPr="00BA0E8D" w:rsidRDefault="007E03EE" w:rsidP="00444D9D">
      <w:pPr>
        <w:spacing w:before="240" w:after="240" w:line="360" w:lineRule="auto"/>
        <w:jc w:val="both"/>
        <w:rPr>
          <w:rFonts w:ascii="Times New Roman" w:hAnsi="Times New Roman"/>
          <w:sz w:val="24"/>
          <w:szCs w:val="24"/>
          <w:lang w:eastAsia="en-GB"/>
        </w:rPr>
      </w:pPr>
      <w:r w:rsidRPr="00BA0E8D">
        <w:rPr>
          <w:rFonts w:ascii="Times New Roman" w:hAnsi="Times New Roman"/>
          <w:sz w:val="24"/>
          <w:szCs w:val="24"/>
        </w:rPr>
        <w:t>We derive the marginal effect of credit information sharing by differentiating</w:t>
      </w:r>
      <w:r w:rsidR="00C255EB" w:rsidRPr="00BA0E8D">
        <w:rPr>
          <w:rFonts w:ascii="Times New Roman" w:hAnsi="Times New Roman"/>
          <w:sz w:val="24"/>
          <w:szCs w:val="24"/>
        </w:rPr>
        <w:t xml:space="preserve"> E</w:t>
      </w:r>
      <w:r w:rsidRPr="00BA0E8D">
        <w:rPr>
          <w:rFonts w:ascii="Times New Roman" w:hAnsi="Times New Roman"/>
          <w:sz w:val="24"/>
          <w:szCs w:val="24"/>
        </w:rPr>
        <w:t xml:space="preserve">q. </w:t>
      </w:r>
      <w:r w:rsidR="0035686E" w:rsidRPr="00BA0E8D">
        <w:rPr>
          <w:rFonts w:ascii="Times New Roman" w:hAnsi="Times New Roman"/>
          <w:sz w:val="24"/>
          <w:szCs w:val="24"/>
        </w:rPr>
        <w:t>(</w:t>
      </w:r>
      <w:r w:rsidRPr="00BA0E8D">
        <w:rPr>
          <w:rFonts w:ascii="Times New Roman" w:hAnsi="Times New Roman"/>
          <w:sz w:val="24"/>
          <w:szCs w:val="24"/>
        </w:rPr>
        <w:t>2</w:t>
      </w:r>
      <w:r w:rsidR="0035686E" w:rsidRPr="00BA0E8D">
        <w:rPr>
          <w:rFonts w:ascii="Times New Roman" w:hAnsi="Times New Roman"/>
          <w:sz w:val="24"/>
          <w:szCs w:val="24"/>
        </w:rPr>
        <w:t>)</w:t>
      </w:r>
      <w:r w:rsidRPr="00BA0E8D">
        <w:rPr>
          <w:rFonts w:ascii="Times New Roman" w:hAnsi="Times New Roman"/>
          <w:sz w:val="24"/>
          <w:szCs w:val="24"/>
        </w:rPr>
        <w:t xml:space="preserve"> with respect to the </w:t>
      </w:r>
      <w:r w:rsidR="00E84B95" w:rsidRPr="00BA0E8D">
        <w:rPr>
          <w:rFonts w:ascii="Times New Roman" w:hAnsi="Times New Roman"/>
          <w:sz w:val="24"/>
          <w:szCs w:val="24"/>
        </w:rPr>
        <w:t>banking market concentration</w:t>
      </w:r>
      <w:r w:rsidRPr="00BA0E8D">
        <w:rPr>
          <w:rFonts w:ascii="Times New Roman" w:hAnsi="Times New Roman"/>
          <w:sz w:val="24"/>
          <w:szCs w:val="24"/>
        </w:rPr>
        <w:t xml:space="preserve"> as follows: </w:t>
      </w:r>
      <w:r w:rsidR="00AC46EC" w:rsidRPr="00BA0E8D">
        <w:rPr>
          <w:rFonts w:ascii="Times New Roman" w:hAnsi="Times New Roman"/>
          <w:sz w:val="24"/>
          <w:szCs w:val="24"/>
        </w:rPr>
        <w:t xml:space="preserve"> </w:t>
      </w:r>
      <w:r w:rsidR="00091422" w:rsidRPr="00BA0E8D">
        <w:rPr>
          <w:rFonts w:ascii="Times New Roman" w:hAnsi="Times New Roman"/>
          <w:sz w:val="24"/>
          <w:szCs w:val="24"/>
        </w:rPr>
        <w:t xml:space="preserve"> </w:t>
      </w:r>
    </w:p>
    <w:p w14:paraId="1B37A995" w14:textId="490FB73F" w:rsidR="00C255EB" w:rsidRPr="00BA0E8D" w:rsidRDefault="00091422" w:rsidP="003A2C31">
      <w:pPr>
        <w:spacing w:before="240" w:after="240" w:line="360" w:lineRule="auto"/>
        <w:ind w:left="720" w:firstLine="720"/>
        <w:jc w:val="both"/>
        <w:rPr>
          <w:rFonts w:ascii="Times New Roman" w:hAnsi="Times New Roman"/>
          <w:sz w:val="24"/>
          <w:szCs w:val="24"/>
        </w:rPr>
      </w:pPr>
      <w:r w:rsidRPr="00BA0E8D">
        <w:rPr>
          <w:rFonts w:ascii="Times New Roman" w:hAnsi="Times New Roman"/>
          <w:position w:val="-28"/>
          <w:sz w:val="24"/>
          <w:szCs w:val="24"/>
        </w:rPr>
        <w:object w:dxaOrig="2140" w:dyaOrig="660" w14:anchorId="1AB62069">
          <v:shape id="_x0000_i1038" type="#_x0000_t75" style="width:110.25pt;height:36pt" o:ole="">
            <v:imagedata r:id="rId34" o:title=""/>
          </v:shape>
          <o:OLEObject Type="Embed" ProgID="Equation.3" ShapeID="_x0000_i1038" DrawAspect="Content" ObjectID="_1654107582" r:id="rId35"/>
        </w:object>
      </w:r>
      <w:r w:rsidR="00C255EB" w:rsidRPr="00BA0E8D">
        <w:rPr>
          <w:rFonts w:ascii="Times New Roman" w:hAnsi="Times New Roman"/>
          <w:sz w:val="24"/>
          <w:szCs w:val="24"/>
        </w:rPr>
        <w:t xml:space="preserve"> </w:t>
      </w:r>
      <w:r w:rsidR="00C255EB" w:rsidRPr="00BA0E8D">
        <w:rPr>
          <w:rFonts w:ascii="Times New Roman" w:hAnsi="Times New Roman"/>
          <w:sz w:val="24"/>
          <w:szCs w:val="24"/>
        </w:rPr>
        <w:tab/>
      </w:r>
      <w:r w:rsidR="00C255EB" w:rsidRPr="00BA0E8D">
        <w:rPr>
          <w:rFonts w:ascii="Times New Roman" w:hAnsi="Times New Roman"/>
          <w:sz w:val="24"/>
          <w:szCs w:val="24"/>
        </w:rPr>
        <w:tab/>
      </w:r>
      <w:r w:rsidR="00C255EB" w:rsidRPr="00BA0E8D">
        <w:rPr>
          <w:rFonts w:ascii="Times New Roman" w:hAnsi="Times New Roman"/>
          <w:sz w:val="24"/>
          <w:szCs w:val="24"/>
        </w:rPr>
        <w:tab/>
      </w:r>
      <w:r w:rsidR="00C255EB" w:rsidRPr="00BA0E8D">
        <w:rPr>
          <w:rFonts w:ascii="Times New Roman" w:hAnsi="Times New Roman"/>
          <w:sz w:val="24"/>
          <w:szCs w:val="24"/>
        </w:rPr>
        <w:tab/>
      </w:r>
      <w:r w:rsidR="000305A5" w:rsidRPr="00BA0E8D">
        <w:rPr>
          <w:rFonts w:ascii="Times New Roman" w:hAnsi="Times New Roman"/>
          <w:sz w:val="24"/>
          <w:szCs w:val="24"/>
        </w:rPr>
        <w:t xml:space="preserve">       </w:t>
      </w:r>
      <w:r w:rsidR="00C255EB" w:rsidRPr="00BA0E8D">
        <w:rPr>
          <w:rFonts w:ascii="Times New Roman" w:hAnsi="Times New Roman"/>
          <w:sz w:val="24"/>
          <w:szCs w:val="24"/>
        </w:rPr>
        <w:t xml:space="preserve">(3)     </w:t>
      </w:r>
    </w:p>
    <w:p w14:paraId="0D2B76A8" w14:textId="48A1D78D" w:rsidR="00091422" w:rsidRPr="00BA0E8D" w:rsidRDefault="00C255EB" w:rsidP="00444D9D">
      <w:pPr>
        <w:spacing w:before="240" w:after="240" w:line="360" w:lineRule="auto"/>
        <w:jc w:val="both"/>
        <w:rPr>
          <w:rFonts w:ascii="Times New Roman" w:hAnsi="Times New Roman"/>
          <w:b/>
          <w:sz w:val="24"/>
          <w:szCs w:val="24"/>
        </w:rPr>
      </w:pPr>
      <w:r w:rsidRPr="00BA0E8D">
        <w:rPr>
          <w:rFonts w:ascii="Times New Roman" w:hAnsi="Times New Roman"/>
          <w:sz w:val="24"/>
          <w:szCs w:val="24"/>
        </w:rPr>
        <w:t xml:space="preserve">Similarly, we derive the marginal effect of banking market concentration by differentiating </w:t>
      </w:r>
      <w:r w:rsidR="00642344" w:rsidRPr="00BA0E8D">
        <w:rPr>
          <w:rFonts w:ascii="Times New Roman" w:hAnsi="Times New Roman"/>
          <w:sz w:val="24"/>
          <w:szCs w:val="24"/>
        </w:rPr>
        <w:t>Eq</w:t>
      </w:r>
      <w:r w:rsidRPr="00BA0E8D">
        <w:rPr>
          <w:rFonts w:ascii="Times New Roman" w:hAnsi="Times New Roman"/>
          <w:sz w:val="24"/>
          <w:szCs w:val="24"/>
        </w:rPr>
        <w:t xml:space="preserve">. (2) </w:t>
      </w:r>
      <w:r w:rsidR="00642344" w:rsidRPr="00BA0E8D">
        <w:rPr>
          <w:rFonts w:ascii="Times New Roman" w:hAnsi="Times New Roman"/>
          <w:sz w:val="24"/>
          <w:szCs w:val="24"/>
        </w:rPr>
        <w:t>with respect to the information sharing variable as follows:</w:t>
      </w:r>
    </w:p>
    <w:p w14:paraId="3A6A143A" w14:textId="54F4A4E1" w:rsidR="00642344" w:rsidRPr="00BA0E8D" w:rsidRDefault="00563278" w:rsidP="003A2C31">
      <w:pPr>
        <w:spacing w:before="240" w:after="240" w:line="360" w:lineRule="auto"/>
        <w:ind w:left="720" w:firstLine="720"/>
        <w:jc w:val="both"/>
        <w:rPr>
          <w:rFonts w:ascii="Times New Roman" w:hAnsi="Times New Roman"/>
          <w:sz w:val="24"/>
          <w:szCs w:val="24"/>
        </w:rPr>
      </w:pPr>
      <w:r w:rsidRPr="00BA0E8D">
        <w:rPr>
          <w:rFonts w:ascii="Times New Roman" w:hAnsi="Times New Roman"/>
          <w:position w:val="-28"/>
          <w:sz w:val="24"/>
          <w:szCs w:val="24"/>
        </w:rPr>
        <w:object w:dxaOrig="2140" w:dyaOrig="660" w14:anchorId="68770E3C">
          <v:shape id="_x0000_i1039" type="#_x0000_t75" style="width:110.25pt;height:36pt" o:ole="">
            <v:imagedata r:id="rId36" o:title=""/>
          </v:shape>
          <o:OLEObject Type="Embed" ProgID="Equation.3" ShapeID="_x0000_i1039" DrawAspect="Content" ObjectID="_1654107583" r:id="rId37"/>
        </w:object>
      </w:r>
      <w:r w:rsidR="00642344" w:rsidRPr="00BA0E8D">
        <w:rPr>
          <w:rFonts w:ascii="Times New Roman" w:hAnsi="Times New Roman"/>
          <w:sz w:val="24"/>
          <w:szCs w:val="24"/>
        </w:rPr>
        <w:t xml:space="preserve"> </w:t>
      </w:r>
      <w:r w:rsidR="00642344" w:rsidRPr="00BA0E8D">
        <w:rPr>
          <w:rFonts w:ascii="Times New Roman" w:hAnsi="Times New Roman"/>
          <w:sz w:val="24"/>
          <w:szCs w:val="24"/>
        </w:rPr>
        <w:tab/>
      </w:r>
      <w:r w:rsidR="00642344" w:rsidRPr="00BA0E8D">
        <w:rPr>
          <w:rFonts w:ascii="Times New Roman" w:hAnsi="Times New Roman"/>
          <w:sz w:val="24"/>
          <w:szCs w:val="24"/>
        </w:rPr>
        <w:tab/>
      </w:r>
      <w:r w:rsidR="00642344" w:rsidRPr="00BA0E8D">
        <w:rPr>
          <w:rFonts w:ascii="Times New Roman" w:hAnsi="Times New Roman"/>
          <w:sz w:val="24"/>
          <w:szCs w:val="24"/>
        </w:rPr>
        <w:tab/>
      </w:r>
      <w:r w:rsidR="00642344" w:rsidRPr="00BA0E8D">
        <w:rPr>
          <w:rFonts w:ascii="Times New Roman" w:hAnsi="Times New Roman"/>
          <w:sz w:val="24"/>
          <w:szCs w:val="24"/>
        </w:rPr>
        <w:tab/>
      </w:r>
      <w:r w:rsidR="000305A5" w:rsidRPr="00BA0E8D">
        <w:rPr>
          <w:rFonts w:ascii="Times New Roman" w:hAnsi="Times New Roman"/>
          <w:sz w:val="24"/>
          <w:szCs w:val="24"/>
        </w:rPr>
        <w:t xml:space="preserve">      </w:t>
      </w:r>
      <w:r w:rsidR="00F25616" w:rsidRPr="00BA0E8D">
        <w:rPr>
          <w:rFonts w:ascii="Times New Roman" w:hAnsi="Times New Roman"/>
          <w:sz w:val="24"/>
          <w:szCs w:val="24"/>
        </w:rPr>
        <w:t>(4</w:t>
      </w:r>
      <w:r w:rsidR="00642344" w:rsidRPr="00BA0E8D">
        <w:rPr>
          <w:rFonts w:ascii="Times New Roman" w:hAnsi="Times New Roman"/>
          <w:sz w:val="24"/>
          <w:szCs w:val="24"/>
        </w:rPr>
        <w:t xml:space="preserve">)     </w:t>
      </w:r>
    </w:p>
    <w:p w14:paraId="6DA2F9AD" w14:textId="65FC5BD8" w:rsidR="00240359" w:rsidRPr="003C588D" w:rsidRDefault="00AD7DD1" w:rsidP="00444D9D">
      <w:pPr>
        <w:spacing w:before="240" w:after="240" w:line="360" w:lineRule="auto"/>
        <w:jc w:val="both"/>
        <w:rPr>
          <w:rFonts w:ascii="Times New Roman" w:hAnsi="Times New Roman"/>
          <w:sz w:val="24"/>
          <w:szCs w:val="24"/>
        </w:rPr>
      </w:pPr>
      <w:r w:rsidRPr="003C588D">
        <w:rPr>
          <w:rFonts w:ascii="Times New Roman" w:hAnsi="Times New Roman"/>
          <w:sz w:val="24"/>
          <w:szCs w:val="24"/>
        </w:rPr>
        <w:t>We</w:t>
      </w:r>
      <w:r w:rsidR="006B3CF7" w:rsidRPr="003C588D">
        <w:rPr>
          <w:rFonts w:ascii="Times New Roman" w:hAnsi="Times New Roman"/>
          <w:sz w:val="24"/>
          <w:szCs w:val="24"/>
        </w:rPr>
        <w:t xml:space="preserve"> modify</w:t>
      </w:r>
      <w:r w:rsidR="00563278" w:rsidRPr="003C588D">
        <w:rPr>
          <w:rFonts w:ascii="Times New Roman" w:hAnsi="Times New Roman"/>
          <w:sz w:val="24"/>
          <w:szCs w:val="24"/>
        </w:rPr>
        <w:t xml:space="preserve"> (2</w:t>
      </w:r>
      <w:r w:rsidR="00455C8D" w:rsidRPr="003C588D">
        <w:rPr>
          <w:rFonts w:ascii="Times New Roman" w:hAnsi="Times New Roman"/>
          <w:sz w:val="24"/>
          <w:szCs w:val="24"/>
        </w:rPr>
        <w:t>) and</w:t>
      </w:r>
      <w:r w:rsidR="00EF766D" w:rsidRPr="003C588D">
        <w:rPr>
          <w:rFonts w:ascii="Times New Roman" w:hAnsi="Times New Roman"/>
          <w:sz w:val="24"/>
          <w:szCs w:val="24"/>
        </w:rPr>
        <w:t xml:space="preserve"> (3) </w:t>
      </w:r>
      <w:r w:rsidRPr="003C588D">
        <w:rPr>
          <w:rFonts w:ascii="Times New Roman" w:hAnsi="Times New Roman"/>
          <w:sz w:val="24"/>
          <w:szCs w:val="24"/>
        </w:rPr>
        <w:t xml:space="preserve">in a similar fashion </w:t>
      </w:r>
      <w:r w:rsidR="00563278" w:rsidRPr="003C588D">
        <w:rPr>
          <w:rFonts w:ascii="Times New Roman" w:hAnsi="Times New Roman"/>
          <w:sz w:val="24"/>
          <w:szCs w:val="24"/>
        </w:rPr>
        <w:t xml:space="preserve">to </w:t>
      </w:r>
      <w:r w:rsidR="005A4939" w:rsidRPr="003C588D">
        <w:rPr>
          <w:rFonts w:ascii="Times New Roman" w:hAnsi="Times New Roman"/>
          <w:sz w:val="24"/>
          <w:szCs w:val="24"/>
        </w:rPr>
        <w:t>provide further extensions</w:t>
      </w:r>
      <w:r w:rsidR="00981B01" w:rsidRPr="003C588D">
        <w:rPr>
          <w:rFonts w:ascii="Times New Roman" w:hAnsi="Times New Roman"/>
          <w:sz w:val="24"/>
          <w:szCs w:val="24"/>
        </w:rPr>
        <w:t xml:space="preserve"> and </w:t>
      </w:r>
      <w:r w:rsidR="005A4939" w:rsidRPr="003C588D">
        <w:rPr>
          <w:rFonts w:ascii="Times New Roman" w:hAnsi="Times New Roman"/>
          <w:sz w:val="24"/>
          <w:szCs w:val="24"/>
        </w:rPr>
        <w:t>example</w:t>
      </w:r>
      <w:r w:rsidR="00981B01" w:rsidRPr="003C588D">
        <w:rPr>
          <w:rFonts w:ascii="Times New Roman" w:hAnsi="Times New Roman"/>
          <w:sz w:val="24"/>
          <w:szCs w:val="24"/>
        </w:rPr>
        <w:t>s</w:t>
      </w:r>
      <w:r w:rsidR="005A4939" w:rsidRPr="003C588D">
        <w:rPr>
          <w:rFonts w:ascii="Times New Roman" w:hAnsi="Times New Roman"/>
          <w:sz w:val="24"/>
          <w:szCs w:val="24"/>
        </w:rPr>
        <w:t xml:space="preserve">, </w:t>
      </w:r>
      <w:r w:rsidR="001A7DA2" w:rsidRPr="003C588D">
        <w:rPr>
          <w:rFonts w:ascii="Times New Roman" w:hAnsi="Times New Roman"/>
          <w:sz w:val="24"/>
          <w:szCs w:val="24"/>
        </w:rPr>
        <w:t>including the</w:t>
      </w:r>
      <w:r w:rsidR="00563278" w:rsidRPr="003C588D">
        <w:rPr>
          <w:rFonts w:ascii="Times New Roman" w:hAnsi="Times New Roman"/>
          <w:sz w:val="24"/>
          <w:szCs w:val="24"/>
        </w:rPr>
        <w:t xml:space="preserve"> moderating roles of governance quality on the marginal effect of credit information sharing</w:t>
      </w:r>
      <w:r w:rsidR="005A4939" w:rsidRPr="003C588D">
        <w:rPr>
          <w:rFonts w:ascii="Times New Roman" w:hAnsi="Times New Roman"/>
          <w:sz w:val="24"/>
          <w:szCs w:val="24"/>
        </w:rPr>
        <w:t>.</w:t>
      </w:r>
      <w:r w:rsidR="00563278" w:rsidRPr="003C588D">
        <w:rPr>
          <w:rFonts w:ascii="Times New Roman" w:hAnsi="Times New Roman"/>
          <w:sz w:val="24"/>
          <w:szCs w:val="24"/>
        </w:rPr>
        <w:t xml:space="preserve"> </w:t>
      </w:r>
    </w:p>
    <w:p w14:paraId="11CDE084" w14:textId="6C141337" w:rsidR="007F7E00" w:rsidRPr="00BA0E8D" w:rsidRDefault="00240359" w:rsidP="00444D9D">
      <w:pPr>
        <w:spacing w:before="240" w:after="240" w:line="360" w:lineRule="auto"/>
        <w:jc w:val="both"/>
        <w:rPr>
          <w:rFonts w:ascii="Times New Roman" w:hAnsi="Times New Roman"/>
          <w:sz w:val="24"/>
          <w:szCs w:val="24"/>
        </w:rPr>
      </w:pPr>
      <w:r w:rsidRPr="003C588D">
        <w:rPr>
          <w:rFonts w:ascii="Times New Roman" w:hAnsi="Times New Roman"/>
          <w:sz w:val="24"/>
          <w:szCs w:val="24"/>
        </w:rPr>
        <w:t xml:space="preserve">The estimation of </w:t>
      </w:r>
      <w:proofErr w:type="spellStart"/>
      <w:r w:rsidRPr="003C588D">
        <w:rPr>
          <w:rFonts w:ascii="Times New Roman" w:hAnsi="Times New Roman"/>
          <w:sz w:val="24"/>
          <w:szCs w:val="24"/>
        </w:rPr>
        <w:t>Eqs</w:t>
      </w:r>
      <w:proofErr w:type="spellEnd"/>
      <w:r w:rsidRPr="003C588D">
        <w:rPr>
          <w:rFonts w:ascii="Times New Roman" w:hAnsi="Times New Roman"/>
          <w:sz w:val="24"/>
          <w:szCs w:val="24"/>
        </w:rPr>
        <w:t>. (1) and (2) poses an endogeneity problem</w:t>
      </w:r>
      <w:r w:rsidR="000079ED" w:rsidRPr="003C588D">
        <w:rPr>
          <w:rFonts w:ascii="Times New Roman" w:hAnsi="Times New Roman"/>
          <w:sz w:val="24"/>
          <w:szCs w:val="24"/>
        </w:rPr>
        <w:t xml:space="preserve"> as follows</w:t>
      </w:r>
      <w:r w:rsidRPr="003C588D">
        <w:rPr>
          <w:rFonts w:ascii="Times New Roman" w:hAnsi="Times New Roman"/>
          <w:sz w:val="24"/>
          <w:szCs w:val="24"/>
        </w:rPr>
        <w:t>. First, the bank</w:t>
      </w:r>
      <w:r w:rsidR="00F52E6D" w:rsidRPr="003C588D">
        <w:rPr>
          <w:rFonts w:ascii="Times New Roman" w:hAnsi="Times New Roman"/>
          <w:sz w:val="24"/>
          <w:szCs w:val="24"/>
        </w:rPr>
        <w:t xml:space="preserve"> </w:t>
      </w:r>
      <w:proofErr w:type="gramStart"/>
      <w:r w:rsidRPr="003C588D">
        <w:rPr>
          <w:rFonts w:ascii="Times New Roman" w:hAnsi="Times New Roman"/>
          <w:sz w:val="24"/>
          <w:szCs w:val="24"/>
        </w:rPr>
        <w:t>fixed</w:t>
      </w:r>
      <w:r w:rsidR="00EE1C0F" w:rsidRPr="003C588D">
        <w:rPr>
          <w:rFonts w:ascii="Times New Roman" w:hAnsi="Times New Roman"/>
          <w:sz w:val="24"/>
          <w:szCs w:val="24"/>
        </w:rPr>
        <w:t>-</w:t>
      </w:r>
      <w:r w:rsidRPr="003C588D">
        <w:rPr>
          <w:rFonts w:ascii="Times New Roman" w:hAnsi="Times New Roman"/>
          <w:sz w:val="24"/>
          <w:szCs w:val="24"/>
        </w:rPr>
        <w:t>effects</w:t>
      </w:r>
      <w:proofErr w:type="gramEnd"/>
      <w:r w:rsidRPr="003C588D">
        <w:rPr>
          <w:rFonts w:ascii="Times New Roman" w:hAnsi="Times New Roman"/>
          <w:sz w:val="24"/>
          <w:szCs w:val="24"/>
        </w:rPr>
        <w:t xml:space="preserve"> may be correlated with the other explanatory variables. </w:t>
      </w:r>
      <w:r w:rsidR="000079ED" w:rsidRPr="003C588D">
        <w:rPr>
          <w:rFonts w:ascii="Times New Roman" w:hAnsi="Times New Roman"/>
          <w:sz w:val="24"/>
          <w:szCs w:val="24"/>
        </w:rPr>
        <w:t>T</w:t>
      </w:r>
      <w:r w:rsidRPr="003C588D">
        <w:rPr>
          <w:rFonts w:ascii="Times New Roman" w:hAnsi="Times New Roman"/>
          <w:sz w:val="24"/>
          <w:szCs w:val="24"/>
        </w:rPr>
        <w:t xml:space="preserve">his problem </w:t>
      </w:r>
      <w:r w:rsidR="000079ED" w:rsidRPr="003C588D">
        <w:rPr>
          <w:rFonts w:ascii="Times New Roman" w:hAnsi="Times New Roman"/>
          <w:sz w:val="24"/>
          <w:szCs w:val="24"/>
        </w:rPr>
        <w:t xml:space="preserve">can be addressed by </w:t>
      </w:r>
      <w:r w:rsidRPr="003C588D">
        <w:rPr>
          <w:rFonts w:ascii="Times New Roman" w:hAnsi="Times New Roman"/>
          <w:sz w:val="24"/>
          <w:szCs w:val="24"/>
        </w:rPr>
        <w:t>first</w:t>
      </w:r>
      <w:r w:rsidR="00F52E6D" w:rsidRPr="003C588D">
        <w:rPr>
          <w:rFonts w:ascii="Times New Roman" w:hAnsi="Times New Roman"/>
          <w:sz w:val="24"/>
          <w:szCs w:val="24"/>
        </w:rPr>
        <w:t xml:space="preserve"> </w:t>
      </w:r>
      <w:r w:rsidRPr="003C588D">
        <w:rPr>
          <w:rFonts w:ascii="Times New Roman" w:hAnsi="Times New Roman"/>
          <w:sz w:val="24"/>
          <w:szCs w:val="24"/>
        </w:rPr>
        <w:t xml:space="preserve">differencing the equations to wipe out the bank </w:t>
      </w:r>
      <w:proofErr w:type="gramStart"/>
      <w:r w:rsidRPr="003C588D">
        <w:rPr>
          <w:rFonts w:ascii="Times New Roman" w:hAnsi="Times New Roman"/>
          <w:sz w:val="24"/>
          <w:szCs w:val="24"/>
        </w:rPr>
        <w:t>fixed</w:t>
      </w:r>
      <w:r w:rsidR="00EE1C0F" w:rsidRPr="003C588D">
        <w:rPr>
          <w:rFonts w:ascii="Times New Roman" w:hAnsi="Times New Roman"/>
          <w:sz w:val="24"/>
          <w:szCs w:val="24"/>
        </w:rPr>
        <w:t>-</w:t>
      </w:r>
      <w:r w:rsidRPr="003C588D">
        <w:rPr>
          <w:rFonts w:ascii="Times New Roman" w:hAnsi="Times New Roman"/>
          <w:sz w:val="24"/>
          <w:szCs w:val="24"/>
        </w:rPr>
        <w:t>effects</w:t>
      </w:r>
      <w:proofErr w:type="gramEnd"/>
      <w:r w:rsidRPr="003C588D">
        <w:rPr>
          <w:rFonts w:ascii="Times New Roman" w:hAnsi="Times New Roman"/>
          <w:sz w:val="24"/>
          <w:szCs w:val="24"/>
        </w:rPr>
        <w:t xml:space="preserve">. Second, the lagged dependent variables are, by construction, correlated with the differenced error terms. This problem can be addressed by using the difference generalised method of moments (GMM) estimator proposed by Arellano and Bond (1991), where the lagged levels of the endogenous variables are used as instruments for the differenced equation in </w:t>
      </w:r>
      <w:proofErr w:type="spellStart"/>
      <w:r w:rsidRPr="003C588D">
        <w:rPr>
          <w:rFonts w:ascii="Times New Roman" w:hAnsi="Times New Roman"/>
          <w:sz w:val="24"/>
          <w:szCs w:val="24"/>
        </w:rPr>
        <w:t>Eqs</w:t>
      </w:r>
      <w:proofErr w:type="spellEnd"/>
      <w:r w:rsidRPr="003C588D">
        <w:rPr>
          <w:rFonts w:ascii="Times New Roman" w:hAnsi="Times New Roman"/>
          <w:sz w:val="24"/>
          <w:szCs w:val="24"/>
        </w:rPr>
        <w:t>. (1) and (2)</w:t>
      </w:r>
      <w:r w:rsidR="001B21DA" w:rsidRPr="003C588D">
        <w:rPr>
          <w:rFonts w:ascii="Times New Roman" w:hAnsi="Times New Roman"/>
          <w:sz w:val="24"/>
          <w:szCs w:val="24"/>
        </w:rPr>
        <w:t>.</w:t>
      </w:r>
      <w:r w:rsidR="00C1020D" w:rsidRPr="003C588D">
        <w:rPr>
          <w:rStyle w:val="FootnoteReference"/>
          <w:rFonts w:ascii="Times New Roman" w:hAnsi="Times New Roman"/>
          <w:sz w:val="24"/>
          <w:szCs w:val="24"/>
        </w:rPr>
        <w:footnoteReference w:id="4"/>
      </w:r>
      <w:r w:rsidRPr="00BA0E8D">
        <w:rPr>
          <w:rFonts w:ascii="Times New Roman" w:hAnsi="Times New Roman"/>
          <w:sz w:val="24"/>
          <w:szCs w:val="24"/>
        </w:rPr>
        <w:t xml:space="preserve"> </w:t>
      </w:r>
      <w:r w:rsidR="00492150" w:rsidRPr="00BA0E8D">
        <w:rPr>
          <w:rFonts w:ascii="Times New Roman" w:hAnsi="Times New Roman"/>
          <w:sz w:val="24"/>
          <w:szCs w:val="24"/>
        </w:rPr>
        <w:t>Absence</w:t>
      </w:r>
      <w:r w:rsidR="0098567D" w:rsidRPr="00BA0E8D">
        <w:rPr>
          <w:rFonts w:ascii="Times New Roman" w:hAnsi="Times New Roman"/>
          <w:sz w:val="24"/>
          <w:szCs w:val="24"/>
        </w:rPr>
        <w:t xml:space="preserve"> of </w:t>
      </w:r>
      <w:r w:rsidR="0098567D" w:rsidRPr="00BA0E8D">
        <w:rPr>
          <w:rFonts w:ascii="Times New Roman" w:hAnsi="Times New Roman"/>
          <w:sz w:val="24"/>
          <w:szCs w:val="24"/>
        </w:rPr>
        <w:lastRenderedPageBreak/>
        <w:t>se</w:t>
      </w:r>
      <w:r w:rsidR="00EA3BEB" w:rsidRPr="00BA0E8D">
        <w:rPr>
          <w:rFonts w:ascii="Times New Roman" w:hAnsi="Times New Roman"/>
          <w:sz w:val="24"/>
          <w:szCs w:val="24"/>
        </w:rPr>
        <w:t>rial correlation in the original error term</w:t>
      </w:r>
      <w:r w:rsidR="003A6CE1" w:rsidRPr="00BA0E8D">
        <w:rPr>
          <w:rFonts w:ascii="Times New Roman" w:hAnsi="Times New Roman"/>
          <w:sz w:val="24"/>
          <w:szCs w:val="24"/>
        </w:rPr>
        <w:t>,</w:t>
      </w:r>
      <w:r w:rsidR="0098567D" w:rsidRPr="00BA0E8D">
        <w:rPr>
          <w:rFonts w:ascii="Times New Roman" w:hAnsi="Times New Roman"/>
          <w:position w:val="-14"/>
          <w:sz w:val="24"/>
          <w:szCs w:val="24"/>
        </w:rPr>
        <w:object w:dxaOrig="340" w:dyaOrig="380" w14:anchorId="23F86961">
          <v:shape id="_x0000_i1040" type="#_x0000_t75" style="width:18.75pt;height:17.25pt" o:ole="">
            <v:imagedata r:id="rId38" o:title=""/>
          </v:shape>
          <o:OLEObject Type="Embed" ProgID="Equation.3" ShapeID="_x0000_i1040" DrawAspect="Content" ObjectID="_1654107584" r:id="rId39"/>
        </w:object>
      </w:r>
      <w:r w:rsidR="0098567D" w:rsidRPr="00BA0E8D">
        <w:rPr>
          <w:rFonts w:ascii="Times New Roman" w:hAnsi="Times New Roman"/>
          <w:sz w:val="24"/>
          <w:szCs w:val="24"/>
        </w:rPr>
        <w:t xml:space="preserve">, and weak exogeneity of the explanatory variables </w:t>
      </w:r>
      <w:r w:rsidR="00AD280C" w:rsidRPr="00BA0E8D">
        <w:rPr>
          <w:rFonts w:ascii="Times New Roman" w:hAnsi="Times New Roman"/>
          <w:sz w:val="24"/>
          <w:szCs w:val="24"/>
        </w:rPr>
        <w:t xml:space="preserve">will </w:t>
      </w:r>
      <w:r w:rsidR="0098567D" w:rsidRPr="00BA0E8D">
        <w:rPr>
          <w:rFonts w:ascii="Times New Roman" w:hAnsi="Times New Roman"/>
          <w:sz w:val="24"/>
          <w:szCs w:val="24"/>
        </w:rPr>
        <w:t>permit the following moment conditions:</w:t>
      </w:r>
    </w:p>
    <w:p w14:paraId="222AED90" w14:textId="38C6F3D8" w:rsidR="007F7E00" w:rsidRPr="00BA0E8D" w:rsidRDefault="007A219F" w:rsidP="008374FC">
      <w:pPr>
        <w:spacing w:before="240" w:after="240" w:line="360" w:lineRule="auto"/>
        <w:ind w:left="720" w:firstLine="720"/>
        <w:jc w:val="both"/>
        <w:rPr>
          <w:rFonts w:ascii="Times New Roman" w:hAnsi="Times New Roman"/>
          <w:sz w:val="24"/>
          <w:szCs w:val="24"/>
        </w:rPr>
      </w:pPr>
      <w:r w:rsidRPr="00BA0E8D">
        <w:rPr>
          <w:rFonts w:ascii="Times New Roman" w:hAnsi="Times New Roman"/>
          <w:position w:val="-14"/>
          <w:sz w:val="24"/>
          <w:szCs w:val="24"/>
        </w:rPr>
        <w:object w:dxaOrig="1680" w:dyaOrig="380" w14:anchorId="7E8C3C46">
          <v:shape id="_x0000_i1041" type="#_x0000_t75" style="width:84pt;height:17.25pt" o:ole="">
            <v:imagedata r:id="rId40" o:title=""/>
          </v:shape>
          <o:OLEObject Type="Embed" ProgID="Equation.3" ShapeID="_x0000_i1041" DrawAspect="Content" ObjectID="_1654107585" r:id="rId41"/>
        </w:object>
      </w:r>
      <w:r w:rsidRPr="00BA0E8D">
        <w:rPr>
          <w:rFonts w:ascii="Times New Roman" w:hAnsi="Times New Roman"/>
          <w:sz w:val="24"/>
          <w:szCs w:val="24"/>
        </w:rPr>
        <w:t xml:space="preserve"> for</w:t>
      </w:r>
      <w:r w:rsidRPr="00BA0E8D">
        <w:rPr>
          <w:rFonts w:ascii="Times New Roman" w:hAnsi="Times New Roman"/>
          <w:position w:val="-10"/>
          <w:sz w:val="24"/>
          <w:szCs w:val="24"/>
        </w:rPr>
        <w:object w:dxaOrig="1540" w:dyaOrig="320" w14:anchorId="6EBAF1F5">
          <v:shape id="_x0000_i1042" type="#_x0000_t75" style="width:76.5pt;height:15.75pt" o:ole="">
            <v:imagedata r:id="rId42" o:title=""/>
          </v:shape>
          <o:OLEObject Type="Embed" ProgID="Equation.3" ShapeID="_x0000_i1042" DrawAspect="Content" ObjectID="_1654107586" r:id="rId43"/>
        </w:object>
      </w:r>
      <w:r w:rsidRPr="00BA0E8D">
        <w:rPr>
          <w:rFonts w:ascii="Times New Roman" w:hAnsi="Times New Roman"/>
          <w:sz w:val="24"/>
          <w:szCs w:val="24"/>
        </w:rPr>
        <w:tab/>
      </w:r>
      <w:r w:rsidRPr="00BA0E8D">
        <w:rPr>
          <w:rFonts w:ascii="Times New Roman" w:hAnsi="Times New Roman"/>
          <w:sz w:val="24"/>
          <w:szCs w:val="24"/>
        </w:rPr>
        <w:tab/>
      </w:r>
      <w:r w:rsidRPr="00BA0E8D">
        <w:rPr>
          <w:rFonts w:ascii="Times New Roman" w:hAnsi="Times New Roman"/>
          <w:sz w:val="24"/>
          <w:szCs w:val="24"/>
        </w:rPr>
        <w:tab/>
      </w:r>
      <w:r w:rsidRPr="00BA0E8D">
        <w:rPr>
          <w:rFonts w:ascii="Times New Roman" w:hAnsi="Times New Roman"/>
          <w:sz w:val="24"/>
          <w:szCs w:val="24"/>
        </w:rPr>
        <w:tab/>
        <w:t>(5)</w:t>
      </w:r>
    </w:p>
    <w:p w14:paraId="59A30B1B" w14:textId="05923BEA" w:rsidR="007A219F" w:rsidRPr="00BA0E8D" w:rsidRDefault="007677AA" w:rsidP="008374FC">
      <w:pPr>
        <w:spacing w:before="240" w:after="240" w:line="360" w:lineRule="auto"/>
        <w:ind w:left="720" w:firstLine="720"/>
        <w:jc w:val="both"/>
        <w:rPr>
          <w:rFonts w:ascii="Times New Roman" w:hAnsi="Times New Roman"/>
          <w:sz w:val="24"/>
          <w:szCs w:val="24"/>
        </w:rPr>
      </w:pPr>
      <w:r w:rsidRPr="00BA0E8D">
        <w:rPr>
          <w:rFonts w:ascii="Times New Roman" w:hAnsi="Times New Roman"/>
          <w:position w:val="-14"/>
          <w:sz w:val="24"/>
          <w:szCs w:val="24"/>
        </w:rPr>
        <w:object w:dxaOrig="1700" w:dyaOrig="380" w14:anchorId="6B51D8F8">
          <v:shape id="_x0000_i1043" type="#_x0000_t75" style="width:84.75pt;height:17.25pt" o:ole="">
            <v:imagedata r:id="rId44" o:title=""/>
          </v:shape>
          <o:OLEObject Type="Embed" ProgID="Equation.3" ShapeID="_x0000_i1043" DrawAspect="Content" ObjectID="_1654107587" r:id="rId45"/>
        </w:object>
      </w:r>
      <w:r w:rsidR="007A219F" w:rsidRPr="00BA0E8D">
        <w:rPr>
          <w:rFonts w:ascii="Times New Roman" w:hAnsi="Times New Roman"/>
          <w:sz w:val="24"/>
          <w:szCs w:val="24"/>
        </w:rPr>
        <w:t xml:space="preserve"> for</w:t>
      </w:r>
      <w:r w:rsidR="007A219F" w:rsidRPr="00BA0E8D">
        <w:rPr>
          <w:rFonts w:ascii="Times New Roman" w:hAnsi="Times New Roman"/>
          <w:position w:val="-10"/>
          <w:sz w:val="24"/>
          <w:szCs w:val="24"/>
        </w:rPr>
        <w:object w:dxaOrig="1540" w:dyaOrig="320" w14:anchorId="3DFD9329">
          <v:shape id="_x0000_i1044" type="#_x0000_t75" style="width:76.5pt;height:15.75pt" o:ole="">
            <v:imagedata r:id="rId46" o:title=""/>
          </v:shape>
          <o:OLEObject Type="Embed" ProgID="Equation.3" ShapeID="_x0000_i1044" DrawAspect="Content" ObjectID="_1654107588" r:id="rId47"/>
        </w:object>
      </w:r>
      <w:r w:rsidR="007A219F" w:rsidRPr="00BA0E8D">
        <w:rPr>
          <w:rFonts w:ascii="Times New Roman" w:hAnsi="Times New Roman"/>
          <w:sz w:val="24"/>
          <w:szCs w:val="24"/>
        </w:rPr>
        <w:tab/>
      </w:r>
      <w:r w:rsidR="007A219F" w:rsidRPr="00BA0E8D">
        <w:rPr>
          <w:rFonts w:ascii="Times New Roman" w:hAnsi="Times New Roman"/>
          <w:sz w:val="24"/>
          <w:szCs w:val="24"/>
        </w:rPr>
        <w:tab/>
      </w:r>
      <w:r w:rsidR="007A219F" w:rsidRPr="00BA0E8D">
        <w:rPr>
          <w:rFonts w:ascii="Times New Roman" w:hAnsi="Times New Roman"/>
          <w:sz w:val="24"/>
          <w:szCs w:val="24"/>
        </w:rPr>
        <w:tab/>
      </w:r>
      <w:r w:rsidR="007A219F" w:rsidRPr="00BA0E8D">
        <w:rPr>
          <w:rFonts w:ascii="Times New Roman" w:hAnsi="Times New Roman"/>
          <w:sz w:val="24"/>
          <w:szCs w:val="24"/>
        </w:rPr>
        <w:tab/>
        <w:t>(6)</w:t>
      </w:r>
    </w:p>
    <w:p w14:paraId="1E3F45D2" w14:textId="59322807" w:rsidR="007F7E00" w:rsidRPr="00BA0E8D" w:rsidRDefault="006E7900" w:rsidP="00444D9D">
      <w:pPr>
        <w:spacing w:before="240" w:after="240" w:line="360" w:lineRule="auto"/>
        <w:jc w:val="both"/>
        <w:rPr>
          <w:rFonts w:ascii="Times New Roman" w:hAnsi="Times New Roman"/>
          <w:sz w:val="24"/>
          <w:szCs w:val="24"/>
        </w:rPr>
      </w:pPr>
      <w:r>
        <w:rPr>
          <w:rFonts w:ascii="Times New Roman" w:hAnsi="Times New Roman"/>
          <w:sz w:val="24"/>
          <w:szCs w:val="24"/>
        </w:rPr>
        <w:t>It is noteworthy that</w:t>
      </w:r>
      <w:r w:rsidR="007F7E00" w:rsidRPr="00BA0E8D">
        <w:rPr>
          <w:rFonts w:ascii="Times New Roman" w:hAnsi="Times New Roman"/>
          <w:sz w:val="24"/>
          <w:szCs w:val="24"/>
        </w:rPr>
        <w:t xml:space="preserve"> </w:t>
      </w:r>
      <w:r w:rsidR="000079ED">
        <w:rPr>
          <w:rFonts w:ascii="Times New Roman" w:hAnsi="Times New Roman"/>
          <w:sz w:val="24"/>
          <w:szCs w:val="24"/>
        </w:rPr>
        <w:t xml:space="preserve">the </w:t>
      </w:r>
      <w:r w:rsidR="007F7E00" w:rsidRPr="00BA0E8D">
        <w:rPr>
          <w:rFonts w:ascii="Times New Roman" w:hAnsi="Times New Roman"/>
          <w:sz w:val="24"/>
          <w:szCs w:val="24"/>
        </w:rPr>
        <w:t xml:space="preserve">lagged levels of the explanatory variables </w:t>
      </w:r>
      <w:r w:rsidR="000079ED">
        <w:rPr>
          <w:rFonts w:ascii="Times New Roman" w:hAnsi="Times New Roman"/>
          <w:sz w:val="24"/>
          <w:szCs w:val="24"/>
        </w:rPr>
        <w:t>could</w:t>
      </w:r>
      <w:r w:rsidR="00840272" w:rsidRPr="00BA0E8D">
        <w:rPr>
          <w:rFonts w:ascii="Times New Roman" w:hAnsi="Times New Roman"/>
          <w:sz w:val="24"/>
          <w:szCs w:val="24"/>
        </w:rPr>
        <w:t xml:space="preserve"> be </w:t>
      </w:r>
      <w:r w:rsidR="000079ED">
        <w:rPr>
          <w:rFonts w:ascii="Times New Roman" w:hAnsi="Times New Roman"/>
          <w:sz w:val="24"/>
          <w:szCs w:val="24"/>
        </w:rPr>
        <w:t>in</w:t>
      </w:r>
      <w:r w:rsidR="00840272" w:rsidRPr="00BA0E8D">
        <w:rPr>
          <w:rFonts w:ascii="Times New Roman" w:hAnsi="Times New Roman"/>
          <w:sz w:val="24"/>
          <w:szCs w:val="24"/>
        </w:rPr>
        <w:t>efficient</w:t>
      </w:r>
      <w:r w:rsidR="007F7E00" w:rsidRPr="00BA0E8D">
        <w:rPr>
          <w:rFonts w:ascii="Times New Roman" w:hAnsi="Times New Roman"/>
          <w:sz w:val="24"/>
          <w:szCs w:val="24"/>
        </w:rPr>
        <w:t xml:space="preserve"> instruments for their first differences</w:t>
      </w:r>
      <w:r w:rsidR="000079ED">
        <w:rPr>
          <w:rFonts w:ascii="Times New Roman" w:hAnsi="Times New Roman"/>
          <w:sz w:val="24"/>
          <w:szCs w:val="24"/>
        </w:rPr>
        <w:t xml:space="preserve"> due to</w:t>
      </w:r>
      <w:r w:rsidR="000079ED" w:rsidRPr="00BA0E8D">
        <w:rPr>
          <w:rFonts w:ascii="Times New Roman" w:hAnsi="Times New Roman"/>
          <w:sz w:val="24"/>
          <w:szCs w:val="24"/>
        </w:rPr>
        <w:t xml:space="preserve"> reasons such as persistence or measurement errors</w:t>
      </w:r>
      <w:r w:rsidR="007F7E00" w:rsidRPr="00BA0E8D">
        <w:rPr>
          <w:rFonts w:ascii="Times New Roman" w:hAnsi="Times New Roman"/>
          <w:sz w:val="24"/>
          <w:szCs w:val="24"/>
        </w:rPr>
        <w:t xml:space="preserve"> (</w:t>
      </w:r>
      <w:r w:rsidR="00C44266" w:rsidRPr="00BA0E8D">
        <w:rPr>
          <w:rFonts w:ascii="Times New Roman" w:hAnsi="Times New Roman"/>
          <w:sz w:val="24"/>
          <w:szCs w:val="24"/>
        </w:rPr>
        <w:t xml:space="preserve">Blundell and Bond, 1998; </w:t>
      </w:r>
      <w:r w:rsidR="007F7E00" w:rsidRPr="00BA0E8D">
        <w:rPr>
          <w:rFonts w:ascii="Times New Roman" w:hAnsi="Times New Roman"/>
          <w:sz w:val="24"/>
          <w:szCs w:val="24"/>
        </w:rPr>
        <w:t>Alonso-</w:t>
      </w:r>
      <w:r w:rsidR="00086A06" w:rsidRPr="00BA0E8D">
        <w:rPr>
          <w:rFonts w:ascii="Times New Roman" w:hAnsi="Times New Roman"/>
          <w:sz w:val="24"/>
          <w:szCs w:val="24"/>
        </w:rPr>
        <w:t>Borrego</w:t>
      </w:r>
      <w:r w:rsidR="00C44266" w:rsidRPr="00BA0E8D">
        <w:rPr>
          <w:rFonts w:ascii="Times New Roman" w:hAnsi="Times New Roman"/>
          <w:sz w:val="24"/>
          <w:szCs w:val="24"/>
        </w:rPr>
        <w:t xml:space="preserve"> and</w:t>
      </w:r>
      <w:r w:rsidR="00611F87">
        <w:rPr>
          <w:rFonts w:ascii="Times New Roman" w:hAnsi="Times New Roman"/>
          <w:sz w:val="24"/>
          <w:szCs w:val="24"/>
        </w:rPr>
        <w:t xml:space="preserve"> </w:t>
      </w:r>
      <w:r w:rsidR="007F7E00" w:rsidRPr="00BA0E8D">
        <w:rPr>
          <w:rFonts w:ascii="Times New Roman" w:hAnsi="Times New Roman"/>
          <w:sz w:val="24"/>
          <w:szCs w:val="24"/>
        </w:rPr>
        <w:t>Arellano</w:t>
      </w:r>
      <w:r w:rsidR="00C44266" w:rsidRPr="00BA0E8D">
        <w:rPr>
          <w:rFonts w:ascii="Times New Roman" w:hAnsi="Times New Roman"/>
          <w:sz w:val="24"/>
          <w:szCs w:val="24"/>
        </w:rPr>
        <w:t>,</w:t>
      </w:r>
      <w:r w:rsidR="007F7E00" w:rsidRPr="00BA0E8D">
        <w:rPr>
          <w:rFonts w:ascii="Times New Roman" w:hAnsi="Times New Roman"/>
          <w:sz w:val="24"/>
          <w:szCs w:val="24"/>
        </w:rPr>
        <w:t xml:space="preserve"> 1999)</w:t>
      </w:r>
      <w:r w:rsidR="00840272" w:rsidRPr="00BA0E8D">
        <w:rPr>
          <w:rFonts w:ascii="Times New Roman" w:hAnsi="Times New Roman"/>
          <w:sz w:val="24"/>
          <w:szCs w:val="24"/>
        </w:rPr>
        <w:t xml:space="preserve">. </w:t>
      </w:r>
      <w:r w:rsidR="000079ED">
        <w:rPr>
          <w:rFonts w:ascii="Times New Roman" w:hAnsi="Times New Roman"/>
          <w:sz w:val="24"/>
          <w:szCs w:val="24"/>
        </w:rPr>
        <w:t>Therefore, to improve e</w:t>
      </w:r>
      <w:r w:rsidR="00840272" w:rsidRPr="00BA0E8D">
        <w:rPr>
          <w:rFonts w:ascii="Times New Roman" w:hAnsi="Times New Roman"/>
          <w:sz w:val="24"/>
          <w:szCs w:val="24"/>
        </w:rPr>
        <w:t>fficiency</w:t>
      </w:r>
      <w:r w:rsidR="000079ED">
        <w:rPr>
          <w:rFonts w:ascii="Times New Roman" w:hAnsi="Times New Roman"/>
          <w:sz w:val="24"/>
          <w:szCs w:val="24"/>
        </w:rPr>
        <w:t xml:space="preserve">, </w:t>
      </w:r>
      <w:r w:rsidR="00C46905">
        <w:rPr>
          <w:rFonts w:ascii="Times New Roman" w:hAnsi="Times New Roman"/>
          <w:sz w:val="24"/>
          <w:szCs w:val="24"/>
        </w:rPr>
        <w:t xml:space="preserve">the </w:t>
      </w:r>
      <w:r w:rsidR="00C46905" w:rsidRPr="00BA0E8D">
        <w:rPr>
          <w:rFonts w:ascii="Times New Roman" w:hAnsi="Times New Roman"/>
          <w:sz w:val="24"/>
          <w:szCs w:val="24"/>
        </w:rPr>
        <w:t>levels equation</w:t>
      </w:r>
      <w:r w:rsidR="00C46905">
        <w:rPr>
          <w:rFonts w:ascii="Times New Roman" w:hAnsi="Times New Roman"/>
          <w:sz w:val="24"/>
          <w:szCs w:val="24"/>
        </w:rPr>
        <w:t xml:space="preserve"> can be combined</w:t>
      </w:r>
      <w:r w:rsidR="00C46905" w:rsidRPr="00BA0E8D">
        <w:rPr>
          <w:rFonts w:ascii="Times New Roman" w:hAnsi="Times New Roman"/>
          <w:sz w:val="24"/>
          <w:szCs w:val="24"/>
        </w:rPr>
        <w:t xml:space="preserve"> with the differenced equation as a system of equations</w:t>
      </w:r>
      <w:r w:rsidR="00840272" w:rsidRPr="00BA0E8D">
        <w:rPr>
          <w:rFonts w:ascii="Times New Roman" w:hAnsi="Times New Roman"/>
          <w:sz w:val="24"/>
          <w:szCs w:val="24"/>
        </w:rPr>
        <w:t xml:space="preserve"> (Arellano &amp; </w:t>
      </w:r>
      <w:proofErr w:type="spellStart"/>
      <w:r w:rsidR="00840272" w:rsidRPr="00BA0E8D">
        <w:rPr>
          <w:rFonts w:ascii="Times New Roman" w:hAnsi="Times New Roman"/>
          <w:sz w:val="24"/>
          <w:szCs w:val="24"/>
        </w:rPr>
        <w:t>Bover</w:t>
      </w:r>
      <w:proofErr w:type="spellEnd"/>
      <w:r w:rsidR="00840272" w:rsidRPr="00BA0E8D">
        <w:rPr>
          <w:rFonts w:ascii="Times New Roman" w:hAnsi="Times New Roman"/>
          <w:sz w:val="24"/>
          <w:szCs w:val="24"/>
        </w:rPr>
        <w:t xml:space="preserve">, 1995; </w:t>
      </w:r>
      <w:r w:rsidR="00592888" w:rsidRPr="00BA0E8D">
        <w:rPr>
          <w:rFonts w:ascii="Times New Roman" w:hAnsi="Times New Roman"/>
          <w:sz w:val="24"/>
          <w:szCs w:val="24"/>
        </w:rPr>
        <w:t>Blundell</w:t>
      </w:r>
      <w:r w:rsidR="00840272" w:rsidRPr="00BA0E8D">
        <w:rPr>
          <w:rFonts w:ascii="Times New Roman" w:hAnsi="Times New Roman"/>
          <w:sz w:val="24"/>
          <w:szCs w:val="24"/>
        </w:rPr>
        <w:t xml:space="preserve"> &amp; Bond, 1998).</w:t>
      </w:r>
      <w:r w:rsidR="00C46905">
        <w:rPr>
          <w:rFonts w:ascii="Times New Roman" w:hAnsi="Times New Roman"/>
          <w:sz w:val="24"/>
          <w:szCs w:val="24"/>
        </w:rPr>
        <w:t xml:space="preserve"> Accordingly</w:t>
      </w:r>
      <w:r w:rsidR="00840272" w:rsidRPr="00BA0E8D">
        <w:rPr>
          <w:rFonts w:ascii="Times New Roman" w:hAnsi="Times New Roman"/>
          <w:sz w:val="24"/>
          <w:szCs w:val="24"/>
        </w:rPr>
        <w:t xml:space="preserve">, the lagged first-differenced variables can serve as instruments for the corresponding variables </w:t>
      </w:r>
      <w:r w:rsidR="00C46905">
        <w:rPr>
          <w:rFonts w:ascii="Times New Roman" w:hAnsi="Times New Roman"/>
          <w:sz w:val="24"/>
          <w:szCs w:val="24"/>
        </w:rPr>
        <w:t>in</w:t>
      </w:r>
      <w:r w:rsidR="00C46905" w:rsidRPr="00BA0E8D">
        <w:rPr>
          <w:rFonts w:ascii="Times New Roman" w:hAnsi="Times New Roman"/>
          <w:sz w:val="24"/>
          <w:szCs w:val="24"/>
        </w:rPr>
        <w:t xml:space="preserve"> </w:t>
      </w:r>
      <w:r w:rsidR="00840272" w:rsidRPr="00BA0E8D">
        <w:rPr>
          <w:rFonts w:ascii="Times New Roman" w:hAnsi="Times New Roman"/>
          <w:sz w:val="24"/>
          <w:szCs w:val="24"/>
        </w:rPr>
        <w:t>levels</w:t>
      </w:r>
      <w:r w:rsidR="00C46905">
        <w:rPr>
          <w:rFonts w:ascii="Times New Roman" w:hAnsi="Times New Roman"/>
          <w:sz w:val="24"/>
          <w:szCs w:val="24"/>
        </w:rPr>
        <w:t>. This leads</w:t>
      </w:r>
      <w:r w:rsidR="00840272" w:rsidRPr="00BA0E8D">
        <w:rPr>
          <w:rFonts w:ascii="Times New Roman" w:hAnsi="Times New Roman"/>
          <w:sz w:val="24"/>
          <w:szCs w:val="24"/>
        </w:rPr>
        <w:t xml:space="preserve"> to the following additional moment conditions</w:t>
      </w:r>
      <w:r w:rsidR="00CC13FB" w:rsidRPr="00BA0E8D">
        <w:rPr>
          <w:rStyle w:val="FootnoteReference"/>
          <w:rFonts w:ascii="Times New Roman" w:hAnsi="Times New Roman"/>
          <w:sz w:val="24"/>
          <w:szCs w:val="24"/>
        </w:rPr>
        <w:footnoteReference w:id="5"/>
      </w:r>
      <w:r w:rsidR="00840272" w:rsidRPr="00BA0E8D">
        <w:rPr>
          <w:rFonts w:ascii="Times New Roman" w:hAnsi="Times New Roman"/>
          <w:sz w:val="24"/>
          <w:szCs w:val="24"/>
        </w:rPr>
        <w:t>:</w:t>
      </w:r>
    </w:p>
    <w:p w14:paraId="1A082B2C" w14:textId="5A364DA4" w:rsidR="002779C9" w:rsidRPr="00BA0E8D" w:rsidRDefault="005D57E0" w:rsidP="008374FC">
      <w:pPr>
        <w:spacing w:before="240" w:after="240" w:line="360" w:lineRule="auto"/>
        <w:ind w:left="720" w:firstLine="720"/>
        <w:jc w:val="both"/>
        <w:rPr>
          <w:rFonts w:ascii="Times New Roman" w:hAnsi="Times New Roman"/>
          <w:sz w:val="24"/>
          <w:szCs w:val="24"/>
        </w:rPr>
      </w:pPr>
      <w:r w:rsidRPr="00BA0E8D">
        <w:rPr>
          <w:rFonts w:ascii="Times New Roman" w:hAnsi="Times New Roman"/>
          <w:position w:val="-14"/>
          <w:sz w:val="24"/>
          <w:szCs w:val="24"/>
        </w:rPr>
        <w:object w:dxaOrig="1660" w:dyaOrig="380" w14:anchorId="49790EB1">
          <v:shape id="_x0000_i1045" type="#_x0000_t75" style="width:83.25pt;height:17.25pt" o:ole="">
            <v:imagedata r:id="rId48" o:title=""/>
          </v:shape>
          <o:OLEObject Type="Embed" ProgID="Equation.3" ShapeID="_x0000_i1045" DrawAspect="Content" ObjectID="_1654107589" r:id="rId49"/>
        </w:object>
      </w:r>
      <w:r w:rsidR="002779C9" w:rsidRPr="00BA0E8D">
        <w:rPr>
          <w:rFonts w:ascii="Times New Roman" w:hAnsi="Times New Roman"/>
          <w:sz w:val="24"/>
          <w:szCs w:val="24"/>
        </w:rPr>
        <w:t xml:space="preserve"> for</w:t>
      </w:r>
      <w:r w:rsidR="00492150" w:rsidRPr="00BA0E8D">
        <w:rPr>
          <w:rFonts w:ascii="Times New Roman" w:hAnsi="Times New Roman"/>
          <w:position w:val="-6"/>
          <w:sz w:val="24"/>
          <w:szCs w:val="24"/>
        </w:rPr>
        <w:object w:dxaOrig="499" w:dyaOrig="279" w14:anchorId="44358833">
          <v:shape id="_x0000_i1046" type="#_x0000_t75" style="width:26.25pt;height:15pt" o:ole="">
            <v:imagedata r:id="rId50" o:title=""/>
          </v:shape>
          <o:OLEObject Type="Embed" ProgID="Equation.3" ShapeID="_x0000_i1046" DrawAspect="Content" ObjectID="_1654107590" r:id="rId51"/>
        </w:object>
      </w:r>
      <w:r w:rsidR="002779C9" w:rsidRPr="00BA0E8D">
        <w:rPr>
          <w:rFonts w:ascii="Times New Roman" w:hAnsi="Times New Roman"/>
          <w:sz w:val="24"/>
          <w:szCs w:val="24"/>
        </w:rPr>
        <w:tab/>
      </w:r>
      <w:r w:rsidR="002779C9" w:rsidRPr="00BA0E8D">
        <w:rPr>
          <w:rFonts w:ascii="Times New Roman" w:hAnsi="Times New Roman"/>
          <w:sz w:val="24"/>
          <w:szCs w:val="24"/>
        </w:rPr>
        <w:tab/>
      </w:r>
      <w:r w:rsidR="002779C9" w:rsidRPr="00BA0E8D">
        <w:rPr>
          <w:rFonts w:ascii="Times New Roman" w:hAnsi="Times New Roman"/>
          <w:sz w:val="24"/>
          <w:szCs w:val="24"/>
        </w:rPr>
        <w:tab/>
      </w:r>
      <w:r w:rsidR="002779C9" w:rsidRPr="00BA0E8D">
        <w:rPr>
          <w:rFonts w:ascii="Times New Roman" w:hAnsi="Times New Roman"/>
          <w:sz w:val="24"/>
          <w:szCs w:val="24"/>
        </w:rPr>
        <w:tab/>
      </w:r>
      <w:r w:rsidR="00036523" w:rsidRPr="00BA0E8D">
        <w:rPr>
          <w:rFonts w:ascii="Times New Roman" w:hAnsi="Times New Roman"/>
          <w:sz w:val="24"/>
          <w:szCs w:val="24"/>
        </w:rPr>
        <w:tab/>
        <w:t>(7</w:t>
      </w:r>
      <w:r w:rsidR="002779C9" w:rsidRPr="00BA0E8D">
        <w:rPr>
          <w:rFonts w:ascii="Times New Roman" w:hAnsi="Times New Roman"/>
          <w:sz w:val="24"/>
          <w:szCs w:val="24"/>
        </w:rPr>
        <w:t>)</w:t>
      </w:r>
    </w:p>
    <w:p w14:paraId="43384F11" w14:textId="4D7696D6" w:rsidR="00840272" w:rsidRPr="00BA0E8D" w:rsidRDefault="005D57E0" w:rsidP="008374FC">
      <w:pPr>
        <w:spacing w:before="240" w:after="240" w:line="360" w:lineRule="auto"/>
        <w:ind w:left="720" w:firstLine="720"/>
        <w:jc w:val="both"/>
        <w:rPr>
          <w:rFonts w:ascii="Times New Roman" w:hAnsi="Times New Roman"/>
          <w:sz w:val="24"/>
          <w:szCs w:val="24"/>
        </w:rPr>
      </w:pPr>
      <w:r w:rsidRPr="00BA0E8D">
        <w:rPr>
          <w:rFonts w:ascii="Times New Roman" w:hAnsi="Times New Roman"/>
          <w:position w:val="-14"/>
          <w:sz w:val="24"/>
          <w:szCs w:val="24"/>
        </w:rPr>
        <w:object w:dxaOrig="1680" w:dyaOrig="380" w14:anchorId="54B6D595">
          <v:shape id="_x0000_i1047" type="#_x0000_t75" style="width:84pt;height:17.25pt" o:ole="">
            <v:imagedata r:id="rId52" o:title=""/>
          </v:shape>
          <o:OLEObject Type="Embed" ProgID="Equation.3" ShapeID="_x0000_i1047" DrawAspect="Content" ObjectID="_1654107591" r:id="rId53"/>
        </w:object>
      </w:r>
      <w:r w:rsidR="002779C9" w:rsidRPr="00BA0E8D">
        <w:rPr>
          <w:rFonts w:ascii="Times New Roman" w:hAnsi="Times New Roman"/>
          <w:sz w:val="24"/>
          <w:szCs w:val="24"/>
        </w:rPr>
        <w:t xml:space="preserve"> for</w:t>
      </w:r>
      <w:r w:rsidR="00492150" w:rsidRPr="00BA0E8D">
        <w:rPr>
          <w:rFonts w:ascii="Times New Roman" w:hAnsi="Times New Roman"/>
          <w:position w:val="-6"/>
          <w:sz w:val="24"/>
          <w:szCs w:val="24"/>
        </w:rPr>
        <w:object w:dxaOrig="499" w:dyaOrig="279" w14:anchorId="052C92CB">
          <v:shape id="_x0000_i1048" type="#_x0000_t75" style="width:26.25pt;height:15pt" o:ole="">
            <v:imagedata r:id="rId54" o:title=""/>
          </v:shape>
          <o:OLEObject Type="Embed" ProgID="Equation.3" ShapeID="_x0000_i1048" DrawAspect="Content" ObjectID="_1654107592" r:id="rId55"/>
        </w:object>
      </w:r>
      <w:r w:rsidR="002779C9" w:rsidRPr="00BA0E8D">
        <w:rPr>
          <w:rFonts w:ascii="Times New Roman" w:hAnsi="Times New Roman"/>
          <w:sz w:val="24"/>
          <w:szCs w:val="24"/>
        </w:rPr>
        <w:tab/>
      </w:r>
      <w:r w:rsidR="002779C9" w:rsidRPr="00BA0E8D">
        <w:rPr>
          <w:rFonts w:ascii="Times New Roman" w:hAnsi="Times New Roman"/>
          <w:sz w:val="24"/>
          <w:szCs w:val="24"/>
        </w:rPr>
        <w:tab/>
      </w:r>
      <w:r w:rsidR="002779C9" w:rsidRPr="00BA0E8D">
        <w:rPr>
          <w:rFonts w:ascii="Times New Roman" w:hAnsi="Times New Roman"/>
          <w:sz w:val="24"/>
          <w:szCs w:val="24"/>
        </w:rPr>
        <w:tab/>
      </w:r>
      <w:r w:rsidR="002779C9" w:rsidRPr="00BA0E8D">
        <w:rPr>
          <w:rFonts w:ascii="Times New Roman" w:hAnsi="Times New Roman"/>
          <w:sz w:val="24"/>
          <w:szCs w:val="24"/>
        </w:rPr>
        <w:tab/>
      </w:r>
      <w:r w:rsidR="00036523" w:rsidRPr="00BA0E8D">
        <w:rPr>
          <w:rFonts w:ascii="Times New Roman" w:hAnsi="Times New Roman"/>
          <w:sz w:val="24"/>
          <w:szCs w:val="24"/>
        </w:rPr>
        <w:tab/>
        <w:t>(8</w:t>
      </w:r>
      <w:r w:rsidR="002779C9" w:rsidRPr="00BA0E8D">
        <w:rPr>
          <w:rFonts w:ascii="Times New Roman" w:hAnsi="Times New Roman"/>
          <w:sz w:val="24"/>
          <w:szCs w:val="24"/>
        </w:rPr>
        <w:t>)</w:t>
      </w:r>
    </w:p>
    <w:p w14:paraId="3F59E68A" w14:textId="5D763A47" w:rsidR="003A6CE1" w:rsidRPr="00BA0E8D" w:rsidRDefault="00084AC2" w:rsidP="00444D9D">
      <w:pPr>
        <w:spacing w:before="240" w:after="240" w:line="360" w:lineRule="auto"/>
        <w:jc w:val="both"/>
        <w:rPr>
          <w:rFonts w:ascii="Times New Roman" w:hAnsi="Times New Roman"/>
          <w:sz w:val="24"/>
          <w:szCs w:val="24"/>
        </w:rPr>
      </w:pPr>
      <w:r>
        <w:rPr>
          <w:rFonts w:ascii="Times New Roman" w:hAnsi="Times New Roman"/>
          <w:sz w:val="24"/>
          <w:szCs w:val="24"/>
        </w:rPr>
        <w:t>F</w:t>
      </w:r>
      <w:r w:rsidR="0036368F" w:rsidRPr="00BA0E8D">
        <w:rPr>
          <w:rFonts w:ascii="Times New Roman" w:hAnsi="Times New Roman"/>
          <w:sz w:val="24"/>
          <w:szCs w:val="24"/>
        </w:rPr>
        <w:t>irst</w:t>
      </w:r>
      <w:r w:rsidR="00F52E6D">
        <w:rPr>
          <w:rFonts w:ascii="Times New Roman" w:hAnsi="Times New Roman"/>
          <w:sz w:val="24"/>
          <w:szCs w:val="24"/>
        </w:rPr>
        <w:t>-</w:t>
      </w:r>
      <w:r w:rsidR="0036368F" w:rsidRPr="00BA0E8D">
        <w:rPr>
          <w:rFonts w:ascii="Times New Roman" w:hAnsi="Times New Roman"/>
          <w:sz w:val="24"/>
          <w:szCs w:val="24"/>
        </w:rPr>
        <w:t>order serial correlation in the first-differenced equation is expected</w:t>
      </w:r>
      <w:r>
        <w:rPr>
          <w:rFonts w:ascii="Times New Roman" w:hAnsi="Times New Roman"/>
          <w:sz w:val="24"/>
          <w:szCs w:val="24"/>
        </w:rPr>
        <w:t xml:space="preserve"> by construction</w:t>
      </w:r>
      <w:r w:rsidR="0036368F" w:rsidRPr="00BA0E8D">
        <w:rPr>
          <w:rFonts w:ascii="Times New Roman" w:hAnsi="Times New Roman"/>
          <w:sz w:val="24"/>
          <w:szCs w:val="24"/>
        </w:rPr>
        <w:t>. However, second</w:t>
      </w:r>
      <w:r w:rsidR="00F52E6D">
        <w:rPr>
          <w:rFonts w:ascii="Times New Roman" w:hAnsi="Times New Roman"/>
          <w:sz w:val="24"/>
          <w:szCs w:val="24"/>
        </w:rPr>
        <w:t>-</w:t>
      </w:r>
      <w:r w:rsidR="0036368F" w:rsidRPr="00BA0E8D">
        <w:rPr>
          <w:rFonts w:ascii="Times New Roman" w:hAnsi="Times New Roman"/>
          <w:sz w:val="24"/>
          <w:szCs w:val="24"/>
        </w:rPr>
        <w:t>order serial correlation in the differenced equation</w:t>
      </w:r>
      <w:r w:rsidR="002357C3" w:rsidRPr="00BA0E8D">
        <w:rPr>
          <w:rFonts w:ascii="Times New Roman" w:hAnsi="Times New Roman"/>
          <w:sz w:val="24"/>
          <w:szCs w:val="24"/>
        </w:rPr>
        <w:t xml:space="preserve"> would</w:t>
      </w:r>
      <w:r w:rsidR="0036368F" w:rsidRPr="00BA0E8D">
        <w:rPr>
          <w:rFonts w:ascii="Times New Roman" w:hAnsi="Times New Roman"/>
          <w:sz w:val="24"/>
          <w:szCs w:val="24"/>
        </w:rPr>
        <w:t xml:space="preserve"> </w:t>
      </w:r>
      <w:r w:rsidR="002357C3" w:rsidRPr="00BA0E8D">
        <w:rPr>
          <w:rFonts w:ascii="Times New Roman" w:hAnsi="Times New Roman"/>
          <w:sz w:val="24"/>
          <w:szCs w:val="24"/>
        </w:rPr>
        <w:t>suggest possible</w:t>
      </w:r>
      <w:r w:rsidR="0036368F" w:rsidRPr="00BA0E8D">
        <w:rPr>
          <w:rFonts w:ascii="Times New Roman" w:hAnsi="Times New Roman"/>
          <w:sz w:val="24"/>
          <w:szCs w:val="24"/>
        </w:rPr>
        <w:t xml:space="preserve"> first-</w:t>
      </w:r>
      <w:r w:rsidR="0036368F" w:rsidRPr="003C588D">
        <w:rPr>
          <w:rFonts w:ascii="Times New Roman" w:hAnsi="Times New Roman"/>
          <w:sz w:val="24"/>
          <w:szCs w:val="24"/>
        </w:rPr>
        <w:t xml:space="preserve">order serial correlation in the </w:t>
      </w:r>
      <w:proofErr w:type="gramStart"/>
      <w:r w:rsidR="0036368F" w:rsidRPr="003C588D">
        <w:rPr>
          <w:rFonts w:ascii="Times New Roman" w:hAnsi="Times New Roman"/>
          <w:sz w:val="24"/>
          <w:szCs w:val="24"/>
        </w:rPr>
        <w:t>levels</w:t>
      </w:r>
      <w:proofErr w:type="gramEnd"/>
      <w:r w:rsidR="0036368F" w:rsidRPr="003C588D">
        <w:rPr>
          <w:rFonts w:ascii="Times New Roman" w:hAnsi="Times New Roman"/>
          <w:sz w:val="24"/>
          <w:szCs w:val="24"/>
        </w:rPr>
        <w:t xml:space="preserve"> equation</w:t>
      </w:r>
      <w:r w:rsidR="00A25050" w:rsidRPr="003C588D">
        <w:rPr>
          <w:rFonts w:ascii="Times New Roman" w:hAnsi="Times New Roman"/>
          <w:sz w:val="24"/>
          <w:szCs w:val="24"/>
        </w:rPr>
        <w:t xml:space="preserve"> (</w:t>
      </w:r>
      <w:proofErr w:type="spellStart"/>
      <w:r w:rsidR="00A25050" w:rsidRPr="003C588D">
        <w:rPr>
          <w:rFonts w:ascii="Times New Roman" w:hAnsi="Times New Roman"/>
          <w:sz w:val="24"/>
          <w:szCs w:val="24"/>
        </w:rPr>
        <w:t>Roodman</w:t>
      </w:r>
      <w:proofErr w:type="spellEnd"/>
      <w:r w:rsidR="00A25050" w:rsidRPr="003C588D">
        <w:rPr>
          <w:rFonts w:ascii="Times New Roman" w:hAnsi="Times New Roman"/>
          <w:sz w:val="24"/>
          <w:szCs w:val="24"/>
        </w:rPr>
        <w:t>, 2009)</w:t>
      </w:r>
      <w:r w:rsidR="002357C3" w:rsidRPr="003C588D">
        <w:rPr>
          <w:rFonts w:ascii="Times New Roman" w:hAnsi="Times New Roman"/>
          <w:sz w:val="24"/>
          <w:szCs w:val="24"/>
        </w:rPr>
        <w:t xml:space="preserve"> and undermine the moment condition</w:t>
      </w:r>
      <w:r w:rsidR="00A25050" w:rsidRPr="003C588D">
        <w:rPr>
          <w:rFonts w:ascii="Times New Roman" w:hAnsi="Times New Roman"/>
          <w:sz w:val="24"/>
          <w:szCs w:val="24"/>
        </w:rPr>
        <w:t>.</w:t>
      </w:r>
      <w:r w:rsidR="00391E7A" w:rsidRPr="003C588D">
        <w:rPr>
          <w:rFonts w:ascii="Times New Roman" w:hAnsi="Times New Roman"/>
          <w:sz w:val="24"/>
          <w:szCs w:val="24"/>
        </w:rPr>
        <w:t xml:space="preserve"> We, therefore,</w:t>
      </w:r>
      <w:r w:rsidR="00240359" w:rsidRPr="003C588D">
        <w:rPr>
          <w:rFonts w:ascii="Times New Roman" w:hAnsi="Times New Roman"/>
          <w:sz w:val="24"/>
          <w:szCs w:val="24"/>
        </w:rPr>
        <w:t xml:space="preserve"> </w:t>
      </w:r>
      <w:r w:rsidR="003C6AD2" w:rsidRPr="003C588D">
        <w:rPr>
          <w:rFonts w:ascii="Times New Roman" w:hAnsi="Times New Roman"/>
          <w:sz w:val="24"/>
          <w:szCs w:val="24"/>
        </w:rPr>
        <w:t xml:space="preserve">report the Arellano-Bond </w:t>
      </w:r>
      <w:r w:rsidR="00021152" w:rsidRPr="003C588D">
        <w:rPr>
          <w:rFonts w:ascii="Times New Roman" w:hAnsi="Times New Roman"/>
          <w:sz w:val="24"/>
          <w:szCs w:val="24"/>
        </w:rPr>
        <w:t xml:space="preserve">tests </w:t>
      </w:r>
      <w:r w:rsidR="003C6AD2" w:rsidRPr="003C588D">
        <w:rPr>
          <w:rFonts w:ascii="Times New Roman" w:hAnsi="Times New Roman"/>
          <w:sz w:val="24"/>
          <w:szCs w:val="24"/>
        </w:rPr>
        <w:t xml:space="preserve">for </w:t>
      </w:r>
      <w:proofErr w:type="gramStart"/>
      <w:r w:rsidR="00240359" w:rsidRPr="003C588D">
        <w:rPr>
          <w:rFonts w:ascii="Times New Roman" w:hAnsi="Times New Roman"/>
          <w:sz w:val="24"/>
          <w:szCs w:val="24"/>
        </w:rPr>
        <w:t>first</w:t>
      </w:r>
      <w:r w:rsidR="00F52E6D" w:rsidRPr="003C588D">
        <w:rPr>
          <w:rFonts w:ascii="Times New Roman" w:hAnsi="Times New Roman"/>
          <w:sz w:val="24"/>
          <w:szCs w:val="24"/>
        </w:rPr>
        <w:t>-</w:t>
      </w:r>
      <w:r w:rsidR="00240359" w:rsidRPr="003C588D">
        <w:rPr>
          <w:rFonts w:ascii="Times New Roman" w:hAnsi="Times New Roman"/>
          <w:sz w:val="24"/>
          <w:szCs w:val="24"/>
        </w:rPr>
        <w:t>order</w:t>
      </w:r>
      <w:proofErr w:type="gramEnd"/>
      <w:r w:rsidR="00240359" w:rsidRPr="003C588D">
        <w:rPr>
          <w:rFonts w:ascii="Times New Roman" w:hAnsi="Times New Roman"/>
          <w:sz w:val="24"/>
          <w:szCs w:val="24"/>
        </w:rPr>
        <w:t xml:space="preserve"> </w:t>
      </w:r>
      <w:r w:rsidR="00021152" w:rsidRPr="003C588D">
        <w:rPr>
          <w:rFonts w:ascii="Times New Roman" w:hAnsi="Times New Roman"/>
          <w:sz w:val="24"/>
          <w:szCs w:val="24"/>
        </w:rPr>
        <w:t>and second</w:t>
      </w:r>
      <w:r w:rsidR="00F52E6D" w:rsidRPr="003C588D">
        <w:rPr>
          <w:rFonts w:ascii="Times New Roman" w:hAnsi="Times New Roman"/>
          <w:sz w:val="24"/>
          <w:szCs w:val="24"/>
        </w:rPr>
        <w:t>-</w:t>
      </w:r>
      <w:r w:rsidR="00021152" w:rsidRPr="003C588D">
        <w:rPr>
          <w:rFonts w:ascii="Times New Roman" w:hAnsi="Times New Roman"/>
          <w:sz w:val="24"/>
          <w:szCs w:val="24"/>
        </w:rPr>
        <w:t xml:space="preserve">order </w:t>
      </w:r>
      <w:r w:rsidR="00240359" w:rsidRPr="003C588D">
        <w:rPr>
          <w:rFonts w:ascii="Times New Roman" w:hAnsi="Times New Roman"/>
          <w:sz w:val="24"/>
          <w:szCs w:val="24"/>
        </w:rPr>
        <w:t>serial correlation</w:t>
      </w:r>
      <w:r w:rsidR="00391E7A" w:rsidRPr="003C588D">
        <w:rPr>
          <w:rFonts w:ascii="Times New Roman" w:hAnsi="Times New Roman"/>
          <w:sz w:val="24"/>
          <w:szCs w:val="24"/>
        </w:rPr>
        <w:t xml:space="preserve">s in the </w:t>
      </w:r>
      <w:r w:rsidR="003C6AD2" w:rsidRPr="003C588D">
        <w:rPr>
          <w:rFonts w:ascii="Times New Roman" w:hAnsi="Times New Roman"/>
          <w:sz w:val="24"/>
          <w:szCs w:val="24"/>
        </w:rPr>
        <w:t>differenced</w:t>
      </w:r>
      <w:r w:rsidR="00391E7A" w:rsidRPr="003C588D">
        <w:rPr>
          <w:rFonts w:ascii="Times New Roman" w:hAnsi="Times New Roman"/>
          <w:sz w:val="24"/>
          <w:szCs w:val="24"/>
        </w:rPr>
        <w:t xml:space="preserve"> residuals</w:t>
      </w:r>
      <w:r w:rsidR="00021152" w:rsidRPr="003C588D">
        <w:rPr>
          <w:rFonts w:ascii="Times New Roman" w:hAnsi="Times New Roman"/>
          <w:sz w:val="24"/>
          <w:szCs w:val="24"/>
        </w:rPr>
        <w:t>.</w:t>
      </w:r>
      <w:r w:rsidR="002444C6" w:rsidRPr="00BA0E8D">
        <w:rPr>
          <w:rFonts w:ascii="Times New Roman" w:hAnsi="Times New Roman"/>
          <w:sz w:val="24"/>
          <w:szCs w:val="24"/>
        </w:rPr>
        <w:t xml:space="preserve"> </w:t>
      </w:r>
      <w:r w:rsidR="00391E7A">
        <w:rPr>
          <w:rFonts w:ascii="Times New Roman" w:hAnsi="Times New Roman"/>
          <w:sz w:val="24"/>
          <w:szCs w:val="24"/>
        </w:rPr>
        <w:t xml:space="preserve">Next, we compute the </w:t>
      </w:r>
      <w:r w:rsidR="002444C6" w:rsidRPr="00BA0E8D">
        <w:rPr>
          <w:rFonts w:ascii="Times New Roman" w:hAnsi="Times New Roman"/>
          <w:sz w:val="24"/>
          <w:szCs w:val="24"/>
        </w:rPr>
        <w:t>Hansen test of overidentifying restrictions</w:t>
      </w:r>
      <w:r w:rsidR="00391E7A">
        <w:rPr>
          <w:rFonts w:ascii="Times New Roman" w:hAnsi="Times New Roman"/>
          <w:sz w:val="24"/>
          <w:szCs w:val="24"/>
        </w:rPr>
        <w:t xml:space="preserve"> to</w:t>
      </w:r>
      <w:r w:rsidR="00391E7A" w:rsidRPr="00BA0E8D">
        <w:rPr>
          <w:rFonts w:ascii="Times New Roman" w:hAnsi="Times New Roman"/>
          <w:sz w:val="24"/>
          <w:szCs w:val="24"/>
        </w:rPr>
        <w:t xml:space="preserve"> test for the validity of the over-identification restrictions</w:t>
      </w:r>
      <w:r w:rsidR="002444C6" w:rsidRPr="00BA0E8D">
        <w:rPr>
          <w:rFonts w:ascii="Times New Roman" w:hAnsi="Times New Roman"/>
          <w:sz w:val="24"/>
          <w:szCs w:val="24"/>
        </w:rPr>
        <w:t xml:space="preserve">. </w:t>
      </w:r>
      <w:r w:rsidR="00CF644C" w:rsidRPr="00BA0E8D">
        <w:rPr>
          <w:rFonts w:ascii="Times New Roman" w:hAnsi="Times New Roman"/>
          <w:sz w:val="24"/>
          <w:szCs w:val="24"/>
        </w:rPr>
        <w:t>Finally, we correct the standard errors for finite sample bias</w:t>
      </w:r>
      <w:r w:rsidR="006E7900">
        <w:rPr>
          <w:rFonts w:ascii="Times New Roman" w:hAnsi="Times New Roman"/>
          <w:sz w:val="24"/>
          <w:szCs w:val="24"/>
        </w:rPr>
        <w:t xml:space="preserve"> by</w:t>
      </w:r>
      <w:r w:rsidR="00CF644C" w:rsidRPr="00BA0E8D">
        <w:rPr>
          <w:rFonts w:ascii="Times New Roman" w:hAnsi="Times New Roman"/>
          <w:sz w:val="24"/>
          <w:szCs w:val="24"/>
        </w:rPr>
        <w:t xml:space="preserve"> using the two-step covariance m</w:t>
      </w:r>
      <w:r w:rsidR="00365F84" w:rsidRPr="00BA0E8D">
        <w:rPr>
          <w:rFonts w:ascii="Times New Roman" w:hAnsi="Times New Roman"/>
          <w:sz w:val="24"/>
          <w:szCs w:val="24"/>
        </w:rPr>
        <w:t xml:space="preserve">atrix proposed by </w:t>
      </w:r>
      <w:proofErr w:type="spellStart"/>
      <w:r w:rsidR="00365F84" w:rsidRPr="00BA0E8D">
        <w:rPr>
          <w:rFonts w:ascii="Times New Roman" w:hAnsi="Times New Roman"/>
          <w:sz w:val="24"/>
          <w:szCs w:val="24"/>
        </w:rPr>
        <w:t>Windmeijer</w:t>
      </w:r>
      <w:proofErr w:type="spellEnd"/>
      <w:r w:rsidR="00365F84" w:rsidRPr="00BA0E8D">
        <w:rPr>
          <w:rFonts w:ascii="Times New Roman" w:hAnsi="Times New Roman"/>
          <w:sz w:val="24"/>
          <w:szCs w:val="24"/>
        </w:rPr>
        <w:t xml:space="preserve"> (2005).</w:t>
      </w:r>
    </w:p>
    <w:p w14:paraId="7321AAD1" w14:textId="77777777" w:rsidR="00240359" w:rsidRPr="00BA0E8D" w:rsidRDefault="00240359" w:rsidP="00444D9D">
      <w:pPr>
        <w:spacing w:before="240" w:after="240" w:line="360" w:lineRule="auto"/>
        <w:jc w:val="both"/>
        <w:rPr>
          <w:rFonts w:ascii="Times New Roman" w:hAnsi="Times New Roman"/>
          <w:b/>
          <w:sz w:val="24"/>
          <w:szCs w:val="24"/>
        </w:rPr>
      </w:pPr>
    </w:p>
    <w:p w14:paraId="0BAABE53" w14:textId="365F2F91" w:rsidR="00A651BC" w:rsidRPr="00BA0E8D" w:rsidRDefault="00495FED" w:rsidP="00444D9D">
      <w:pPr>
        <w:spacing w:before="240" w:after="240" w:line="360" w:lineRule="auto"/>
        <w:jc w:val="both"/>
        <w:rPr>
          <w:rFonts w:ascii="Times New Roman" w:hAnsi="Times New Roman"/>
          <w:b/>
          <w:sz w:val="24"/>
          <w:szCs w:val="24"/>
        </w:rPr>
      </w:pPr>
      <w:r>
        <w:rPr>
          <w:rFonts w:ascii="Times New Roman" w:hAnsi="Times New Roman"/>
          <w:b/>
          <w:sz w:val="24"/>
          <w:szCs w:val="24"/>
        </w:rPr>
        <w:lastRenderedPageBreak/>
        <w:t>5</w:t>
      </w:r>
      <w:r w:rsidR="00A651BC" w:rsidRPr="00BA0E8D">
        <w:rPr>
          <w:rFonts w:ascii="Times New Roman" w:hAnsi="Times New Roman"/>
          <w:b/>
          <w:sz w:val="24"/>
          <w:szCs w:val="24"/>
        </w:rPr>
        <w:t xml:space="preserve">. Results and </w:t>
      </w:r>
      <w:r w:rsidR="00690EA3">
        <w:rPr>
          <w:rFonts w:ascii="Times New Roman" w:hAnsi="Times New Roman"/>
          <w:b/>
          <w:sz w:val="24"/>
          <w:szCs w:val="24"/>
        </w:rPr>
        <w:t>d</w:t>
      </w:r>
      <w:r w:rsidR="00A651BC" w:rsidRPr="00BA0E8D">
        <w:rPr>
          <w:rFonts w:ascii="Times New Roman" w:hAnsi="Times New Roman"/>
          <w:b/>
          <w:sz w:val="24"/>
          <w:szCs w:val="24"/>
        </w:rPr>
        <w:t>iscussion</w:t>
      </w:r>
    </w:p>
    <w:p w14:paraId="6A08A169" w14:textId="1D2346A4" w:rsidR="006F4577" w:rsidRPr="00BA0E8D" w:rsidRDefault="006F4577" w:rsidP="006F4577">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This section presents the </w:t>
      </w:r>
      <w:r>
        <w:rPr>
          <w:rFonts w:ascii="Times New Roman" w:hAnsi="Times New Roman"/>
          <w:sz w:val="24"/>
          <w:szCs w:val="24"/>
        </w:rPr>
        <w:t xml:space="preserve">descriptive statistics and </w:t>
      </w:r>
      <w:r w:rsidRPr="00BA0E8D">
        <w:rPr>
          <w:rFonts w:ascii="Times New Roman" w:hAnsi="Times New Roman"/>
          <w:sz w:val="24"/>
          <w:szCs w:val="24"/>
        </w:rPr>
        <w:t xml:space="preserve">estimation results of the paper. We first present the </w:t>
      </w:r>
      <w:r>
        <w:rPr>
          <w:rFonts w:ascii="Times New Roman" w:hAnsi="Times New Roman"/>
          <w:sz w:val="24"/>
          <w:szCs w:val="24"/>
        </w:rPr>
        <w:t xml:space="preserve">descriptive statistics and correlation matrix for the variables of the study. We then move to the </w:t>
      </w:r>
      <w:r w:rsidRPr="00BA0E8D">
        <w:rPr>
          <w:rFonts w:ascii="Times New Roman" w:hAnsi="Times New Roman"/>
          <w:sz w:val="24"/>
          <w:szCs w:val="24"/>
        </w:rPr>
        <w:t xml:space="preserve">results for our baseline models, where bank intermediation cost is explained by credit information sharing (Table 3). </w:t>
      </w:r>
      <w:r>
        <w:rPr>
          <w:rFonts w:ascii="Times New Roman" w:hAnsi="Times New Roman"/>
          <w:sz w:val="24"/>
          <w:szCs w:val="24"/>
        </w:rPr>
        <w:t>Next, w</w:t>
      </w:r>
      <w:r w:rsidRPr="00BA0E8D">
        <w:rPr>
          <w:rFonts w:ascii="Times New Roman" w:hAnsi="Times New Roman"/>
          <w:sz w:val="24"/>
          <w:szCs w:val="24"/>
        </w:rPr>
        <w:t xml:space="preserve">e follow this up by conditioning the effect of credit information sharing individually on banking market concentration (Tables 4 and 5) and governance (Tables 6 and 7). We further subject out results to a range of robustness tests (Tables 8 -10). </w:t>
      </w:r>
    </w:p>
    <w:p w14:paraId="68252317" w14:textId="77777777" w:rsidR="006F4577" w:rsidRPr="00BA0E8D" w:rsidRDefault="006F4577" w:rsidP="006F4577">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First, </w:t>
      </w:r>
      <w:proofErr w:type="gramStart"/>
      <w:r w:rsidRPr="00BA0E8D">
        <w:rPr>
          <w:rFonts w:ascii="Times New Roman" w:hAnsi="Times New Roman"/>
          <w:sz w:val="24"/>
          <w:szCs w:val="24"/>
        </w:rPr>
        <w:t>all of</w:t>
      </w:r>
      <w:proofErr w:type="gramEnd"/>
      <w:r w:rsidRPr="00BA0E8D">
        <w:rPr>
          <w:rFonts w:ascii="Times New Roman" w:hAnsi="Times New Roman"/>
          <w:sz w:val="24"/>
          <w:szCs w:val="24"/>
        </w:rPr>
        <w:t xml:space="preserve"> our estimation restricts the maximum lag</w:t>
      </w:r>
      <w:r>
        <w:rPr>
          <w:rFonts w:ascii="Times New Roman" w:hAnsi="Times New Roman"/>
          <w:sz w:val="24"/>
          <w:szCs w:val="24"/>
        </w:rPr>
        <w:t>-</w:t>
      </w:r>
      <w:r w:rsidRPr="00BA0E8D">
        <w:rPr>
          <w:rFonts w:ascii="Times New Roman" w:hAnsi="Times New Roman"/>
          <w:sz w:val="24"/>
          <w:szCs w:val="24"/>
        </w:rPr>
        <w:t>dependent variable to 1, as we seek to reduce the number of moment conditions. The lag</w:t>
      </w:r>
      <w:r>
        <w:rPr>
          <w:rFonts w:ascii="Times New Roman" w:hAnsi="Times New Roman"/>
          <w:sz w:val="24"/>
          <w:szCs w:val="24"/>
        </w:rPr>
        <w:t>ged</w:t>
      </w:r>
      <w:r w:rsidRPr="00BA0E8D">
        <w:rPr>
          <w:rFonts w:ascii="Times New Roman" w:hAnsi="Times New Roman"/>
          <w:sz w:val="24"/>
          <w:szCs w:val="24"/>
        </w:rPr>
        <w:t xml:space="preserve"> dependent variables do enter all regressions with statistically significant coefficients, justifying the use of </w:t>
      </w:r>
      <w:r>
        <w:rPr>
          <w:rFonts w:ascii="Times New Roman" w:hAnsi="Times New Roman"/>
          <w:sz w:val="24"/>
          <w:szCs w:val="24"/>
        </w:rPr>
        <w:t xml:space="preserve">a </w:t>
      </w:r>
      <w:r w:rsidRPr="00BA0E8D">
        <w:rPr>
          <w:rFonts w:ascii="Times New Roman" w:hAnsi="Times New Roman"/>
          <w:sz w:val="24"/>
          <w:szCs w:val="24"/>
        </w:rPr>
        <w:t xml:space="preserve">dynamic model approach in our estimation. The Hansen test </w:t>
      </w:r>
      <w:r w:rsidRPr="00BA0E8D">
        <w:rPr>
          <w:rFonts w:ascii="Times New Roman" w:hAnsi="Times New Roman"/>
          <w:i/>
          <w:sz w:val="24"/>
          <w:szCs w:val="24"/>
        </w:rPr>
        <w:t>p</w:t>
      </w:r>
      <w:r w:rsidRPr="00BA0E8D">
        <w:rPr>
          <w:rFonts w:ascii="Times New Roman" w:hAnsi="Times New Roman"/>
          <w:sz w:val="24"/>
          <w:szCs w:val="24"/>
        </w:rPr>
        <w:t xml:space="preserve">-values are all above 1, suggesting that the over-identification restrictions are valid. Finally, we cannot reject the absence of second-order serial correlation in our models, hence suggesting that our use of </w:t>
      </w:r>
      <w:r>
        <w:rPr>
          <w:rFonts w:ascii="Times New Roman" w:hAnsi="Times New Roman"/>
          <w:sz w:val="24"/>
          <w:szCs w:val="24"/>
        </w:rPr>
        <w:t xml:space="preserve">a </w:t>
      </w:r>
      <w:r w:rsidRPr="00BA0E8D">
        <w:rPr>
          <w:rFonts w:ascii="Times New Roman" w:hAnsi="Times New Roman"/>
          <w:sz w:val="24"/>
          <w:szCs w:val="24"/>
        </w:rPr>
        <w:t>dynamic model is appropriate.</w:t>
      </w:r>
    </w:p>
    <w:p w14:paraId="30A5F72F" w14:textId="77777777" w:rsidR="006F4577" w:rsidRDefault="006F4577" w:rsidP="00495FED">
      <w:pPr>
        <w:spacing w:before="240" w:after="240" w:line="360" w:lineRule="auto"/>
        <w:jc w:val="both"/>
        <w:rPr>
          <w:rFonts w:ascii="Times New Roman" w:hAnsi="Times New Roman"/>
          <w:b/>
          <w:sz w:val="24"/>
          <w:szCs w:val="24"/>
        </w:rPr>
      </w:pPr>
    </w:p>
    <w:p w14:paraId="7B9CA3EC" w14:textId="26E81BB9" w:rsidR="00495FED" w:rsidRPr="00BA0E8D" w:rsidRDefault="00495FED" w:rsidP="00495FED">
      <w:pPr>
        <w:spacing w:before="240" w:after="240" w:line="360" w:lineRule="auto"/>
        <w:jc w:val="both"/>
        <w:rPr>
          <w:rFonts w:ascii="Times New Roman" w:hAnsi="Times New Roman"/>
          <w:b/>
          <w:sz w:val="24"/>
          <w:szCs w:val="24"/>
        </w:rPr>
      </w:pPr>
      <w:r>
        <w:rPr>
          <w:rFonts w:ascii="Times New Roman" w:hAnsi="Times New Roman"/>
          <w:b/>
          <w:sz w:val="24"/>
          <w:szCs w:val="24"/>
        </w:rPr>
        <w:t>5</w:t>
      </w:r>
      <w:r w:rsidRPr="00BA0E8D">
        <w:rPr>
          <w:rFonts w:ascii="Times New Roman" w:hAnsi="Times New Roman"/>
          <w:b/>
          <w:sz w:val="24"/>
          <w:szCs w:val="24"/>
        </w:rPr>
        <w:t>.</w:t>
      </w:r>
      <w:r>
        <w:rPr>
          <w:rFonts w:ascii="Times New Roman" w:hAnsi="Times New Roman"/>
          <w:b/>
          <w:sz w:val="24"/>
          <w:szCs w:val="24"/>
        </w:rPr>
        <w:t>1</w:t>
      </w:r>
      <w:r w:rsidRPr="00BA0E8D">
        <w:rPr>
          <w:rFonts w:ascii="Times New Roman" w:hAnsi="Times New Roman"/>
          <w:b/>
          <w:sz w:val="24"/>
          <w:szCs w:val="24"/>
        </w:rPr>
        <w:t>. Descriptive statistics and correlations</w:t>
      </w:r>
    </w:p>
    <w:p w14:paraId="4349A173" w14:textId="2EFD2B8F" w:rsidR="00495FED" w:rsidRPr="00BA0E8D" w:rsidRDefault="00495FED" w:rsidP="00495FED">
      <w:pPr>
        <w:spacing w:before="240" w:after="240" w:line="360" w:lineRule="auto"/>
        <w:jc w:val="both"/>
        <w:rPr>
          <w:rFonts w:ascii="Times New Roman" w:hAnsi="Times New Roman"/>
          <w:sz w:val="24"/>
          <w:szCs w:val="24"/>
        </w:rPr>
      </w:pPr>
      <w:r w:rsidRPr="00BA0E8D">
        <w:rPr>
          <w:rFonts w:ascii="Times New Roman" w:hAnsi="Times New Roman"/>
          <w:sz w:val="24"/>
          <w:szCs w:val="24"/>
        </w:rPr>
        <w:t>In Table 1, we present the summary statistics of the variables used in this study. The information is confined to 1</w:t>
      </w:r>
      <w:r w:rsidR="00EE1C0F">
        <w:rPr>
          <w:rFonts w:ascii="Times New Roman" w:hAnsi="Times New Roman"/>
          <w:sz w:val="24"/>
          <w:szCs w:val="24"/>
        </w:rPr>
        <w:t>,</w:t>
      </w:r>
      <w:r w:rsidRPr="00BA0E8D">
        <w:rPr>
          <w:rFonts w:ascii="Times New Roman" w:hAnsi="Times New Roman"/>
          <w:sz w:val="24"/>
          <w:szCs w:val="24"/>
        </w:rPr>
        <w:t xml:space="preserve">487 observations. </w:t>
      </w:r>
    </w:p>
    <w:p w14:paraId="7AC39769" w14:textId="77777777" w:rsidR="00495FED" w:rsidRPr="00BA0E8D" w:rsidRDefault="00495FED" w:rsidP="00495FED">
      <w:pPr>
        <w:spacing w:before="240" w:after="240" w:line="360" w:lineRule="auto"/>
        <w:jc w:val="center"/>
        <w:rPr>
          <w:rFonts w:ascii="Times New Roman" w:hAnsi="Times New Roman"/>
          <w:b/>
          <w:sz w:val="28"/>
          <w:szCs w:val="24"/>
        </w:rPr>
      </w:pPr>
      <w:r w:rsidRPr="00BA0E8D">
        <w:rPr>
          <w:rFonts w:ascii="Times New Roman" w:hAnsi="Times New Roman"/>
          <w:b/>
          <w:sz w:val="28"/>
          <w:szCs w:val="24"/>
        </w:rPr>
        <w:t>[Table 1 about here]</w:t>
      </w:r>
    </w:p>
    <w:p w14:paraId="3C9480CB" w14:textId="1F32D9C0" w:rsidR="00495FED" w:rsidRDefault="00495FED" w:rsidP="00495FED">
      <w:pPr>
        <w:spacing w:before="240" w:after="240" w:line="360" w:lineRule="auto"/>
        <w:jc w:val="both"/>
        <w:rPr>
          <w:rFonts w:ascii="Times New Roman" w:hAnsi="Times New Roman"/>
          <w:sz w:val="24"/>
          <w:szCs w:val="24"/>
        </w:rPr>
      </w:pPr>
      <w:r w:rsidRPr="003C588D">
        <w:rPr>
          <w:rFonts w:ascii="Times New Roman" w:hAnsi="Times New Roman"/>
          <w:sz w:val="24"/>
          <w:szCs w:val="24"/>
        </w:rPr>
        <w:t xml:space="preserve">A few findings are worth noting. The average value of spread is 8.25. The minimum and the maximum values of this variable are -1.6 and 27.44 respectively. This suggests a high degree of heterogeneity across banks. </w:t>
      </w:r>
      <w:r w:rsidR="002C4825" w:rsidRPr="003C588D">
        <w:rPr>
          <w:rFonts w:ascii="Times New Roman" w:hAnsi="Times New Roman"/>
          <w:sz w:val="24"/>
          <w:szCs w:val="24"/>
        </w:rPr>
        <w:t xml:space="preserve">Our average spread of 8.25% compares to 6.00% reported in </w:t>
      </w:r>
      <w:r w:rsidR="002C4825" w:rsidRPr="003C588D">
        <w:rPr>
          <w:rFonts w:ascii="Times New Roman" w:hAnsi="Times New Roman"/>
          <w:color w:val="000000"/>
          <w:sz w:val="24"/>
          <w:szCs w:val="24"/>
          <w:shd w:val="clear" w:color="auto" w:fill="FFFFFF"/>
        </w:rPr>
        <w:t xml:space="preserve">Valverde and Fernández (2007) for Germany, Netherlands and Sweden. This implies a higher banking intermediation costs for African banks relative to European banks. </w:t>
      </w:r>
      <w:r w:rsidRPr="003C588D">
        <w:rPr>
          <w:rFonts w:ascii="Times New Roman" w:hAnsi="Times New Roman"/>
          <w:sz w:val="24"/>
          <w:szCs w:val="24"/>
        </w:rPr>
        <w:t xml:space="preserve">The mean value of depth of credit information sharing index (which is our main measure of credit information sharing) is 1.28. </w:t>
      </w:r>
      <w:r w:rsidR="00781CC1" w:rsidRPr="003C588D">
        <w:rPr>
          <w:rFonts w:ascii="Times New Roman" w:hAnsi="Times New Roman"/>
          <w:sz w:val="24"/>
          <w:szCs w:val="24"/>
        </w:rPr>
        <w:t>This compares to 3.54 in Fosu et al. (2019)</w:t>
      </w:r>
      <w:r w:rsidR="00EE1C0F" w:rsidRPr="003C588D">
        <w:rPr>
          <w:rFonts w:ascii="Times New Roman" w:hAnsi="Times New Roman"/>
          <w:sz w:val="24"/>
          <w:szCs w:val="24"/>
        </w:rPr>
        <w:t>,</w:t>
      </w:r>
      <w:r w:rsidR="00781CC1" w:rsidRPr="003C588D">
        <w:rPr>
          <w:rFonts w:ascii="Times New Roman" w:hAnsi="Times New Roman"/>
          <w:sz w:val="24"/>
          <w:szCs w:val="24"/>
        </w:rPr>
        <w:t xml:space="preserve"> whose data coverage extend to developing countries across the globe. </w:t>
      </w:r>
      <w:r w:rsidR="00AE5261" w:rsidRPr="003C588D">
        <w:rPr>
          <w:rFonts w:ascii="Times New Roman" w:hAnsi="Times New Roman"/>
          <w:sz w:val="24"/>
          <w:szCs w:val="24"/>
        </w:rPr>
        <w:t xml:space="preserve">This suggests that development of information sharing schemes in Africa is still at the nascent stage compared to developing countries on other continents. </w:t>
      </w:r>
      <w:r w:rsidRPr="003C588D">
        <w:rPr>
          <w:rFonts w:ascii="Times New Roman" w:hAnsi="Times New Roman"/>
          <w:sz w:val="24"/>
          <w:szCs w:val="24"/>
        </w:rPr>
        <w:t>The mean values of our alternative measure of credit</w:t>
      </w:r>
      <w:r w:rsidRPr="00BA0E8D">
        <w:rPr>
          <w:rFonts w:ascii="Times New Roman" w:hAnsi="Times New Roman"/>
          <w:sz w:val="24"/>
          <w:szCs w:val="24"/>
        </w:rPr>
        <w:t xml:space="preserve"> information sharing (i.e.</w:t>
      </w:r>
      <w:r w:rsidR="00EE1C0F">
        <w:rPr>
          <w:rFonts w:ascii="Times New Roman" w:hAnsi="Times New Roman"/>
          <w:sz w:val="24"/>
          <w:szCs w:val="24"/>
        </w:rPr>
        <w:t>,</w:t>
      </w:r>
      <w:r w:rsidRPr="00BA0E8D">
        <w:rPr>
          <w:rFonts w:ascii="Times New Roman" w:hAnsi="Times New Roman"/>
          <w:sz w:val="24"/>
          <w:szCs w:val="24"/>
        </w:rPr>
        <w:t xml:space="preserve"> </w:t>
      </w:r>
      <w:r w:rsidRPr="003C588D">
        <w:rPr>
          <w:rFonts w:ascii="Times New Roman" w:hAnsi="Times New Roman"/>
          <w:sz w:val="24"/>
          <w:szCs w:val="24"/>
        </w:rPr>
        <w:lastRenderedPageBreak/>
        <w:t xml:space="preserve">credit registry coverage and credit bureau coverage) are 3.02 and 8.21 respectively. </w:t>
      </w:r>
      <w:r w:rsidR="00083133" w:rsidRPr="003C588D">
        <w:rPr>
          <w:rFonts w:ascii="Times New Roman" w:hAnsi="Times New Roman"/>
          <w:sz w:val="24"/>
          <w:szCs w:val="24"/>
        </w:rPr>
        <w:t xml:space="preserve">These again compare to statistics of 9.37 and 29.00 in Fosu et al. (2019). </w:t>
      </w:r>
      <w:r w:rsidRPr="003C588D">
        <w:rPr>
          <w:rFonts w:ascii="Times New Roman" w:hAnsi="Times New Roman"/>
          <w:sz w:val="24"/>
          <w:szCs w:val="24"/>
        </w:rPr>
        <w:t>Moving beyond this, the correlation among the variables (as presented in Table 2) reveals that credit information</w:t>
      </w:r>
      <w:r w:rsidRPr="00BA0E8D">
        <w:rPr>
          <w:rFonts w:ascii="Times New Roman" w:hAnsi="Times New Roman"/>
          <w:sz w:val="24"/>
          <w:szCs w:val="24"/>
        </w:rPr>
        <w:t xml:space="preserve"> sharing (as measured by depth of information sharing index) is negatively associated with bank intermediation cost. </w:t>
      </w:r>
      <w:r>
        <w:rPr>
          <w:rFonts w:ascii="Times New Roman" w:hAnsi="Times New Roman"/>
          <w:sz w:val="24"/>
          <w:szCs w:val="24"/>
        </w:rPr>
        <w:t>Additionally</w:t>
      </w:r>
      <w:r w:rsidRPr="00BA0E8D">
        <w:rPr>
          <w:rFonts w:ascii="Times New Roman" w:hAnsi="Times New Roman"/>
          <w:sz w:val="24"/>
          <w:szCs w:val="24"/>
        </w:rPr>
        <w:t>, the other two measures of information sharing (i.e.</w:t>
      </w:r>
      <w:r w:rsidR="00EE1C0F">
        <w:rPr>
          <w:rFonts w:ascii="Times New Roman" w:hAnsi="Times New Roman"/>
          <w:sz w:val="24"/>
          <w:szCs w:val="24"/>
        </w:rPr>
        <w:t>,</w:t>
      </w:r>
      <w:r w:rsidRPr="00BA0E8D">
        <w:rPr>
          <w:rFonts w:ascii="Times New Roman" w:hAnsi="Times New Roman"/>
          <w:sz w:val="24"/>
          <w:szCs w:val="24"/>
        </w:rPr>
        <w:t xml:space="preserve"> credit registry coverage and credit bureau coverage) are both negatively related to bank intermediation cost. Two of the governance measures (i.e.</w:t>
      </w:r>
      <w:r w:rsidR="00EE1C0F">
        <w:rPr>
          <w:rFonts w:ascii="Times New Roman" w:hAnsi="Times New Roman"/>
          <w:sz w:val="24"/>
          <w:szCs w:val="24"/>
        </w:rPr>
        <w:t>,</w:t>
      </w:r>
      <w:r w:rsidRPr="00BA0E8D">
        <w:rPr>
          <w:rFonts w:ascii="Times New Roman" w:hAnsi="Times New Roman"/>
          <w:sz w:val="24"/>
          <w:szCs w:val="24"/>
        </w:rPr>
        <w:t xml:space="preserve"> control of corruption and regulatory quality) are strongly correlated with each other. However, this poses no concern</w:t>
      </w:r>
      <w:r>
        <w:rPr>
          <w:rFonts w:ascii="Times New Roman" w:hAnsi="Times New Roman"/>
          <w:sz w:val="24"/>
          <w:szCs w:val="24"/>
        </w:rPr>
        <w:t>s about</w:t>
      </w:r>
      <w:r w:rsidRPr="00BA0E8D">
        <w:rPr>
          <w:rFonts w:ascii="Times New Roman" w:hAnsi="Times New Roman"/>
          <w:sz w:val="24"/>
          <w:szCs w:val="24"/>
        </w:rPr>
        <w:t xml:space="preserve"> multicollinearity as these variables do not enter the regression at the same time. </w:t>
      </w:r>
      <w:r>
        <w:rPr>
          <w:rFonts w:ascii="Times New Roman" w:hAnsi="Times New Roman"/>
          <w:sz w:val="24"/>
          <w:szCs w:val="24"/>
        </w:rPr>
        <w:t xml:space="preserve">Further, </w:t>
      </w:r>
      <w:r w:rsidRPr="00BA0E8D">
        <w:rPr>
          <w:rFonts w:ascii="Times New Roman" w:hAnsi="Times New Roman"/>
          <w:sz w:val="24"/>
          <w:szCs w:val="24"/>
        </w:rPr>
        <w:t xml:space="preserve">there is no issue of multicollinearity with any of the causal variables employed. </w:t>
      </w:r>
    </w:p>
    <w:p w14:paraId="281DCA15" w14:textId="77777777" w:rsidR="00495FED" w:rsidRDefault="00495FED" w:rsidP="00495FED">
      <w:pPr>
        <w:spacing w:before="240" w:after="240" w:line="360" w:lineRule="auto"/>
        <w:jc w:val="both"/>
        <w:rPr>
          <w:rFonts w:ascii="Times New Roman" w:hAnsi="Times New Roman"/>
          <w:sz w:val="24"/>
          <w:szCs w:val="24"/>
        </w:rPr>
      </w:pPr>
      <w:r>
        <w:rPr>
          <w:rFonts w:ascii="Times New Roman" w:hAnsi="Times New Roman"/>
          <w:sz w:val="24"/>
          <w:szCs w:val="24"/>
        </w:rPr>
        <w:t>Overall,</w:t>
      </w:r>
      <w:r w:rsidRPr="00BA0E8D">
        <w:rPr>
          <w:rFonts w:ascii="Times New Roman" w:hAnsi="Times New Roman"/>
          <w:sz w:val="24"/>
          <w:szCs w:val="24"/>
        </w:rPr>
        <w:t xml:space="preserve"> </w:t>
      </w:r>
      <w:r>
        <w:rPr>
          <w:rFonts w:ascii="Times New Roman" w:hAnsi="Times New Roman"/>
          <w:sz w:val="24"/>
          <w:szCs w:val="24"/>
        </w:rPr>
        <w:t>the descriptive statistics and the correlation matrix suggest that statistical problems, such as lack of variations and multicollinearity, are unlikely to plague our analysis.</w:t>
      </w:r>
    </w:p>
    <w:p w14:paraId="339F26B4" w14:textId="099EE6AB" w:rsidR="00495FED" w:rsidRDefault="00495FED" w:rsidP="007B390C">
      <w:pPr>
        <w:spacing w:before="240" w:after="240" w:line="360" w:lineRule="auto"/>
        <w:jc w:val="center"/>
        <w:rPr>
          <w:rFonts w:ascii="Times New Roman" w:hAnsi="Times New Roman"/>
          <w:sz w:val="24"/>
          <w:szCs w:val="24"/>
        </w:rPr>
      </w:pPr>
      <w:r w:rsidRPr="00BA0E8D" w:rsidDel="00521F59">
        <w:rPr>
          <w:rFonts w:ascii="Times New Roman" w:hAnsi="Times New Roman"/>
          <w:sz w:val="24"/>
          <w:szCs w:val="24"/>
        </w:rPr>
        <w:t xml:space="preserve"> </w:t>
      </w:r>
      <w:r w:rsidRPr="00BA0E8D">
        <w:rPr>
          <w:rFonts w:ascii="Times New Roman" w:hAnsi="Times New Roman"/>
          <w:b/>
          <w:sz w:val="28"/>
          <w:szCs w:val="24"/>
        </w:rPr>
        <w:t>[Table 2 about here]</w:t>
      </w:r>
    </w:p>
    <w:p w14:paraId="522914A7" w14:textId="77777777" w:rsidR="00DE0745" w:rsidRPr="00BA0E8D" w:rsidRDefault="00DE0745" w:rsidP="00444D9D">
      <w:pPr>
        <w:spacing w:before="240" w:after="240" w:line="360" w:lineRule="auto"/>
        <w:jc w:val="both"/>
        <w:rPr>
          <w:rFonts w:ascii="Times New Roman" w:hAnsi="Times New Roman"/>
          <w:sz w:val="24"/>
          <w:szCs w:val="24"/>
        </w:rPr>
      </w:pPr>
    </w:p>
    <w:p w14:paraId="0D0A3EA9" w14:textId="2045D881" w:rsidR="00DE0745" w:rsidRPr="00BA0E8D" w:rsidRDefault="00444591" w:rsidP="00444D9D">
      <w:pPr>
        <w:spacing w:before="240" w:after="240" w:line="360" w:lineRule="auto"/>
        <w:jc w:val="both"/>
        <w:rPr>
          <w:rFonts w:ascii="Times New Roman" w:hAnsi="Times New Roman"/>
          <w:b/>
          <w:sz w:val="24"/>
          <w:szCs w:val="24"/>
        </w:rPr>
      </w:pPr>
      <w:r>
        <w:rPr>
          <w:rFonts w:ascii="Times New Roman" w:hAnsi="Times New Roman"/>
          <w:b/>
          <w:sz w:val="24"/>
          <w:szCs w:val="24"/>
        </w:rPr>
        <w:t>5</w:t>
      </w:r>
      <w:r w:rsidR="00DE0745" w:rsidRPr="00BA0E8D">
        <w:rPr>
          <w:rFonts w:ascii="Times New Roman" w:hAnsi="Times New Roman"/>
          <w:b/>
          <w:sz w:val="24"/>
          <w:szCs w:val="24"/>
        </w:rPr>
        <w:t>.</w:t>
      </w:r>
      <w:r w:rsidR="00EB1F6E">
        <w:rPr>
          <w:rFonts w:ascii="Times New Roman" w:hAnsi="Times New Roman"/>
          <w:b/>
          <w:sz w:val="24"/>
          <w:szCs w:val="24"/>
        </w:rPr>
        <w:t>2</w:t>
      </w:r>
      <w:r w:rsidR="00DE0745" w:rsidRPr="00BA0E8D">
        <w:rPr>
          <w:rFonts w:ascii="Times New Roman" w:hAnsi="Times New Roman"/>
          <w:b/>
          <w:sz w:val="24"/>
          <w:szCs w:val="24"/>
        </w:rPr>
        <w:t xml:space="preserve"> Credit information sharing</w:t>
      </w:r>
      <w:r w:rsidR="00160491" w:rsidRPr="00BA0E8D">
        <w:rPr>
          <w:rFonts w:ascii="Times New Roman" w:hAnsi="Times New Roman"/>
          <w:b/>
          <w:sz w:val="24"/>
          <w:szCs w:val="24"/>
        </w:rPr>
        <w:t xml:space="preserve"> and credit intermediation costs</w:t>
      </w:r>
    </w:p>
    <w:p w14:paraId="5D1293C3" w14:textId="4B404178" w:rsidR="007804F9" w:rsidRPr="00BA0E8D" w:rsidRDefault="00694D06"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t>Our baseline results</w:t>
      </w:r>
      <w:r w:rsidR="007C2046" w:rsidRPr="00BA0E8D">
        <w:rPr>
          <w:rFonts w:ascii="Times New Roman" w:hAnsi="Times New Roman"/>
          <w:sz w:val="24"/>
          <w:szCs w:val="24"/>
        </w:rPr>
        <w:t>,</w:t>
      </w:r>
      <w:r w:rsidRPr="00BA0E8D">
        <w:rPr>
          <w:rFonts w:ascii="Times New Roman" w:hAnsi="Times New Roman"/>
          <w:sz w:val="24"/>
          <w:szCs w:val="24"/>
        </w:rPr>
        <w:t xml:space="preserve"> presented in Table 3</w:t>
      </w:r>
      <w:r w:rsidR="007C2046" w:rsidRPr="00BA0E8D">
        <w:rPr>
          <w:rFonts w:ascii="Times New Roman" w:hAnsi="Times New Roman"/>
          <w:sz w:val="24"/>
          <w:szCs w:val="24"/>
        </w:rPr>
        <w:t>,</w:t>
      </w:r>
      <w:r w:rsidRPr="00BA0E8D">
        <w:rPr>
          <w:rFonts w:ascii="Times New Roman" w:hAnsi="Times New Roman"/>
          <w:sz w:val="24"/>
          <w:szCs w:val="24"/>
        </w:rPr>
        <w:t xml:space="preserve"> suggest that credit infor</w:t>
      </w:r>
      <w:r w:rsidR="00510288" w:rsidRPr="00BA0E8D">
        <w:rPr>
          <w:rFonts w:ascii="Times New Roman" w:hAnsi="Times New Roman"/>
          <w:sz w:val="24"/>
          <w:szCs w:val="24"/>
        </w:rPr>
        <w:t xml:space="preserve">mation sharing reduces </w:t>
      </w:r>
      <w:r w:rsidRPr="00BA0E8D">
        <w:rPr>
          <w:rFonts w:ascii="Times New Roman" w:hAnsi="Times New Roman"/>
          <w:sz w:val="24"/>
          <w:szCs w:val="24"/>
        </w:rPr>
        <w:t>credit intermediation costs.</w:t>
      </w:r>
      <w:r w:rsidR="00510288" w:rsidRPr="00BA0E8D">
        <w:rPr>
          <w:rFonts w:ascii="Times New Roman" w:hAnsi="Times New Roman"/>
          <w:sz w:val="24"/>
          <w:szCs w:val="24"/>
        </w:rPr>
        <w:t xml:space="preserve"> In </w:t>
      </w:r>
      <w:r w:rsidR="00F06B5A" w:rsidRPr="00BA0E8D">
        <w:rPr>
          <w:rFonts w:ascii="Times New Roman" w:hAnsi="Times New Roman"/>
          <w:sz w:val="24"/>
          <w:szCs w:val="24"/>
        </w:rPr>
        <w:t>Models 1-3, we use the depth of credit information sharing as our</w:t>
      </w:r>
      <w:r w:rsidR="00510288" w:rsidRPr="00BA0E8D">
        <w:rPr>
          <w:rFonts w:ascii="Times New Roman" w:hAnsi="Times New Roman"/>
          <w:sz w:val="24"/>
          <w:szCs w:val="24"/>
        </w:rPr>
        <w:t xml:space="preserve"> </w:t>
      </w:r>
      <w:r w:rsidR="00F06B5A" w:rsidRPr="00BA0E8D">
        <w:rPr>
          <w:rFonts w:ascii="Times New Roman" w:hAnsi="Times New Roman"/>
          <w:sz w:val="24"/>
          <w:szCs w:val="24"/>
        </w:rPr>
        <w:t xml:space="preserve">main measure of the information sharing. We then control </w:t>
      </w:r>
      <w:r w:rsidR="004E1BC2" w:rsidRPr="00BA0E8D">
        <w:rPr>
          <w:rFonts w:ascii="Times New Roman" w:hAnsi="Times New Roman"/>
          <w:sz w:val="24"/>
          <w:szCs w:val="24"/>
        </w:rPr>
        <w:t>alternately for</w:t>
      </w:r>
      <w:r w:rsidR="00F06B5A" w:rsidRPr="00BA0E8D">
        <w:rPr>
          <w:rFonts w:ascii="Times New Roman" w:hAnsi="Times New Roman"/>
          <w:sz w:val="24"/>
          <w:szCs w:val="24"/>
        </w:rPr>
        <w:t xml:space="preserve"> governance indicators of rule of law, regulatory quality and control of corruption. The depth of credit information sharing enters each of the regressions with a negative sign </w:t>
      </w:r>
      <w:r w:rsidR="00684515" w:rsidRPr="00BA0E8D">
        <w:rPr>
          <w:rFonts w:ascii="Times New Roman" w:hAnsi="Times New Roman"/>
          <w:sz w:val="24"/>
          <w:szCs w:val="24"/>
        </w:rPr>
        <w:t xml:space="preserve">and </w:t>
      </w:r>
      <w:r w:rsidR="00F06B5A" w:rsidRPr="00BA0E8D">
        <w:rPr>
          <w:rFonts w:ascii="Times New Roman" w:hAnsi="Times New Roman"/>
          <w:sz w:val="24"/>
          <w:szCs w:val="24"/>
        </w:rPr>
        <w:t>a statistical significance at the 1% level.</w:t>
      </w:r>
      <w:r w:rsidR="005941CA" w:rsidRPr="00BA0E8D">
        <w:rPr>
          <w:rFonts w:ascii="Times New Roman" w:hAnsi="Times New Roman"/>
          <w:sz w:val="24"/>
          <w:szCs w:val="24"/>
        </w:rPr>
        <w:t xml:space="preserve"> The results suggest that a one unit increase in the depth of credit information index is associated with </w:t>
      </w:r>
      <w:r w:rsidR="00F96AC8">
        <w:rPr>
          <w:rFonts w:ascii="Times New Roman" w:hAnsi="Times New Roman"/>
          <w:sz w:val="24"/>
          <w:szCs w:val="24"/>
        </w:rPr>
        <w:t xml:space="preserve">a </w:t>
      </w:r>
      <w:r w:rsidR="00E13F5E" w:rsidRPr="00BA0E8D">
        <w:rPr>
          <w:rFonts w:ascii="Times New Roman" w:hAnsi="Times New Roman"/>
          <w:sz w:val="24"/>
          <w:szCs w:val="24"/>
        </w:rPr>
        <w:t>between 0.31 and 0.3</w:t>
      </w:r>
      <w:r w:rsidR="009C44E4" w:rsidRPr="00BA0E8D">
        <w:rPr>
          <w:rFonts w:ascii="Times New Roman" w:hAnsi="Times New Roman"/>
          <w:sz w:val="24"/>
          <w:szCs w:val="24"/>
        </w:rPr>
        <w:t>7</w:t>
      </w:r>
      <w:r w:rsidR="00E13F5E" w:rsidRPr="00BA0E8D">
        <w:rPr>
          <w:rFonts w:ascii="Times New Roman" w:hAnsi="Times New Roman"/>
          <w:sz w:val="24"/>
          <w:szCs w:val="24"/>
        </w:rPr>
        <w:t>% percentage point reduction in credit intermediation cost.</w:t>
      </w:r>
      <w:r w:rsidR="00A6425F" w:rsidRPr="00BA0E8D">
        <w:rPr>
          <w:rFonts w:ascii="Times New Roman" w:hAnsi="Times New Roman"/>
          <w:sz w:val="24"/>
          <w:szCs w:val="24"/>
        </w:rPr>
        <w:t xml:space="preserve"> </w:t>
      </w:r>
      <w:r w:rsidR="00B962BE" w:rsidRPr="00BA0E8D">
        <w:rPr>
          <w:rFonts w:ascii="Times New Roman" w:hAnsi="Times New Roman"/>
          <w:sz w:val="24"/>
          <w:szCs w:val="24"/>
        </w:rPr>
        <w:t>In fact</w:t>
      </w:r>
      <w:r w:rsidR="00684515" w:rsidRPr="00BA0E8D">
        <w:rPr>
          <w:rFonts w:ascii="Times New Roman" w:hAnsi="Times New Roman"/>
          <w:sz w:val="24"/>
          <w:szCs w:val="24"/>
        </w:rPr>
        <w:t>,</w:t>
      </w:r>
      <w:r w:rsidR="00B962BE" w:rsidRPr="00BA0E8D">
        <w:rPr>
          <w:rFonts w:ascii="Times New Roman" w:hAnsi="Times New Roman"/>
          <w:sz w:val="24"/>
          <w:szCs w:val="24"/>
        </w:rPr>
        <w:t xml:space="preserve"> the effect of credit information</w:t>
      </w:r>
      <w:r w:rsidR="007804F9" w:rsidRPr="00BA0E8D">
        <w:rPr>
          <w:rFonts w:ascii="Times New Roman" w:hAnsi="Times New Roman"/>
          <w:sz w:val="24"/>
          <w:szCs w:val="24"/>
        </w:rPr>
        <w:t xml:space="preserve"> sharing</w:t>
      </w:r>
      <w:r w:rsidR="00B962BE" w:rsidRPr="00BA0E8D">
        <w:rPr>
          <w:rFonts w:ascii="Times New Roman" w:hAnsi="Times New Roman"/>
          <w:sz w:val="24"/>
          <w:szCs w:val="24"/>
        </w:rPr>
        <w:t xml:space="preserve"> is</w:t>
      </w:r>
      <w:r w:rsidR="00684515" w:rsidRPr="00BA0E8D">
        <w:rPr>
          <w:rFonts w:ascii="Times New Roman" w:hAnsi="Times New Roman"/>
          <w:sz w:val="24"/>
          <w:szCs w:val="24"/>
        </w:rPr>
        <w:t xml:space="preserve"> also</w:t>
      </w:r>
      <w:r w:rsidR="00B962BE" w:rsidRPr="00BA0E8D">
        <w:rPr>
          <w:rFonts w:ascii="Times New Roman" w:hAnsi="Times New Roman"/>
          <w:sz w:val="24"/>
          <w:szCs w:val="24"/>
        </w:rPr>
        <w:t xml:space="preserve"> not </w:t>
      </w:r>
      <w:r w:rsidR="00684515" w:rsidRPr="00BA0E8D">
        <w:rPr>
          <w:rFonts w:ascii="Times New Roman" w:hAnsi="Times New Roman"/>
          <w:sz w:val="24"/>
          <w:szCs w:val="24"/>
        </w:rPr>
        <w:t xml:space="preserve">economically </w:t>
      </w:r>
      <w:r w:rsidR="00C12CFF" w:rsidRPr="00BA0E8D">
        <w:rPr>
          <w:rFonts w:ascii="Times New Roman" w:hAnsi="Times New Roman"/>
          <w:sz w:val="24"/>
          <w:szCs w:val="24"/>
        </w:rPr>
        <w:t>significant</w:t>
      </w:r>
      <w:r w:rsidR="00B962BE" w:rsidRPr="00BA0E8D">
        <w:rPr>
          <w:rFonts w:ascii="Times New Roman" w:hAnsi="Times New Roman"/>
          <w:sz w:val="24"/>
          <w:szCs w:val="24"/>
        </w:rPr>
        <w:t>. The average spread is 8.2</w:t>
      </w:r>
      <w:r w:rsidR="0025287E" w:rsidRPr="00BA0E8D">
        <w:rPr>
          <w:rFonts w:ascii="Times New Roman" w:hAnsi="Times New Roman"/>
          <w:sz w:val="24"/>
          <w:szCs w:val="24"/>
        </w:rPr>
        <w:t>5</w:t>
      </w:r>
      <w:r w:rsidR="00B962BE" w:rsidRPr="00BA0E8D">
        <w:rPr>
          <w:rFonts w:ascii="Times New Roman" w:hAnsi="Times New Roman"/>
          <w:sz w:val="24"/>
          <w:szCs w:val="24"/>
        </w:rPr>
        <w:t>% and the standard deviation of the depth of credit information sharing is 2</w:t>
      </w:r>
      <w:r w:rsidR="0025287E" w:rsidRPr="00BA0E8D">
        <w:rPr>
          <w:rFonts w:ascii="Times New Roman" w:hAnsi="Times New Roman"/>
          <w:sz w:val="24"/>
          <w:szCs w:val="24"/>
        </w:rPr>
        <w:t>.18</w:t>
      </w:r>
      <w:r w:rsidR="00B962BE" w:rsidRPr="00BA0E8D">
        <w:rPr>
          <w:rFonts w:ascii="Times New Roman" w:hAnsi="Times New Roman"/>
          <w:sz w:val="24"/>
          <w:szCs w:val="24"/>
        </w:rPr>
        <w:t>. Hence, i</w:t>
      </w:r>
      <w:r w:rsidR="00A6425F" w:rsidRPr="00BA0E8D">
        <w:rPr>
          <w:rFonts w:ascii="Times New Roman" w:hAnsi="Times New Roman"/>
          <w:sz w:val="24"/>
          <w:szCs w:val="24"/>
        </w:rPr>
        <w:t>n economic te</w:t>
      </w:r>
      <w:r w:rsidR="00B962BE" w:rsidRPr="00BA0E8D">
        <w:rPr>
          <w:rFonts w:ascii="Times New Roman" w:hAnsi="Times New Roman"/>
          <w:sz w:val="24"/>
          <w:szCs w:val="24"/>
        </w:rPr>
        <w:t xml:space="preserve">rms, </w:t>
      </w:r>
      <w:r w:rsidR="00F96AC8">
        <w:rPr>
          <w:rFonts w:ascii="Times New Roman" w:hAnsi="Times New Roman"/>
          <w:sz w:val="24"/>
          <w:szCs w:val="24"/>
        </w:rPr>
        <w:t xml:space="preserve">a </w:t>
      </w:r>
      <w:r w:rsidR="00B962BE" w:rsidRPr="00BA0E8D">
        <w:rPr>
          <w:rFonts w:ascii="Times New Roman" w:hAnsi="Times New Roman"/>
          <w:sz w:val="24"/>
          <w:szCs w:val="24"/>
        </w:rPr>
        <w:t xml:space="preserve">one standard deviation increase in the depth of credit information sharing will reduce credit intermediation cost by </w:t>
      </w:r>
      <w:r w:rsidR="00C12CFF" w:rsidRPr="00BA0E8D">
        <w:rPr>
          <w:rFonts w:ascii="Times New Roman" w:hAnsi="Times New Roman"/>
          <w:sz w:val="24"/>
          <w:szCs w:val="24"/>
        </w:rPr>
        <w:t xml:space="preserve">up to </w:t>
      </w:r>
      <w:r w:rsidR="00B962BE" w:rsidRPr="00BA0E8D">
        <w:rPr>
          <w:rFonts w:ascii="Times New Roman" w:hAnsi="Times New Roman"/>
          <w:sz w:val="24"/>
          <w:szCs w:val="24"/>
        </w:rPr>
        <w:t>9.</w:t>
      </w:r>
      <w:r w:rsidR="005E65DD" w:rsidRPr="00BA0E8D">
        <w:rPr>
          <w:rFonts w:ascii="Times New Roman" w:hAnsi="Times New Roman"/>
          <w:sz w:val="24"/>
          <w:szCs w:val="24"/>
        </w:rPr>
        <w:t>77</w:t>
      </w:r>
      <w:r w:rsidR="00B962BE" w:rsidRPr="00BA0E8D">
        <w:rPr>
          <w:rFonts w:ascii="Times New Roman" w:hAnsi="Times New Roman"/>
          <w:sz w:val="24"/>
          <w:szCs w:val="24"/>
        </w:rPr>
        <w:t xml:space="preserve">% </w:t>
      </w:r>
      <w:r w:rsidR="00547255">
        <w:rPr>
          <w:rFonts w:ascii="Times New Roman" w:hAnsi="Times New Roman"/>
          <w:sz w:val="24"/>
          <w:szCs w:val="24"/>
        </w:rPr>
        <w:t>[</w:t>
      </w:r>
      <w:r w:rsidR="00B962BE" w:rsidRPr="00BA0E8D">
        <w:rPr>
          <w:rFonts w:ascii="Times New Roman" w:hAnsi="Times New Roman"/>
          <w:sz w:val="24"/>
          <w:szCs w:val="24"/>
        </w:rPr>
        <w:t>100 X (2</w:t>
      </w:r>
      <w:r w:rsidR="0025287E" w:rsidRPr="00BA0E8D">
        <w:rPr>
          <w:rFonts w:ascii="Times New Roman" w:hAnsi="Times New Roman"/>
          <w:sz w:val="24"/>
          <w:szCs w:val="24"/>
        </w:rPr>
        <w:t>.18</w:t>
      </w:r>
      <w:r w:rsidR="00B962BE" w:rsidRPr="00BA0E8D">
        <w:rPr>
          <w:rFonts w:ascii="Times New Roman" w:hAnsi="Times New Roman"/>
          <w:sz w:val="24"/>
          <w:szCs w:val="24"/>
        </w:rPr>
        <w:t xml:space="preserve"> X 0.3</w:t>
      </w:r>
      <w:r w:rsidR="0025287E" w:rsidRPr="00BA0E8D">
        <w:rPr>
          <w:rFonts w:ascii="Times New Roman" w:hAnsi="Times New Roman"/>
          <w:sz w:val="24"/>
          <w:szCs w:val="24"/>
        </w:rPr>
        <w:t>7</w:t>
      </w:r>
      <w:r w:rsidR="00B962BE" w:rsidRPr="00BA0E8D">
        <w:rPr>
          <w:rFonts w:ascii="Times New Roman" w:hAnsi="Times New Roman"/>
          <w:sz w:val="24"/>
          <w:szCs w:val="24"/>
        </w:rPr>
        <w:t>)/8</w:t>
      </w:r>
      <w:r w:rsidR="00016B2C" w:rsidRPr="00BA0E8D">
        <w:rPr>
          <w:rFonts w:ascii="Times New Roman" w:hAnsi="Times New Roman"/>
          <w:sz w:val="24"/>
          <w:szCs w:val="24"/>
        </w:rPr>
        <w:t>.2</w:t>
      </w:r>
      <w:r w:rsidR="0025287E" w:rsidRPr="00BA0E8D">
        <w:rPr>
          <w:rFonts w:ascii="Times New Roman" w:hAnsi="Times New Roman"/>
          <w:sz w:val="24"/>
          <w:szCs w:val="24"/>
        </w:rPr>
        <w:t>5</w:t>
      </w:r>
      <w:r w:rsidR="00547255">
        <w:rPr>
          <w:rFonts w:ascii="Times New Roman" w:hAnsi="Times New Roman"/>
          <w:sz w:val="24"/>
          <w:szCs w:val="24"/>
        </w:rPr>
        <w:t>]</w:t>
      </w:r>
      <w:r w:rsidR="00B962BE" w:rsidRPr="00BA0E8D">
        <w:rPr>
          <w:rFonts w:ascii="Times New Roman" w:hAnsi="Times New Roman"/>
          <w:sz w:val="24"/>
          <w:szCs w:val="24"/>
        </w:rPr>
        <w:t>.</w:t>
      </w:r>
      <w:r w:rsidR="007804F9" w:rsidRPr="00BA0E8D">
        <w:rPr>
          <w:rFonts w:ascii="Times New Roman" w:hAnsi="Times New Roman"/>
          <w:sz w:val="24"/>
          <w:szCs w:val="24"/>
        </w:rPr>
        <w:t xml:space="preserve"> </w:t>
      </w:r>
    </w:p>
    <w:p w14:paraId="2CBB8CC9" w14:textId="77777777" w:rsidR="00892EE6" w:rsidRPr="00BA0E8D" w:rsidRDefault="00892EE6" w:rsidP="00892EE6">
      <w:pPr>
        <w:spacing w:before="240" w:after="240" w:line="360" w:lineRule="auto"/>
        <w:jc w:val="center"/>
        <w:rPr>
          <w:rFonts w:ascii="Times New Roman" w:hAnsi="Times New Roman"/>
          <w:b/>
          <w:sz w:val="28"/>
          <w:szCs w:val="24"/>
        </w:rPr>
      </w:pPr>
      <w:r w:rsidRPr="00BA0E8D">
        <w:rPr>
          <w:rFonts w:ascii="Times New Roman" w:hAnsi="Times New Roman"/>
          <w:b/>
          <w:sz w:val="28"/>
          <w:szCs w:val="24"/>
        </w:rPr>
        <w:t xml:space="preserve">[Table </w:t>
      </w:r>
      <w:r w:rsidR="006B0388" w:rsidRPr="00BA0E8D">
        <w:rPr>
          <w:rFonts w:ascii="Times New Roman" w:hAnsi="Times New Roman"/>
          <w:b/>
          <w:sz w:val="28"/>
          <w:szCs w:val="24"/>
        </w:rPr>
        <w:t>3</w:t>
      </w:r>
      <w:r w:rsidRPr="00BA0E8D">
        <w:rPr>
          <w:rFonts w:ascii="Times New Roman" w:hAnsi="Times New Roman"/>
          <w:b/>
          <w:sz w:val="28"/>
          <w:szCs w:val="24"/>
        </w:rPr>
        <w:t xml:space="preserve"> about here]</w:t>
      </w:r>
    </w:p>
    <w:p w14:paraId="64D2069C" w14:textId="0354FA65" w:rsidR="00DE0745" w:rsidRPr="00BA0E8D" w:rsidRDefault="00A43866"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 xml:space="preserve">We confirm our findings on the negative relationship between information sharing and credit intermediation costs in the following </w:t>
      </w:r>
      <w:r w:rsidR="00F96AC8">
        <w:rPr>
          <w:rFonts w:ascii="Times New Roman" w:hAnsi="Times New Roman"/>
          <w:sz w:val="24"/>
          <w:szCs w:val="24"/>
        </w:rPr>
        <w:t>six</w:t>
      </w:r>
      <w:r w:rsidR="00F96AC8" w:rsidRPr="00BA0E8D">
        <w:rPr>
          <w:rFonts w:ascii="Times New Roman" w:hAnsi="Times New Roman"/>
          <w:sz w:val="24"/>
          <w:szCs w:val="24"/>
        </w:rPr>
        <w:t xml:space="preserve"> </w:t>
      </w:r>
      <w:r w:rsidRPr="00BA0E8D">
        <w:rPr>
          <w:rFonts w:ascii="Times New Roman" w:hAnsi="Times New Roman"/>
          <w:sz w:val="24"/>
          <w:szCs w:val="24"/>
        </w:rPr>
        <w:t>models of Table 3 using alternative measures of information sharing</w:t>
      </w:r>
      <w:r w:rsidR="00CD5C91" w:rsidRPr="00BA0E8D">
        <w:rPr>
          <w:rFonts w:ascii="Times New Roman" w:hAnsi="Times New Roman"/>
          <w:sz w:val="24"/>
          <w:szCs w:val="24"/>
        </w:rPr>
        <w:t>,</w:t>
      </w:r>
      <w:r w:rsidR="00EF21C2" w:rsidRPr="00BA0E8D">
        <w:rPr>
          <w:rFonts w:ascii="Times New Roman" w:hAnsi="Times New Roman"/>
          <w:sz w:val="24"/>
          <w:szCs w:val="24"/>
        </w:rPr>
        <w:t xml:space="preserve"> namely,</w:t>
      </w:r>
      <w:r w:rsidR="00CD5C91" w:rsidRPr="00BA0E8D">
        <w:rPr>
          <w:rFonts w:ascii="Times New Roman" w:hAnsi="Times New Roman"/>
          <w:sz w:val="24"/>
          <w:szCs w:val="24"/>
        </w:rPr>
        <w:t xml:space="preserve"> credit registry coverage (Models 4-6) and credit bureau coverage (Models 7-9). The coefficient</w:t>
      </w:r>
      <w:r w:rsidR="00F52671" w:rsidRPr="00BA0E8D">
        <w:rPr>
          <w:rFonts w:ascii="Times New Roman" w:hAnsi="Times New Roman"/>
          <w:sz w:val="24"/>
          <w:szCs w:val="24"/>
        </w:rPr>
        <w:t xml:space="preserve"> of </w:t>
      </w:r>
      <w:r w:rsidR="00CD5C91" w:rsidRPr="00BA0E8D">
        <w:rPr>
          <w:rFonts w:ascii="Times New Roman" w:hAnsi="Times New Roman"/>
          <w:sz w:val="24"/>
          <w:szCs w:val="24"/>
        </w:rPr>
        <w:t xml:space="preserve">the credit bureau coverage is negative and </w:t>
      </w:r>
      <w:r w:rsidR="006A60D1" w:rsidRPr="00BA0E8D">
        <w:rPr>
          <w:rFonts w:ascii="Times New Roman" w:hAnsi="Times New Roman"/>
          <w:sz w:val="24"/>
          <w:szCs w:val="24"/>
        </w:rPr>
        <w:t xml:space="preserve">statistically </w:t>
      </w:r>
      <w:r w:rsidR="00CD5C91" w:rsidRPr="00BA0E8D">
        <w:rPr>
          <w:rFonts w:ascii="Times New Roman" w:hAnsi="Times New Roman"/>
          <w:sz w:val="24"/>
          <w:szCs w:val="24"/>
        </w:rPr>
        <w:t xml:space="preserve">significant, but the coefficient on the credit bureau coverage is </w:t>
      </w:r>
      <w:r w:rsidR="00F84ABF" w:rsidRPr="00BA0E8D">
        <w:rPr>
          <w:rFonts w:ascii="Times New Roman" w:hAnsi="Times New Roman"/>
          <w:sz w:val="24"/>
          <w:szCs w:val="24"/>
        </w:rPr>
        <w:t xml:space="preserve">statistically </w:t>
      </w:r>
      <w:r w:rsidR="00CD5C91" w:rsidRPr="00BA0E8D">
        <w:rPr>
          <w:rFonts w:ascii="Times New Roman" w:hAnsi="Times New Roman"/>
          <w:sz w:val="24"/>
          <w:szCs w:val="24"/>
        </w:rPr>
        <w:t xml:space="preserve">insignificant. </w:t>
      </w:r>
      <w:r w:rsidR="00FF6AF5" w:rsidRPr="00BA0E8D">
        <w:rPr>
          <w:rFonts w:ascii="Times New Roman" w:hAnsi="Times New Roman"/>
          <w:sz w:val="24"/>
          <w:szCs w:val="24"/>
        </w:rPr>
        <w:t>The findings in Models 4-6 suggest that a one standard deviation (</w:t>
      </w:r>
      <w:r w:rsidR="00702783" w:rsidRPr="00BA0E8D">
        <w:rPr>
          <w:rFonts w:ascii="Times New Roman" w:hAnsi="Times New Roman"/>
          <w:sz w:val="24"/>
          <w:szCs w:val="24"/>
        </w:rPr>
        <w:t>8.3</w:t>
      </w:r>
      <w:r w:rsidR="00DC5EC7" w:rsidRPr="00BA0E8D">
        <w:rPr>
          <w:rFonts w:ascii="Times New Roman" w:hAnsi="Times New Roman"/>
          <w:sz w:val="24"/>
          <w:szCs w:val="24"/>
        </w:rPr>
        <w:t>7</w:t>
      </w:r>
      <w:r w:rsidR="00FF6AF5" w:rsidRPr="00BA0E8D">
        <w:rPr>
          <w:rFonts w:ascii="Times New Roman" w:hAnsi="Times New Roman"/>
          <w:sz w:val="24"/>
          <w:szCs w:val="24"/>
        </w:rPr>
        <w:t>) increase in credit registry coverage is associated</w:t>
      </w:r>
      <w:r w:rsidR="00702783" w:rsidRPr="00BA0E8D">
        <w:rPr>
          <w:rFonts w:ascii="Times New Roman" w:hAnsi="Times New Roman"/>
          <w:sz w:val="24"/>
          <w:szCs w:val="24"/>
        </w:rPr>
        <w:t xml:space="preserve"> with</w:t>
      </w:r>
      <w:r w:rsidR="00FF6AF5" w:rsidRPr="00BA0E8D">
        <w:rPr>
          <w:rFonts w:ascii="Times New Roman" w:hAnsi="Times New Roman"/>
          <w:sz w:val="24"/>
          <w:szCs w:val="24"/>
        </w:rPr>
        <w:t xml:space="preserve"> </w:t>
      </w:r>
      <w:r w:rsidR="00F96AC8">
        <w:rPr>
          <w:rFonts w:ascii="Times New Roman" w:hAnsi="Times New Roman"/>
          <w:sz w:val="24"/>
          <w:szCs w:val="24"/>
        </w:rPr>
        <w:t xml:space="preserve">a </w:t>
      </w:r>
      <w:r w:rsidR="00702783" w:rsidRPr="00BA0E8D">
        <w:rPr>
          <w:rFonts w:ascii="Times New Roman" w:hAnsi="Times New Roman"/>
          <w:sz w:val="24"/>
          <w:szCs w:val="24"/>
        </w:rPr>
        <w:t>between 0.</w:t>
      </w:r>
      <w:r w:rsidR="00DC5EC7" w:rsidRPr="00BA0E8D">
        <w:rPr>
          <w:rFonts w:ascii="Times New Roman" w:hAnsi="Times New Roman"/>
          <w:sz w:val="24"/>
          <w:szCs w:val="24"/>
        </w:rPr>
        <w:t xml:space="preserve">15 </w:t>
      </w:r>
      <w:r w:rsidR="00F96AC8">
        <w:rPr>
          <w:rFonts w:ascii="Times New Roman" w:hAnsi="Times New Roman"/>
          <w:sz w:val="24"/>
          <w:szCs w:val="24"/>
        </w:rPr>
        <w:t>and</w:t>
      </w:r>
      <w:r w:rsidR="00F96AC8" w:rsidRPr="00BA0E8D">
        <w:rPr>
          <w:rFonts w:ascii="Times New Roman" w:hAnsi="Times New Roman"/>
          <w:sz w:val="24"/>
          <w:szCs w:val="24"/>
        </w:rPr>
        <w:t xml:space="preserve"> </w:t>
      </w:r>
      <w:r w:rsidR="00702783" w:rsidRPr="00BA0E8D">
        <w:rPr>
          <w:rFonts w:ascii="Times New Roman" w:hAnsi="Times New Roman"/>
          <w:sz w:val="24"/>
          <w:szCs w:val="24"/>
        </w:rPr>
        <w:t>0.</w:t>
      </w:r>
      <w:r w:rsidR="00DC5EC7" w:rsidRPr="00BA0E8D">
        <w:rPr>
          <w:rFonts w:ascii="Times New Roman" w:hAnsi="Times New Roman"/>
          <w:sz w:val="24"/>
          <w:szCs w:val="24"/>
        </w:rPr>
        <w:t xml:space="preserve">18 </w:t>
      </w:r>
      <w:r w:rsidR="00702783" w:rsidRPr="00BA0E8D">
        <w:rPr>
          <w:rFonts w:ascii="Times New Roman" w:hAnsi="Times New Roman"/>
          <w:sz w:val="24"/>
          <w:szCs w:val="24"/>
        </w:rPr>
        <w:t xml:space="preserve">percentage point </w:t>
      </w:r>
      <w:r w:rsidR="000C430C" w:rsidRPr="00BA0E8D">
        <w:rPr>
          <w:rFonts w:ascii="Times New Roman" w:hAnsi="Times New Roman"/>
          <w:sz w:val="24"/>
          <w:szCs w:val="24"/>
        </w:rPr>
        <w:t>reduction</w:t>
      </w:r>
      <w:r w:rsidR="00702783" w:rsidRPr="00BA0E8D">
        <w:rPr>
          <w:rFonts w:ascii="Times New Roman" w:hAnsi="Times New Roman"/>
          <w:sz w:val="24"/>
          <w:szCs w:val="24"/>
        </w:rPr>
        <w:t xml:space="preserve"> in </w:t>
      </w:r>
      <w:r w:rsidR="000C430C" w:rsidRPr="00BA0E8D">
        <w:rPr>
          <w:rFonts w:ascii="Times New Roman" w:hAnsi="Times New Roman"/>
          <w:sz w:val="24"/>
          <w:szCs w:val="24"/>
        </w:rPr>
        <w:t>credit intermediation costs</w:t>
      </w:r>
      <w:r w:rsidR="00887545" w:rsidRPr="00BA0E8D">
        <w:rPr>
          <w:rFonts w:ascii="Times New Roman" w:hAnsi="Times New Roman"/>
          <w:sz w:val="24"/>
          <w:szCs w:val="24"/>
        </w:rPr>
        <w:t xml:space="preserve">, which amounts up to </w:t>
      </w:r>
      <w:r w:rsidR="00016B2C" w:rsidRPr="00BA0E8D">
        <w:rPr>
          <w:rFonts w:ascii="Times New Roman" w:hAnsi="Times New Roman"/>
          <w:sz w:val="24"/>
          <w:szCs w:val="24"/>
        </w:rPr>
        <w:t>2.</w:t>
      </w:r>
      <w:r w:rsidR="00DC5EC7" w:rsidRPr="00BA0E8D">
        <w:rPr>
          <w:rFonts w:ascii="Times New Roman" w:hAnsi="Times New Roman"/>
          <w:sz w:val="24"/>
          <w:szCs w:val="24"/>
        </w:rPr>
        <w:t>13</w:t>
      </w:r>
      <w:r w:rsidR="00887545" w:rsidRPr="00BA0E8D">
        <w:rPr>
          <w:rFonts w:ascii="Times New Roman" w:hAnsi="Times New Roman"/>
          <w:sz w:val="24"/>
          <w:szCs w:val="24"/>
        </w:rPr>
        <w:t>% reduction in the credit intermediation cost of the average bank.</w:t>
      </w:r>
      <w:r w:rsidR="00515C37" w:rsidRPr="00BA0E8D">
        <w:rPr>
          <w:rFonts w:ascii="Times New Roman" w:hAnsi="Times New Roman"/>
          <w:sz w:val="24"/>
          <w:szCs w:val="24"/>
        </w:rPr>
        <w:t xml:space="preserve"> </w:t>
      </w:r>
    </w:p>
    <w:p w14:paraId="2EF7A7F6" w14:textId="155724BE" w:rsidR="00905762" w:rsidRPr="00BA0E8D" w:rsidRDefault="000A55F1"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t>Overall, th</w:t>
      </w:r>
      <w:r w:rsidR="004D011F" w:rsidRPr="00BA0E8D">
        <w:rPr>
          <w:rFonts w:ascii="Times New Roman" w:hAnsi="Times New Roman"/>
          <w:sz w:val="24"/>
          <w:szCs w:val="24"/>
        </w:rPr>
        <w:t>ese</w:t>
      </w:r>
      <w:r w:rsidRPr="00BA0E8D">
        <w:rPr>
          <w:rFonts w:ascii="Times New Roman" w:hAnsi="Times New Roman"/>
          <w:sz w:val="24"/>
          <w:szCs w:val="24"/>
        </w:rPr>
        <w:t xml:space="preserve"> findings provide support for Hypothesis 1 and</w:t>
      </w:r>
      <w:r w:rsidR="00905762" w:rsidRPr="00BA0E8D">
        <w:rPr>
          <w:rFonts w:ascii="Times New Roman" w:hAnsi="Times New Roman"/>
          <w:sz w:val="24"/>
          <w:szCs w:val="24"/>
        </w:rPr>
        <w:t xml:space="preserve"> thus</w:t>
      </w:r>
      <w:r w:rsidR="00F96AC8">
        <w:rPr>
          <w:rFonts w:ascii="Times New Roman" w:hAnsi="Times New Roman"/>
          <w:sz w:val="24"/>
          <w:szCs w:val="24"/>
        </w:rPr>
        <w:t xml:space="preserve"> are</w:t>
      </w:r>
      <w:r w:rsidRPr="00BA0E8D">
        <w:rPr>
          <w:rFonts w:ascii="Times New Roman" w:hAnsi="Times New Roman"/>
          <w:sz w:val="24"/>
          <w:szCs w:val="24"/>
        </w:rPr>
        <w:t xml:space="preserve"> </w:t>
      </w:r>
      <w:r w:rsidR="00905762" w:rsidRPr="00BA0E8D">
        <w:rPr>
          <w:rFonts w:ascii="Times New Roman" w:hAnsi="Times New Roman"/>
          <w:sz w:val="24"/>
          <w:szCs w:val="24"/>
        </w:rPr>
        <w:t>broadly consistent with previous literature which suggest</w:t>
      </w:r>
      <w:r w:rsidR="00F52671" w:rsidRPr="00BA0E8D">
        <w:rPr>
          <w:rFonts w:ascii="Times New Roman" w:hAnsi="Times New Roman"/>
          <w:sz w:val="24"/>
          <w:szCs w:val="24"/>
        </w:rPr>
        <w:t>s</w:t>
      </w:r>
      <w:r w:rsidR="00905762" w:rsidRPr="00BA0E8D">
        <w:rPr>
          <w:rFonts w:ascii="Times New Roman" w:hAnsi="Times New Roman"/>
          <w:sz w:val="24"/>
          <w:szCs w:val="24"/>
        </w:rPr>
        <w:t xml:space="preserve"> that credit information sharing improves bank lending (</w:t>
      </w:r>
      <w:proofErr w:type="spellStart"/>
      <w:r w:rsidR="00C44266" w:rsidRPr="00BA0E8D">
        <w:rPr>
          <w:rFonts w:ascii="Times New Roman" w:hAnsi="Times New Roman"/>
          <w:color w:val="222222"/>
          <w:sz w:val="24"/>
          <w:szCs w:val="20"/>
          <w:shd w:val="clear" w:color="auto" w:fill="FFFFFF"/>
        </w:rPr>
        <w:t>Jappelli</w:t>
      </w:r>
      <w:proofErr w:type="spellEnd"/>
      <w:r w:rsidR="00C44266" w:rsidRPr="00BA0E8D">
        <w:rPr>
          <w:rFonts w:ascii="Times New Roman" w:hAnsi="Times New Roman"/>
          <w:color w:val="222222"/>
          <w:sz w:val="24"/>
          <w:szCs w:val="20"/>
          <w:shd w:val="clear" w:color="auto" w:fill="FFFFFF"/>
        </w:rPr>
        <w:t xml:space="preserve">, and Pagano, 2002; </w:t>
      </w:r>
      <w:r w:rsidR="00C44266" w:rsidRPr="00BA0E8D">
        <w:rPr>
          <w:rFonts w:ascii="Times New Roman" w:hAnsi="Times New Roman"/>
          <w:sz w:val="24"/>
          <w:szCs w:val="24"/>
        </w:rPr>
        <w:t>Brown et al., 2009;</w:t>
      </w:r>
      <w:r w:rsidR="00C44266" w:rsidRPr="00BA0E8D">
        <w:rPr>
          <w:rFonts w:ascii="Times New Roman" w:hAnsi="Times New Roman"/>
          <w:color w:val="222222"/>
          <w:sz w:val="24"/>
          <w:szCs w:val="20"/>
          <w:shd w:val="clear" w:color="auto" w:fill="FFFFFF"/>
        </w:rPr>
        <w:t xml:space="preserve"> </w:t>
      </w:r>
      <w:r w:rsidR="00905762" w:rsidRPr="00BA0E8D">
        <w:rPr>
          <w:rFonts w:ascii="Times New Roman" w:hAnsi="Times New Roman"/>
          <w:sz w:val="24"/>
          <w:szCs w:val="24"/>
        </w:rPr>
        <w:t xml:space="preserve">Fosu, </w:t>
      </w:r>
      <w:r w:rsidR="00905762" w:rsidRPr="003C588D">
        <w:rPr>
          <w:rFonts w:ascii="Times New Roman" w:hAnsi="Times New Roman"/>
          <w:sz w:val="24"/>
          <w:szCs w:val="24"/>
        </w:rPr>
        <w:t>2014</w:t>
      </w:r>
      <w:r w:rsidR="00905762" w:rsidRPr="003C588D">
        <w:rPr>
          <w:rFonts w:ascii="Times New Roman" w:hAnsi="Times New Roman"/>
          <w:color w:val="222222"/>
          <w:sz w:val="24"/>
          <w:szCs w:val="20"/>
          <w:shd w:val="clear" w:color="auto" w:fill="FFFFFF"/>
        </w:rPr>
        <w:t>)</w:t>
      </w:r>
      <w:r w:rsidR="00905762" w:rsidRPr="003C588D">
        <w:rPr>
          <w:rFonts w:ascii="Times New Roman" w:hAnsi="Times New Roman"/>
          <w:sz w:val="24"/>
          <w:szCs w:val="24"/>
        </w:rPr>
        <w:t xml:space="preserve">. </w:t>
      </w:r>
      <w:r w:rsidR="00444591" w:rsidRPr="003C588D">
        <w:rPr>
          <w:rFonts w:ascii="Times New Roman" w:hAnsi="Times New Roman"/>
          <w:sz w:val="24"/>
          <w:szCs w:val="24"/>
        </w:rPr>
        <w:t xml:space="preserve">Our findings provide some support for the theoretical position that information sharing </w:t>
      </w:r>
      <w:r w:rsidR="00F610D4" w:rsidRPr="003C588D">
        <w:rPr>
          <w:rFonts w:ascii="Times New Roman" w:hAnsi="Times New Roman"/>
          <w:sz w:val="24"/>
          <w:szCs w:val="24"/>
        </w:rPr>
        <w:t>mechanisms could</w:t>
      </w:r>
      <w:r w:rsidR="00DF3E1E" w:rsidRPr="003C588D">
        <w:rPr>
          <w:rFonts w:ascii="Times New Roman" w:hAnsi="Times New Roman"/>
          <w:sz w:val="24"/>
          <w:szCs w:val="24"/>
        </w:rPr>
        <w:t xml:space="preserve"> reduce information asymmetry</w:t>
      </w:r>
      <w:r w:rsidR="00756A67" w:rsidRPr="003C588D">
        <w:rPr>
          <w:rFonts w:ascii="Times New Roman" w:hAnsi="Times New Roman"/>
          <w:sz w:val="24"/>
          <w:szCs w:val="24"/>
        </w:rPr>
        <w:t>, agency</w:t>
      </w:r>
      <w:r w:rsidR="00DF3E1E" w:rsidRPr="003C588D">
        <w:rPr>
          <w:rFonts w:ascii="Times New Roman" w:hAnsi="Times New Roman"/>
          <w:sz w:val="24"/>
          <w:szCs w:val="24"/>
        </w:rPr>
        <w:t xml:space="preserve"> and moral hazards problems in financial markets, and </w:t>
      </w:r>
      <w:r w:rsidR="0089291D" w:rsidRPr="003C588D">
        <w:rPr>
          <w:rFonts w:ascii="Times New Roman" w:hAnsi="Times New Roman"/>
          <w:sz w:val="24"/>
          <w:szCs w:val="24"/>
        </w:rPr>
        <w:t xml:space="preserve">subsequently lower borrowing cost to </w:t>
      </w:r>
      <w:r w:rsidR="00DF3E1E" w:rsidRPr="003C588D">
        <w:rPr>
          <w:rFonts w:ascii="Times New Roman" w:hAnsi="Times New Roman"/>
          <w:sz w:val="24"/>
          <w:szCs w:val="24"/>
        </w:rPr>
        <w:t xml:space="preserve">boost </w:t>
      </w:r>
      <w:r w:rsidR="00F610D4" w:rsidRPr="003C588D">
        <w:rPr>
          <w:rFonts w:ascii="Times New Roman" w:hAnsi="Times New Roman"/>
          <w:sz w:val="24"/>
          <w:szCs w:val="24"/>
        </w:rPr>
        <w:t>investment</w:t>
      </w:r>
      <w:r w:rsidR="00DF3E1E" w:rsidRPr="003C588D">
        <w:rPr>
          <w:rFonts w:ascii="Times New Roman" w:hAnsi="Times New Roman"/>
          <w:sz w:val="24"/>
          <w:szCs w:val="24"/>
        </w:rPr>
        <w:t>.</w:t>
      </w:r>
      <w:r w:rsidR="00DF3E1E">
        <w:rPr>
          <w:rFonts w:ascii="Times New Roman" w:hAnsi="Times New Roman"/>
          <w:sz w:val="24"/>
          <w:szCs w:val="24"/>
        </w:rPr>
        <w:t xml:space="preserve"> </w:t>
      </w:r>
    </w:p>
    <w:p w14:paraId="5CDABA31" w14:textId="7CD86D51" w:rsidR="00327C8F" w:rsidRPr="00BA0E8D" w:rsidRDefault="00327C8F"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t>The coefficient</w:t>
      </w:r>
      <w:r w:rsidR="003A360D" w:rsidRPr="00BA0E8D">
        <w:rPr>
          <w:rFonts w:ascii="Times New Roman" w:hAnsi="Times New Roman"/>
          <w:sz w:val="24"/>
          <w:szCs w:val="24"/>
        </w:rPr>
        <w:t>s</w:t>
      </w:r>
      <w:r w:rsidRPr="00BA0E8D">
        <w:rPr>
          <w:rFonts w:ascii="Times New Roman" w:hAnsi="Times New Roman"/>
          <w:sz w:val="24"/>
          <w:szCs w:val="24"/>
        </w:rPr>
        <w:t xml:space="preserve"> on banking market concentration offer an important insight; </w:t>
      </w:r>
      <w:r w:rsidR="00B541B8" w:rsidRPr="00BA0E8D">
        <w:rPr>
          <w:rFonts w:ascii="Times New Roman" w:hAnsi="Times New Roman"/>
          <w:sz w:val="24"/>
          <w:szCs w:val="24"/>
        </w:rPr>
        <w:t>they are negative and</w:t>
      </w:r>
      <w:r w:rsidR="003A360D" w:rsidRPr="00BA0E8D">
        <w:rPr>
          <w:rFonts w:ascii="Times New Roman" w:hAnsi="Times New Roman"/>
          <w:sz w:val="24"/>
          <w:szCs w:val="24"/>
        </w:rPr>
        <w:t xml:space="preserve"> largely </w:t>
      </w:r>
      <w:r w:rsidRPr="00BA0E8D">
        <w:rPr>
          <w:rFonts w:ascii="Times New Roman" w:hAnsi="Times New Roman"/>
          <w:sz w:val="24"/>
          <w:szCs w:val="24"/>
        </w:rPr>
        <w:t>statistically significant in all models, suggesting that banking market concentration reduces credit intermediation cost. The effect of concentration on credit intermediation cost is also economically significant. For instance,</w:t>
      </w:r>
      <w:r w:rsidR="00B541B8" w:rsidRPr="00BA0E8D">
        <w:rPr>
          <w:rFonts w:ascii="Times New Roman" w:hAnsi="Times New Roman"/>
          <w:sz w:val="24"/>
          <w:szCs w:val="24"/>
        </w:rPr>
        <w:t xml:space="preserve"> based on Model </w:t>
      </w:r>
      <w:r w:rsidR="00830330" w:rsidRPr="00BA0E8D">
        <w:rPr>
          <w:rFonts w:ascii="Times New Roman" w:hAnsi="Times New Roman"/>
          <w:sz w:val="24"/>
          <w:szCs w:val="24"/>
        </w:rPr>
        <w:t xml:space="preserve">8, </w:t>
      </w:r>
      <w:r w:rsidRPr="00BA0E8D">
        <w:rPr>
          <w:rFonts w:ascii="Times New Roman" w:hAnsi="Times New Roman"/>
          <w:sz w:val="24"/>
          <w:szCs w:val="24"/>
        </w:rPr>
        <w:t>a one standard deviation increase in concentration reduces bank intermediation</w:t>
      </w:r>
      <w:r w:rsidR="004A07B7" w:rsidRPr="00BA0E8D">
        <w:rPr>
          <w:rFonts w:ascii="Times New Roman" w:hAnsi="Times New Roman"/>
          <w:sz w:val="24"/>
          <w:szCs w:val="24"/>
        </w:rPr>
        <w:t xml:space="preserve"> cost</w:t>
      </w:r>
      <w:r w:rsidRPr="00BA0E8D">
        <w:rPr>
          <w:rFonts w:ascii="Times New Roman" w:hAnsi="Times New Roman"/>
          <w:sz w:val="24"/>
          <w:szCs w:val="24"/>
        </w:rPr>
        <w:t xml:space="preserve"> by </w:t>
      </w:r>
      <w:r w:rsidR="00B541B8" w:rsidRPr="00BA0E8D">
        <w:rPr>
          <w:rFonts w:ascii="Times New Roman" w:hAnsi="Times New Roman"/>
          <w:sz w:val="24"/>
          <w:szCs w:val="24"/>
        </w:rPr>
        <w:t>as much as 2.89%.</w:t>
      </w:r>
      <w:r w:rsidR="00651F5A" w:rsidRPr="00BA0E8D">
        <w:rPr>
          <w:rFonts w:ascii="Times New Roman" w:hAnsi="Times New Roman"/>
          <w:sz w:val="24"/>
          <w:szCs w:val="24"/>
        </w:rPr>
        <w:t xml:space="preserve"> Th</w:t>
      </w:r>
      <w:r w:rsidR="00FA1E2B" w:rsidRPr="00BA0E8D">
        <w:rPr>
          <w:rFonts w:ascii="Times New Roman" w:hAnsi="Times New Roman"/>
          <w:sz w:val="24"/>
          <w:szCs w:val="24"/>
        </w:rPr>
        <w:t>e</w:t>
      </w:r>
      <w:r w:rsidR="00651F5A" w:rsidRPr="00BA0E8D">
        <w:rPr>
          <w:rFonts w:ascii="Times New Roman" w:hAnsi="Times New Roman"/>
          <w:sz w:val="24"/>
          <w:szCs w:val="24"/>
        </w:rPr>
        <w:t>s</w:t>
      </w:r>
      <w:r w:rsidR="00FA1E2B" w:rsidRPr="00BA0E8D">
        <w:rPr>
          <w:rFonts w:ascii="Times New Roman" w:hAnsi="Times New Roman"/>
          <w:sz w:val="24"/>
          <w:szCs w:val="24"/>
        </w:rPr>
        <w:t>e</w:t>
      </w:r>
      <w:r w:rsidR="00651F5A" w:rsidRPr="00BA0E8D">
        <w:rPr>
          <w:rFonts w:ascii="Times New Roman" w:hAnsi="Times New Roman"/>
          <w:sz w:val="24"/>
          <w:szCs w:val="24"/>
        </w:rPr>
        <w:t xml:space="preserve"> results </w:t>
      </w:r>
      <w:r w:rsidR="004C78CC" w:rsidRPr="00BA0E8D">
        <w:rPr>
          <w:rFonts w:ascii="Times New Roman" w:hAnsi="Times New Roman"/>
          <w:sz w:val="24"/>
          <w:szCs w:val="24"/>
        </w:rPr>
        <w:t xml:space="preserve">are </w:t>
      </w:r>
      <w:r w:rsidR="00651F5A" w:rsidRPr="00BA0E8D">
        <w:rPr>
          <w:rFonts w:ascii="Times New Roman" w:hAnsi="Times New Roman"/>
          <w:sz w:val="24"/>
          <w:szCs w:val="24"/>
        </w:rPr>
        <w:t>broadly consistent with the literature which suggest</w:t>
      </w:r>
      <w:r w:rsidR="004C78CC" w:rsidRPr="00BA0E8D">
        <w:rPr>
          <w:rFonts w:ascii="Times New Roman" w:hAnsi="Times New Roman"/>
          <w:sz w:val="24"/>
          <w:szCs w:val="24"/>
        </w:rPr>
        <w:t>s</w:t>
      </w:r>
      <w:r w:rsidR="00651F5A" w:rsidRPr="00BA0E8D">
        <w:rPr>
          <w:rFonts w:ascii="Times New Roman" w:hAnsi="Times New Roman"/>
          <w:sz w:val="24"/>
          <w:szCs w:val="24"/>
        </w:rPr>
        <w:t xml:space="preserve"> that banking market concentration fosters relationship building, hence the acquisition of soft credit information (</w:t>
      </w:r>
      <w:r w:rsidR="00687A75" w:rsidRPr="00BA0E8D">
        <w:rPr>
          <w:rFonts w:ascii="Times New Roman" w:hAnsi="Times New Roman"/>
          <w:sz w:val="24"/>
          <w:szCs w:val="24"/>
        </w:rPr>
        <w:t>e.g.</w:t>
      </w:r>
      <w:r w:rsidR="00EE1C0F">
        <w:rPr>
          <w:rFonts w:ascii="Times New Roman" w:hAnsi="Times New Roman"/>
          <w:sz w:val="24"/>
          <w:szCs w:val="24"/>
        </w:rPr>
        <w:t>,</w:t>
      </w:r>
      <w:r w:rsidR="00687A75" w:rsidRPr="00BA0E8D">
        <w:rPr>
          <w:rFonts w:ascii="Times New Roman" w:hAnsi="Times New Roman"/>
          <w:sz w:val="24"/>
          <w:szCs w:val="24"/>
        </w:rPr>
        <w:t xml:space="preserve"> </w:t>
      </w:r>
      <w:r w:rsidR="00F96AC8">
        <w:rPr>
          <w:rFonts w:ascii="Times New Roman" w:hAnsi="Times New Roman"/>
          <w:sz w:val="24"/>
          <w:szCs w:val="24"/>
        </w:rPr>
        <w:t>F</w:t>
      </w:r>
      <w:r w:rsidR="00687A75" w:rsidRPr="00BA0E8D">
        <w:rPr>
          <w:rFonts w:ascii="Times New Roman" w:hAnsi="Times New Roman"/>
          <w:sz w:val="24"/>
          <w:szCs w:val="24"/>
        </w:rPr>
        <w:t>osu, 201</w:t>
      </w:r>
      <w:r w:rsidR="008072C0" w:rsidRPr="00BA0E8D">
        <w:rPr>
          <w:rFonts w:ascii="Times New Roman" w:hAnsi="Times New Roman"/>
          <w:sz w:val="24"/>
          <w:szCs w:val="24"/>
        </w:rPr>
        <w:t>4</w:t>
      </w:r>
      <w:r w:rsidR="006101D6" w:rsidRPr="00BA0E8D">
        <w:rPr>
          <w:rFonts w:ascii="Times New Roman" w:hAnsi="Times New Roman"/>
          <w:sz w:val="24"/>
          <w:szCs w:val="24"/>
        </w:rPr>
        <w:t>;</w:t>
      </w:r>
      <w:r w:rsidR="006101D6" w:rsidRPr="00BA0E8D">
        <w:rPr>
          <w:rFonts w:ascii="Times New Roman" w:hAnsi="Times New Roman"/>
          <w:color w:val="222222"/>
          <w:sz w:val="24"/>
          <w:szCs w:val="24"/>
          <w:shd w:val="clear" w:color="auto" w:fill="FFFFFF"/>
        </w:rPr>
        <w:t xml:space="preserve"> Petersen </w:t>
      </w:r>
      <w:r w:rsidR="00803E50" w:rsidRPr="00BA0E8D">
        <w:rPr>
          <w:rFonts w:ascii="Times New Roman" w:hAnsi="Times New Roman"/>
          <w:color w:val="222222"/>
          <w:sz w:val="24"/>
          <w:szCs w:val="24"/>
          <w:shd w:val="clear" w:color="auto" w:fill="FFFFFF"/>
        </w:rPr>
        <w:t xml:space="preserve">and </w:t>
      </w:r>
      <w:proofErr w:type="spellStart"/>
      <w:r w:rsidR="006101D6" w:rsidRPr="00BA0E8D">
        <w:rPr>
          <w:rFonts w:ascii="Times New Roman" w:hAnsi="Times New Roman"/>
          <w:color w:val="222222"/>
          <w:sz w:val="24"/>
          <w:szCs w:val="24"/>
          <w:shd w:val="clear" w:color="auto" w:fill="FFFFFF"/>
        </w:rPr>
        <w:t>Rajan</w:t>
      </w:r>
      <w:proofErr w:type="spellEnd"/>
      <w:r w:rsidR="006101D6" w:rsidRPr="00BA0E8D">
        <w:rPr>
          <w:rFonts w:ascii="Times New Roman" w:hAnsi="Times New Roman"/>
          <w:color w:val="222222"/>
          <w:sz w:val="24"/>
          <w:szCs w:val="24"/>
          <w:shd w:val="clear" w:color="auto" w:fill="FFFFFF"/>
        </w:rPr>
        <w:t>, 1995)</w:t>
      </w:r>
      <w:r w:rsidR="006B72CB" w:rsidRPr="00BA0E8D">
        <w:rPr>
          <w:rFonts w:ascii="Times New Roman" w:hAnsi="Times New Roman"/>
          <w:sz w:val="24"/>
          <w:szCs w:val="24"/>
        </w:rPr>
        <w:t>.</w:t>
      </w:r>
    </w:p>
    <w:p w14:paraId="6608AD98" w14:textId="740166E9" w:rsidR="00186BDE" w:rsidRPr="00BA0E8D" w:rsidRDefault="00905762" w:rsidP="00444D9D">
      <w:pPr>
        <w:spacing w:before="240" w:after="240" w:line="360" w:lineRule="auto"/>
        <w:jc w:val="both"/>
        <w:rPr>
          <w:rFonts w:ascii="Times New Roman" w:hAnsi="Times New Roman"/>
          <w:sz w:val="24"/>
          <w:szCs w:val="24"/>
        </w:rPr>
      </w:pPr>
      <w:r w:rsidRPr="00BA0E8D">
        <w:rPr>
          <w:rFonts w:ascii="Times New Roman" w:hAnsi="Times New Roman"/>
          <w:sz w:val="24"/>
          <w:szCs w:val="24"/>
        </w:rPr>
        <w:t>We draw further insight into what drives bank intermediation cost from the</w:t>
      </w:r>
      <w:r w:rsidR="00186BDE" w:rsidRPr="00BA0E8D">
        <w:rPr>
          <w:rFonts w:ascii="Times New Roman" w:hAnsi="Times New Roman"/>
          <w:sz w:val="24"/>
          <w:szCs w:val="24"/>
        </w:rPr>
        <w:t xml:space="preserve"> coefficients on the </w:t>
      </w:r>
      <w:r w:rsidR="00830330" w:rsidRPr="00BA0E8D">
        <w:rPr>
          <w:rFonts w:ascii="Times New Roman" w:hAnsi="Times New Roman"/>
          <w:sz w:val="24"/>
          <w:szCs w:val="24"/>
        </w:rPr>
        <w:t xml:space="preserve">other </w:t>
      </w:r>
      <w:r w:rsidR="00186BDE" w:rsidRPr="00BA0E8D">
        <w:rPr>
          <w:rFonts w:ascii="Times New Roman" w:hAnsi="Times New Roman"/>
          <w:sz w:val="24"/>
          <w:szCs w:val="24"/>
        </w:rPr>
        <w:t>contr</w:t>
      </w:r>
      <w:r w:rsidRPr="00BA0E8D">
        <w:rPr>
          <w:rFonts w:ascii="Times New Roman" w:hAnsi="Times New Roman"/>
          <w:sz w:val="24"/>
          <w:szCs w:val="24"/>
        </w:rPr>
        <w:t>ol variable</w:t>
      </w:r>
      <w:r w:rsidR="00EF4C2C">
        <w:rPr>
          <w:rFonts w:ascii="Times New Roman" w:hAnsi="Times New Roman"/>
          <w:sz w:val="24"/>
          <w:szCs w:val="24"/>
        </w:rPr>
        <w:t>s</w:t>
      </w:r>
      <w:r w:rsidR="002567BD" w:rsidRPr="00BA0E8D">
        <w:rPr>
          <w:rFonts w:ascii="Times New Roman" w:hAnsi="Times New Roman"/>
          <w:sz w:val="24"/>
          <w:szCs w:val="24"/>
        </w:rPr>
        <w:t>.</w:t>
      </w:r>
      <w:r w:rsidR="00A07204" w:rsidRPr="00BA0E8D">
        <w:rPr>
          <w:rFonts w:ascii="Times New Roman" w:hAnsi="Times New Roman"/>
          <w:sz w:val="24"/>
          <w:szCs w:val="24"/>
        </w:rPr>
        <w:t xml:space="preserve"> Liquidity enters all models with </w:t>
      </w:r>
      <w:r w:rsidR="00EF4C2C">
        <w:rPr>
          <w:rFonts w:ascii="Times New Roman" w:hAnsi="Times New Roman"/>
          <w:sz w:val="24"/>
          <w:szCs w:val="24"/>
        </w:rPr>
        <w:t xml:space="preserve">a </w:t>
      </w:r>
      <w:r w:rsidR="00A07204" w:rsidRPr="00BA0E8D">
        <w:rPr>
          <w:rFonts w:ascii="Times New Roman" w:hAnsi="Times New Roman"/>
          <w:sz w:val="24"/>
          <w:szCs w:val="24"/>
        </w:rPr>
        <w:t>positive and statistically significant sign. This suggest</w:t>
      </w:r>
      <w:r w:rsidR="00B61560" w:rsidRPr="00BA0E8D">
        <w:rPr>
          <w:rFonts w:ascii="Times New Roman" w:hAnsi="Times New Roman"/>
          <w:sz w:val="24"/>
          <w:szCs w:val="24"/>
        </w:rPr>
        <w:t>s</w:t>
      </w:r>
      <w:r w:rsidR="00A07204" w:rsidRPr="00BA0E8D">
        <w:rPr>
          <w:rFonts w:ascii="Times New Roman" w:hAnsi="Times New Roman"/>
          <w:sz w:val="24"/>
          <w:szCs w:val="24"/>
        </w:rPr>
        <w:t xml:space="preserve"> that highly liquid banks have higher credit intermediation cost, reflecting higher </w:t>
      </w:r>
      <w:r w:rsidR="00C65F87" w:rsidRPr="00BA0E8D">
        <w:rPr>
          <w:rFonts w:ascii="Times New Roman" w:hAnsi="Times New Roman"/>
          <w:sz w:val="24"/>
          <w:szCs w:val="24"/>
        </w:rPr>
        <w:t xml:space="preserve">charges for </w:t>
      </w:r>
      <w:r w:rsidR="00A07204" w:rsidRPr="00BA0E8D">
        <w:rPr>
          <w:rFonts w:ascii="Times New Roman" w:hAnsi="Times New Roman"/>
          <w:sz w:val="24"/>
          <w:szCs w:val="24"/>
        </w:rPr>
        <w:t>liquidity premium</w:t>
      </w:r>
      <w:r w:rsidR="00C65F87" w:rsidRPr="00BA0E8D">
        <w:rPr>
          <w:rFonts w:ascii="Times New Roman" w:hAnsi="Times New Roman"/>
          <w:sz w:val="24"/>
          <w:szCs w:val="24"/>
        </w:rPr>
        <w:t xml:space="preserve"> (</w:t>
      </w:r>
      <w:r w:rsidR="00C61FC3" w:rsidRPr="00BA0E8D">
        <w:rPr>
          <w:rFonts w:ascii="Times New Roman" w:hAnsi="Times New Roman"/>
          <w:sz w:val="24"/>
          <w:szCs w:val="24"/>
        </w:rPr>
        <w:t>e.g.</w:t>
      </w:r>
      <w:r w:rsidR="00C12769">
        <w:rPr>
          <w:rFonts w:ascii="Times New Roman" w:hAnsi="Times New Roman"/>
          <w:sz w:val="24"/>
          <w:szCs w:val="24"/>
        </w:rPr>
        <w:t>,</w:t>
      </w:r>
      <w:r w:rsidR="00C44266" w:rsidRPr="00BA0E8D">
        <w:rPr>
          <w:rFonts w:ascii="Times New Roman" w:hAnsi="Times New Roman"/>
          <w:sz w:val="24"/>
          <w:szCs w:val="24"/>
        </w:rPr>
        <w:t xml:space="preserve"> </w:t>
      </w:r>
      <w:proofErr w:type="spellStart"/>
      <w:r w:rsidR="00C44266" w:rsidRPr="00BA0E8D">
        <w:rPr>
          <w:rFonts w:ascii="Times New Roman" w:hAnsi="Times New Roman"/>
          <w:sz w:val="24"/>
          <w:szCs w:val="24"/>
        </w:rPr>
        <w:t>Angbazo</w:t>
      </w:r>
      <w:proofErr w:type="spellEnd"/>
      <w:r w:rsidR="00C44266" w:rsidRPr="00BA0E8D">
        <w:rPr>
          <w:rFonts w:ascii="Times New Roman" w:hAnsi="Times New Roman"/>
          <w:sz w:val="24"/>
          <w:szCs w:val="24"/>
        </w:rPr>
        <w:t>, 1997;</w:t>
      </w:r>
      <w:r w:rsidR="00936705" w:rsidRPr="00BA0E8D">
        <w:rPr>
          <w:rFonts w:ascii="Times New Roman" w:hAnsi="Times New Roman"/>
          <w:sz w:val="24"/>
          <w:szCs w:val="24"/>
        </w:rPr>
        <w:t xml:space="preserve"> </w:t>
      </w:r>
      <w:r w:rsidR="00936705" w:rsidRPr="00BA0E8D">
        <w:rPr>
          <w:rFonts w:ascii="Times New Roman" w:hAnsi="Times New Roman"/>
          <w:color w:val="222222"/>
          <w:sz w:val="24"/>
          <w:szCs w:val="24"/>
          <w:shd w:val="clear" w:color="auto" w:fill="FFFFFF"/>
        </w:rPr>
        <w:t xml:space="preserve">Valverde </w:t>
      </w:r>
      <w:r w:rsidR="00803E50" w:rsidRPr="00BA0E8D">
        <w:rPr>
          <w:rFonts w:ascii="Times New Roman" w:hAnsi="Times New Roman"/>
          <w:color w:val="222222"/>
          <w:sz w:val="24"/>
          <w:szCs w:val="24"/>
          <w:shd w:val="clear" w:color="auto" w:fill="FFFFFF"/>
        </w:rPr>
        <w:t xml:space="preserve">and </w:t>
      </w:r>
      <w:r w:rsidR="00936705" w:rsidRPr="00BA0E8D">
        <w:rPr>
          <w:rFonts w:ascii="Times New Roman" w:hAnsi="Times New Roman"/>
          <w:color w:val="222222"/>
          <w:sz w:val="24"/>
          <w:szCs w:val="24"/>
          <w:shd w:val="clear" w:color="auto" w:fill="FFFFFF"/>
        </w:rPr>
        <w:t>Fernández, 2007</w:t>
      </w:r>
      <w:r w:rsidR="00C61FC3" w:rsidRPr="00BA0E8D">
        <w:rPr>
          <w:rFonts w:ascii="Times New Roman" w:hAnsi="Times New Roman"/>
          <w:sz w:val="24"/>
          <w:szCs w:val="24"/>
        </w:rPr>
        <w:t>)</w:t>
      </w:r>
      <w:r w:rsidR="00C65F87" w:rsidRPr="00BA0E8D">
        <w:rPr>
          <w:rFonts w:ascii="Times New Roman" w:hAnsi="Times New Roman"/>
          <w:sz w:val="24"/>
          <w:szCs w:val="24"/>
        </w:rPr>
        <w:t xml:space="preserve">. </w:t>
      </w:r>
      <w:r w:rsidR="00157848">
        <w:rPr>
          <w:rFonts w:ascii="Times New Roman" w:hAnsi="Times New Roman"/>
          <w:sz w:val="24"/>
          <w:szCs w:val="24"/>
        </w:rPr>
        <w:t>The coefficient on p</w:t>
      </w:r>
      <w:r w:rsidR="00C65F87" w:rsidRPr="00BA0E8D">
        <w:rPr>
          <w:rFonts w:ascii="Times New Roman" w:hAnsi="Times New Roman"/>
          <w:sz w:val="24"/>
          <w:szCs w:val="24"/>
        </w:rPr>
        <w:t xml:space="preserve">rovisions has </w:t>
      </w:r>
      <w:r w:rsidR="00EF4C2C">
        <w:rPr>
          <w:rFonts w:ascii="Times New Roman" w:hAnsi="Times New Roman"/>
          <w:sz w:val="24"/>
          <w:szCs w:val="24"/>
        </w:rPr>
        <w:t xml:space="preserve">a </w:t>
      </w:r>
      <w:r w:rsidR="00C65F87" w:rsidRPr="00BA0E8D">
        <w:rPr>
          <w:rFonts w:ascii="Times New Roman" w:hAnsi="Times New Roman"/>
          <w:sz w:val="24"/>
          <w:szCs w:val="24"/>
        </w:rPr>
        <w:t xml:space="preserve">positive sign and </w:t>
      </w:r>
      <w:r w:rsidR="00EF4C2C">
        <w:rPr>
          <w:rFonts w:ascii="Times New Roman" w:hAnsi="Times New Roman"/>
          <w:sz w:val="24"/>
          <w:szCs w:val="24"/>
        </w:rPr>
        <w:t>is</w:t>
      </w:r>
      <w:r w:rsidR="00EF4C2C" w:rsidRPr="00BA0E8D">
        <w:rPr>
          <w:rFonts w:ascii="Times New Roman" w:hAnsi="Times New Roman"/>
          <w:sz w:val="24"/>
          <w:szCs w:val="24"/>
        </w:rPr>
        <w:t xml:space="preserve"> </w:t>
      </w:r>
      <w:r w:rsidR="00C65F87" w:rsidRPr="00BA0E8D">
        <w:rPr>
          <w:rFonts w:ascii="Times New Roman" w:hAnsi="Times New Roman"/>
          <w:sz w:val="24"/>
          <w:szCs w:val="24"/>
        </w:rPr>
        <w:t>largely statistically significant. This suggest</w:t>
      </w:r>
      <w:r w:rsidR="00FA1E2B" w:rsidRPr="00BA0E8D">
        <w:rPr>
          <w:rFonts w:ascii="Times New Roman" w:hAnsi="Times New Roman"/>
          <w:sz w:val="24"/>
          <w:szCs w:val="24"/>
        </w:rPr>
        <w:t>s</w:t>
      </w:r>
      <w:r w:rsidR="00C65F87" w:rsidRPr="00BA0E8D">
        <w:rPr>
          <w:rFonts w:ascii="Times New Roman" w:hAnsi="Times New Roman"/>
          <w:sz w:val="24"/>
          <w:szCs w:val="24"/>
        </w:rPr>
        <w:t xml:space="preserve"> that banks with higher default risk have higher credit intermediation cost</w:t>
      </w:r>
      <w:r w:rsidR="00C12769">
        <w:rPr>
          <w:rFonts w:ascii="Times New Roman" w:hAnsi="Times New Roman"/>
          <w:sz w:val="24"/>
          <w:szCs w:val="24"/>
        </w:rPr>
        <w:t xml:space="preserve">. </w:t>
      </w:r>
      <w:r w:rsidR="0084795C" w:rsidRPr="00BA0E8D">
        <w:rPr>
          <w:rFonts w:ascii="Times New Roman" w:hAnsi="Times New Roman"/>
          <w:sz w:val="24"/>
          <w:szCs w:val="24"/>
        </w:rPr>
        <w:t xml:space="preserve">The coefficient on Deposits is negative </w:t>
      </w:r>
      <w:r w:rsidR="008A71B3" w:rsidRPr="00BA0E8D">
        <w:rPr>
          <w:rFonts w:ascii="Times New Roman" w:hAnsi="Times New Roman"/>
          <w:sz w:val="24"/>
          <w:szCs w:val="24"/>
        </w:rPr>
        <w:t xml:space="preserve">and largely significant, suggesting that banks that depend on stable deposit funding have lower credit </w:t>
      </w:r>
      <w:r w:rsidR="005B05AB" w:rsidRPr="00BA0E8D">
        <w:rPr>
          <w:rFonts w:ascii="Times New Roman" w:hAnsi="Times New Roman"/>
          <w:sz w:val="24"/>
          <w:szCs w:val="24"/>
        </w:rPr>
        <w:t>intermediation</w:t>
      </w:r>
      <w:r w:rsidR="008A71B3" w:rsidRPr="00BA0E8D">
        <w:rPr>
          <w:rFonts w:ascii="Times New Roman" w:hAnsi="Times New Roman"/>
          <w:sz w:val="24"/>
          <w:szCs w:val="24"/>
        </w:rPr>
        <w:t>.</w:t>
      </w:r>
      <w:r w:rsidR="005B05AB" w:rsidRPr="00BA0E8D">
        <w:rPr>
          <w:rFonts w:ascii="Times New Roman" w:hAnsi="Times New Roman"/>
          <w:sz w:val="24"/>
          <w:szCs w:val="24"/>
        </w:rPr>
        <w:t xml:space="preserve"> The coefficient on Fees is negative </w:t>
      </w:r>
      <w:r w:rsidR="005B05AB" w:rsidRPr="00BA0E8D">
        <w:rPr>
          <w:rFonts w:ascii="Times New Roman" w:hAnsi="Times New Roman"/>
          <w:sz w:val="24"/>
          <w:szCs w:val="24"/>
        </w:rPr>
        <w:lastRenderedPageBreak/>
        <w:t>and statistically significant across all models.</w:t>
      </w:r>
      <w:r w:rsidR="00C65F87" w:rsidRPr="00BA0E8D">
        <w:rPr>
          <w:rFonts w:ascii="Times New Roman" w:hAnsi="Times New Roman"/>
          <w:sz w:val="24"/>
          <w:szCs w:val="24"/>
        </w:rPr>
        <w:t xml:space="preserve"> </w:t>
      </w:r>
      <w:r w:rsidR="005B05AB" w:rsidRPr="00BA0E8D">
        <w:rPr>
          <w:rFonts w:ascii="Times New Roman" w:hAnsi="Times New Roman"/>
          <w:sz w:val="24"/>
          <w:szCs w:val="24"/>
        </w:rPr>
        <w:t>This suggest</w:t>
      </w:r>
      <w:r w:rsidR="00FA1E2B" w:rsidRPr="00BA0E8D">
        <w:rPr>
          <w:rFonts w:ascii="Times New Roman" w:hAnsi="Times New Roman"/>
          <w:sz w:val="24"/>
          <w:szCs w:val="24"/>
        </w:rPr>
        <w:t>s</w:t>
      </w:r>
      <w:r w:rsidR="005B05AB" w:rsidRPr="00BA0E8D">
        <w:rPr>
          <w:rFonts w:ascii="Times New Roman" w:hAnsi="Times New Roman"/>
          <w:sz w:val="24"/>
          <w:szCs w:val="24"/>
        </w:rPr>
        <w:t xml:space="preserve"> that banks with diversified income </w:t>
      </w:r>
      <w:r w:rsidR="00497FDC" w:rsidRPr="00BA0E8D">
        <w:rPr>
          <w:rFonts w:ascii="Times New Roman" w:hAnsi="Times New Roman"/>
          <w:sz w:val="24"/>
          <w:szCs w:val="24"/>
        </w:rPr>
        <w:t>sources</w:t>
      </w:r>
      <w:r w:rsidR="005B05AB" w:rsidRPr="00BA0E8D">
        <w:rPr>
          <w:rFonts w:ascii="Times New Roman" w:hAnsi="Times New Roman"/>
          <w:sz w:val="24"/>
          <w:szCs w:val="24"/>
        </w:rPr>
        <w:t xml:space="preserve"> have lower credit </w:t>
      </w:r>
      <w:r w:rsidR="00497FDC" w:rsidRPr="00BA0E8D">
        <w:rPr>
          <w:rFonts w:ascii="Times New Roman" w:hAnsi="Times New Roman"/>
          <w:sz w:val="24"/>
          <w:szCs w:val="24"/>
        </w:rPr>
        <w:t>intermediation</w:t>
      </w:r>
      <w:r w:rsidR="005B05AB" w:rsidRPr="00BA0E8D">
        <w:rPr>
          <w:rFonts w:ascii="Times New Roman" w:hAnsi="Times New Roman"/>
          <w:sz w:val="24"/>
          <w:szCs w:val="24"/>
        </w:rPr>
        <w:t xml:space="preserve"> costs</w:t>
      </w:r>
      <w:r w:rsidR="00FB490D" w:rsidRPr="00BA0E8D">
        <w:rPr>
          <w:rFonts w:ascii="Times New Roman" w:hAnsi="Times New Roman"/>
          <w:sz w:val="24"/>
          <w:szCs w:val="24"/>
        </w:rPr>
        <w:t xml:space="preserve"> (</w:t>
      </w:r>
      <w:proofErr w:type="spellStart"/>
      <w:r w:rsidR="00A1346A" w:rsidRPr="00BA0E8D">
        <w:rPr>
          <w:rFonts w:ascii="Times New Roman" w:hAnsi="Times New Roman"/>
          <w:sz w:val="24"/>
          <w:szCs w:val="24"/>
        </w:rPr>
        <w:t>Demirg</w:t>
      </w:r>
      <w:r w:rsidR="00F77A15" w:rsidRPr="00697D0E">
        <w:rPr>
          <w:rFonts w:ascii="Times New Roman" w:hAnsi="Times New Roman"/>
          <w:sz w:val="24"/>
          <w:szCs w:val="24"/>
        </w:rPr>
        <w:t>üç</w:t>
      </w:r>
      <w:r w:rsidR="00A1346A" w:rsidRPr="00BA0E8D">
        <w:rPr>
          <w:rFonts w:ascii="Times New Roman" w:hAnsi="Times New Roman"/>
          <w:sz w:val="24"/>
          <w:szCs w:val="24"/>
        </w:rPr>
        <w:t>-Kunt</w:t>
      </w:r>
      <w:proofErr w:type="spellEnd"/>
      <w:r w:rsidR="00A1346A" w:rsidRPr="00BA0E8D">
        <w:rPr>
          <w:rFonts w:ascii="Times New Roman" w:hAnsi="Times New Roman"/>
          <w:sz w:val="24"/>
          <w:szCs w:val="24"/>
        </w:rPr>
        <w:t xml:space="preserve"> et al.</w:t>
      </w:r>
      <w:r w:rsidR="00EF4C2C">
        <w:rPr>
          <w:rFonts w:ascii="Times New Roman" w:hAnsi="Times New Roman"/>
          <w:sz w:val="24"/>
          <w:szCs w:val="24"/>
        </w:rPr>
        <w:t>,</w:t>
      </w:r>
      <w:r w:rsidR="00A1346A" w:rsidRPr="00BA0E8D">
        <w:rPr>
          <w:rFonts w:ascii="Times New Roman" w:hAnsi="Times New Roman"/>
          <w:sz w:val="24"/>
          <w:szCs w:val="24"/>
        </w:rPr>
        <w:t xml:space="preserve"> 2003). </w:t>
      </w:r>
      <w:r w:rsidR="00E0435A" w:rsidRPr="00BA0E8D">
        <w:rPr>
          <w:rFonts w:ascii="Times New Roman" w:hAnsi="Times New Roman"/>
          <w:sz w:val="24"/>
          <w:szCs w:val="24"/>
        </w:rPr>
        <w:t>Inefficiency has a statistically significant positive coefficient across models. This suggest</w:t>
      </w:r>
      <w:r w:rsidR="00FA1E2B" w:rsidRPr="00BA0E8D">
        <w:rPr>
          <w:rFonts w:ascii="Times New Roman" w:hAnsi="Times New Roman"/>
          <w:sz w:val="24"/>
          <w:szCs w:val="24"/>
        </w:rPr>
        <w:t>s</w:t>
      </w:r>
      <w:r w:rsidR="00E0435A" w:rsidRPr="00BA0E8D">
        <w:rPr>
          <w:rFonts w:ascii="Times New Roman" w:hAnsi="Times New Roman"/>
          <w:sz w:val="24"/>
          <w:szCs w:val="24"/>
        </w:rPr>
        <w:t xml:space="preserve"> that banks that are inefficient have higher credit intermediation cost</w:t>
      </w:r>
      <w:r w:rsidR="00181403" w:rsidRPr="00BA0E8D">
        <w:rPr>
          <w:rFonts w:ascii="Times New Roman" w:hAnsi="Times New Roman"/>
          <w:sz w:val="24"/>
          <w:szCs w:val="24"/>
        </w:rPr>
        <w:t>.</w:t>
      </w:r>
      <w:r w:rsidR="00792A0A" w:rsidRPr="00BA0E8D">
        <w:rPr>
          <w:rFonts w:ascii="Times New Roman" w:hAnsi="Times New Roman"/>
          <w:sz w:val="24"/>
          <w:szCs w:val="24"/>
        </w:rPr>
        <w:t xml:space="preserve"> The results further suggest that GDP growth and inflation increase bank intermediation cost.</w:t>
      </w:r>
      <w:r w:rsidR="008415BA" w:rsidRPr="00BA0E8D">
        <w:rPr>
          <w:rFonts w:ascii="Times New Roman" w:hAnsi="Times New Roman"/>
          <w:sz w:val="24"/>
          <w:szCs w:val="24"/>
        </w:rPr>
        <w:t xml:space="preserve"> The governance indicators of rule of law, regulatory quality and control of corruption all have </w:t>
      </w:r>
      <w:r w:rsidR="00EF4C2C">
        <w:rPr>
          <w:rFonts w:ascii="Times New Roman" w:hAnsi="Times New Roman"/>
          <w:sz w:val="24"/>
          <w:szCs w:val="24"/>
        </w:rPr>
        <w:t xml:space="preserve">a </w:t>
      </w:r>
      <w:r w:rsidR="008415BA" w:rsidRPr="00BA0E8D">
        <w:rPr>
          <w:rFonts w:ascii="Times New Roman" w:hAnsi="Times New Roman"/>
          <w:sz w:val="24"/>
          <w:szCs w:val="24"/>
        </w:rPr>
        <w:t>positive impact on credit intermediation cost. However, the coefficient</w:t>
      </w:r>
      <w:r w:rsidR="00B70F80" w:rsidRPr="00BA0E8D">
        <w:rPr>
          <w:rFonts w:ascii="Times New Roman" w:hAnsi="Times New Roman"/>
          <w:sz w:val="24"/>
          <w:szCs w:val="24"/>
        </w:rPr>
        <w:t>s</w:t>
      </w:r>
      <w:r w:rsidR="008415BA" w:rsidRPr="00BA0E8D">
        <w:rPr>
          <w:rFonts w:ascii="Times New Roman" w:hAnsi="Times New Roman"/>
          <w:sz w:val="24"/>
          <w:szCs w:val="24"/>
        </w:rPr>
        <w:t xml:space="preserve"> on </w:t>
      </w:r>
      <w:r w:rsidR="00B70F80" w:rsidRPr="00BA0E8D">
        <w:rPr>
          <w:rFonts w:ascii="Times New Roman" w:hAnsi="Times New Roman"/>
          <w:sz w:val="24"/>
          <w:szCs w:val="24"/>
        </w:rPr>
        <w:t xml:space="preserve">these variables are </w:t>
      </w:r>
      <w:r w:rsidR="00276B8B">
        <w:rPr>
          <w:rFonts w:ascii="Times New Roman" w:hAnsi="Times New Roman"/>
          <w:sz w:val="24"/>
          <w:szCs w:val="24"/>
        </w:rPr>
        <w:t xml:space="preserve">statistically </w:t>
      </w:r>
      <w:r w:rsidR="00B70F80" w:rsidRPr="00BA0E8D">
        <w:rPr>
          <w:rFonts w:ascii="Times New Roman" w:hAnsi="Times New Roman"/>
          <w:sz w:val="24"/>
          <w:szCs w:val="24"/>
        </w:rPr>
        <w:t>insignificant in the models using credit registry coverage and private bureau coverage as the measure of credit information sharing. This effect could be attributed to the fact that improved governance quality enables banks to extend credit to poor</w:t>
      </w:r>
      <w:r w:rsidR="00EF4C2C">
        <w:rPr>
          <w:rFonts w:ascii="Times New Roman" w:hAnsi="Times New Roman"/>
          <w:sz w:val="24"/>
          <w:szCs w:val="24"/>
        </w:rPr>
        <w:t>-</w:t>
      </w:r>
      <w:r w:rsidR="00B70F80" w:rsidRPr="00BA0E8D">
        <w:rPr>
          <w:rFonts w:ascii="Times New Roman" w:hAnsi="Times New Roman"/>
          <w:sz w:val="24"/>
          <w:szCs w:val="24"/>
        </w:rPr>
        <w:t>quality borrowers</w:t>
      </w:r>
      <w:r w:rsidR="00EF4C2C">
        <w:rPr>
          <w:rFonts w:ascii="Times New Roman" w:hAnsi="Times New Roman"/>
          <w:sz w:val="24"/>
          <w:szCs w:val="24"/>
        </w:rPr>
        <w:t>,</w:t>
      </w:r>
      <w:r w:rsidR="00B70F80" w:rsidRPr="00BA0E8D">
        <w:rPr>
          <w:rFonts w:ascii="Times New Roman" w:hAnsi="Times New Roman"/>
          <w:sz w:val="24"/>
          <w:szCs w:val="24"/>
        </w:rPr>
        <w:t xml:space="preserve"> albeit at a</w:t>
      </w:r>
      <w:r w:rsidR="00541106" w:rsidRPr="00BA0E8D">
        <w:rPr>
          <w:rFonts w:ascii="Times New Roman" w:hAnsi="Times New Roman"/>
          <w:sz w:val="24"/>
          <w:szCs w:val="24"/>
        </w:rPr>
        <w:t xml:space="preserve"> high</w:t>
      </w:r>
      <w:r w:rsidR="00B70F80" w:rsidRPr="00BA0E8D">
        <w:rPr>
          <w:rFonts w:ascii="Times New Roman" w:hAnsi="Times New Roman"/>
          <w:sz w:val="24"/>
          <w:szCs w:val="24"/>
        </w:rPr>
        <w:t xml:space="preserve"> rate </w:t>
      </w:r>
      <w:r w:rsidR="00F138B1" w:rsidRPr="00BA0E8D">
        <w:rPr>
          <w:rFonts w:ascii="Times New Roman" w:hAnsi="Times New Roman"/>
          <w:sz w:val="24"/>
          <w:szCs w:val="24"/>
        </w:rPr>
        <w:t>(</w:t>
      </w:r>
      <w:proofErr w:type="spellStart"/>
      <w:r w:rsidR="005B5FA7" w:rsidRPr="00BA0E8D">
        <w:rPr>
          <w:rFonts w:ascii="Times New Roman" w:hAnsi="Times New Roman"/>
          <w:sz w:val="24"/>
          <w:szCs w:val="24"/>
        </w:rPr>
        <w:t>Demirg</w:t>
      </w:r>
      <w:r w:rsidR="00F77A15" w:rsidRPr="00697D0E">
        <w:rPr>
          <w:rFonts w:ascii="Times New Roman" w:hAnsi="Times New Roman"/>
          <w:sz w:val="24"/>
          <w:szCs w:val="24"/>
        </w:rPr>
        <w:t>üç</w:t>
      </w:r>
      <w:r w:rsidR="005B5FA7" w:rsidRPr="00BA0E8D">
        <w:rPr>
          <w:rFonts w:ascii="Times New Roman" w:hAnsi="Times New Roman"/>
          <w:sz w:val="24"/>
          <w:szCs w:val="24"/>
        </w:rPr>
        <w:t>-Kunt</w:t>
      </w:r>
      <w:proofErr w:type="spellEnd"/>
      <w:r w:rsidR="00F138B1" w:rsidRPr="00BA0E8D">
        <w:rPr>
          <w:rFonts w:ascii="Times New Roman" w:hAnsi="Times New Roman"/>
          <w:sz w:val="24"/>
          <w:szCs w:val="24"/>
        </w:rPr>
        <w:t xml:space="preserve"> et al.</w:t>
      </w:r>
      <w:r w:rsidR="00EF4C2C">
        <w:rPr>
          <w:rFonts w:ascii="Times New Roman" w:hAnsi="Times New Roman"/>
          <w:sz w:val="24"/>
          <w:szCs w:val="24"/>
        </w:rPr>
        <w:t>,</w:t>
      </w:r>
      <w:r w:rsidR="00F138B1" w:rsidRPr="00BA0E8D">
        <w:rPr>
          <w:rFonts w:ascii="Times New Roman" w:hAnsi="Times New Roman"/>
          <w:sz w:val="24"/>
          <w:szCs w:val="24"/>
        </w:rPr>
        <w:t xml:space="preserve"> 2003</w:t>
      </w:r>
      <w:r w:rsidR="00B70F80" w:rsidRPr="00BA0E8D">
        <w:rPr>
          <w:rFonts w:ascii="Times New Roman" w:hAnsi="Times New Roman"/>
          <w:sz w:val="24"/>
          <w:szCs w:val="24"/>
        </w:rPr>
        <w:t>)</w:t>
      </w:r>
      <w:r w:rsidR="006B72CB" w:rsidRPr="00BA0E8D">
        <w:rPr>
          <w:rFonts w:ascii="Times New Roman" w:hAnsi="Times New Roman"/>
          <w:sz w:val="24"/>
          <w:szCs w:val="24"/>
        </w:rPr>
        <w:t>.</w:t>
      </w:r>
    </w:p>
    <w:p w14:paraId="0A4E2EDA" w14:textId="77777777" w:rsidR="00F92403" w:rsidRPr="00BA0E8D" w:rsidRDefault="00F92403" w:rsidP="00444D9D">
      <w:pPr>
        <w:spacing w:before="240" w:after="240" w:line="360" w:lineRule="auto"/>
        <w:jc w:val="both"/>
        <w:rPr>
          <w:rFonts w:ascii="Times New Roman" w:hAnsi="Times New Roman"/>
          <w:b/>
          <w:sz w:val="24"/>
          <w:szCs w:val="24"/>
        </w:rPr>
      </w:pPr>
    </w:p>
    <w:p w14:paraId="7468083B" w14:textId="0CD22FAE" w:rsidR="00160491" w:rsidRPr="00BA0E8D" w:rsidRDefault="009D5233" w:rsidP="00160491">
      <w:pPr>
        <w:spacing w:before="240" w:after="240" w:line="360" w:lineRule="auto"/>
        <w:jc w:val="both"/>
        <w:rPr>
          <w:rFonts w:ascii="Times New Roman" w:hAnsi="Times New Roman"/>
          <w:b/>
          <w:sz w:val="24"/>
          <w:szCs w:val="24"/>
        </w:rPr>
      </w:pPr>
      <w:r>
        <w:rPr>
          <w:rFonts w:ascii="Times New Roman" w:hAnsi="Times New Roman"/>
          <w:b/>
          <w:sz w:val="24"/>
          <w:szCs w:val="24"/>
        </w:rPr>
        <w:t>5</w:t>
      </w:r>
      <w:r w:rsidR="00160491" w:rsidRPr="00BA0E8D">
        <w:rPr>
          <w:rFonts w:ascii="Times New Roman" w:hAnsi="Times New Roman"/>
          <w:b/>
          <w:sz w:val="24"/>
          <w:szCs w:val="24"/>
        </w:rPr>
        <w:t>.</w:t>
      </w:r>
      <w:r w:rsidR="00EB1F6E">
        <w:rPr>
          <w:rFonts w:ascii="Times New Roman" w:hAnsi="Times New Roman"/>
          <w:b/>
          <w:sz w:val="24"/>
          <w:szCs w:val="24"/>
        </w:rPr>
        <w:t>3</w:t>
      </w:r>
      <w:r w:rsidR="00160491" w:rsidRPr="00BA0E8D">
        <w:rPr>
          <w:rFonts w:ascii="Times New Roman" w:hAnsi="Times New Roman"/>
          <w:b/>
          <w:sz w:val="24"/>
          <w:szCs w:val="24"/>
        </w:rPr>
        <w:t xml:space="preserve"> Credit information sharing, concentration</w:t>
      </w:r>
      <w:r w:rsidR="009D27FA" w:rsidRPr="00BA0E8D">
        <w:rPr>
          <w:rFonts w:ascii="Times New Roman" w:hAnsi="Times New Roman"/>
          <w:b/>
          <w:sz w:val="24"/>
          <w:szCs w:val="24"/>
        </w:rPr>
        <w:t xml:space="preserve"> and credit intermediation cost</w:t>
      </w:r>
    </w:p>
    <w:p w14:paraId="5610B1A0" w14:textId="1E2C797A" w:rsidR="00C62A13" w:rsidRPr="00BA0E8D" w:rsidRDefault="009D27FA" w:rsidP="00160491">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The results presented in the preceding section conditioned bank intermediation costs on the level of credit information sharing. </w:t>
      </w:r>
      <w:r w:rsidR="00C77AD9" w:rsidRPr="00BA0E8D">
        <w:rPr>
          <w:rFonts w:ascii="Times New Roman" w:hAnsi="Times New Roman"/>
          <w:sz w:val="24"/>
          <w:szCs w:val="24"/>
        </w:rPr>
        <w:t xml:space="preserve">However, </w:t>
      </w:r>
      <w:r w:rsidR="00BE43BD" w:rsidRPr="00BA0E8D">
        <w:rPr>
          <w:rFonts w:ascii="Times New Roman" w:hAnsi="Times New Roman"/>
          <w:sz w:val="24"/>
          <w:szCs w:val="24"/>
        </w:rPr>
        <w:t>to the extent that banking market con</w:t>
      </w:r>
      <w:r w:rsidR="00FD6C99" w:rsidRPr="00BA0E8D">
        <w:rPr>
          <w:rFonts w:ascii="Times New Roman" w:hAnsi="Times New Roman"/>
          <w:sz w:val="24"/>
          <w:szCs w:val="24"/>
        </w:rPr>
        <w:t>cen</w:t>
      </w:r>
      <w:r w:rsidR="00BE43BD" w:rsidRPr="00BA0E8D">
        <w:rPr>
          <w:rFonts w:ascii="Times New Roman" w:hAnsi="Times New Roman"/>
          <w:sz w:val="24"/>
          <w:szCs w:val="24"/>
        </w:rPr>
        <w:t>tration reduces the dispersion of credit information (</w:t>
      </w:r>
      <w:r w:rsidR="004C41A8" w:rsidRPr="00BA0E8D">
        <w:rPr>
          <w:rFonts w:ascii="Times New Roman" w:hAnsi="Times New Roman"/>
          <w:sz w:val="24"/>
          <w:szCs w:val="24"/>
        </w:rPr>
        <w:t xml:space="preserve">Marquez 2002; </w:t>
      </w:r>
      <w:r w:rsidR="00C76B2A" w:rsidRPr="00BA0E8D">
        <w:rPr>
          <w:rFonts w:ascii="Times New Roman" w:hAnsi="Times New Roman"/>
          <w:sz w:val="24"/>
          <w:szCs w:val="24"/>
        </w:rPr>
        <w:t>Fosu</w:t>
      </w:r>
      <w:r w:rsidR="00EF4C2C">
        <w:rPr>
          <w:rFonts w:ascii="Times New Roman" w:hAnsi="Times New Roman"/>
          <w:sz w:val="24"/>
          <w:szCs w:val="24"/>
        </w:rPr>
        <w:t>,</w:t>
      </w:r>
      <w:r w:rsidR="00C76B2A" w:rsidRPr="00BA0E8D">
        <w:rPr>
          <w:rFonts w:ascii="Times New Roman" w:hAnsi="Times New Roman"/>
          <w:sz w:val="24"/>
          <w:szCs w:val="24"/>
        </w:rPr>
        <w:t xml:space="preserve"> 2014</w:t>
      </w:r>
      <w:r w:rsidR="00BE43BD" w:rsidRPr="00BA0E8D">
        <w:rPr>
          <w:rFonts w:ascii="Times New Roman" w:hAnsi="Times New Roman"/>
          <w:sz w:val="24"/>
          <w:szCs w:val="24"/>
        </w:rPr>
        <w:t>), increases the degree of credit market screening (</w:t>
      </w:r>
      <w:proofErr w:type="spellStart"/>
      <w:r w:rsidR="00A31ED1" w:rsidRPr="00BA0E8D">
        <w:rPr>
          <w:rFonts w:ascii="Times New Roman" w:hAnsi="Times New Roman"/>
          <w:sz w:val="24"/>
          <w:szCs w:val="24"/>
        </w:rPr>
        <w:t>Cetorelli</w:t>
      </w:r>
      <w:proofErr w:type="spellEnd"/>
      <w:r w:rsidR="00A31ED1" w:rsidRPr="00BA0E8D">
        <w:rPr>
          <w:rFonts w:ascii="Times New Roman" w:hAnsi="Times New Roman"/>
          <w:sz w:val="24"/>
          <w:szCs w:val="24"/>
        </w:rPr>
        <w:t xml:space="preserve"> </w:t>
      </w:r>
      <w:r w:rsidR="00803E50" w:rsidRPr="00BA0E8D">
        <w:rPr>
          <w:rFonts w:ascii="Times New Roman" w:hAnsi="Times New Roman"/>
          <w:sz w:val="24"/>
          <w:szCs w:val="24"/>
        </w:rPr>
        <w:t xml:space="preserve">and </w:t>
      </w:r>
      <w:proofErr w:type="spellStart"/>
      <w:r w:rsidR="00A31ED1" w:rsidRPr="00BA0E8D">
        <w:rPr>
          <w:rFonts w:ascii="Times New Roman" w:hAnsi="Times New Roman"/>
          <w:sz w:val="24"/>
          <w:szCs w:val="24"/>
        </w:rPr>
        <w:t>Peretto</w:t>
      </w:r>
      <w:proofErr w:type="spellEnd"/>
      <w:r w:rsidR="00A31ED1" w:rsidRPr="00BA0E8D">
        <w:rPr>
          <w:rFonts w:ascii="Times New Roman" w:hAnsi="Times New Roman"/>
          <w:sz w:val="24"/>
          <w:szCs w:val="24"/>
        </w:rPr>
        <w:t>, 2000</w:t>
      </w:r>
      <w:r w:rsidR="00BE43BD" w:rsidRPr="00BA0E8D">
        <w:rPr>
          <w:rFonts w:ascii="Times New Roman" w:hAnsi="Times New Roman"/>
          <w:sz w:val="24"/>
          <w:szCs w:val="24"/>
        </w:rPr>
        <w:t>) and increases the acquisition of soft credit information through increased relationship banking (</w:t>
      </w:r>
      <w:r w:rsidR="00903C18" w:rsidRPr="00BA0E8D">
        <w:rPr>
          <w:rFonts w:ascii="Times New Roman" w:hAnsi="Times New Roman"/>
          <w:sz w:val="24"/>
          <w:szCs w:val="24"/>
          <w:shd w:val="clear" w:color="auto" w:fill="FFFFFF"/>
        </w:rPr>
        <w:t xml:space="preserve">Petersen and </w:t>
      </w:r>
      <w:proofErr w:type="spellStart"/>
      <w:r w:rsidR="00903C18" w:rsidRPr="00BA0E8D">
        <w:rPr>
          <w:rFonts w:ascii="Times New Roman" w:hAnsi="Times New Roman"/>
          <w:sz w:val="24"/>
          <w:szCs w:val="24"/>
          <w:shd w:val="clear" w:color="auto" w:fill="FFFFFF"/>
        </w:rPr>
        <w:t>Rajan</w:t>
      </w:r>
      <w:proofErr w:type="spellEnd"/>
      <w:r w:rsidR="00903C18" w:rsidRPr="00BA0E8D">
        <w:rPr>
          <w:rFonts w:ascii="Times New Roman" w:hAnsi="Times New Roman"/>
          <w:sz w:val="24"/>
          <w:szCs w:val="24"/>
          <w:shd w:val="clear" w:color="auto" w:fill="FFFFFF"/>
        </w:rPr>
        <w:t>, 1995</w:t>
      </w:r>
      <w:r w:rsidR="00BE43BD" w:rsidRPr="00BA0E8D">
        <w:rPr>
          <w:rFonts w:ascii="Times New Roman" w:hAnsi="Times New Roman"/>
          <w:sz w:val="24"/>
          <w:szCs w:val="24"/>
        </w:rPr>
        <w:t xml:space="preserve">), </w:t>
      </w:r>
      <w:r w:rsidR="00D5679F" w:rsidRPr="00BA0E8D">
        <w:rPr>
          <w:rFonts w:ascii="Times New Roman" w:hAnsi="Times New Roman"/>
          <w:sz w:val="24"/>
          <w:szCs w:val="24"/>
        </w:rPr>
        <w:t>we</w:t>
      </w:r>
      <w:r w:rsidRPr="00BA0E8D">
        <w:rPr>
          <w:rFonts w:ascii="Times New Roman" w:hAnsi="Times New Roman"/>
          <w:sz w:val="24"/>
          <w:szCs w:val="24"/>
        </w:rPr>
        <w:t xml:space="preserve"> now proceed to </w:t>
      </w:r>
      <w:r w:rsidR="00D5679F" w:rsidRPr="00BA0E8D">
        <w:rPr>
          <w:rFonts w:ascii="Times New Roman" w:hAnsi="Times New Roman"/>
          <w:sz w:val="24"/>
          <w:szCs w:val="24"/>
        </w:rPr>
        <w:t>condition</w:t>
      </w:r>
      <w:r w:rsidRPr="00BA0E8D">
        <w:rPr>
          <w:rFonts w:ascii="Times New Roman" w:hAnsi="Times New Roman"/>
          <w:sz w:val="24"/>
          <w:szCs w:val="24"/>
        </w:rPr>
        <w:t xml:space="preserve"> </w:t>
      </w:r>
      <w:r w:rsidR="00011415" w:rsidRPr="00BA0E8D">
        <w:rPr>
          <w:rFonts w:ascii="Times New Roman" w:hAnsi="Times New Roman"/>
          <w:sz w:val="24"/>
          <w:szCs w:val="24"/>
        </w:rPr>
        <w:t xml:space="preserve">on banking market concentration </w:t>
      </w:r>
      <w:r w:rsidRPr="00BA0E8D">
        <w:rPr>
          <w:rFonts w:ascii="Times New Roman" w:hAnsi="Times New Roman"/>
          <w:sz w:val="24"/>
          <w:szCs w:val="24"/>
        </w:rPr>
        <w:t xml:space="preserve">the relationship between </w:t>
      </w:r>
      <w:r w:rsidR="00011415" w:rsidRPr="00BA0E8D">
        <w:rPr>
          <w:rFonts w:ascii="Times New Roman" w:hAnsi="Times New Roman"/>
          <w:sz w:val="24"/>
          <w:szCs w:val="24"/>
        </w:rPr>
        <w:t xml:space="preserve">credit information sharing and </w:t>
      </w:r>
      <w:r w:rsidRPr="00BA0E8D">
        <w:rPr>
          <w:rFonts w:ascii="Times New Roman" w:hAnsi="Times New Roman"/>
          <w:sz w:val="24"/>
          <w:szCs w:val="24"/>
        </w:rPr>
        <w:t>credit intermediation cost.</w:t>
      </w:r>
      <w:r w:rsidR="00C62A13" w:rsidRPr="00BA0E8D">
        <w:rPr>
          <w:rFonts w:ascii="Times New Roman" w:hAnsi="Times New Roman"/>
          <w:sz w:val="24"/>
          <w:szCs w:val="24"/>
        </w:rPr>
        <w:t xml:space="preserve"> We present the findings in Table 4.</w:t>
      </w:r>
    </w:p>
    <w:p w14:paraId="597B1A12" w14:textId="77777777" w:rsidR="00F057B0" w:rsidRPr="00BA0E8D" w:rsidRDefault="00F057B0" w:rsidP="00860A28">
      <w:pPr>
        <w:spacing w:before="240" w:after="240" w:line="360" w:lineRule="auto"/>
        <w:jc w:val="center"/>
        <w:rPr>
          <w:rFonts w:ascii="Times New Roman" w:hAnsi="Times New Roman"/>
          <w:b/>
          <w:sz w:val="28"/>
          <w:szCs w:val="24"/>
        </w:rPr>
      </w:pPr>
      <w:r w:rsidRPr="00BA0E8D">
        <w:rPr>
          <w:rFonts w:ascii="Times New Roman" w:hAnsi="Times New Roman"/>
          <w:b/>
          <w:sz w:val="28"/>
          <w:szCs w:val="24"/>
        </w:rPr>
        <w:t>[Table 4 about here]</w:t>
      </w:r>
    </w:p>
    <w:p w14:paraId="53008E25" w14:textId="191D5C71" w:rsidR="00B21EAC" w:rsidRPr="00BA0E8D" w:rsidRDefault="00FA5AF7" w:rsidP="00B21EAC">
      <w:pPr>
        <w:spacing w:before="240" w:after="240" w:line="360" w:lineRule="auto"/>
        <w:jc w:val="both"/>
        <w:rPr>
          <w:rFonts w:ascii="Times New Roman" w:hAnsi="Times New Roman"/>
          <w:b/>
          <w:sz w:val="28"/>
          <w:szCs w:val="24"/>
        </w:rPr>
      </w:pPr>
      <w:r w:rsidRPr="00BA0E8D">
        <w:rPr>
          <w:rFonts w:ascii="Times New Roman" w:hAnsi="Times New Roman"/>
          <w:sz w:val="24"/>
          <w:szCs w:val="24"/>
        </w:rPr>
        <w:t>In Models 1-</w:t>
      </w:r>
      <w:r w:rsidR="00E31F9A" w:rsidRPr="00BA0E8D">
        <w:rPr>
          <w:rFonts w:ascii="Times New Roman" w:hAnsi="Times New Roman"/>
          <w:sz w:val="24"/>
          <w:szCs w:val="24"/>
        </w:rPr>
        <w:t>3</w:t>
      </w:r>
      <w:r w:rsidRPr="00BA0E8D">
        <w:rPr>
          <w:rFonts w:ascii="Times New Roman" w:hAnsi="Times New Roman"/>
          <w:sz w:val="24"/>
          <w:szCs w:val="24"/>
        </w:rPr>
        <w:t xml:space="preserve"> of Table</w:t>
      </w:r>
      <w:r w:rsidR="00C62A13" w:rsidRPr="00BA0E8D">
        <w:rPr>
          <w:rFonts w:ascii="Times New Roman" w:hAnsi="Times New Roman"/>
          <w:sz w:val="24"/>
          <w:szCs w:val="24"/>
        </w:rPr>
        <w:t xml:space="preserve"> 4</w:t>
      </w:r>
      <w:r w:rsidRPr="00BA0E8D">
        <w:rPr>
          <w:rFonts w:ascii="Times New Roman" w:hAnsi="Times New Roman"/>
          <w:sz w:val="24"/>
          <w:szCs w:val="24"/>
        </w:rPr>
        <w:t>, we confirm the negative relationship between credit information sharing and credit intermediation cost</w:t>
      </w:r>
      <w:r w:rsidR="0082228F" w:rsidRPr="00BA0E8D">
        <w:rPr>
          <w:rFonts w:ascii="Times New Roman" w:hAnsi="Times New Roman"/>
          <w:sz w:val="24"/>
          <w:szCs w:val="24"/>
        </w:rPr>
        <w:t xml:space="preserve">, </w:t>
      </w:r>
      <w:r w:rsidR="00851E90" w:rsidRPr="00BA0E8D">
        <w:rPr>
          <w:rFonts w:ascii="Times New Roman" w:hAnsi="Times New Roman"/>
          <w:sz w:val="24"/>
          <w:szCs w:val="24"/>
        </w:rPr>
        <w:t xml:space="preserve">but we also </w:t>
      </w:r>
      <w:r w:rsidR="0082228F" w:rsidRPr="00BA0E8D">
        <w:rPr>
          <w:rFonts w:ascii="Times New Roman" w:hAnsi="Times New Roman"/>
          <w:sz w:val="24"/>
          <w:szCs w:val="24"/>
        </w:rPr>
        <w:t>find evidence for the moderating role of banking market concentration.</w:t>
      </w:r>
      <w:r w:rsidRPr="00BA0E8D">
        <w:rPr>
          <w:rFonts w:ascii="Times New Roman" w:hAnsi="Times New Roman"/>
          <w:sz w:val="24"/>
          <w:szCs w:val="24"/>
        </w:rPr>
        <w:t xml:space="preserve"> The</w:t>
      </w:r>
      <w:r w:rsidR="00946B65" w:rsidRPr="00BA0E8D">
        <w:rPr>
          <w:rFonts w:ascii="Times New Roman" w:hAnsi="Times New Roman"/>
          <w:sz w:val="24"/>
          <w:szCs w:val="24"/>
        </w:rPr>
        <w:t xml:space="preserve"> coefficients on the depth of credit information sharing </w:t>
      </w:r>
      <w:r w:rsidRPr="00BA0E8D">
        <w:rPr>
          <w:rFonts w:ascii="Times New Roman" w:hAnsi="Times New Roman"/>
          <w:sz w:val="24"/>
          <w:szCs w:val="24"/>
        </w:rPr>
        <w:t>remain</w:t>
      </w:r>
      <w:r w:rsidR="00946B65" w:rsidRPr="00BA0E8D">
        <w:rPr>
          <w:rFonts w:ascii="Times New Roman" w:hAnsi="Times New Roman"/>
          <w:sz w:val="24"/>
          <w:szCs w:val="24"/>
        </w:rPr>
        <w:t xml:space="preserve"> negative and</w:t>
      </w:r>
      <w:r w:rsidRPr="00BA0E8D">
        <w:rPr>
          <w:rFonts w:ascii="Times New Roman" w:hAnsi="Times New Roman"/>
          <w:sz w:val="24"/>
          <w:szCs w:val="24"/>
        </w:rPr>
        <w:t xml:space="preserve"> statistically significant</w:t>
      </w:r>
      <w:r w:rsidR="00E31F9A" w:rsidRPr="00BA0E8D">
        <w:rPr>
          <w:rFonts w:ascii="Times New Roman" w:hAnsi="Times New Roman"/>
          <w:sz w:val="24"/>
          <w:szCs w:val="24"/>
        </w:rPr>
        <w:t>.</w:t>
      </w:r>
      <w:r w:rsidR="007F19A5" w:rsidRPr="00BA0E8D">
        <w:rPr>
          <w:rFonts w:ascii="Times New Roman" w:hAnsi="Times New Roman"/>
          <w:sz w:val="24"/>
          <w:szCs w:val="24"/>
        </w:rPr>
        <w:t xml:space="preserve"> </w:t>
      </w:r>
      <w:r w:rsidR="000A55F1" w:rsidRPr="00BA0E8D">
        <w:rPr>
          <w:rFonts w:ascii="Times New Roman" w:hAnsi="Times New Roman"/>
          <w:sz w:val="24"/>
          <w:szCs w:val="24"/>
        </w:rPr>
        <w:t>Interestingly</w:t>
      </w:r>
      <w:r w:rsidRPr="00BA0E8D">
        <w:rPr>
          <w:rFonts w:ascii="Times New Roman" w:hAnsi="Times New Roman"/>
          <w:sz w:val="24"/>
          <w:szCs w:val="24"/>
        </w:rPr>
        <w:t xml:space="preserve">, </w:t>
      </w:r>
      <w:r w:rsidR="00851E90" w:rsidRPr="00BA0E8D">
        <w:rPr>
          <w:rFonts w:ascii="Times New Roman" w:hAnsi="Times New Roman"/>
          <w:sz w:val="24"/>
          <w:szCs w:val="24"/>
        </w:rPr>
        <w:t xml:space="preserve">the coefficients on the interaction terms between credit information sharing and banking market concentration </w:t>
      </w:r>
      <w:r w:rsidR="003C60B6">
        <w:rPr>
          <w:rFonts w:ascii="Times New Roman" w:hAnsi="Times New Roman"/>
          <w:sz w:val="24"/>
          <w:szCs w:val="24"/>
        </w:rPr>
        <w:t>are</w:t>
      </w:r>
      <w:r w:rsidR="00851E90" w:rsidRPr="00BA0E8D">
        <w:rPr>
          <w:rFonts w:ascii="Times New Roman" w:hAnsi="Times New Roman"/>
          <w:sz w:val="24"/>
          <w:szCs w:val="24"/>
        </w:rPr>
        <w:t xml:space="preserve"> </w:t>
      </w:r>
      <w:r w:rsidRPr="00BA0E8D">
        <w:rPr>
          <w:rFonts w:ascii="Times New Roman" w:hAnsi="Times New Roman"/>
          <w:sz w:val="24"/>
          <w:szCs w:val="24"/>
        </w:rPr>
        <w:t>also positive and statistically significant</w:t>
      </w:r>
      <w:r w:rsidR="0082228F" w:rsidRPr="00BA0E8D">
        <w:rPr>
          <w:rFonts w:ascii="Times New Roman" w:hAnsi="Times New Roman"/>
          <w:sz w:val="24"/>
          <w:szCs w:val="24"/>
        </w:rPr>
        <w:t xml:space="preserve">, </w:t>
      </w:r>
      <w:r w:rsidR="00C532C7" w:rsidRPr="00BA0E8D">
        <w:rPr>
          <w:rFonts w:ascii="Times New Roman" w:hAnsi="Times New Roman"/>
          <w:sz w:val="24"/>
          <w:szCs w:val="24"/>
        </w:rPr>
        <w:t>suggest</w:t>
      </w:r>
      <w:r w:rsidR="00851E90" w:rsidRPr="00BA0E8D">
        <w:rPr>
          <w:rFonts w:ascii="Times New Roman" w:hAnsi="Times New Roman"/>
          <w:sz w:val="24"/>
          <w:szCs w:val="24"/>
        </w:rPr>
        <w:t>ing</w:t>
      </w:r>
      <w:r w:rsidR="00C532C7" w:rsidRPr="00BA0E8D">
        <w:rPr>
          <w:rFonts w:ascii="Times New Roman" w:hAnsi="Times New Roman"/>
          <w:sz w:val="24"/>
          <w:szCs w:val="24"/>
        </w:rPr>
        <w:t xml:space="preserve"> that the reduction in credit intermediation cost arising from credit information sharing is lower in concentrated banking markets. </w:t>
      </w:r>
    </w:p>
    <w:p w14:paraId="4FE98BFB" w14:textId="60CF45CA" w:rsidR="00B21EAC" w:rsidRPr="00BA0E8D" w:rsidRDefault="00B21EAC" w:rsidP="00B21EAC">
      <w:pPr>
        <w:spacing w:before="240" w:after="240" w:line="360" w:lineRule="auto"/>
        <w:jc w:val="center"/>
        <w:rPr>
          <w:rFonts w:ascii="Times New Roman" w:hAnsi="Times New Roman"/>
          <w:sz w:val="24"/>
          <w:szCs w:val="24"/>
        </w:rPr>
      </w:pPr>
      <w:r w:rsidRPr="00BA0E8D">
        <w:rPr>
          <w:rFonts w:ascii="Times New Roman" w:hAnsi="Times New Roman"/>
          <w:b/>
          <w:sz w:val="28"/>
          <w:szCs w:val="24"/>
        </w:rPr>
        <w:t>[Table 5 about here]</w:t>
      </w:r>
    </w:p>
    <w:p w14:paraId="48D2BBDE" w14:textId="27048F7F" w:rsidR="00213489" w:rsidRPr="00BA0E8D" w:rsidRDefault="000A55F1" w:rsidP="00160491">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We evaluate the statistical and economic significan</w:t>
      </w:r>
      <w:r w:rsidR="00EF4C2C">
        <w:rPr>
          <w:rFonts w:ascii="Times New Roman" w:hAnsi="Times New Roman"/>
          <w:sz w:val="24"/>
          <w:szCs w:val="24"/>
        </w:rPr>
        <w:t>ce</w:t>
      </w:r>
      <w:r w:rsidRPr="00BA0E8D">
        <w:rPr>
          <w:rFonts w:ascii="Times New Roman" w:hAnsi="Times New Roman"/>
          <w:sz w:val="24"/>
          <w:szCs w:val="24"/>
        </w:rPr>
        <w:t xml:space="preserve"> of this finding by presenting in Table 5 the marginal effect of </w:t>
      </w:r>
      <w:r w:rsidR="00161E52" w:rsidRPr="00BA0E8D">
        <w:rPr>
          <w:rFonts w:ascii="Times New Roman" w:hAnsi="Times New Roman"/>
          <w:sz w:val="24"/>
          <w:szCs w:val="24"/>
        </w:rPr>
        <w:t xml:space="preserve">the depth of </w:t>
      </w:r>
      <w:r w:rsidRPr="00BA0E8D">
        <w:rPr>
          <w:rFonts w:ascii="Times New Roman" w:hAnsi="Times New Roman"/>
          <w:sz w:val="24"/>
          <w:szCs w:val="24"/>
        </w:rPr>
        <w:t xml:space="preserve">information sharing evaluated at the relevant levels of banking market concentration. </w:t>
      </w:r>
      <w:r w:rsidR="00C532C7" w:rsidRPr="00BA0E8D">
        <w:rPr>
          <w:rFonts w:ascii="Times New Roman" w:hAnsi="Times New Roman"/>
          <w:sz w:val="24"/>
          <w:szCs w:val="24"/>
        </w:rPr>
        <w:t>For instance,</w:t>
      </w:r>
      <w:r w:rsidR="00392D0A" w:rsidRPr="00BA0E8D">
        <w:rPr>
          <w:rFonts w:ascii="Times New Roman" w:hAnsi="Times New Roman"/>
          <w:sz w:val="24"/>
          <w:szCs w:val="24"/>
        </w:rPr>
        <w:t xml:space="preserve"> based on Model 1 of Table 4,</w:t>
      </w:r>
      <w:r w:rsidR="00C532C7" w:rsidRPr="00BA0E8D">
        <w:rPr>
          <w:rFonts w:ascii="Times New Roman" w:hAnsi="Times New Roman"/>
          <w:sz w:val="24"/>
          <w:szCs w:val="24"/>
        </w:rPr>
        <w:t xml:space="preserve"> </w:t>
      </w:r>
      <w:r w:rsidRPr="00BA0E8D">
        <w:rPr>
          <w:rFonts w:ascii="Times New Roman" w:hAnsi="Times New Roman"/>
          <w:sz w:val="24"/>
          <w:szCs w:val="24"/>
        </w:rPr>
        <w:t>the marginal effect analysis in Table 5 shows that</w:t>
      </w:r>
      <w:r w:rsidR="00EF4C2C">
        <w:rPr>
          <w:rFonts w:ascii="Times New Roman" w:hAnsi="Times New Roman"/>
          <w:sz w:val="24"/>
          <w:szCs w:val="24"/>
        </w:rPr>
        <w:t>,</w:t>
      </w:r>
      <w:r w:rsidRPr="00BA0E8D">
        <w:rPr>
          <w:rFonts w:ascii="Times New Roman" w:hAnsi="Times New Roman"/>
          <w:sz w:val="24"/>
          <w:szCs w:val="24"/>
        </w:rPr>
        <w:t xml:space="preserve"> </w:t>
      </w:r>
      <w:r w:rsidR="00C532C7" w:rsidRPr="00BA0E8D">
        <w:rPr>
          <w:rFonts w:ascii="Times New Roman" w:hAnsi="Times New Roman"/>
          <w:sz w:val="24"/>
          <w:szCs w:val="24"/>
        </w:rPr>
        <w:t>at the 25</w:t>
      </w:r>
      <w:r w:rsidR="00C532C7" w:rsidRPr="00BA0E8D">
        <w:rPr>
          <w:rFonts w:ascii="Times New Roman" w:hAnsi="Times New Roman"/>
          <w:sz w:val="24"/>
          <w:szCs w:val="24"/>
          <w:vertAlign w:val="superscript"/>
        </w:rPr>
        <w:t>th</w:t>
      </w:r>
      <w:r w:rsidR="00C532C7" w:rsidRPr="00BA0E8D">
        <w:rPr>
          <w:rFonts w:ascii="Times New Roman" w:hAnsi="Times New Roman"/>
          <w:sz w:val="24"/>
          <w:szCs w:val="24"/>
        </w:rPr>
        <w:t xml:space="preserve"> percentile of concentration</w:t>
      </w:r>
      <w:r w:rsidR="00EF4C2C">
        <w:rPr>
          <w:rFonts w:ascii="Times New Roman" w:hAnsi="Times New Roman"/>
          <w:sz w:val="24"/>
          <w:szCs w:val="24"/>
        </w:rPr>
        <w:t>,</w:t>
      </w:r>
      <w:r w:rsidR="00C532C7" w:rsidRPr="00BA0E8D">
        <w:rPr>
          <w:rFonts w:ascii="Times New Roman" w:hAnsi="Times New Roman"/>
          <w:sz w:val="24"/>
          <w:szCs w:val="24"/>
        </w:rPr>
        <w:t xml:space="preserve"> the marginal effect of credit information sharing on credit intermediation cost is</w:t>
      </w:r>
      <w:r w:rsidR="00392D0A" w:rsidRPr="00BA0E8D">
        <w:rPr>
          <w:rFonts w:ascii="Times New Roman" w:hAnsi="Times New Roman"/>
          <w:sz w:val="24"/>
          <w:szCs w:val="24"/>
        </w:rPr>
        <w:t xml:space="preserve"> </w:t>
      </w:r>
      <w:r w:rsidR="00240F2F" w:rsidRPr="00BA0E8D">
        <w:rPr>
          <w:rFonts w:ascii="Times New Roman" w:hAnsi="Times New Roman"/>
          <w:sz w:val="24"/>
          <w:szCs w:val="24"/>
        </w:rPr>
        <w:t>-0.</w:t>
      </w:r>
      <w:r w:rsidRPr="00BA0E8D">
        <w:rPr>
          <w:rFonts w:ascii="Times New Roman" w:hAnsi="Times New Roman"/>
          <w:sz w:val="24"/>
          <w:szCs w:val="24"/>
        </w:rPr>
        <w:t>405</w:t>
      </w:r>
      <w:r w:rsidR="00CB4767" w:rsidRPr="00BA0E8D">
        <w:rPr>
          <w:rFonts w:ascii="Times New Roman" w:hAnsi="Times New Roman"/>
          <w:sz w:val="24"/>
          <w:szCs w:val="24"/>
        </w:rPr>
        <w:t>.</w:t>
      </w:r>
      <w:r w:rsidR="00C532C7" w:rsidRPr="00BA0E8D">
        <w:rPr>
          <w:rFonts w:ascii="Times New Roman" w:hAnsi="Times New Roman"/>
          <w:sz w:val="24"/>
          <w:szCs w:val="24"/>
        </w:rPr>
        <w:t xml:space="preserve"> This effect reduces to </w:t>
      </w:r>
      <w:r w:rsidR="00240F2F" w:rsidRPr="00BA0E8D">
        <w:rPr>
          <w:rFonts w:ascii="Times New Roman" w:hAnsi="Times New Roman"/>
          <w:sz w:val="24"/>
          <w:szCs w:val="24"/>
        </w:rPr>
        <w:t>-0.</w:t>
      </w:r>
      <w:r w:rsidR="00804843" w:rsidRPr="00BA0E8D">
        <w:rPr>
          <w:rFonts w:ascii="Times New Roman" w:hAnsi="Times New Roman"/>
          <w:sz w:val="24"/>
          <w:szCs w:val="24"/>
        </w:rPr>
        <w:t>2</w:t>
      </w:r>
      <w:r w:rsidRPr="00BA0E8D">
        <w:rPr>
          <w:rFonts w:ascii="Times New Roman" w:hAnsi="Times New Roman"/>
          <w:sz w:val="24"/>
          <w:szCs w:val="24"/>
        </w:rPr>
        <w:t>19</w:t>
      </w:r>
      <w:r w:rsidR="00CB4767" w:rsidRPr="00BA0E8D">
        <w:rPr>
          <w:rFonts w:ascii="Times New Roman" w:hAnsi="Times New Roman"/>
          <w:sz w:val="24"/>
          <w:szCs w:val="24"/>
        </w:rPr>
        <w:t xml:space="preserve"> </w:t>
      </w:r>
      <w:r w:rsidR="00240F2F" w:rsidRPr="00BA0E8D">
        <w:rPr>
          <w:rFonts w:ascii="Times New Roman" w:hAnsi="Times New Roman"/>
          <w:sz w:val="24"/>
          <w:szCs w:val="24"/>
        </w:rPr>
        <w:t>a</w:t>
      </w:r>
      <w:r w:rsidR="00C532C7" w:rsidRPr="00BA0E8D">
        <w:rPr>
          <w:rFonts w:ascii="Times New Roman" w:hAnsi="Times New Roman"/>
          <w:sz w:val="24"/>
          <w:szCs w:val="24"/>
        </w:rPr>
        <w:t>t the 75</w:t>
      </w:r>
      <w:r w:rsidR="00804843" w:rsidRPr="00BA0E8D">
        <w:rPr>
          <w:rFonts w:ascii="Times New Roman" w:hAnsi="Times New Roman"/>
          <w:sz w:val="24"/>
          <w:szCs w:val="24"/>
        </w:rPr>
        <w:t>th</w:t>
      </w:r>
      <w:r w:rsidR="00C532C7" w:rsidRPr="00BA0E8D">
        <w:rPr>
          <w:rFonts w:ascii="Times New Roman" w:hAnsi="Times New Roman"/>
          <w:sz w:val="24"/>
          <w:szCs w:val="24"/>
        </w:rPr>
        <w:t xml:space="preserve"> percentile of </w:t>
      </w:r>
      <w:r w:rsidR="00737370" w:rsidRPr="00BA0E8D">
        <w:rPr>
          <w:rFonts w:ascii="Times New Roman" w:hAnsi="Times New Roman"/>
          <w:sz w:val="24"/>
          <w:szCs w:val="24"/>
        </w:rPr>
        <w:t>banking market concentration</w:t>
      </w:r>
      <w:r w:rsidRPr="00BA0E8D">
        <w:rPr>
          <w:rFonts w:ascii="Times New Roman" w:hAnsi="Times New Roman"/>
          <w:sz w:val="24"/>
          <w:szCs w:val="24"/>
        </w:rPr>
        <w:t xml:space="preserve">. </w:t>
      </w:r>
      <w:r w:rsidR="006F0BAC" w:rsidRPr="00BA0E8D">
        <w:rPr>
          <w:rFonts w:ascii="Times New Roman" w:hAnsi="Times New Roman"/>
          <w:sz w:val="24"/>
          <w:szCs w:val="24"/>
        </w:rPr>
        <w:t>Similar results are obtained based on Models 2</w:t>
      </w:r>
      <w:r w:rsidR="00E478F5" w:rsidRPr="00BA0E8D">
        <w:rPr>
          <w:rFonts w:ascii="Times New Roman" w:hAnsi="Times New Roman"/>
          <w:sz w:val="24"/>
          <w:szCs w:val="24"/>
        </w:rPr>
        <w:t>-</w:t>
      </w:r>
      <w:r w:rsidR="006F0BAC" w:rsidRPr="00BA0E8D">
        <w:rPr>
          <w:rFonts w:ascii="Times New Roman" w:hAnsi="Times New Roman"/>
          <w:sz w:val="24"/>
          <w:szCs w:val="24"/>
        </w:rPr>
        <w:t>3 of Table 4: the marginal effect ranges between -0.382 and -0.441 at the 25</w:t>
      </w:r>
      <w:r w:rsidR="006F0BAC" w:rsidRPr="00BA0E8D">
        <w:rPr>
          <w:rFonts w:ascii="Times New Roman" w:hAnsi="Times New Roman"/>
          <w:sz w:val="24"/>
          <w:szCs w:val="24"/>
          <w:vertAlign w:val="superscript"/>
        </w:rPr>
        <w:t>th</w:t>
      </w:r>
      <w:r w:rsidR="006F0BAC" w:rsidRPr="00BA0E8D">
        <w:rPr>
          <w:rFonts w:ascii="Times New Roman" w:hAnsi="Times New Roman"/>
          <w:sz w:val="24"/>
          <w:szCs w:val="24"/>
        </w:rPr>
        <w:t xml:space="preserve"> percentile of concentration but -0.238 and -0.293 at the 75</w:t>
      </w:r>
      <w:r w:rsidR="006F0BAC" w:rsidRPr="00BA0E8D">
        <w:rPr>
          <w:rFonts w:ascii="Times New Roman" w:hAnsi="Times New Roman"/>
          <w:sz w:val="24"/>
          <w:szCs w:val="24"/>
          <w:vertAlign w:val="superscript"/>
        </w:rPr>
        <w:t>th</w:t>
      </w:r>
      <w:r w:rsidR="006F0BAC" w:rsidRPr="00BA0E8D">
        <w:rPr>
          <w:rFonts w:ascii="Times New Roman" w:hAnsi="Times New Roman"/>
          <w:sz w:val="24"/>
          <w:szCs w:val="24"/>
        </w:rPr>
        <w:t xml:space="preserve"> percentile. These changes</w:t>
      </w:r>
      <w:r w:rsidR="00213489" w:rsidRPr="00BA0E8D">
        <w:rPr>
          <w:rFonts w:ascii="Times New Roman" w:hAnsi="Times New Roman"/>
          <w:sz w:val="24"/>
          <w:szCs w:val="24"/>
        </w:rPr>
        <w:t xml:space="preserve"> in the marginal effect of the depth of credit information sharing</w:t>
      </w:r>
      <w:r w:rsidR="00C532C7" w:rsidRPr="00BA0E8D">
        <w:rPr>
          <w:rFonts w:ascii="Times New Roman" w:hAnsi="Times New Roman"/>
          <w:sz w:val="24"/>
          <w:szCs w:val="24"/>
        </w:rPr>
        <w:t xml:space="preserve"> </w:t>
      </w:r>
      <w:r w:rsidR="00A01572" w:rsidRPr="00BA0E8D">
        <w:rPr>
          <w:rFonts w:ascii="Times New Roman" w:hAnsi="Times New Roman"/>
          <w:sz w:val="24"/>
          <w:szCs w:val="24"/>
        </w:rPr>
        <w:t xml:space="preserve">are </w:t>
      </w:r>
      <w:r w:rsidR="00C532C7" w:rsidRPr="00BA0E8D">
        <w:rPr>
          <w:rFonts w:ascii="Times New Roman" w:hAnsi="Times New Roman"/>
          <w:sz w:val="24"/>
          <w:szCs w:val="24"/>
        </w:rPr>
        <w:t xml:space="preserve">statistically </w:t>
      </w:r>
      <w:r w:rsidRPr="00BA0E8D">
        <w:rPr>
          <w:rFonts w:ascii="Times New Roman" w:hAnsi="Times New Roman"/>
          <w:sz w:val="24"/>
          <w:szCs w:val="24"/>
        </w:rPr>
        <w:t xml:space="preserve">and economically </w:t>
      </w:r>
      <w:r w:rsidR="00C532C7" w:rsidRPr="00BA0E8D">
        <w:rPr>
          <w:rFonts w:ascii="Times New Roman" w:hAnsi="Times New Roman"/>
          <w:sz w:val="24"/>
          <w:szCs w:val="24"/>
        </w:rPr>
        <w:t>significant.</w:t>
      </w:r>
      <w:r w:rsidR="00240F2F" w:rsidRPr="00BA0E8D">
        <w:rPr>
          <w:rFonts w:ascii="Times New Roman" w:hAnsi="Times New Roman"/>
          <w:sz w:val="24"/>
          <w:szCs w:val="24"/>
        </w:rPr>
        <w:t xml:space="preserve"> For instance, in economic terms, </w:t>
      </w:r>
      <w:r w:rsidR="001E103A" w:rsidRPr="00BA0E8D">
        <w:rPr>
          <w:rFonts w:ascii="Times New Roman" w:hAnsi="Times New Roman"/>
          <w:sz w:val="24"/>
          <w:szCs w:val="24"/>
        </w:rPr>
        <w:t xml:space="preserve">the </w:t>
      </w:r>
      <w:r w:rsidR="00213489" w:rsidRPr="00BA0E8D">
        <w:rPr>
          <w:rFonts w:ascii="Times New Roman" w:hAnsi="Times New Roman"/>
          <w:sz w:val="24"/>
          <w:szCs w:val="24"/>
        </w:rPr>
        <w:t>reduction in credit intermediation cost per one standard deviation increase in the depth of credit information</w:t>
      </w:r>
      <w:r w:rsidR="001E103A" w:rsidRPr="00BA0E8D">
        <w:rPr>
          <w:rFonts w:ascii="Times New Roman" w:hAnsi="Times New Roman"/>
          <w:sz w:val="24"/>
          <w:szCs w:val="24"/>
        </w:rPr>
        <w:t xml:space="preserve"> sharing for the average bank</w:t>
      </w:r>
      <w:r w:rsidR="0071460E" w:rsidRPr="00BA0E8D">
        <w:rPr>
          <w:rFonts w:ascii="Times New Roman" w:hAnsi="Times New Roman"/>
          <w:sz w:val="24"/>
          <w:szCs w:val="24"/>
        </w:rPr>
        <w:t xml:space="preserve"> </w:t>
      </w:r>
      <w:r w:rsidR="006F0BAC" w:rsidRPr="00BA0E8D">
        <w:rPr>
          <w:rFonts w:ascii="Times New Roman" w:hAnsi="Times New Roman"/>
          <w:sz w:val="24"/>
          <w:szCs w:val="24"/>
        </w:rPr>
        <w:t>could be up to</w:t>
      </w:r>
      <w:r w:rsidR="0071460E" w:rsidRPr="00BA0E8D">
        <w:rPr>
          <w:rFonts w:ascii="Times New Roman" w:hAnsi="Times New Roman"/>
          <w:sz w:val="24"/>
          <w:szCs w:val="24"/>
        </w:rPr>
        <w:t xml:space="preserve"> 4.91</w:t>
      </w:r>
      <w:r w:rsidR="00213489" w:rsidRPr="00BA0E8D">
        <w:rPr>
          <w:rFonts w:ascii="Times New Roman" w:hAnsi="Times New Roman"/>
          <w:sz w:val="24"/>
          <w:szCs w:val="24"/>
        </w:rPr>
        <w:t>% lower</w:t>
      </w:r>
      <w:r w:rsidR="001E103A" w:rsidRPr="00BA0E8D">
        <w:rPr>
          <w:rFonts w:ascii="Times New Roman" w:hAnsi="Times New Roman"/>
          <w:sz w:val="24"/>
          <w:szCs w:val="24"/>
        </w:rPr>
        <w:t xml:space="preserve"> at the 75</w:t>
      </w:r>
      <w:r w:rsidR="001E103A" w:rsidRPr="00BA0E8D">
        <w:rPr>
          <w:rFonts w:ascii="Times New Roman" w:hAnsi="Times New Roman"/>
          <w:sz w:val="24"/>
          <w:szCs w:val="24"/>
          <w:vertAlign w:val="superscript"/>
        </w:rPr>
        <w:t>th</w:t>
      </w:r>
      <w:r w:rsidR="001E103A" w:rsidRPr="00BA0E8D">
        <w:rPr>
          <w:rFonts w:ascii="Times New Roman" w:hAnsi="Times New Roman"/>
          <w:sz w:val="24"/>
          <w:szCs w:val="24"/>
        </w:rPr>
        <w:t xml:space="preserve"> percentile of banking market concentration compared to the 25</w:t>
      </w:r>
      <w:r w:rsidR="001E103A" w:rsidRPr="00BA0E8D">
        <w:rPr>
          <w:rFonts w:ascii="Times New Roman" w:hAnsi="Times New Roman"/>
          <w:sz w:val="24"/>
          <w:szCs w:val="24"/>
          <w:vertAlign w:val="superscript"/>
        </w:rPr>
        <w:t>th</w:t>
      </w:r>
      <w:r w:rsidR="001E103A" w:rsidRPr="00BA0E8D">
        <w:rPr>
          <w:rFonts w:ascii="Times New Roman" w:hAnsi="Times New Roman"/>
          <w:sz w:val="24"/>
          <w:szCs w:val="24"/>
        </w:rPr>
        <w:t xml:space="preserve"> percentile.</w:t>
      </w:r>
      <w:r w:rsidR="00346225" w:rsidRPr="00BA0E8D">
        <w:rPr>
          <w:rFonts w:ascii="Times New Roman" w:hAnsi="Times New Roman"/>
          <w:sz w:val="24"/>
          <w:szCs w:val="24"/>
        </w:rPr>
        <w:t xml:space="preserve"> </w:t>
      </w:r>
      <w:r w:rsidR="00A245BA" w:rsidRPr="00BA0E8D">
        <w:rPr>
          <w:rFonts w:ascii="Times New Roman" w:hAnsi="Times New Roman"/>
          <w:sz w:val="24"/>
          <w:szCs w:val="24"/>
        </w:rPr>
        <w:t>These</w:t>
      </w:r>
      <w:r w:rsidR="00346225" w:rsidRPr="00BA0E8D">
        <w:rPr>
          <w:rFonts w:ascii="Times New Roman" w:hAnsi="Times New Roman"/>
          <w:sz w:val="24"/>
          <w:szCs w:val="24"/>
        </w:rPr>
        <w:t xml:space="preserve"> finding</w:t>
      </w:r>
      <w:r w:rsidR="00A01572" w:rsidRPr="00BA0E8D">
        <w:rPr>
          <w:rFonts w:ascii="Times New Roman" w:hAnsi="Times New Roman"/>
          <w:sz w:val="24"/>
          <w:szCs w:val="24"/>
        </w:rPr>
        <w:t>s</w:t>
      </w:r>
      <w:r w:rsidR="00346225" w:rsidRPr="00BA0E8D">
        <w:rPr>
          <w:rFonts w:ascii="Times New Roman" w:hAnsi="Times New Roman"/>
          <w:sz w:val="24"/>
          <w:szCs w:val="24"/>
        </w:rPr>
        <w:t xml:space="preserve"> provide support for Hypothesis 2.</w:t>
      </w:r>
    </w:p>
    <w:p w14:paraId="577E05C5" w14:textId="413C99EF" w:rsidR="0069023E" w:rsidRPr="00BA0E8D" w:rsidRDefault="00A7348C" w:rsidP="00160491">
      <w:pPr>
        <w:spacing w:before="240" w:after="240" w:line="360" w:lineRule="auto"/>
        <w:jc w:val="both"/>
        <w:rPr>
          <w:rFonts w:ascii="Times New Roman" w:hAnsi="Times New Roman"/>
          <w:sz w:val="24"/>
          <w:szCs w:val="24"/>
        </w:rPr>
      </w:pPr>
      <w:r w:rsidRPr="00BA0E8D">
        <w:rPr>
          <w:rFonts w:ascii="Times New Roman" w:hAnsi="Times New Roman"/>
          <w:sz w:val="24"/>
          <w:szCs w:val="24"/>
        </w:rPr>
        <w:t>In Models 4-6</w:t>
      </w:r>
      <w:r w:rsidR="00383AD8" w:rsidRPr="00BA0E8D">
        <w:rPr>
          <w:rFonts w:ascii="Times New Roman" w:hAnsi="Times New Roman"/>
          <w:sz w:val="24"/>
          <w:szCs w:val="24"/>
        </w:rPr>
        <w:t xml:space="preserve"> of Table 4</w:t>
      </w:r>
      <w:r w:rsidRPr="00BA0E8D">
        <w:rPr>
          <w:rFonts w:ascii="Times New Roman" w:hAnsi="Times New Roman"/>
          <w:sz w:val="24"/>
          <w:szCs w:val="24"/>
        </w:rPr>
        <w:t>, we confirm the moderating effect of banking market concentration on the relationship between credit information sharing and credit intermediation cost.</w:t>
      </w:r>
      <w:r w:rsidR="00383AD8" w:rsidRPr="00BA0E8D">
        <w:rPr>
          <w:rFonts w:ascii="Times New Roman" w:hAnsi="Times New Roman"/>
          <w:sz w:val="24"/>
          <w:szCs w:val="24"/>
        </w:rPr>
        <w:t xml:space="preserve"> The </w:t>
      </w:r>
      <w:r w:rsidR="008F1800" w:rsidRPr="00BA0E8D">
        <w:rPr>
          <w:rFonts w:ascii="Times New Roman" w:hAnsi="Times New Roman"/>
          <w:sz w:val="24"/>
          <w:szCs w:val="24"/>
        </w:rPr>
        <w:t>coefficients on the credit registry coverage remain negative and statistically significant at the 1% level</w:t>
      </w:r>
      <w:r w:rsidR="00A75A93" w:rsidRPr="00BA0E8D">
        <w:rPr>
          <w:rFonts w:ascii="Times New Roman" w:hAnsi="Times New Roman"/>
          <w:sz w:val="24"/>
          <w:szCs w:val="24"/>
        </w:rPr>
        <w:t>, whilst the coefficient</w:t>
      </w:r>
      <w:r w:rsidR="000E37CC">
        <w:rPr>
          <w:rFonts w:ascii="Times New Roman" w:hAnsi="Times New Roman"/>
          <w:sz w:val="24"/>
          <w:szCs w:val="24"/>
        </w:rPr>
        <w:t>s</w:t>
      </w:r>
      <w:r w:rsidR="00A75A93" w:rsidRPr="00BA0E8D">
        <w:rPr>
          <w:rFonts w:ascii="Times New Roman" w:hAnsi="Times New Roman"/>
          <w:sz w:val="24"/>
          <w:szCs w:val="24"/>
        </w:rPr>
        <w:t xml:space="preserve"> on</w:t>
      </w:r>
      <w:r w:rsidR="00EF4C2C">
        <w:rPr>
          <w:rFonts w:ascii="Times New Roman" w:hAnsi="Times New Roman"/>
          <w:sz w:val="24"/>
          <w:szCs w:val="24"/>
        </w:rPr>
        <w:t xml:space="preserve"> the</w:t>
      </w:r>
      <w:r w:rsidR="00A75A93" w:rsidRPr="00BA0E8D">
        <w:rPr>
          <w:rFonts w:ascii="Times New Roman" w:hAnsi="Times New Roman"/>
          <w:sz w:val="24"/>
          <w:szCs w:val="24"/>
        </w:rPr>
        <w:t xml:space="preserve"> </w:t>
      </w:r>
      <w:r w:rsidR="008F1800" w:rsidRPr="00BA0E8D">
        <w:rPr>
          <w:rFonts w:ascii="Times New Roman" w:hAnsi="Times New Roman"/>
          <w:sz w:val="24"/>
          <w:szCs w:val="24"/>
        </w:rPr>
        <w:t xml:space="preserve">interaction term between this variable and </w:t>
      </w:r>
      <w:r w:rsidR="00A75A93" w:rsidRPr="00BA0E8D">
        <w:rPr>
          <w:rFonts w:ascii="Times New Roman" w:hAnsi="Times New Roman"/>
          <w:sz w:val="24"/>
          <w:szCs w:val="24"/>
        </w:rPr>
        <w:t xml:space="preserve">banking market concentration </w:t>
      </w:r>
      <w:r w:rsidR="000E37CC">
        <w:rPr>
          <w:rFonts w:ascii="Times New Roman" w:hAnsi="Times New Roman"/>
          <w:sz w:val="24"/>
          <w:szCs w:val="24"/>
        </w:rPr>
        <w:t>are</w:t>
      </w:r>
      <w:r w:rsidR="000E37CC" w:rsidRPr="00BA0E8D">
        <w:rPr>
          <w:rFonts w:ascii="Times New Roman" w:hAnsi="Times New Roman"/>
          <w:sz w:val="24"/>
          <w:szCs w:val="24"/>
        </w:rPr>
        <w:t xml:space="preserve"> </w:t>
      </w:r>
      <w:r w:rsidR="008F1800" w:rsidRPr="00BA0E8D">
        <w:rPr>
          <w:rFonts w:ascii="Times New Roman" w:hAnsi="Times New Roman"/>
          <w:sz w:val="24"/>
          <w:szCs w:val="24"/>
        </w:rPr>
        <w:t xml:space="preserve">positive </w:t>
      </w:r>
      <w:r w:rsidR="008A3FA4" w:rsidRPr="00BA0E8D">
        <w:rPr>
          <w:rFonts w:ascii="Times New Roman" w:hAnsi="Times New Roman"/>
          <w:sz w:val="24"/>
          <w:szCs w:val="24"/>
        </w:rPr>
        <w:t xml:space="preserve">and </w:t>
      </w:r>
      <w:r w:rsidR="008F1800" w:rsidRPr="00BA0E8D">
        <w:rPr>
          <w:rFonts w:ascii="Times New Roman" w:hAnsi="Times New Roman"/>
          <w:sz w:val="24"/>
          <w:szCs w:val="24"/>
        </w:rPr>
        <w:t>statistical</w:t>
      </w:r>
      <w:r w:rsidR="008A3FA4" w:rsidRPr="00BA0E8D">
        <w:rPr>
          <w:rFonts w:ascii="Times New Roman" w:hAnsi="Times New Roman"/>
          <w:sz w:val="24"/>
          <w:szCs w:val="24"/>
        </w:rPr>
        <w:t>ly</w:t>
      </w:r>
      <w:r w:rsidR="008F1800" w:rsidRPr="00BA0E8D">
        <w:rPr>
          <w:rFonts w:ascii="Times New Roman" w:hAnsi="Times New Roman"/>
          <w:sz w:val="24"/>
          <w:szCs w:val="24"/>
        </w:rPr>
        <w:t xml:space="preserve"> significant at the 1% level. The finding suggests that</w:t>
      </w:r>
      <w:r w:rsidR="00EF4C2C">
        <w:rPr>
          <w:rFonts w:ascii="Times New Roman" w:hAnsi="Times New Roman"/>
          <w:sz w:val="24"/>
          <w:szCs w:val="24"/>
        </w:rPr>
        <w:t>,</w:t>
      </w:r>
      <w:r w:rsidR="008F1800" w:rsidRPr="00BA0E8D">
        <w:rPr>
          <w:rFonts w:ascii="Times New Roman" w:hAnsi="Times New Roman"/>
          <w:sz w:val="24"/>
          <w:szCs w:val="24"/>
        </w:rPr>
        <w:t xml:space="preserve"> although an increase in </w:t>
      </w:r>
      <w:r w:rsidR="009F4C08" w:rsidRPr="00BA0E8D">
        <w:rPr>
          <w:rFonts w:ascii="Times New Roman" w:hAnsi="Times New Roman"/>
          <w:sz w:val="24"/>
          <w:szCs w:val="24"/>
        </w:rPr>
        <w:t>credit</w:t>
      </w:r>
      <w:r w:rsidR="008F1800" w:rsidRPr="00BA0E8D">
        <w:rPr>
          <w:rFonts w:ascii="Times New Roman" w:hAnsi="Times New Roman"/>
          <w:sz w:val="24"/>
          <w:szCs w:val="24"/>
        </w:rPr>
        <w:t xml:space="preserve"> registry coverage is </w:t>
      </w:r>
      <w:r w:rsidR="009F4C08" w:rsidRPr="00BA0E8D">
        <w:rPr>
          <w:rFonts w:ascii="Times New Roman" w:hAnsi="Times New Roman"/>
          <w:sz w:val="24"/>
          <w:szCs w:val="24"/>
        </w:rPr>
        <w:t>associated</w:t>
      </w:r>
      <w:r w:rsidR="008F1800" w:rsidRPr="00BA0E8D">
        <w:rPr>
          <w:rFonts w:ascii="Times New Roman" w:hAnsi="Times New Roman"/>
          <w:sz w:val="24"/>
          <w:szCs w:val="24"/>
        </w:rPr>
        <w:t xml:space="preserve"> with a reduction in credit intermediation cost, the </w:t>
      </w:r>
      <w:r w:rsidR="00D53F5F" w:rsidRPr="00BA0E8D">
        <w:rPr>
          <w:rFonts w:ascii="Times New Roman" w:hAnsi="Times New Roman"/>
          <w:sz w:val="24"/>
          <w:szCs w:val="24"/>
        </w:rPr>
        <w:t>reduction</w:t>
      </w:r>
      <w:r w:rsidR="008F1800" w:rsidRPr="00BA0E8D">
        <w:rPr>
          <w:rFonts w:ascii="Times New Roman" w:hAnsi="Times New Roman"/>
          <w:sz w:val="24"/>
          <w:szCs w:val="24"/>
        </w:rPr>
        <w:t xml:space="preserve"> in credit intermediation cost decreases with banking market concentration. For instance, </w:t>
      </w:r>
      <w:r w:rsidR="00E31F9A" w:rsidRPr="00BA0E8D">
        <w:rPr>
          <w:rFonts w:ascii="Times New Roman" w:hAnsi="Times New Roman"/>
          <w:sz w:val="24"/>
          <w:szCs w:val="24"/>
        </w:rPr>
        <w:t>whilst</w:t>
      </w:r>
      <w:r w:rsidR="00E478F5" w:rsidRPr="00BA0E8D">
        <w:rPr>
          <w:rFonts w:ascii="Times New Roman" w:hAnsi="Times New Roman"/>
          <w:sz w:val="24"/>
          <w:szCs w:val="24"/>
        </w:rPr>
        <w:t xml:space="preserve"> </w:t>
      </w:r>
      <w:r w:rsidR="00751809" w:rsidRPr="00BA0E8D">
        <w:rPr>
          <w:rFonts w:ascii="Times New Roman" w:hAnsi="Times New Roman"/>
          <w:sz w:val="24"/>
          <w:szCs w:val="24"/>
        </w:rPr>
        <w:t xml:space="preserve">the marginal effect of </w:t>
      </w:r>
      <w:r w:rsidR="00E478F5" w:rsidRPr="00BA0E8D">
        <w:rPr>
          <w:rFonts w:ascii="Times New Roman" w:hAnsi="Times New Roman"/>
          <w:sz w:val="24"/>
          <w:szCs w:val="24"/>
        </w:rPr>
        <w:t>credit registry coverage</w:t>
      </w:r>
      <w:r w:rsidR="0069023E" w:rsidRPr="00BA0E8D">
        <w:rPr>
          <w:rFonts w:ascii="Times New Roman" w:hAnsi="Times New Roman"/>
          <w:sz w:val="24"/>
          <w:szCs w:val="24"/>
        </w:rPr>
        <w:t xml:space="preserve"> is between </w:t>
      </w:r>
      <w:r w:rsidR="007E5BE8" w:rsidRPr="00BA0E8D">
        <w:rPr>
          <w:rFonts w:ascii="Times New Roman" w:hAnsi="Times New Roman"/>
          <w:sz w:val="24"/>
          <w:szCs w:val="24"/>
        </w:rPr>
        <w:t>-0.02</w:t>
      </w:r>
      <w:r w:rsidR="0069023E" w:rsidRPr="00BA0E8D">
        <w:rPr>
          <w:rFonts w:ascii="Times New Roman" w:hAnsi="Times New Roman"/>
          <w:sz w:val="24"/>
          <w:szCs w:val="24"/>
        </w:rPr>
        <w:t xml:space="preserve"> </w:t>
      </w:r>
      <w:r w:rsidR="00635194" w:rsidRPr="00BA0E8D">
        <w:rPr>
          <w:rFonts w:ascii="Times New Roman" w:hAnsi="Times New Roman"/>
          <w:sz w:val="24"/>
          <w:szCs w:val="24"/>
        </w:rPr>
        <w:t>to</w:t>
      </w:r>
      <w:r w:rsidR="0069023E" w:rsidRPr="00BA0E8D">
        <w:rPr>
          <w:rFonts w:ascii="Times New Roman" w:hAnsi="Times New Roman"/>
          <w:sz w:val="24"/>
          <w:szCs w:val="24"/>
        </w:rPr>
        <w:t xml:space="preserve"> -0</w:t>
      </w:r>
      <w:r w:rsidR="007E5BE8" w:rsidRPr="00BA0E8D">
        <w:rPr>
          <w:rFonts w:ascii="Times New Roman" w:hAnsi="Times New Roman"/>
          <w:sz w:val="24"/>
          <w:szCs w:val="24"/>
        </w:rPr>
        <w:t>.03</w:t>
      </w:r>
      <w:r w:rsidR="00751809" w:rsidRPr="00BA0E8D">
        <w:rPr>
          <w:rFonts w:ascii="Times New Roman" w:hAnsi="Times New Roman"/>
          <w:sz w:val="24"/>
          <w:szCs w:val="24"/>
        </w:rPr>
        <w:t xml:space="preserve"> at the 25</w:t>
      </w:r>
      <w:r w:rsidR="00751809" w:rsidRPr="00BA0E8D">
        <w:rPr>
          <w:rFonts w:ascii="Times New Roman" w:hAnsi="Times New Roman"/>
          <w:sz w:val="24"/>
          <w:szCs w:val="24"/>
          <w:vertAlign w:val="superscript"/>
        </w:rPr>
        <w:t>th</w:t>
      </w:r>
      <w:r w:rsidR="00751809" w:rsidRPr="00BA0E8D">
        <w:rPr>
          <w:rFonts w:ascii="Times New Roman" w:hAnsi="Times New Roman"/>
          <w:sz w:val="24"/>
          <w:szCs w:val="24"/>
        </w:rPr>
        <w:t xml:space="preserve"> percentile of banking market concentration, it turns out to be </w:t>
      </w:r>
      <w:r w:rsidR="007E5BE8" w:rsidRPr="00BA0E8D">
        <w:rPr>
          <w:rFonts w:ascii="Times New Roman" w:hAnsi="Times New Roman"/>
          <w:sz w:val="24"/>
          <w:szCs w:val="24"/>
        </w:rPr>
        <w:t>0.0</w:t>
      </w:r>
      <w:r w:rsidR="0071460E" w:rsidRPr="00BA0E8D">
        <w:rPr>
          <w:rFonts w:ascii="Times New Roman" w:hAnsi="Times New Roman"/>
          <w:sz w:val="24"/>
          <w:szCs w:val="24"/>
        </w:rPr>
        <w:t>1</w:t>
      </w:r>
      <w:r w:rsidR="00751809" w:rsidRPr="00BA0E8D">
        <w:rPr>
          <w:rFonts w:ascii="Times New Roman" w:hAnsi="Times New Roman"/>
          <w:sz w:val="24"/>
          <w:szCs w:val="24"/>
        </w:rPr>
        <w:t xml:space="preserve"> at the 75</w:t>
      </w:r>
      <w:r w:rsidR="00751809" w:rsidRPr="00BA0E8D">
        <w:rPr>
          <w:rFonts w:ascii="Times New Roman" w:hAnsi="Times New Roman"/>
          <w:sz w:val="24"/>
          <w:szCs w:val="24"/>
          <w:vertAlign w:val="superscript"/>
        </w:rPr>
        <w:t>th</w:t>
      </w:r>
      <w:r w:rsidR="00751809" w:rsidRPr="00BA0E8D">
        <w:rPr>
          <w:rFonts w:ascii="Times New Roman" w:hAnsi="Times New Roman"/>
          <w:sz w:val="24"/>
          <w:szCs w:val="24"/>
        </w:rPr>
        <w:t xml:space="preserve"> percentile</w:t>
      </w:r>
      <w:r w:rsidR="00E31F9A" w:rsidRPr="00BA0E8D">
        <w:rPr>
          <w:rStyle w:val="FootnoteReference"/>
          <w:rFonts w:ascii="Times New Roman" w:hAnsi="Times New Roman"/>
          <w:sz w:val="24"/>
          <w:szCs w:val="24"/>
        </w:rPr>
        <w:footnoteReference w:id="6"/>
      </w:r>
      <w:r w:rsidR="005973CB" w:rsidRPr="00BA0E8D">
        <w:rPr>
          <w:rFonts w:ascii="Times New Roman" w:hAnsi="Times New Roman"/>
          <w:sz w:val="24"/>
          <w:szCs w:val="24"/>
        </w:rPr>
        <w:t xml:space="preserve">. </w:t>
      </w:r>
      <w:r w:rsidR="00E478F5" w:rsidRPr="00BA0E8D">
        <w:rPr>
          <w:rFonts w:ascii="Times New Roman" w:hAnsi="Times New Roman"/>
          <w:sz w:val="24"/>
          <w:szCs w:val="24"/>
        </w:rPr>
        <w:t xml:space="preserve">This change in the marginal effect is significant, statistically and economically. </w:t>
      </w:r>
      <w:r w:rsidR="005973CB" w:rsidRPr="00BA0E8D">
        <w:rPr>
          <w:rFonts w:ascii="Times New Roman" w:hAnsi="Times New Roman"/>
          <w:sz w:val="24"/>
          <w:szCs w:val="24"/>
        </w:rPr>
        <w:t>In economic terms</w:t>
      </w:r>
      <w:r w:rsidR="00EF4C2C">
        <w:rPr>
          <w:rFonts w:ascii="Times New Roman" w:hAnsi="Times New Roman"/>
          <w:sz w:val="24"/>
          <w:szCs w:val="24"/>
        </w:rPr>
        <w:t>,</w:t>
      </w:r>
      <w:r w:rsidR="005973CB" w:rsidRPr="00BA0E8D">
        <w:rPr>
          <w:rFonts w:ascii="Times New Roman" w:hAnsi="Times New Roman"/>
          <w:sz w:val="24"/>
          <w:szCs w:val="24"/>
        </w:rPr>
        <w:t xml:space="preserve"> </w:t>
      </w:r>
      <w:r w:rsidR="00E478F5" w:rsidRPr="00BA0E8D">
        <w:rPr>
          <w:rFonts w:ascii="Times New Roman" w:hAnsi="Times New Roman"/>
          <w:sz w:val="24"/>
          <w:szCs w:val="24"/>
        </w:rPr>
        <w:t xml:space="preserve">this </w:t>
      </w:r>
      <w:r w:rsidR="005973CB" w:rsidRPr="00BA0E8D">
        <w:rPr>
          <w:rFonts w:ascii="Times New Roman" w:hAnsi="Times New Roman"/>
          <w:sz w:val="24"/>
          <w:szCs w:val="24"/>
        </w:rPr>
        <w:t xml:space="preserve">represents </w:t>
      </w:r>
      <w:r w:rsidR="00EF4C2C">
        <w:rPr>
          <w:rFonts w:ascii="Times New Roman" w:hAnsi="Times New Roman"/>
          <w:sz w:val="24"/>
          <w:szCs w:val="24"/>
        </w:rPr>
        <w:t xml:space="preserve">a </w:t>
      </w:r>
      <w:r w:rsidR="005973CB" w:rsidRPr="00BA0E8D">
        <w:rPr>
          <w:rFonts w:ascii="Times New Roman" w:hAnsi="Times New Roman"/>
          <w:sz w:val="24"/>
          <w:szCs w:val="24"/>
        </w:rPr>
        <w:t>2.87-3.49% reduction in the economic significance of credit registry coverage.</w:t>
      </w:r>
    </w:p>
    <w:p w14:paraId="5895AE38" w14:textId="59BF1817" w:rsidR="00E31F9A" w:rsidRPr="00BA0E8D" w:rsidRDefault="00E31F9A" w:rsidP="00160491">
      <w:pPr>
        <w:spacing w:before="240" w:after="240" w:line="360" w:lineRule="auto"/>
        <w:jc w:val="both"/>
        <w:rPr>
          <w:rFonts w:ascii="Times New Roman" w:hAnsi="Times New Roman"/>
          <w:sz w:val="24"/>
          <w:szCs w:val="24"/>
        </w:rPr>
      </w:pPr>
      <w:r w:rsidRPr="00BA0E8D">
        <w:rPr>
          <w:rFonts w:ascii="Times New Roman" w:hAnsi="Times New Roman"/>
          <w:sz w:val="24"/>
          <w:szCs w:val="24"/>
        </w:rPr>
        <w:t>In Models 7-9, we present the results based on credit bureau coverage. Although the coefficient on the credit bureau is consistently negative, it remain</w:t>
      </w:r>
      <w:r w:rsidR="004D011F" w:rsidRPr="00BA0E8D">
        <w:rPr>
          <w:rFonts w:ascii="Times New Roman" w:hAnsi="Times New Roman"/>
          <w:sz w:val="24"/>
          <w:szCs w:val="24"/>
        </w:rPr>
        <w:t>s</w:t>
      </w:r>
      <w:r w:rsidRPr="00BA0E8D">
        <w:rPr>
          <w:rFonts w:ascii="Times New Roman" w:hAnsi="Times New Roman"/>
          <w:sz w:val="24"/>
          <w:szCs w:val="24"/>
        </w:rPr>
        <w:t xml:space="preserve"> statistically insignificant, confirming the earlier results suggesting that the private bureau coverage does not significantly impact on credit intermediation cost.</w:t>
      </w:r>
    </w:p>
    <w:p w14:paraId="016EAD3F" w14:textId="7C513F8D" w:rsidR="006A46FB" w:rsidRPr="00BA0E8D" w:rsidRDefault="0045779C" w:rsidP="00160491">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The coefficient</w:t>
      </w:r>
      <w:r w:rsidR="000E37CC">
        <w:rPr>
          <w:rFonts w:ascii="Times New Roman" w:hAnsi="Times New Roman"/>
          <w:sz w:val="24"/>
          <w:szCs w:val="24"/>
        </w:rPr>
        <w:t>s</w:t>
      </w:r>
      <w:r w:rsidRPr="00BA0E8D">
        <w:rPr>
          <w:rFonts w:ascii="Times New Roman" w:hAnsi="Times New Roman"/>
          <w:sz w:val="24"/>
          <w:szCs w:val="24"/>
        </w:rPr>
        <w:t xml:space="preserve"> on concentration in Table 4 remain negative</w:t>
      </w:r>
      <w:r w:rsidR="00EF4C2C">
        <w:rPr>
          <w:rFonts w:ascii="Times New Roman" w:hAnsi="Times New Roman"/>
          <w:sz w:val="24"/>
          <w:szCs w:val="24"/>
        </w:rPr>
        <w:t>,</w:t>
      </w:r>
      <w:r w:rsidRPr="00BA0E8D">
        <w:rPr>
          <w:rFonts w:ascii="Times New Roman" w:hAnsi="Times New Roman"/>
          <w:sz w:val="24"/>
          <w:szCs w:val="24"/>
        </w:rPr>
        <w:t xml:space="preserve"> as in Table 3, confirming that banking market concentration reduces credit intermediation cost. However, we interpret this</w:t>
      </w:r>
      <w:r w:rsidR="00364036">
        <w:rPr>
          <w:rFonts w:ascii="Times New Roman" w:hAnsi="Times New Roman"/>
          <w:sz w:val="24"/>
          <w:szCs w:val="24"/>
        </w:rPr>
        <w:t xml:space="preserve"> finding</w:t>
      </w:r>
      <w:r w:rsidRPr="00BA0E8D">
        <w:rPr>
          <w:rFonts w:ascii="Times New Roman" w:hAnsi="Times New Roman"/>
          <w:sz w:val="24"/>
          <w:szCs w:val="24"/>
        </w:rPr>
        <w:t xml:space="preserve"> with a fair amount of caution since the interaction term</w:t>
      </w:r>
      <w:r w:rsidR="00EF4C2C">
        <w:rPr>
          <w:rFonts w:ascii="Times New Roman" w:hAnsi="Times New Roman"/>
          <w:sz w:val="24"/>
          <w:szCs w:val="24"/>
        </w:rPr>
        <w:t>s</w:t>
      </w:r>
      <w:r w:rsidRPr="00BA0E8D">
        <w:rPr>
          <w:rFonts w:ascii="Times New Roman" w:hAnsi="Times New Roman"/>
          <w:sz w:val="24"/>
          <w:szCs w:val="24"/>
        </w:rPr>
        <w:t xml:space="preserve"> between concentration and the credit information sharing</w:t>
      </w:r>
      <w:r w:rsidR="00861A74" w:rsidRPr="00BA0E8D">
        <w:rPr>
          <w:rFonts w:ascii="Times New Roman" w:hAnsi="Times New Roman"/>
          <w:sz w:val="24"/>
          <w:szCs w:val="24"/>
        </w:rPr>
        <w:t xml:space="preserve"> variables are positive</w:t>
      </w:r>
      <w:r w:rsidRPr="00BA0E8D">
        <w:rPr>
          <w:rFonts w:ascii="Times New Roman" w:hAnsi="Times New Roman"/>
          <w:sz w:val="24"/>
          <w:szCs w:val="24"/>
        </w:rPr>
        <w:t xml:space="preserve">, </w:t>
      </w:r>
      <w:r w:rsidR="00861A74" w:rsidRPr="00BA0E8D">
        <w:rPr>
          <w:rFonts w:ascii="Times New Roman" w:hAnsi="Times New Roman"/>
          <w:sz w:val="24"/>
          <w:szCs w:val="24"/>
        </w:rPr>
        <w:t>albeit statistically insignificant for the models using private bureau coverage as the main measure of credit information sharing.</w:t>
      </w:r>
      <w:r w:rsidR="00CB31D4" w:rsidRPr="00BA0E8D">
        <w:rPr>
          <w:rFonts w:ascii="Times New Roman" w:hAnsi="Times New Roman"/>
          <w:sz w:val="24"/>
          <w:szCs w:val="24"/>
        </w:rPr>
        <w:t xml:space="preserve"> In fact, the results suggest that</w:t>
      </w:r>
      <w:r w:rsidR="00EF4C2C">
        <w:rPr>
          <w:rFonts w:ascii="Times New Roman" w:hAnsi="Times New Roman"/>
          <w:sz w:val="24"/>
          <w:szCs w:val="24"/>
        </w:rPr>
        <w:t>,</w:t>
      </w:r>
      <w:r w:rsidR="00CB31D4" w:rsidRPr="00BA0E8D">
        <w:rPr>
          <w:rFonts w:ascii="Times New Roman" w:hAnsi="Times New Roman"/>
          <w:sz w:val="24"/>
          <w:szCs w:val="24"/>
        </w:rPr>
        <w:t xml:space="preserve"> although banking market concentration reduces credit intermediation cost, the reduction in credit intermediation</w:t>
      </w:r>
      <w:r w:rsidR="00364036">
        <w:rPr>
          <w:rFonts w:ascii="Times New Roman" w:hAnsi="Times New Roman"/>
          <w:sz w:val="24"/>
          <w:szCs w:val="24"/>
        </w:rPr>
        <w:t xml:space="preserve"> cost</w:t>
      </w:r>
      <w:r w:rsidR="00CB31D4" w:rsidRPr="00BA0E8D">
        <w:rPr>
          <w:rFonts w:ascii="Times New Roman" w:hAnsi="Times New Roman"/>
          <w:sz w:val="24"/>
          <w:szCs w:val="24"/>
        </w:rPr>
        <w:t xml:space="preserve"> is limited by credit information sharing.</w:t>
      </w:r>
      <w:r w:rsidR="00BB2030" w:rsidRPr="00BA0E8D">
        <w:rPr>
          <w:rFonts w:ascii="Times New Roman" w:hAnsi="Times New Roman"/>
          <w:sz w:val="24"/>
          <w:szCs w:val="24"/>
        </w:rPr>
        <w:t xml:space="preserve"> </w:t>
      </w:r>
      <w:r w:rsidR="006A46FB" w:rsidRPr="00BA0E8D">
        <w:rPr>
          <w:rFonts w:ascii="Times New Roman" w:hAnsi="Times New Roman"/>
          <w:sz w:val="24"/>
          <w:szCs w:val="24"/>
        </w:rPr>
        <w:t>This finding provides support for Hypothesis 3.</w:t>
      </w:r>
    </w:p>
    <w:p w14:paraId="4E1CC3F5" w14:textId="15E6C313" w:rsidR="00505A27" w:rsidRPr="00BA0E8D" w:rsidRDefault="00EF4C2C" w:rsidP="00160491">
      <w:pPr>
        <w:spacing w:before="240" w:after="240" w:line="360" w:lineRule="auto"/>
        <w:jc w:val="both"/>
        <w:rPr>
          <w:rFonts w:ascii="Times New Roman" w:hAnsi="Times New Roman"/>
          <w:sz w:val="24"/>
          <w:szCs w:val="24"/>
        </w:rPr>
      </w:pPr>
      <w:r>
        <w:rPr>
          <w:rFonts w:ascii="Times New Roman" w:hAnsi="Times New Roman"/>
          <w:sz w:val="24"/>
          <w:szCs w:val="24"/>
        </w:rPr>
        <w:t>Thus, o</w:t>
      </w:r>
      <w:r w:rsidR="006A46FB" w:rsidRPr="00BA0E8D">
        <w:rPr>
          <w:rFonts w:ascii="Times New Roman" w:hAnsi="Times New Roman"/>
          <w:sz w:val="24"/>
          <w:szCs w:val="24"/>
        </w:rPr>
        <w:t>verall, our findings</w:t>
      </w:r>
      <w:r w:rsidR="00BB2030" w:rsidRPr="00BA0E8D">
        <w:rPr>
          <w:rFonts w:ascii="Times New Roman" w:hAnsi="Times New Roman"/>
          <w:sz w:val="24"/>
          <w:szCs w:val="24"/>
        </w:rPr>
        <w:t xml:space="preserve"> suggest that there exist</w:t>
      </w:r>
      <w:r w:rsidR="004D011F" w:rsidRPr="00BA0E8D">
        <w:rPr>
          <w:rFonts w:ascii="Times New Roman" w:hAnsi="Times New Roman"/>
          <w:sz w:val="24"/>
          <w:szCs w:val="24"/>
        </w:rPr>
        <w:t>s</w:t>
      </w:r>
      <w:r w:rsidR="00BB2030" w:rsidRPr="00BA0E8D">
        <w:rPr>
          <w:rFonts w:ascii="Times New Roman" w:hAnsi="Times New Roman"/>
          <w:sz w:val="24"/>
          <w:szCs w:val="24"/>
        </w:rPr>
        <w:t xml:space="preserve"> some level of substitutability between credit information sharing and banking market </w:t>
      </w:r>
      <w:r w:rsidR="00BB2030" w:rsidRPr="003C588D">
        <w:rPr>
          <w:rFonts w:ascii="Times New Roman" w:hAnsi="Times New Roman"/>
          <w:sz w:val="24"/>
          <w:szCs w:val="24"/>
        </w:rPr>
        <w:t xml:space="preserve">concentration, which is </w:t>
      </w:r>
      <w:r w:rsidR="00447458" w:rsidRPr="003C588D">
        <w:rPr>
          <w:rFonts w:ascii="Times New Roman" w:hAnsi="Times New Roman"/>
          <w:sz w:val="24"/>
          <w:szCs w:val="24"/>
        </w:rPr>
        <w:t xml:space="preserve">consistent </w:t>
      </w:r>
      <w:r w:rsidR="00BB2030" w:rsidRPr="003C588D">
        <w:rPr>
          <w:rFonts w:ascii="Times New Roman" w:hAnsi="Times New Roman"/>
          <w:sz w:val="24"/>
          <w:szCs w:val="24"/>
        </w:rPr>
        <w:t xml:space="preserve">with </w:t>
      </w:r>
      <w:r w:rsidR="00447458" w:rsidRPr="003C588D">
        <w:rPr>
          <w:rFonts w:ascii="Times New Roman" w:hAnsi="Times New Roman"/>
          <w:sz w:val="24"/>
          <w:szCs w:val="24"/>
        </w:rPr>
        <w:t xml:space="preserve">the </w:t>
      </w:r>
      <w:r w:rsidR="00BB2030" w:rsidRPr="003C588D">
        <w:rPr>
          <w:rFonts w:ascii="Times New Roman" w:hAnsi="Times New Roman"/>
          <w:sz w:val="24"/>
          <w:szCs w:val="24"/>
        </w:rPr>
        <w:t xml:space="preserve">literature </w:t>
      </w:r>
      <w:r w:rsidR="00295BE8" w:rsidRPr="003C588D">
        <w:rPr>
          <w:rFonts w:ascii="Times New Roman" w:hAnsi="Times New Roman"/>
          <w:sz w:val="24"/>
          <w:szCs w:val="24"/>
        </w:rPr>
        <w:t xml:space="preserve">that </w:t>
      </w:r>
      <w:r w:rsidR="00BB2030" w:rsidRPr="003C588D">
        <w:rPr>
          <w:rFonts w:ascii="Times New Roman" w:hAnsi="Times New Roman"/>
          <w:sz w:val="24"/>
          <w:szCs w:val="24"/>
        </w:rPr>
        <w:t>suggest</w:t>
      </w:r>
      <w:r w:rsidR="00295BE8" w:rsidRPr="003C588D">
        <w:rPr>
          <w:rFonts w:ascii="Times New Roman" w:hAnsi="Times New Roman"/>
          <w:sz w:val="24"/>
          <w:szCs w:val="24"/>
        </w:rPr>
        <w:t>s</w:t>
      </w:r>
      <w:r w:rsidR="00BB2030" w:rsidRPr="003C588D">
        <w:rPr>
          <w:rFonts w:ascii="Times New Roman" w:hAnsi="Times New Roman"/>
          <w:sz w:val="24"/>
          <w:szCs w:val="24"/>
        </w:rPr>
        <w:t xml:space="preserve"> that banking market </w:t>
      </w:r>
      <w:r w:rsidR="00917BFF" w:rsidRPr="003C588D">
        <w:rPr>
          <w:rFonts w:ascii="Times New Roman" w:hAnsi="Times New Roman"/>
          <w:sz w:val="24"/>
          <w:szCs w:val="24"/>
        </w:rPr>
        <w:t>concentration</w:t>
      </w:r>
      <w:r w:rsidR="00BB2030" w:rsidRPr="003C588D">
        <w:rPr>
          <w:rFonts w:ascii="Times New Roman" w:hAnsi="Times New Roman"/>
          <w:sz w:val="24"/>
          <w:szCs w:val="24"/>
        </w:rPr>
        <w:t xml:space="preserve"> aids the acquisition of soft credit information via long</w:t>
      </w:r>
      <w:r w:rsidRPr="003C588D">
        <w:rPr>
          <w:rFonts w:ascii="Times New Roman" w:hAnsi="Times New Roman"/>
          <w:sz w:val="24"/>
          <w:szCs w:val="24"/>
        </w:rPr>
        <w:t>-</w:t>
      </w:r>
      <w:r w:rsidR="00BB2030" w:rsidRPr="003C588D">
        <w:rPr>
          <w:rFonts w:ascii="Times New Roman" w:hAnsi="Times New Roman"/>
          <w:sz w:val="24"/>
          <w:szCs w:val="24"/>
        </w:rPr>
        <w:t>term relationship (</w:t>
      </w:r>
      <w:r w:rsidR="00AE44C2" w:rsidRPr="003C588D">
        <w:rPr>
          <w:rFonts w:ascii="Times New Roman" w:hAnsi="Times New Roman"/>
          <w:sz w:val="24"/>
          <w:szCs w:val="24"/>
        </w:rPr>
        <w:t>e.g.</w:t>
      </w:r>
      <w:r w:rsidR="00EE1C0F" w:rsidRPr="003C588D">
        <w:rPr>
          <w:rFonts w:ascii="Times New Roman" w:hAnsi="Times New Roman"/>
          <w:sz w:val="24"/>
          <w:szCs w:val="24"/>
        </w:rPr>
        <w:t>,</w:t>
      </w:r>
      <w:r w:rsidR="00AE44C2" w:rsidRPr="003C588D">
        <w:rPr>
          <w:rFonts w:ascii="Times New Roman" w:hAnsi="Times New Roman"/>
          <w:sz w:val="24"/>
          <w:szCs w:val="24"/>
        </w:rPr>
        <w:t xml:space="preserve"> Fosu, 2014</w:t>
      </w:r>
      <w:r w:rsidR="00BB2030" w:rsidRPr="003C588D">
        <w:rPr>
          <w:rFonts w:ascii="Times New Roman" w:hAnsi="Times New Roman"/>
          <w:sz w:val="24"/>
          <w:szCs w:val="24"/>
        </w:rPr>
        <w:t>)</w:t>
      </w:r>
      <w:r w:rsidR="00904E87" w:rsidRPr="003C588D">
        <w:rPr>
          <w:rFonts w:ascii="Times New Roman" w:hAnsi="Times New Roman"/>
          <w:sz w:val="24"/>
          <w:szCs w:val="24"/>
        </w:rPr>
        <w:t>.</w:t>
      </w:r>
    </w:p>
    <w:p w14:paraId="6F2CA506" w14:textId="77777777" w:rsidR="003A51C2" w:rsidRPr="00BA0E8D" w:rsidRDefault="003A51C2" w:rsidP="00160491">
      <w:pPr>
        <w:spacing w:before="240" w:after="240" w:line="360" w:lineRule="auto"/>
        <w:jc w:val="both"/>
        <w:rPr>
          <w:rFonts w:ascii="Times New Roman" w:hAnsi="Times New Roman"/>
          <w:sz w:val="24"/>
          <w:szCs w:val="24"/>
        </w:rPr>
      </w:pPr>
    </w:p>
    <w:p w14:paraId="3AB0D248" w14:textId="1B90F2A6" w:rsidR="00395619" w:rsidRPr="00BA0E8D" w:rsidRDefault="009D5233" w:rsidP="00395619">
      <w:pPr>
        <w:spacing w:before="240" w:after="240" w:line="360" w:lineRule="auto"/>
        <w:jc w:val="both"/>
        <w:rPr>
          <w:rFonts w:ascii="Times New Roman" w:hAnsi="Times New Roman"/>
          <w:b/>
          <w:sz w:val="24"/>
          <w:szCs w:val="24"/>
        </w:rPr>
      </w:pPr>
      <w:r>
        <w:rPr>
          <w:rFonts w:ascii="Times New Roman" w:hAnsi="Times New Roman"/>
          <w:b/>
          <w:sz w:val="24"/>
          <w:szCs w:val="24"/>
        </w:rPr>
        <w:t>5</w:t>
      </w:r>
      <w:r w:rsidR="00395619" w:rsidRPr="00BA0E8D">
        <w:rPr>
          <w:rFonts w:ascii="Times New Roman" w:hAnsi="Times New Roman"/>
          <w:b/>
          <w:sz w:val="24"/>
          <w:szCs w:val="24"/>
        </w:rPr>
        <w:t>.</w:t>
      </w:r>
      <w:r w:rsidR="00EB1F6E">
        <w:rPr>
          <w:rFonts w:ascii="Times New Roman" w:hAnsi="Times New Roman"/>
          <w:b/>
          <w:sz w:val="24"/>
          <w:szCs w:val="24"/>
        </w:rPr>
        <w:t>4</w:t>
      </w:r>
      <w:r w:rsidR="00395619" w:rsidRPr="00BA0E8D">
        <w:rPr>
          <w:rFonts w:ascii="Times New Roman" w:hAnsi="Times New Roman"/>
          <w:b/>
          <w:sz w:val="24"/>
          <w:szCs w:val="24"/>
        </w:rPr>
        <w:t xml:space="preserve"> Credit information sharing, governance and credit intermediation cost</w:t>
      </w:r>
    </w:p>
    <w:p w14:paraId="711B8C4A" w14:textId="47F6C8C0" w:rsidR="003A51C2" w:rsidRPr="00BA0E8D" w:rsidRDefault="00D5679F" w:rsidP="00D5679F">
      <w:pPr>
        <w:spacing w:before="240" w:after="240" w:line="360" w:lineRule="auto"/>
        <w:jc w:val="both"/>
        <w:rPr>
          <w:rFonts w:ascii="Times New Roman" w:hAnsi="Times New Roman"/>
          <w:sz w:val="24"/>
          <w:szCs w:val="24"/>
        </w:rPr>
      </w:pPr>
      <w:r w:rsidRPr="00BA0E8D">
        <w:rPr>
          <w:rFonts w:ascii="Times New Roman" w:hAnsi="Times New Roman"/>
          <w:sz w:val="24"/>
          <w:szCs w:val="24"/>
        </w:rPr>
        <w:t>In this section, we further investigate the relationship between credit information sharing and credit intermediation</w:t>
      </w:r>
      <w:r w:rsidR="00F47DC9" w:rsidRPr="00BA0E8D">
        <w:rPr>
          <w:rFonts w:ascii="Times New Roman" w:hAnsi="Times New Roman"/>
          <w:sz w:val="24"/>
          <w:szCs w:val="24"/>
        </w:rPr>
        <w:t xml:space="preserve"> cost</w:t>
      </w:r>
      <w:r w:rsidRPr="00BA0E8D">
        <w:rPr>
          <w:rFonts w:ascii="Times New Roman" w:hAnsi="Times New Roman"/>
          <w:sz w:val="24"/>
          <w:szCs w:val="24"/>
        </w:rPr>
        <w:t xml:space="preserve">, paying </w:t>
      </w:r>
      <w:proofErr w:type="gramStart"/>
      <w:r w:rsidRPr="00BA0E8D">
        <w:rPr>
          <w:rFonts w:ascii="Times New Roman" w:hAnsi="Times New Roman"/>
          <w:sz w:val="24"/>
          <w:szCs w:val="24"/>
        </w:rPr>
        <w:t>particular attention</w:t>
      </w:r>
      <w:proofErr w:type="gramEnd"/>
      <w:r w:rsidRPr="00BA0E8D">
        <w:rPr>
          <w:rFonts w:ascii="Times New Roman" w:hAnsi="Times New Roman"/>
          <w:sz w:val="24"/>
          <w:szCs w:val="24"/>
        </w:rPr>
        <w:t xml:space="preserve"> to the moderati</w:t>
      </w:r>
      <w:r w:rsidR="00EF4C2C">
        <w:rPr>
          <w:rFonts w:ascii="Times New Roman" w:hAnsi="Times New Roman"/>
          <w:sz w:val="24"/>
          <w:szCs w:val="24"/>
        </w:rPr>
        <w:t>ng</w:t>
      </w:r>
      <w:r w:rsidRPr="00BA0E8D">
        <w:rPr>
          <w:rFonts w:ascii="Times New Roman" w:hAnsi="Times New Roman"/>
          <w:sz w:val="24"/>
          <w:szCs w:val="24"/>
        </w:rPr>
        <w:t xml:space="preserve"> role of </w:t>
      </w:r>
      <w:r w:rsidR="00F47DC9" w:rsidRPr="00BA0E8D">
        <w:rPr>
          <w:rFonts w:ascii="Times New Roman" w:hAnsi="Times New Roman"/>
          <w:sz w:val="24"/>
          <w:szCs w:val="24"/>
        </w:rPr>
        <w:t xml:space="preserve">governance </w:t>
      </w:r>
      <w:r w:rsidRPr="00BA0E8D">
        <w:rPr>
          <w:rFonts w:ascii="Times New Roman" w:hAnsi="Times New Roman"/>
          <w:sz w:val="24"/>
          <w:szCs w:val="24"/>
        </w:rPr>
        <w:t xml:space="preserve">quality </w:t>
      </w:r>
      <w:r w:rsidR="00F01E8F">
        <w:rPr>
          <w:rFonts w:ascii="Times New Roman" w:hAnsi="Times New Roman"/>
          <w:sz w:val="24"/>
          <w:szCs w:val="24"/>
        </w:rPr>
        <w:t>-</w:t>
      </w:r>
      <w:r w:rsidR="00F01E8F" w:rsidRPr="00BA0E8D">
        <w:rPr>
          <w:rFonts w:ascii="Times New Roman" w:hAnsi="Times New Roman"/>
          <w:sz w:val="24"/>
          <w:szCs w:val="24"/>
        </w:rPr>
        <w:t xml:space="preserve"> </w:t>
      </w:r>
      <w:r w:rsidR="00F47DC9" w:rsidRPr="00BA0E8D">
        <w:rPr>
          <w:rFonts w:ascii="Times New Roman" w:hAnsi="Times New Roman"/>
          <w:sz w:val="24"/>
          <w:szCs w:val="24"/>
        </w:rPr>
        <w:t xml:space="preserve">rule of law, regulatory quality and control of corruption </w:t>
      </w:r>
      <w:r w:rsidR="00F01E8F">
        <w:rPr>
          <w:rFonts w:ascii="Times New Roman" w:hAnsi="Times New Roman"/>
          <w:sz w:val="24"/>
          <w:szCs w:val="24"/>
        </w:rPr>
        <w:t xml:space="preserve">- </w:t>
      </w:r>
      <w:r w:rsidRPr="00BA0E8D">
        <w:rPr>
          <w:rFonts w:ascii="Times New Roman" w:hAnsi="Times New Roman"/>
          <w:sz w:val="24"/>
          <w:szCs w:val="24"/>
        </w:rPr>
        <w:t xml:space="preserve">underpinning the extent of creditor protection in banking markets. We present the findings in Table </w:t>
      </w:r>
      <w:r w:rsidR="00977442" w:rsidRPr="00BA0E8D">
        <w:rPr>
          <w:rFonts w:ascii="Times New Roman" w:hAnsi="Times New Roman"/>
          <w:sz w:val="24"/>
          <w:szCs w:val="24"/>
        </w:rPr>
        <w:t>6</w:t>
      </w:r>
      <w:r w:rsidRPr="00BA0E8D">
        <w:rPr>
          <w:rFonts w:ascii="Times New Roman" w:hAnsi="Times New Roman"/>
          <w:sz w:val="24"/>
          <w:szCs w:val="24"/>
        </w:rPr>
        <w:t>.</w:t>
      </w:r>
    </w:p>
    <w:p w14:paraId="1BB68D17" w14:textId="7DC21932" w:rsidR="003A51C2" w:rsidRPr="00BA0E8D" w:rsidRDefault="003A51C2" w:rsidP="003A51C2">
      <w:pPr>
        <w:spacing w:before="240" w:after="240" w:line="360" w:lineRule="auto"/>
        <w:jc w:val="center"/>
        <w:rPr>
          <w:rFonts w:ascii="Times New Roman" w:hAnsi="Times New Roman"/>
          <w:b/>
          <w:sz w:val="28"/>
          <w:szCs w:val="24"/>
        </w:rPr>
      </w:pPr>
      <w:r w:rsidRPr="00BA0E8D">
        <w:rPr>
          <w:rFonts w:ascii="Times New Roman" w:hAnsi="Times New Roman"/>
          <w:b/>
          <w:sz w:val="28"/>
          <w:szCs w:val="24"/>
        </w:rPr>
        <w:t xml:space="preserve">[Table </w:t>
      </w:r>
      <w:r w:rsidR="00977442" w:rsidRPr="00BA0E8D">
        <w:rPr>
          <w:rFonts w:ascii="Times New Roman" w:hAnsi="Times New Roman"/>
          <w:b/>
          <w:sz w:val="28"/>
          <w:szCs w:val="24"/>
        </w:rPr>
        <w:t>6</w:t>
      </w:r>
      <w:r w:rsidRPr="00BA0E8D">
        <w:rPr>
          <w:rFonts w:ascii="Times New Roman" w:hAnsi="Times New Roman"/>
          <w:b/>
          <w:sz w:val="28"/>
          <w:szCs w:val="24"/>
        </w:rPr>
        <w:t xml:space="preserve"> about here]</w:t>
      </w:r>
    </w:p>
    <w:p w14:paraId="62BAC36C" w14:textId="0070F451" w:rsidR="00797E2D" w:rsidRPr="00BA0E8D" w:rsidRDefault="003A51C2" w:rsidP="007F372F">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The results in Table </w:t>
      </w:r>
      <w:r w:rsidR="00977442" w:rsidRPr="00BA0E8D">
        <w:rPr>
          <w:rFonts w:ascii="Times New Roman" w:hAnsi="Times New Roman"/>
          <w:sz w:val="24"/>
          <w:szCs w:val="24"/>
        </w:rPr>
        <w:t>6</w:t>
      </w:r>
      <w:r w:rsidRPr="00BA0E8D">
        <w:rPr>
          <w:rFonts w:ascii="Times New Roman" w:hAnsi="Times New Roman"/>
          <w:sz w:val="24"/>
          <w:szCs w:val="24"/>
        </w:rPr>
        <w:t xml:space="preserve"> suggest that country</w:t>
      </w:r>
      <w:r w:rsidR="00EF4C2C">
        <w:rPr>
          <w:rFonts w:ascii="Times New Roman" w:hAnsi="Times New Roman"/>
          <w:sz w:val="24"/>
          <w:szCs w:val="24"/>
        </w:rPr>
        <w:t>-</w:t>
      </w:r>
      <w:r w:rsidRPr="00BA0E8D">
        <w:rPr>
          <w:rFonts w:ascii="Times New Roman" w:hAnsi="Times New Roman"/>
          <w:sz w:val="24"/>
          <w:szCs w:val="24"/>
        </w:rPr>
        <w:t xml:space="preserve">level governance quality moderates the effect of credit information sharing on credit intermediation cost, </w:t>
      </w:r>
      <w:r w:rsidR="00C2727F" w:rsidRPr="00BA0E8D">
        <w:rPr>
          <w:rFonts w:ascii="Times New Roman" w:hAnsi="Times New Roman"/>
          <w:sz w:val="24"/>
          <w:szCs w:val="24"/>
        </w:rPr>
        <w:t xml:space="preserve">to a large extent. </w:t>
      </w:r>
      <w:r w:rsidR="00AF072E" w:rsidRPr="00BA0E8D">
        <w:rPr>
          <w:rFonts w:ascii="Times New Roman" w:hAnsi="Times New Roman"/>
          <w:sz w:val="24"/>
          <w:szCs w:val="24"/>
        </w:rPr>
        <w:t xml:space="preserve">In Models 1-3 of Table </w:t>
      </w:r>
      <w:r w:rsidR="00977442" w:rsidRPr="00BA0E8D">
        <w:rPr>
          <w:rFonts w:ascii="Times New Roman" w:hAnsi="Times New Roman"/>
          <w:sz w:val="24"/>
          <w:szCs w:val="24"/>
        </w:rPr>
        <w:t>6</w:t>
      </w:r>
      <w:r w:rsidR="00AF072E" w:rsidRPr="00BA0E8D">
        <w:rPr>
          <w:rFonts w:ascii="Times New Roman" w:hAnsi="Times New Roman"/>
          <w:sz w:val="24"/>
          <w:szCs w:val="24"/>
        </w:rPr>
        <w:t>, t</w:t>
      </w:r>
      <w:r w:rsidR="00C2727F" w:rsidRPr="00BA0E8D">
        <w:rPr>
          <w:rFonts w:ascii="Times New Roman" w:hAnsi="Times New Roman"/>
          <w:sz w:val="24"/>
          <w:szCs w:val="24"/>
        </w:rPr>
        <w:t>he coefficients on</w:t>
      </w:r>
      <w:r w:rsidR="00AF072E" w:rsidRPr="00BA0E8D">
        <w:rPr>
          <w:rFonts w:ascii="Times New Roman" w:hAnsi="Times New Roman"/>
          <w:sz w:val="24"/>
          <w:szCs w:val="24"/>
        </w:rPr>
        <w:t xml:space="preserve"> </w:t>
      </w:r>
      <w:r w:rsidR="00C2727F" w:rsidRPr="00BA0E8D">
        <w:rPr>
          <w:rFonts w:ascii="Times New Roman" w:hAnsi="Times New Roman"/>
          <w:sz w:val="24"/>
          <w:szCs w:val="24"/>
        </w:rPr>
        <w:t xml:space="preserve">the depth of credit information </w:t>
      </w:r>
      <w:r w:rsidR="00F01E8F">
        <w:rPr>
          <w:rFonts w:ascii="Times New Roman" w:hAnsi="Times New Roman"/>
          <w:sz w:val="24"/>
          <w:szCs w:val="24"/>
        </w:rPr>
        <w:t>sharing</w:t>
      </w:r>
      <w:r w:rsidR="00F01E8F" w:rsidRPr="00BA0E8D">
        <w:rPr>
          <w:rFonts w:ascii="Times New Roman" w:hAnsi="Times New Roman"/>
          <w:sz w:val="24"/>
          <w:szCs w:val="24"/>
        </w:rPr>
        <w:t xml:space="preserve"> </w:t>
      </w:r>
      <w:r w:rsidR="00C2727F" w:rsidRPr="00BA0E8D">
        <w:rPr>
          <w:rFonts w:ascii="Times New Roman" w:hAnsi="Times New Roman"/>
          <w:sz w:val="24"/>
          <w:szCs w:val="24"/>
        </w:rPr>
        <w:t>remain negative and significant</w:t>
      </w:r>
      <w:r w:rsidR="00FE3E0D" w:rsidRPr="00BA0E8D">
        <w:rPr>
          <w:rFonts w:ascii="Times New Roman" w:hAnsi="Times New Roman"/>
          <w:sz w:val="24"/>
          <w:szCs w:val="24"/>
        </w:rPr>
        <w:t xml:space="preserve"> at the 1% level. However, the interaction terms between the depth of credit information sharing and the governance variables have positive and statistically significant coefficients</w:t>
      </w:r>
      <w:r w:rsidR="00281105" w:rsidRPr="00BA0E8D">
        <w:rPr>
          <w:rFonts w:ascii="Times New Roman" w:hAnsi="Times New Roman"/>
          <w:sz w:val="24"/>
          <w:szCs w:val="24"/>
        </w:rPr>
        <w:t xml:space="preserve">. </w:t>
      </w:r>
      <w:r w:rsidR="00977442" w:rsidRPr="00BA0E8D">
        <w:rPr>
          <w:rFonts w:ascii="Times New Roman" w:hAnsi="Times New Roman"/>
          <w:sz w:val="24"/>
          <w:szCs w:val="24"/>
        </w:rPr>
        <w:t>Table 7</w:t>
      </w:r>
      <w:r w:rsidR="00CD3A01">
        <w:rPr>
          <w:rFonts w:ascii="Times New Roman" w:hAnsi="Times New Roman"/>
          <w:sz w:val="24"/>
          <w:szCs w:val="24"/>
        </w:rPr>
        <w:t xml:space="preserve"> presents</w:t>
      </w:r>
      <w:r w:rsidR="00977442" w:rsidRPr="00BA0E8D">
        <w:rPr>
          <w:rFonts w:ascii="Times New Roman" w:hAnsi="Times New Roman"/>
          <w:sz w:val="24"/>
          <w:szCs w:val="24"/>
        </w:rPr>
        <w:t xml:space="preserve"> the marginal effect analysis to support the interpretation of the interaction effects.</w:t>
      </w:r>
    </w:p>
    <w:p w14:paraId="661E4CBF" w14:textId="1BA01769" w:rsidR="00B539BB" w:rsidRPr="00BA0E8D" w:rsidRDefault="00B539BB" w:rsidP="00B539BB">
      <w:pPr>
        <w:spacing w:before="240" w:after="240" w:line="360" w:lineRule="auto"/>
        <w:jc w:val="center"/>
        <w:rPr>
          <w:rFonts w:ascii="Times New Roman" w:hAnsi="Times New Roman"/>
          <w:sz w:val="24"/>
          <w:szCs w:val="24"/>
        </w:rPr>
      </w:pPr>
      <w:r w:rsidRPr="00BA0E8D">
        <w:rPr>
          <w:rFonts w:ascii="Times New Roman" w:hAnsi="Times New Roman"/>
          <w:b/>
          <w:sz w:val="28"/>
          <w:szCs w:val="24"/>
        </w:rPr>
        <w:t>[Table 7 about here]</w:t>
      </w:r>
    </w:p>
    <w:p w14:paraId="0170E093" w14:textId="0624A396" w:rsidR="009F1B1E" w:rsidRPr="00BA0E8D" w:rsidRDefault="00977442" w:rsidP="007F372F">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The marginal effects analysis in Table 7 shows that, based on Model</w:t>
      </w:r>
      <w:r w:rsidR="00484A76" w:rsidRPr="00BA0E8D">
        <w:rPr>
          <w:rFonts w:ascii="Times New Roman" w:hAnsi="Times New Roman"/>
          <w:sz w:val="24"/>
          <w:szCs w:val="24"/>
        </w:rPr>
        <w:t xml:space="preserve"> 1</w:t>
      </w:r>
      <w:r w:rsidRPr="00BA0E8D">
        <w:rPr>
          <w:rFonts w:ascii="Times New Roman" w:hAnsi="Times New Roman"/>
          <w:sz w:val="24"/>
          <w:szCs w:val="24"/>
        </w:rPr>
        <w:t xml:space="preserve"> of Table 6</w:t>
      </w:r>
      <w:r w:rsidR="00484A76" w:rsidRPr="00BA0E8D">
        <w:rPr>
          <w:rFonts w:ascii="Times New Roman" w:hAnsi="Times New Roman"/>
          <w:sz w:val="24"/>
          <w:szCs w:val="24"/>
        </w:rPr>
        <w:t>, the</w:t>
      </w:r>
      <w:r w:rsidR="001E6240" w:rsidRPr="00BA0E8D">
        <w:rPr>
          <w:rFonts w:ascii="Times New Roman" w:hAnsi="Times New Roman"/>
          <w:sz w:val="24"/>
          <w:szCs w:val="24"/>
        </w:rPr>
        <w:t xml:space="preserve"> marginal effect of the depth of credit information sharing is -0.439 at the 25</w:t>
      </w:r>
      <w:r w:rsidR="001E6240" w:rsidRPr="00BA0E8D">
        <w:rPr>
          <w:rFonts w:ascii="Times New Roman" w:hAnsi="Times New Roman"/>
          <w:sz w:val="24"/>
          <w:szCs w:val="24"/>
          <w:vertAlign w:val="superscript"/>
        </w:rPr>
        <w:t>th</w:t>
      </w:r>
      <w:r w:rsidR="001E6240" w:rsidRPr="00BA0E8D">
        <w:rPr>
          <w:rFonts w:ascii="Times New Roman" w:hAnsi="Times New Roman"/>
          <w:sz w:val="24"/>
          <w:szCs w:val="24"/>
        </w:rPr>
        <w:t xml:space="preserve"> percentile of rule of law but -0.272 at the 75</w:t>
      </w:r>
      <w:r w:rsidR="001E6240" w:rsidRPr="00BA0E8D">
        <w:rPr>
          <w:rFonts w:ascii="Times New Roman" w:hAnsi="Times New Roman"/>
          <w:sz w:val="24"/>
          <w:szCs w:val="24"/>
          <w:vertAlign w:val="superscript"/>
        </w:rPr>
        <w:t>th</w:t>
      </w:r>
      <w:r w:rsidR="001E6240" w:rsidRPr="00BA0E8D">
        <w:rPr>
          <w:rFonts w:ascii="Times New Roman" w:hAnsi="Times New Roman"/>
          <w:sz w:val="24"/>
          <w:szCs w:val="24"/>
        </w:rPr>
        <w:t xml:space="preserve"> percentile.</w:t>
      </w:r>
      <w:r w:rsidR="00484A76" w:rsidRPr="00BA0E8D">
        <w:rPr>
          <w:rFonts w:ascii="Times New Roman" w:hAnsi="Times New Roman"/>
          <w:sz w:val="24"/>
          <w:szCs w:val="24"/>
        </w:rPr>
        <w:t xml:space="preserve"> The marginal effects are statistically significant at the 1% level </w:t>
      </w:r>
      <w:proofErr w:type="gramStart"/>
      <w:r w:rsidR="00484A76" w:rsidRPr="00BA0E8D">
        <w:rPr>
          <w:rFonts w:ascii="Times New Roman" w:hAnsi="Times New Roman"/>
          <w:sz w:val="24"/>
          <w:szCs w:val="24"/>
        </w:rPr>
        <w:t>and also</w:t>
      </w:r>
      <w:proofErr w:type="gramEnd"/>
      <w:r w:rsidR="00484A76" w:rsidRPr="00BA0E8D">
        <w:rPr>
          <w:rFonts w:ascii="Times New Roman" w:hAnsi="Times New Roman"/>
          <w:sz w:val="24"/>
          <w:szCs w:val="24"/>
        </w:rPr>
        <w:t xml:space="preserve"> economically significan</w:t>
      </w:r>
      <w:r w:rsidR="00D30135" w:rsidRPr="00BA0E8D">
        <w:rPr>
          <w:rFonts w:ascii="Times New Roman" w:hAnsi="Times New Roman"/>
          <w:sz w:val="24"/>
          <w:szCs w:val="24"/>
        </w:rPr>
        <w:t>t</w:t>
      </w:r>
      <w:r w:rsidR="00484A76" w:rsidRPr="00BA0E8D">
        <w:rPr>
          <w:rFonts w:ascii="Times New Roman" w:hAnsi="Times New Roman"/>
          <w:sz w:val="24"/>
          <w:szCs w:val="24"/>
        </w:rPr>
        <w:t xml:space="preserve">. For instance, </w:t>
      </w:r>
      <w:r w:rsidR="00E40F8A" w:rsidRPr="00BA0E8D">
        <w:rPr>
          <w:rFonts w:ascii="Times New Roman" w:hAnsi="Times New Roman"/>
          <w:sz w:val="24"/>
          <w:szCs w:val="24"/>
        </w:rPr>
        <w:t>a country at the 25</w:t>
      </w:r>
      <w:r w:rsidR="00E40F8A" w:rsidRPr="00BA0E8D">
        <w:rPr>
          <w:rFonts w:ascii="Times New Roman" w:hAnsi="Times New Roman"/>
          <w:sz w:val="24"/>
          <w:szCs w:val="24"/>
          <w:vertAlign w:val="superscript"/>
        </w:rPr>
        <w:t>th</w:t>
      </w:r>
      <w:r w:rsidR="00E40F8A" w:rsidRPr="00BA0E8D">
        <w:rPr>
          <w:rFonts w:ascii="Times New Roman" w:hAnsi="Times New Roman"/>
          <w:sz w:val="24"/>
          <w:szCs w:val="24"/>
        </w:rPr>
        <w:t xml:space="preserve"> percentile of rule of law </w:t>
      </w:r>
      <w:r w:rsidR="009F36FE" w:rsidRPr="00BA0E8D">
        <w:rPr>
          <w:rFonts w:ascii="Times New Roman" w:hAnsi="Times New Roman"/>
          <w:sz w:val="24"/>
          <w:szCs w:val="24"/>
        </w:rPr>
        <w:t>can</w:t>
      </w:r>
      <w:r w:rsidR="00E40F8A" w:rsidRPr="00BA0E8D">
        <w:rPr>
          <w:rFonts w:ascii="Times New Roman" w:hAnsi="Times New Roman"/>
          <w:sz w:val="24"/>
          <w:szCs w:val="24"/>
        </w:rPr>
        <w:t xml:space="preserve"> experience a reduction in credit intermediation cost by </w:t>
      </w:r>
      <w:r w:rsidR="00DB3E9F" w:rsidRPr="00BA0E8D">
        <w:rPr>
          <w:rFonts w:ascii="Times New Roman" w:hAnsi="Times New Roman"/>
          <w:sz w:val="24"/>
          <w:szCs w:val="24"/>
        </w:rPr>
        <w:t>11.60</w:t>
      </w:r>
      <w:r w:rsidR="00E40F8A" w:rsidRPr="00BA0E8D">
        <w:rPr>
          <w:rFonts w:ascii="Times New Roman" w:hAnsi="Times New Roman"/>
          <w:sz w:val="24"/>
          <w:szCs w:val="24"/>
        </w:rPr>
        <w:t xml:space="preserve">% of the mean </w:t>
      </w:r>
      <w:r w:rsidR="009F36FE" w:rsidRPr="00BA0E8D">
        <w:rPr>
          <w:rFonts w:ascii="Times New Roman" w:hAnsi="Times New Roman"/>
          <w:sz w:val="24"/>
          <w:szCs w:val="24"/>
        </w:rPr>
        <w:t>credit</w:t>
      </w:r>
      <w:r w:rsidR="00E40F8A" w:rsidRPr="00BA0E8D">
        <w:rPr>
          <w:rFonts w:ascii="Times New Roman" w:hAnsi="Times New Roman"/>
          <w:sz w:val="24"/>
          <w:szCs w:val="24"/>
        </w:rPr>
        <w:t xml:space="preserve"> intermediation cost per one standard deviation change in the depth of credit info</w:t>
      </w:r>
      <w:r w:rsidR="009F36FE" w:rsidRPr="00BA0E8D">
        <w:rPr>
          <w:rFonts w:ascii="Times New Roman" w:hAnsi="Times New Roman"/>
          <w:sz w:val="24"/>
          <w:szCs w:val="24"/>
        </w:rPr>
        <w:t>rmation sharing. For a country at the 75</w:t>
      </w:r>
      <w:r w:rsidR="009F36FE" w:rsidRPr="00BA0E8D">
        <w:rPr>
          <w:rFonts w:ascii="Times New Roman" w:hAnsi="Times New Roman"/>
          <w:sz w:val="24"/>
          <w:szCs w:val="24"/>
          <w:vertAlign w:val="superscript"/>
        </w:rPr>
        <w:t>th</w:t>
      </w:r>
      <w:r w:rsidR="009F36FE" w:rsidRPr="00BA0E8D">
        <w:rPr>
          <w:rFonts w:ascii="Times New Roman" w:hAnsi="Times New Roman"/>
          <w:sz w:val="24"/>
          <w:szCs w:val="24"/>
        </w:rPr>
        <w:t xml:space="preserve"> percentile of rule of law, however, the reduction in credit intermediation cost per one standard deviation change in the depth of credit information sharing </w:t>
      </w:r>
      <w:r w:rsidR="00F01E8F">
        <w:rPr>
          <w:rFonts w:ascii="Times New Roman" w:hAnsi="Times New Roman"/>
          <w:sz w:val="24"/>
          <w:szCs w:val="24"/>
        </w:rPr>
        <w:t>would</w:t>
      </w:r>
      <w:r w:rsidR="00F01E8F" w:rsidRPr="00BA0E8D">
        <w:rPr>
          <w:rFonts w:ascii="Times New Roman" w:hAnsi="Times New Roman"/>
          <w:sz w:val="24"/>
          <w:szCs w:val="24"/>
        </w:rPr>
        <w:t xml:space="preserve"> </w:t>
      </w:r>
      <w:r w:rsidR="009F36FE" w:rsidRPr="00BA0E8D">
        <w:rPr>
          <w:rFonts w:ascii="Times New Roman" w:hAnsi="Times New Roman"/>
          <w:sz w:val="24"/>
          <w:szCs w:val="24"/>
        </w:rPr>
        <w:t xml:space="preserve">be only </w:t>
      </w:r>
      <w:r w:rsidR="00DB3E9F" w:rsidRPr="00BA0E8D">
        <w:rPr>
          <w:rFonts w:ascii="Times New Roman" w:hAnsi="Times New Roman"/>
          <w:sz w:val="24"/>
          <w:szCs w:val="24"/>
        </w:rPr>
        <w:t>7.19</w:t>
      </w:r>
      <w:r w:rsidR="009F36FE" w:rsidRPr="00BA0E8D">
        <w:rPr>
          <w:rFonts w:ascii="Times New Roman" w:hAnsi="Times New Roman"/>
          <w:sz w:val="24"/>
          <w:szCs w:val="24"/>
        </w:rPr>
        <w:t>%</w:t>
      </w:r>
      <w:r w:rsidR="00DB3E9F" w:rsidRPr="00BA0E8D">
        <w:rPr>
          <w:rFonts w:ascii="Times New Roman" w:hAnsi="Times New Roman"/>
          <w:sz w:val="24"/>
          <w:szCs w:val="24"/>
        </w:rPr>
        <w:t>. This represents</w:t>
      </w:r>
      <w:r w:rsidR="005E6160" w:rsidRPr="00BA0E8D">
        <w:rPr>
          <w:rFonts w:ascii="Times New Roman" w:hAnsi="Times New Roman"/>
          <w:sz w:val="24"/>
          <w:szCs w:val="24"/>
        </w:rPr>
        <w:t xml:space="preserve"> </w:t>
      </w:r>
      <w:r w:rsidR="00CD3A01">
        <w:rPr>
          <w:rFonts w:ascii="Times New Roman" w:hAnsi="Times New Roman"/>
          <w:sz w:val="24"/>
          <w:szCs w:val="24"/>
        </w:rPr>
        <w:t xml:space="preserve">a </w:t>
      </w:r>
      <w:r w:rsidR="005E6160" w:rsidRPr="00BA0E8D">
        <w:rPr>
          <w:rFonts w:ascii="Times New Roman" w:hAnsi="Times New Roman"/>
          <w:sz w:val="24"/>
          <w:szCs w:val="24"/>
        </w:rPr>
        <w:t>4.41 percentage point</w:t>
      </w:r>
      <w:r w:rsidR="00D30135" w:rsidRPr="00BA0E8D">
        <w:rPr>
          <w:rFonts w:ascii="Times New Roman" w:hAnsi="Times New Roman"/>
          <w:sz w:val="24"/>
          <w:szCs w:val="24"/>
        </w:rPr>
        <w:t xml:space="preserve"> reduction across the spectrum</w:t>
      </w:r>
      <w:r w:rsidR="00DB3E9F" w:rsidRPr="00BA0E8D">
        <w:rPr>
          <w:rFonts w:ascii="Times New Roman" w:hAnsi="Times New Roman"/>
          <w:sz w:val="24"/>
          <w:szCs w:val="24"/>
        </w:rPr>
        <w:t xml:space="preserve">. </w:t>
      </w:r>
      <w:r w:rsidR="00063C03" w:rsidRPr="00BA0E8D">
        <w:rPr>
          <w:rFonts w:ascii="Times New Roman" w:hAnsi="Times New Roman"/>
          <w:sz w:val="24"/>
          <w:szCs w:val="24"/>
        </w:rPr>
        <w:t>We find similar evidence in Mode</w:t>
      </w:r>
      <w:r w:rsidR="00DB3E9F" w:rsidRPr="00BA0E8D">
        <w:rPr>
          <w:rFonts w:ascii="Times New Roman" w:hAnsi="Times New Roman"/>
          <w:sz w:val="24"/>
          <w:szCs w:val="24"/>
        </w:rPr>
        <w:t>ls 2 and 3</w:t>
      </w:r>
      <w:r w:rsidR="005C1984" w:rsidRPr="00BA0E8D">
        <w:rPr>
          <w:rFonts w:ascii="Times New Roman" w:hAnsi="Times New Roman"/>
          <w:sz w:val="24"/>
          <w:szCs w:val="24"/>
        </w:rPr>
        <w:t>; for</w:t>
      </w:r>
      <w:r w:rsidR="00D30135" w:rsidRPr="00BA0E8D">
        <w:rPr>
          <w:rFonts w:ascii="Times New Roman" w:hAnsi="Times New Roman"/>
          <w:sz w:val="24"/>
          <w:szCs w:val="24"/>
        </w:rPr>
        <w:t xml:space="preserve"> instance, </w:t>
      </w:r>
      <w:r w:rsidR="00DB3E9F" w:rsidRPr="00BA0E8D">
        <w:rPr>
          <w:rFonts w:ascii="Times New Roman" w:hAnsi="Times New Roman"/>
          <w:sz w:val="24"/>
          <w:szCs w:val="24"/>
        </w:rPr>
        <w:t>the difference between the reduction in credit intermediation cost arising from a one standard deviation increase in the depth of credit information sharing at the 25</w:t>
      </w:r>
      <w:r w:rsidR="00DB3E9F" w:rsidRPr="00BA0E8D">
        <w:rPr>
          <w:rFonts w:ascii="Times New Roman" w:hAnsi="Times New Roman"/>
          <w:sz w:val="24"/>
          <w:szCs w:val="24"/>
          <w:vertAlign w:val="superscript"/>
        </w:rPr>
        <w:t>th</w:t>
      </w:r>
      <w:r w:rsidR="00DB3E9F" w:rsidRPr="00BA0E8D">
        <w:rPr>
          <w:rFonts w:ascii="Times New Roman" w:hAnsi="Times New Roman"/>
          <w:sz w:val="24"/>
          <w:szCs w:val="24"/>
        </w:rPr>
        <w:t xml:space="preserve"> and 75</w:t>
      </w:r>
      <w:r w:rsidR="00DB3E9F" w:rsidRPr="00BA0E8D">
        <w:rPr>
          <w:rFonts w:ascii="Times New Roman" w:hAnsi="Times New Roman"/>
          <w:sz w:val="24"/>
          <w:szCs w:val="24"/>
          <w:vertAlign w:val="superscript"/>
        </w:rPr>
        <w:t>th</w:t>
      </w:r>
      <w:r w:rsidR="00DB3E9F" w:rsidRPr="00BA0E8D">
        <w:rPr>
          <w:rFonts w:ascii="Times New Roman" w:hAnsi="Times New Roman"/>
          <w:sz w:val="24"/>
          <w:szCs w:val="24"/>
        </w:rPr>
        <w:t xml:space="preserve"> percentiles of control of corruption is</w:t>
      </w:r>
      <w:r w:rsidR="00C0603C" w:rsidRPr="00BA0E8D">
        <w:rPr>
          <w:rFonts w:ascii="Times New Roman" w:hAnsi="Times New Roman"/>
          <w:sz w:val="24"/>
          <w:szCs w:val="24"/>
        </w:rPr>
        <w:t xml:space="preserve"> 4.78</w:t>
      </w:r>
      <w:r w:rsidR="00DB3E9F" w:rsidRPr="00BA0E8D">
        <w:rPr>
          <w:rFonts w:ascii="Times New Roman" w:hAnsi="Times New Roman"/>
          <w:sz w:val="24"/>
          <w:szCs w:val="24"/>
        </w:rPr>
        <w:t xml:space="preserve"> percentage points. </w:t>
      </w:r>
    </w:p>
    <w:p w14:paraId="35C7525D" w14:textId="7BE5E4C2" w:rsidR="00E811AD" w:rsidRPr="00BA0E8D" w:rsidRDefault="009F1B1E" w:rsidP="007F372F">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We do not find </w:t>
      </w:r>
      <w:r w:rsidR="00CD3A01">
        <w:rPr>
          <w:rFonts w:ascii="Times New Roman" w:hAnsi="Times New Roman"/>
          <w:sz w:val="24"/>
          <w:szCs w:val="24"/>
        </w:rPr>
        <w:t xml:space="preserve">a </w:t>
      </w:r>
      <w:r w:rsidRPr="00BA0E8D">
        <w:rPr>
          <w:rFonts w:ascii="Times New Roman" w:hAnsi="Times New Roman"/>
          <w:sz w:val="24"/>
          <w:szCs w:val="24"/>
        </w:rPr>
        <w:t>similar moderating effect of governance quality on the effect of credit registry coverage</w:t>
      </w:r>
      <w:r w:rsidR="008B6480" w:rsidRPr="00BA0E8D">
        <w:rPr>
          <w:rFonts w:ascii="Times New Roman" w:hAnsi="Times New Roman"/>
          <w:sz w:val="24"/>
          <w:szCs w:val="24"/>
        </w:rPr>
        <w:t xml:space="preserve">, as the </w:t>
      </w:r>
      <w:r w:rsidR="00C02529" w:rsidRPr="00BA0E8D">
        <w:rPr>
          <w:rFonts w:ascii="Times New Roman" w:hAnsi="Times New Roman"/>
          <w:sz w:val="24"/>
          <w:szCs w:val="24"/>
        </w:rPr>
        <w:t>inter</w:t>
      </w:r>
      <w:r w:rsidR="008B6480" w:rsidRPr="00BA0E8D">
        <w:rPr>
          <w:rFonts w:ascii="Times New Roman" w:hAnsi="Times New Roman"/>
          <w:sz w:val="24"/>
          <w:szCs w:val="24"/>
        </w:rPr>
        <w:t>action te</w:t>
      </w:r>
      <w:r w:rsidR="00C02529" w:rsidRPr="00BA0E8D">
        <w:rPr>
          <w:rFonts w:ascii="Times New Roman" w:hAnsi="Times New Roman"/>
          <w:sz w:val="24"/>
          <w:szCs w:val="24"/>
        </w:rPr>
        <w:t>rms between the governance quality variables and the credit registry coverage enter the regression with insignificant coefficients</w:t>
      </w:r>
      <w:r w:rsidR="00FF32C6" w:rsidRPr="00BA0E8D">
        <w:rPr>
          <w:rFonts w:ascii="Times New Roman" w:hAnsi="Times New Roman"/>
          <w:sz w:val="24"/>
          <w:szCs w:val="24"/>
        </w:rPr>
        <w:t xml:space="preserve"> (Models 4-6)</w:t>
      </w:r>
      <w:r w:rsidR="00C02529" w:rsidRPr="00BA0E8D">
        <w:rPr>
          <w:rFonts w:ascii="Times New Roman" w:hAnsi="Times New Roman"/>
          <w:sz w:val="24"/>
          <w:szCs w:val="24"/>
        </w:rPr>
        <w:t>.</w:t>
      </w:r>
      <w:r w:rsidR="00FF32C6" w:rsidRPr="00BA0E8D">
        <w:rPr>
          <w:rFonts w:ascii="Times New Roman" w:hAnsi="Times New Roman"/>
          <w:sz w:val="24"/>
          <w:szCs w:val="24"/>
        </w:rPr>
        <w:t xml:space="preserve"> However, we do find supporting evidence in Models 7-9, where the interaction terms between private </w:t>
      </w:r>
      <w:r w:rsidR="00727905" w:rsidRPr="00BA0E8D">
        <w:rPr>
          <w:rFonts w:ascii="Times New Roman" w:hAnsi="Times New Roman"/>
          <w:sz w:val="24"/>
          <w:szCs w:val="24"/>
        </w:rPr>
        <w:t>bureau</w:t>
      </w:r>
      <w:r w:rsidR="00FF32C6" w:rsidRPr="00BA0E8D">
        <w:rPr>
          <w:rFonts w:ascii="Times New Roman" w:hAnsi="Times New Roman"/>
          <w:sz w:val="24"/>
          <w:szCs w:val="24"/>
        </w:rPr>
        <w:t xml:space="preserve"> and governance quality of rule of law, regulatory quality and control of corruption enter with positive and </w:t>
      </w:r>
      <w:r w:rsidR="00727905" w:rsidRPr="00BA0E8D">
        <w:rPr>
          <w:rFonts w:ascii="Times New Roman" w:hAnsi="Times New Roman"/>
          <w:sz w:val="24"/>
          <w:szCs w:val="24"/>
        </w:rPr>
        <w:t>statistically</w:t>
      </w:r>
      <w:r w:rsidR="00FF32C6" w:rsidRPr="00BA0E8D">
        <w:rPr>
          <w:rFonts w:ascii="Times New Roman" w:hAnsi="Times New Roman"/>
          <w:sz w:val="24"/>
          <w:szCs w:val="24"/>
        </w:rPr>
        <w:t xml:space="preserve"> significant </w:t>
      </w:r>
      <w:r w:rsidR="00B43400" w:rsidRPr="00BA0E8D">
        <w:rPr>
          <w:rFonts w:ascii="Times New Roman" w:hAnsi="Times New Roman"/>
          <w:sz w:val="24"/>
          <w:szCs w:val="24"/>
        </w:rPr>
        <w:t>coefficients</w:t>
      </w:r>
      <w:r w:rsidR="00FF32C6" w:rsidRPr="00BA0E8D">
        <w:rPr>
          <w:rFonts w:ascii="Times New Roman" w:hAnsi="Times New Roman"/>
          <w:sz w:val="24"/>
          <w:szCs w:val="24"/>
        </w:rPr>
        <w:t>.</w:t>
      </w:r>
    </w:p>
    <w:p w14:paraId="351DFB63" w14:textId="2C7D275C" w:rsidR="000C00C7" w:rsidRPr="00BA0E8D" w:rsidRDefault="000C00C7" w:rsidP="007F372F">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In conclusion, our evidence largely </w:t>
      </w:r>
      <w:r w:rsidR="000826FF" w:rsidRPr="00BA0E8D">
        <w:rPr>
          <w:rFonts w:ascii="Times New Roman" w:hAnsi="Times New Roman"/>
          <w:sz w:val="24"/>
          <w:szCs w:val="24"/>
        </w:rPr>
        <w:t>suggests</w:t>
      </w:r>
      <w:r w:rsidRPr="00BA0E8D">
        <w:rPr>
          <w:rFonts w:ascii="Times New Roman" w:hAnsi="Times New Roman"/>
          <w:sz w:val="24"/>
          <w:szCs w:val="24"/>
        </w:rPr>
        <w:t xml:space="preserve"> that any reduction in credit intermediation cost arising from information sharing mechanism is moderated by governance quality. This thus provide</w:t>
      </w:r>
      <w:r w:rsidR="00CD3A01">
        <w:rPr>
          <w:rFonts w:ascii="Times New Roman" w:hAnsi="Times New Roman"/>
          <w:sz w:val="24"/>
          <w:szCs w:val="24"/>
        </w:rPr>
        <w:t>s</w:t>
      </w:r>
      <w:r w:rsidRPr="00BA0E8D">
        <w:rPr>
          <w:rFonts w:ascii="Times New Roman" w:hAnsi="Times New Roman"/>
          <w:sz w:val="24"/>
          <w:szCs w:val="24"/>
        </w:rPr>
        <w:t xml:space="preserve"> support for Hypothesis </w:t>
      </w:r>
      <w:r w:rsidR="006A46FB" w:rsidRPr="00BA0E8D">
        <w:rPr>
          <w:rFonts w:ascii="Times New Roman" w:hAnsi="Times New Roman"/>
          <w:sz w:val="24"/>
          <w:szCs w:val="24"/>
        </w:rPr>
        <w:t>3.</w:t>
      </w:r>
    </w:p>
    <w:p w14:paraId="409672A2" w14:textId="77777777" w:rsidR="00505A27" w:rsidRPr="00BA0E8D" w:rsidRDefault="00505A27" w:rsidP="007F372F">
      <w:pPr>
        <w:spacing w:before="240" w:after="240" w:line="360" w:lineRule="auto"/>
        <w:jc w:val="both"/>
        <w:rPr>
          <w:rFonts w:ascii="Times New Roman" w:hAnsi="Times New Roman"/>
          <w:sz w:val="24"/>
          <w:szCs w:val="24"/>
        </w:rPr>
      </w:pPr>
    </w:p>
    <w:p w14:paraId="2A8F1C4C" w14:textId="27C06097" w:rsidR="00691511" w:rsidRPr="00BA0E8D" w:rsidRDefault="009D5233" w:rsidP="00691511">
      <w:pPr>
        <w:spacing w:before="240" w:after="240" w:line="360" w:lineRule="auto"/>
        <w:jc w:val="both"/>
        <w:rPr>
          <w:rFonts w:ascii="Times New Roman" w:hAnsi="Times New Roman"/>
          <w:b/>
          <w:sz w:val="24"/>
          <w:szCs w:val="24"/>
        </w:rPr>
      </w:pPr>
      <w:r>
        <w:rPr>
          <w:rFonts w:ascii="Times New Roman" w:hAnsi="Times New Roman"/>
          <w:b/>
          <w:sz w:val="24"/>
          <w:szCs w:val="24"/>
        </w:rPr>
        <w:t>5</w:t>
      </w:r>
      <w:r w:rsidR="00691511" w:rsidRPr="00BA0E8D">
        <w:rPr>
          <w:rFonts w:ascii="Times New Roman" w:hAnsi="Times New Roman"/>
          <w:b/>
          <w:sz w:val="24"/>
          <w:szCs w:val="24"/>
        </w:rPr>
        <w:t>.</w:t>
      </w:r>
      <w:r w:rsidR="00EB1F6E">
        <w:rPr>
          <w:rFonts w:ascii="Times New Roman" w:hAnsi="Times New Roman"/>
          <w:b/>
          <w:sz w:val="24"/>
          <w:szCs w:val="24"/>
        </w:rPr>
        <w:t>5</w:t>
      </w:r>
      <w:r w:rsidR="00691511" w:rsidRPr="00BA0E8D">
        <w:rPr>
          <w:rFonts w:ascii="Times New Roman" w:hAnsi="Times New Roman"/>
          <w:b/>
          <w:sz w:val="24"/>
          <w:szCs w:val="24"/>
        </w:rPr>
        <w:t xml:space="preserve"> Credit information sharing, concentration, governance and credit intermediation cost</w:t>
      </w:r>
    </w:p>
    <w:p w14:paraId="6DF87220" w14:textId="26611EEF" w:rsidR="00691511" w:rsidRPr="00BA0E8D" w:rsidRDefault="00691511" w:rsidP="00E811AD">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In this section, we control jointly for the interaction effects of concentration and governance quality on the relationship between credit information sharing and credit intermediation cost. We present the results in Table </w:t>
      </w:r>
      <w:r w:rsidR="00505A27" w:rsidRPr="00BA0E8D">
        <w:rPr>
          <w:rFonts w:ascii="Times New Roman" w:hAnsi="Times New Roman"/>
          <w:sz w:val="24"/>
          <w:szCs w:val="24"/>
        </w:rPr>
        <w:t>8</w:t>
      </w:r>
      <w:r w:rsidRPr="00BA0E8D">
        <w:rPr>
          <w:rFonts w:ascii="Times New Roman" w:hAnsi="Times New Roman"/>
          <w:sz w:val="24"/>
          <w:szCs w:val="24"/>
        </w:rPr>
        <w:t>.</w:t>
      </w:r>
    </w:p>
    <w:p w14:paraId="7DA24894" w14:textId="76EC79BB" w:rsidR="00892EE6" w:rsidRPr="00BA0E8D" w:rsidRDefault="00892EE6" w:rsidP="00892EE6">
      <w:pPr>
        <w:spacing w:before="240" w:after="240" w:line="360" w:lineRule="auto"/>
        <w:jc w:val="center"/>
        <w:rPr>
          <w:rFonts w:ascii="Times New Roman" w:hAnsi="Times New Roman"/>
          <w:b/>
          <w:sz w:val="28"/>
          <w:szCs w:val="24"/>
        </w:rPr>
      </w:pPr>
      <w:r w:rsidRPr="00BA0E8D">
        <w:rPr>
          <w:rFonts w:ascii="Times New Roman" w:hAnsi="Times New Roman"/>
          <w:b/>
          <w:sz w:val="28"/>
          <w:szCs w:val="24"/>
        </w:rPr>
        <w:t xml:space="preserve">[Table </w:t>
      </w:r>
      <w:r w:rsidR="00505A27" w:rsidRPr="00BA0E8D">
        <w:rPr>
          <w:rFonts w:ascii="Times New Roman" w:hAnsi="Times New Roman"/>
          <w:b/>
          <w:sz w:val="28"/>
          <w:szCs w:val="24"/>
        </w:rPr>
        <w:t>8</w:t>
      </w:r>
      <w:r w:rsidRPr="00BA0E8D">
        <w:rPr>
          <w:rFonts w:ascii="Times New Roman" w:hAnsi="Times New Roman"/>
          <w:b/>
          <w:sz w:val="28"/>
          <w:szCs w:val="24"/>
        </w:rPr>
        <w:t xml:space="preserve"> about here]</w:t>
      </w:r>
    </w:p>
    <w:p w14:paraId="1A342202" w14:textId="74F9BDC3" w:rsidR="00BB0135" w:rsidRPr="00BA0E8D" w:rsidRDefault="00BB0135" w:rsidP="00BB0135">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 xml:space="preserve">The results in Table </w:t>
      </w:r>
      <w:r w:rsidR="00D96A09" w:rsidRPr="00BA0E8D">
        <w:rPr>
          <w:rFonts w:ascii="Times New Roman" w:hAnsi="Times New Roman"/>
          <w:sz w:val="24"/>
          <w:szCs w:val="24"/>
        </w:rPr>
        <w:t>8</w:t>
      </w:r>
      <w:r w:rsidRPr="00BA0E8D">
        <w:rPr>
          <w:rFonts w:ascii="Times New Roman" w:hAnsi="Times New Roman"/>
          <w:sz w:val="24"/>
          <w:szCs w:val="24"/>
        </w:rPr>
        <w:t xml:space="preserve"> show that the coefficients on the credit information sharing variables remain negative across all models except in Model 8. The coefficients remain statistically significant at the 1% level across </w:t>
      </w:r>
      <w:r w:rsidR="008F2CBA" w:rsidRPr="00BA0E8D">
        <w:rPr>
          <w:rFonts w:ascii="Times New Roman" w:hAnsi="Times New Roman"/>
          <w:sz w:val="24"/>
          <w:szCs w:val="24"/>
        </w:rPr>
        <w:t>M</w:t>
      </w:r>
      <w:r w:rsidRPr="00BA0E8D">
        <w:rPr>
          <w:rFonts w:ascii="Times New Roman" w:hAnsi="Times New Roman"/>
          <w:sz w:val="24"/>
          <w:szCs w:val="24"/>
        </w:rPr>
        <w:t xml:space="preserve">odels </w:t>
      </w:r>
      <w:proofErr w:type="gramStart"/>
      <w:r w:rsidR="003C588D">
        <w:rPr>
          <w:rFonts w:ascii="Times New Roman" w:hAnsi="Times New Roman"/>
          <w:sz w:val="24"/>
          <w:szCs w:val="24"/>
        </w:rPr>
        <w:t>1</w:t>
      </w:r>
      <w:r w:rsidRPr="00BA0E8D">
        <w:rPr>
          <w:rFonts w:ascii="Times New Roman" w:hAnsi="Times New Roman"/>
          <w:sz w:val="24"/>
          <w:szCs w:val="24"/>
        </w:rPr>
        <w:t>-6, but</w:t>
      </w:r>
      <w:proofErr w:type="gramEnd"/>
      <w:r w:rsidRPr="00BA0E8D">
        <w:rPr>
          <w:rFonts w:ascii="Times New Roman" w:hAnsi="Times New Roman"/>
          <w:sz w:val="24"/>
          <w:szCs w:val="24"/>
        </w:rPr>
        <w:t xml:space="preserve"> </w:t>
      </w:r>
      <w:r w:rsidR="00CD3A01">
        <w:rPr>
          <w:rFonts w:ascii="Times New Roman" w:hAnsi="Times New Roman"/>
          <w:sz w:val="24"/>
          <w:szCs w:val="24"/>
        </w:rPr>
        <w:t xml:space="preserve">are </w:t>
      </w:r>
      <w:r w:rsidRPr="00BA0E8D">
        <w:rPr>
          <w:rFonts w:ascii="Times New Roman" w:hAnsi="Times New Roman"/>
          <w:sz w:val="24"/>
          <w:szCs w:val="24"/>
        </w:rPr>
        <w:t>statistically insignificant in Models 7-9. These results confirm the findings presented in the preceding sections</w:t>
      </w:r>
      <w:r w:rsidR="00EF0ABE">
        <w:rPr>
          <w:rFonts w:ascii="Times New Roman" w:hAnsi="Times New Roman"/>
          <w:sz w:val="24"/>
          <w:szCs w:val="24"/>
        </w:rPr>
        <w:t>,</w:t>
      </w:r>
      <w:r w:rsidRPr="00BA0E8D">
        <w:rPr>
          <w:rFonts w:ascii="Times New Roman" w:hAnsi="Times New Roman"/>
          <w:sz w:val="24"/>
          <w:szCs w:val="24"/>
        </w:rPr>
        <w:t xml:space="preserve"> suggesting that </w:t>
      </w:r>
      <w:r w:rsidR="00D96A09" w:rsidRPr="00BA0E8D">
        <w:rPr>
          <w:rFonts w:ascii="Times New Roman" w:hAnsi="Times New Roman"/>
          <w:sz w:val="24"/>
          <w:szCs w:val="24"/>
        </w:rPr>
        <w:t xml:space="preserve">the depth of </w:t>
      </w:r>
      <w:r w:rsidRPr="00BA0E8D">
        <w:rPr>
          <w:rFonts w:ascii="Times New Roman" w:hAnsi="Times New Roman"/>
          <w:sz w:val="24"/>
          <w:szCs w:val="24"/>
        </w:rPr>
        <w:t xml:space="preserve">credit information </w:t>
      </w:r>
      <w:proofErr w:type="gramStart"/>
      <w:r w:rsidRPr="00BA0E8D">
        <w:rPr>
          <w:rFonts w:ascii="Times New Roman" w:hAnsi="Times New Roman"/>
          <w:sz w:val="24"/>
          <w:szCs w:val="24"/>
        </w:rPr>
        <w:t>sharing</w:t>
      </w:r>
      <w:proofErr w:type="gramEnd"/>
      <w:r w:rsidRPr="00BA0E8D">
        <w:rPr>
          <w:rFonts w:ascii="Times New Roman" w:hAnsi="Times New Roman"/>
          <w:sz w:val="24"/>
          <w:szCs w:val="24"/>
        </w:rPr>
        <w:t xml:space="preserve"> </w:t>
      </w:r>
      <w:r w:rsidR="00D96A09" w:rsidRPr="00BA0E8D">
        <w:rPr>
          <w:rFonts w:ascii="Times New Roman" w:hAnsi="Times New Roman"/>
          <w:sz w:val="24"/>
          <w:szCs w:val="24"/>
        </w:rPr>
        <w:t xml:space="preserve">and increased credit registry coverage </w:t>
      </w:r>
      <w:r w:rsidRPr="00BA0E8D">
        <w:rPr>
          <w:rFonts w:ascii="Times New Roman" w:hAnsi="Times New Roman"/>
          <w:sz w:val="24"/>
          <w:szCs w:val="24"/>
        </w:rPr>
        <w:t>reduce credit intermediation cost</w:t>
      </w:r>
      <w:r w:rsidR="00E2483E" w:rsidRPr="00BA0E8D">
        <w:rPr>
          <w:rFonts w:ascii="Times New Roman" w:hAnsi="Times New Roman"/>
          <w:sz w:val="24"/>
          <w:szCs w:val="24"/>
        </w:rPr>
        <w:t>, thus providing support for Hypothesis 1.</w:t>
      </w:r>
    </w:p>
    <w:p w14:paraId="1CC5E4BF" w14:textId="33242E56" w:rsidR="00390F3F" w:rsidRPr="00BA0E8D" w:rsidRDefault="00BB0135" w:rsidP="00BB0135">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In Model 1 of Table </w:t>
      </w:r>
      <w:r w:rsidR="00161E52" w:rsidRPr="00BA0E8D">
        <w:rPr>
          <w:rFonts w:ascii="Times New Roman" w:hAnsi="Times New Roman"/>
          <w:sz w:val="24"/>
          <w:szCs w:val="24"/>
        </w:rPr>
        <w:t>8</w:t>
      </w:r>
      <w:r w:rsidRPr="00BA0E8D">
        <w:rPr>
          <w:rFonts w:ascii="Times New Roman" w:hAnsi="Times New Roman"/>
          <w:sz w:val="24"/>
          <w:szCs w:val="24"/>
        </w:rPr>
        <w:t xml:space="preserve">, the coefficient on the interaction term between concentration and depth of credit information sharing also remains positive and statistically significant. </w:t>
      </w:r>
      <w:r w:rsidR="00300B11">
        <w:rPr>
          <w:rFonts w:ascii="Times New Roman" w:hAnsi="Times New Roman"/>
          <w:sz w:val="24"/>
          <w:szCs w:val="24"/>
        </w:rPr>
        <w:t>However, w</w:t>
      </w:r>
      <w:r w:rsidRPr="00BA0E8D">
        <w:rPr>
          <w:rFonts w:ascii="Times New Roman" w:hAnsi="Times New Roman"/>
          <w:sz w:val="24"/>
          <w:szCs w:val="24"/>
        </w:rPr>
        <w:t>hil</w:t>
      </w:r>
      <w:r w:rsidR="008F2CBA" w:rsidRPr="00BA0E8D">
        <w:rPr>
          <w:rFonts w:ascii="Times New Roman" w:hAnsi="Times New Roman"/>
          <w:sz w:val="24"/>
          <w:szCs w:val="24"/>
        </w:rPr>
        <w:t>st</w:t>
      </w:r>
      <w:r w:rsidRPr="00BA0E8D">
        <w:rPr>
          <w:rFonts w:ascii="Times New Roman" w:hAnsi="Times New Roman"/>
          <w:sz w:val="24"/>
          <w:szCs w:val="24"/>
        </w:rPr>
        <w:t xml:space="preserve"> the coefficient on the interaction term between rule of law and depth of credit information sharing </w:t>
      </w:r>
      <w:r w:rsidR="00300B11">
        <w:rPr>
          <w:rFonts w:ascii="Times New Roman" w:hAnsi="Times New Roman"/>
          <w:sz w:val="24"/>
          <w:szCs w:val="24"/>
        </w:rPr>
        <w:t xml:space="preserve">also </w:t>
      </w:r>
      <w:r w:rsidRPr="00BA0E8D">
        <w:rPr>
          <w:rFonts w:ascii="Times New Roman" w:hAnsi="Times New Roman"/>
          <w:sz w:val="24"/>
          <w:szCs w:val="24"/>
        </w:rPr>
        <w:t>remains positive, it is statistically insignificant. Overall, these findings confirm the moderati</w:t>
      </w:r>
      <w:r w:rsidR="00300B11">
        <w:rPr>
          <w:rFonts w:ascii="Times New Roman" w:hAnsi="Times New Roman"/>
          <w:sz w:val="24"/>
          <w:szCs w:val="24"/>
        </w:rPr>
        <w:t>ng</w:t>
      </w:r>
      <w:r w:rsidRPr="00BA0E8D">
        <w:rPr>
          <w:rFonts w:ascii="Times New Roman" w:hAnsi="Times New Roman"/>
          <w:sz w:val="24"/>
          <w:szCs w:val="24"/>
        </w:rPr>
        <w:t xml:space="preserve"> role of concentration in the relation between credit information sharing and credit intermediation cost, and that this role overshadows that of rule of law. In Model 2</w:t>
      </w:r>
      <w:r w:rsidR="00300B11">
        <w:rPr>
          <w:rFonts w:ascii="Times New Roman" w:hAnsi="Times New Roman"/>
          <w:sz w:val="24"/>
          <w:szCs w:val="24"/>
        </w:rPr>
        <w:t>,</w:t>
      </w:r>
      <w:r w:rsidRPr="00BA0E8D">
        <w:rPr>
          <w:rFonts w:ascii="Times New Roman" w:hAnsi="Times New Roman"/>
          <w:sz w:val="24"/>
          <w:szCs w:val="24"/>
        </w:rPr>
        <w:t xml:space="preserve"> </w:t>
      </w:r>
      <w:r w:rsidR="00E359B5" w:rsidRPr="00BA0E8D">
        <w:rPr>
          <w:rFonts w:ascii="Times New Roman" w:hAnsi="Times New Roman"/>
          <w:sz w:val="24"/>
          <w:szCs w:val="24"/>
        </w:rPr>
        <w:t>however</w:t>
      </w:r>
      <w:r w:rsidRPr="00BA0E8D">
        <w:rPr>
          <w:rFonts w:ascii="Times New Roman" w:hAnsi="Times New Roman"/>
          <w:sz w:val="24"/>
          <w:szCs w:val="24"/>
        </w:rPr>
        <w:t xml:space="preserve">, </w:t>
      </w:r>
      <w:r w:rsidR="00E359B5" w:rsidRPr="00BA0E8D">
        <w:rPr>
          <w:rFonts w:ascii="Times New Roman" w:hAnsi="Times New Roman"/>
          <w:sz w:val="24"/>
          <w:szCs w:val="24"/>
        </w:rPr>
        <w:t xml:space="preserve">the moderating role of </w:t>
      </w:r>
      <w:r w:rsidRPr="00BA0E8D">
        <w:rPr>
          <w:rFonts w:ascii="Times New Roman" w:hAnsi="Times New Roman"/>
          <w:sz w:val="24"/>
          <w:szCs w:val="24"/>
        </w:rPr>
        <w:t xml:space="preserve">regulatory quality appears </w:t>
      </w:r>
      <w:r w:rsidR="00E359B5" w:rsidRPr="00BA0E8D">
        <w:rPr>
          <w:rFonts w:ascii="Times New Roman" w:hAnsi="Times New Roman"/>
          <w:sz w:val="24"/>
          <w:szCs w:val="24"/>
        </w:rPr>
        <w:t>statistically significant whilst the moderating role of concentration does not</w:t>
      </w:r>
      <w:r w:rsidRPr="00BA0E8D">
        <w:rPr>
          <w:rFonts w:ascii="Times New Roman" w:hAnsi="Times New Roman"/>
          <w:sz w:val="24"/>
          <w:szCs w:val="24"/>
        </w:rPr>
        <w:t>. Finally, the interaction terms involving concentration and control of corruption are both statistically insignificant in Model 3, although they remain positive.</w:t>
      </w:r>
      <w:r w:rsidR="00A24102" w:rsidRPr="00BA0E8D">
        <w:rPr>
          <w:rFonts w:ascii="Times New Roman" w:hAnsi="Times New Roman"/>
          <w:sz w:val="24"/>
          <w:szCs w:val="24"/>
        </w:rPr>
        <w:t xml:space="preserve"> </w:t>
      </w:r>
      <w:r w:rsidR="008F2CBA" w:rsidRPr="00BA0E8D">
        <w:rPr>
          <w:rFonts w:ascii="Times New Roman" w:hAnsi="Times New Roman"/>
          <w:sz w:val="24"/>
          <w:szCs w:val="24"/>
        </w:rPr>
        <w:t xml:space="preserve">Whilst a </w:t>
      </w:r>
      <w:r w:rsidR="00717E09" w:rsidRPr="00BA0E8D">
        <w:rPr>
          <w:rFonts w:ascii="Times New Roman" w:hAnsi="Times New Roman"/>
          <w:sz w:val="24"/>
          <w:szCs w:val="24"/>
        </w:rPr>
        <w:t xml:space="preserve">relatively </w:t>
      </w:r>
      <w:r w:rsidR="008F2CBA" w:rsidRPr="00BA0E8D">
        <w:rPr>
          <w:rFonts w:ascii="Times New Roman" w:hAnsi="Times New Roman"/>
          <w:sz w:val="24"/>
          <w:szCs w:val="24"/>
        </w:rPr>
        <w:t xml:space="preserve">higher degree of correlation </w:t>
      </w:r>
      <w:r w:rsidR="00717E09" w:rsidRPr="00BA0E8D">
        <w:rPr>
          <w:rFonts w:ascii="Times New Roman" w:hAnsi="Times New Roman"/>
          <w:sz w:val="24"/>
          <w:szCs w:val="24"/>
        </w:rPr>
        <w:t>amongst</w:t>
      </w:r>
      <w:r w:rsidR="008F2CBA" w:rsidRPr="00BA0E8D">
        <w:rPr>
          <w:rFonts w:ascii="Times New Roman" w:hAnsi="Times New Roman"/>
          <w:sz w:val="24"/>
          <w:szCs w:val="24"/>
        </w:rPr>
        <w:t xml:space="preserve"> the interaction terms lead</w:t>
      </w:r>
      <w:r w:rsidR="00300B11">
        <w:rPr>
          <w:rFonts w:ascii="Times New Roman" w:hAnsi="Times New Roman"/>
          <w:sz w:val="24"/>
          <w:szCs w:val="24"/>
        </w:rPr>
        <w:t>s</w:t>
      </w:r>
      <w:r w:rsidR="008F2CBA" w:rsidRPr="00BA0E8D">
        <w:rPr>
          <w:rFonts w:ascii="Times New Roman" w:hAnsi="Times New Roman"/>
          <w:sz w:val="24"/>
          <w:szCs w:val="24"/>
        </w:rPr>
        <w:t xml:space="preserve"> to loss of efficiency</w:t>
      </w:r>
      <w:r w:rsidR="00717E09" w:rsidRPr="00BA0E8D">
        <w:rPr>
          <w:rFonts w:ascii="Times New Roman" w:hAnsi="Times New Roman"/>
          <w:sz w:val="24"/>
          <w:szCs w:val="24"/>
        </w:rPr>
        <w:t>, the marginal effects of the respective variables are statistically significant.</w:t>
      </w:r>
      <w:r w:rsidR="00A62D09" w:rsidRPr="00BA0E8D">
        <w:rPr>
          <w:rFonts w:ascii="Times New Roman" w:hAnsi="Times New Roman"/>
          <w:sz w:val="24"/>
          <w:szCs w:val="24"/>
        </w:rPr>
        <w:t xml:space="preserve"> We provide the marginal effect analysis in Table 9.</w:t>
      </w:r>
      <w:r w:rsidR="008F2CBA" w:rsidRPr="00BA0E8D">
        <w:rPr>
          <w:rFonts w:ascii="Times New Roman" w:hAnsi="Times New Roman"/>
          <w:sz w:val="24"/>
          <w:szCs w:val="24"/>
        </w:rPr>
        <w:t xml:space="preserve"> </w:t>
      </w:r>
    </w:p>
    <w:p w14:paraId="35A30EF9" w14:textId="74E64F57" w:rsidR="00841103" w:rsidRPr="00BA0E8D" w:rsidRDefault="00841103" w:rsidP="00BB0135">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The </w:t>
      </w:r>
      <w:r w:rsidR="008E0D1F" w:rsidRPr="00BA0E8D">
        <w:rPr>
          <w:rFonts w:ascii="Times New Roman" w:hAnsi="Times New Roman"/>
          <w:sz w:val="24"/>
          <w:szCs w:val="24"/>
        </w:rPr>
        <w:t>marginal effect analysis</w:t>
      </w:r>
      <w:r w:rsidRPr="00BA0E8D">
        <w:rPr>
          <w:rFonts w:ascii="Times New Roman" w:hAnsi="Times New Roman"/>
          <w:sz w:val="24"/>
          <w:szCs w:val="24"/>
        </w:rPr>
        <w:t xml:space="preserve"> in Table 9 confirm</w:t>
      </w:r>
      <w:r w:rsidR="00E4413B" w:rsidRPr="00BA0E8D">
        <w:rPr>
          <w:rFonts w:ascii="Times New Roman" w:hAnsi="Times New Roman"/>
          <w:sz w:val="24"/>
          <w:szCs w:val="24"/>
        </w:rPr>
        <w:t>s</w:t>
      </w:r>
      <w:r w:rsidRPr="00BA0E8D">
        <w:rPr>
          <w:rFonts w:ascii="Times New Roman" w:hAnsi="Times New Roman"/>
          <w:sz w:val="24"/>
          <w:szCs w:val="24"/>
        </w:rPr>
        <w:t xml:space="preserve"> that</w:t>
      </w:r>
      <w:r w:rsidR="00300B11">
        <w:rPr>
          <w:rFonts w:ascii="Times New Roman" w:hAnsi="Times New Roman"/>
          <w:sz w:val="24"/>
          <w:szCs w:val="24"/>
        </w:rPr>
        <w:t>,</w:t>
      </w:r>
      <w:r w:rsidRPr="00BA0E8D">
        <w:rPr>
          <w:rFonts w:ascii="Times New Roman" w:hAnsi="Times New Roman"/>
          <w:sz w:val="24"/>
          <w:szCs w:val="24"/>
        </w:rPr>
        <w:t xml:space="preserve"> for any given level of the governance indicators of rule of law, regulatory quality and control of corruption, the effect of credit information sharing decreases with the level of concentration. Similarly, the governance indicators moderate the effect of credit information sharing on credit intermediation cost at any given level of concentration. However, the magnitude of the moderating role of concentration (that is, the change from the 25</w:t>
      </w:r>
      <w:r w:rsidRPr="00BA0E8D">
        <w:rPr>
          <w:rFonts w:ascii="Times New Roman" w:hAnsi="Times New Roman"/>
          <w:sz w:val="24"/>
          <w:szCs w:val="24"/>
          <w:vertAlign w:val="superscript"/>
        </w:rPr>
        <w:t>th</w:t>
      </w:r>
      <w:r w:rsidRPr="00BA0E8D">
        <w:rPr>
          <w:rFonts w:ascii="Times New Roman" w:hAnsi="Times New Roman"/>
          <w:sz w:val="24"/>
          <w:szCs w:val="24"/>
        </w:rPr>
        <w:t xml:space="preserve"> percentile to the 75</w:t>
      </w:r>
      <w:r w:rsidRPr="00BA0E8D">
        <w:rPr>
          <w:rFonts w:ascii="Times New Roman" w:hAnsi="Times New Roman"/>
          <w:sz w:val="24"/>
          <w:szCs w:val="24"/>
          <w:vertAlign w:val="superscript"/>
        </w:rPr>
        <w:t>th</w:t>
      </w:r>
      <w:r w:rsidRPr="00BA0E8D">
        <w:rPr>
          <w:rFonts w:ascii="Times New Roman" w:hAnsi="Times New Roman"/>
          <w:sz w:val="24"/>
          <w:szCs w:val="24"/>
        </w:rPr>
        <w:t xml:space="preserve"> percentile) is statistically significant only when the moderating role of governance being controlled for is that of rule of law. Interestingly, in these specifications, the magnitude of the moderating role of rule of law on the effect of depth of credit information sharing is insignificant</w:t>
      </w:r>
      <w:r w:rsidR="00342E35">
        <w:rPr>
          <w:rFonts w:ascii="Times New Roman" w:hAnsi="Times New Roman"/>
          <w:sz w:val="24"/>
          <w:szCs w:val="24"/>
        </w:rPr>
        <w:t>, whilst that of regulatory quality is significant.</w:t>
      </w:r>
      <w:r w:rsidR="00342E35" w:rsidRPr="00BA0E8D" w:rsidDel="00342E35">
        <w:rPr>
          <w:rFonts w:ascii="Times New Roman" w:hAnsi="Times New Roman"/>
          <w:sz w:val="24"/>
          <w:szCs w:val="24"/>
        </w:rPr>
        <w:t xml:space="preserve"> </w:t>
      </w:r>
    </w:p>
    <w:p w14:paraId="26A36D21" w14:textId="2B913763" w:rsidR="00A0612F" w:rsidRPr="00BA0E8D" w:rsidRDefault="00A62D09" w:rsidP="00BB0135">
      <w:pPr>
        <w:spacing w:before="240" w:after="240" w:line="360" w:lineRule="auto"/>
        <w:jc w:val="both"/>
        <w:rPr>
          <w:rFonts w:ascii="Times New Roman" w:hAnsi="Times New Roman"/>
          <w:sz w:val="24"/>
          <w:szCs w:val="24"/>
        </w:rPr>
      </w:pPr>
      <w:r w:rsidRPr="00BA0E8D">
        <w:rPr>
          <w:rFonts w:ascii="Times New Roman" w:hAnsi="Times New Roman"/>
          <w:sz w:val="24"/>
          <w:szCs w:val="24"/>
        </w:rPr>
        <w:t>I</w:t>
      </w:r>
      <w:r w:rsidR="00A24102" w:rsidRPr="00BA0E8D">
        <w:rPr>
          <w:rFonts w:ascii="Times New Roman" w:hAnsi="Times New Roman"/>
          <w:sz w:val="24"/>
          <w:szCs w:val="24"/>
        </w:rPr>
        <w:t xml:space="preserve">n Models </w:t>
      </w:r>
      <w:r w:rsidR="00342E35">
        <w:rPr>
          <w:rFonts w:ascii="Times New Roman" w:hAnsi="Times New Roman"/>
          <w:sz w:val="24"/>
          <w:szCs w:val="24"/>
        </w:rPr>
        <w:t>7</w:t>
      </w:r>
      <w:r w:rsidR="00A24102" w:rsidRPr="00BA0E8D">
        <w:rPr>
          <w:rFonts w:ascii="Times New Roman" w:hAnsi="Times New Roman"/>
          <w:sz w:val="24"/>
          <w:szCs w:val="24"/>
        </w:rPr>
        <w:t>-9</w:t>
      </w:r>
      <w:r w:rsidR="00E914C4" w:rsidRPr="00BA0E8D">
        <w:rPr>
          <w:rFonts w:ascii="Times New Roman" w:hAnsi="Times New Roman"/>
          <w:sz w:val="24"/>
          <w:szCs w:val="24"/>
        </w:rPr>
        <w:t xml:space="preserve"> of Table 8</w:t>
      </w:r>
      <w:r w:rsidR="002C3C8E" w:rsidRPr="00BA0E8D">
        <w:rPr>
          <w:rFonts w:ascii="Times New Roman" w:hAnsi="Times New Roman"/>
          <w:sz w:val="24"/>
          <w:szCs w:val="24"/>
        </w:rPr>
        <w:t>,</w:t>
      </w:r>
      <w:r w:rsidR="00647630" w:rsidRPr="00BA0E8D">
        <w:rPr>
          <w:rFonts w:ascii="Times New Roman" w:hAnsi="Times New Roman"/>
          <w:sz w:val="24"/>
          <w:szCs w:val="24"/>
        </w:rPr>
        <w:t xml:space="preserve"> </w:t>
      </w:r>
      <w:r w:rsidR="004573F3" w:rsidRPr="00BA0E8D">
        <w:rPr>
          <w:rFonts w:ascii="Times New Roman" w:hAnsi="Times New Roman"/>
          <w:sz w:val="24"/>
          <w:szCs w:val="24"/>
        </w:rPr>
        <w:t>we confirm the moderating role of banking market concentration in the relationship between</w:t>
      </w:r>
      <w:r w:rsidR="00647630" w:rsidRPr="00BA0E8D">
        <w:rPr>
          <w:rFonts w:ascii="Times New Roman" w:hAnsi="Times New Roman"/>
          <w:sz w:val="24"/>
          <w:szCs w:val="24"/>
        </w:rPr>
        <w:t xml:space="preserve"> </w:t>
      </w:r>
      <w:r w:rsidR="00A24102" w:rsidRPr="00BA0E8D">
        <w:rPr>
          <w:rFonts w:ascii="Times New Roman" w:hAnsi="Times New Roman"/>
          <w:sz w:val="24"/>
          <w:szCs w:val="24"/>
        </w:rPr>
        <w:t>credit</w:t>
      </w:r>
      <w:r w:rsidR="002C3C8E" w:rsidRPr="00BA0E8D">
        <w:rPr>
          <w:rFonts w:ascii="Times New Roman" w:hAnsi="Times New Roman"/>
          <w:sz w:val="24"/>
          <w:szCs w:val="24"/>
        </w:rPr>
        <w:t xml:space="preserve"> registry coverage </w:t>
      </w:r>
      <w:r w:rsidR="004573F3" w:rsidRPr="00BA0E8D">
        <w:rPr>
          <w:rFonts w:ascii="Times New Roman" w:hAnsi="Times New Roman"/>
          <w:sz w:val="24"/>
          <w:szCs w:val="24"/>
        </w:rPr>
        <w:t>and credit intermediation cost</w:t>
      </w:r>
      <w:r w:rsidR="00300B11">
        <w:rPr>
          <w:rFonts w:ascii="Times New Roman" w:hAnsi="Times New Roman"/>
          <w:sz w:val="24"/>
          <w:szCs w:val="24"/>
        </w:rPr>
        <w:t>;</w:t>
      </w:r>
      <w:r w:rsidR="004573F3" w:rsidRPr="00BA0E8D">
        <w:rPr>
          <w:rFonts w:ascii="Times New Roman" w:hAnsi="Times New Roman"/>
          <w:sz w:val="24"/>
          <w:szCs w:val="24"/>
        </w:rPr>
        <w:t xml:space="preserve"> however, the</w:t>
      </w:r>
      <w:r w:rsidRPr="00BA0E8D">
        <w:rPr>
          <w:rFonts w:ascii="Times New Roman" w:hAnsi="Times New Roman"/>
          <w:sz w:val="24"/>
          <w:szCs w:val="24"/>
        </w:rPr>
        <w:t xml:space="preserve"> </w:t>
      </w:r>
      <w:r w:rsidR="004573F3" w:rsidRPr="00BA0E8D">
        <w:rPr>
          <w:rFonts w:ascii="Times New Roman" w:hAnsi="Times New Roman"/>
          <w:sz w:val="24"/>
          <w:szCs w:val="24"/>
        </w:rPr>
        <w:t>moderating role</w:t>
      </w:r>
      <w:r w:rsidR="007B6A44" w:rsidRPr="00BA0E8D">
        <w:rPr>
          <w:rFonts w:ascii="Times New Roman" w:hAnsi="Times New Roman"/>
          <w:sz w:val="24"/>
          <w:szCs w:val="24"/>
        </w:rPr>
        <w:t xml:space="preserve"> of the</w:t>
      </w:r>
      <w:r w:rsidR="004573F3" w:rsidRPr="00BA0E8D">
        <w:rPr>
          <w:rFonts w:ascii="Times New Roman" w:hAnsi="Times New Roman"/>
          <w:sz w:val="24"/>
          <w:szCs w:val="24"/>
        </w:rPr>
        <w:t xml:space="preserve"> governance indicators are not statistically significant. </w:t>
      </w:r>
      <w:r w:rsidR="00CC5D66" w:rsidRPr="00BA0E8D">
        <w:rPr>
          <w:rFonts w:ascii="Times New Roman" w:hAnsi="Times New Roman"/>
          <w:sz w:val="24"/>
          <w:szCs w:val="24"/>
        </w:rPr>
        <w:t xml:space="preserve">Further, the </w:t>
      </w:r>
      <w:r w:rsidR="00CC5D66" w:rsidRPr="00BA0E8D">
        <w:rPr>
          <w:rFonts w:ascii="Times New Roman" w:hAnsi="Times New Roman"/>
          <w:sz w:val="24"/>
          <w:szCs w:val="24"/>
        </w:rPr>
        <w:lastRenderedPageBreak/>
        <w:t xml:space="preserve">coefficients on the interaction </w:t>
      </w:r>
      <w:r w:rsidR="004573F3" w:rsidRPr="00BA0E8D">
        <w:rPr>
          <w:rFonts w:ascii="Times New Roman" w:hAnsi="Times New Roman"/>
          <w:sz w:val="24"/>
          <w:szCs w:val="24"/>
        </w:rPr>
        <w:t>between private credit bureau</w:t>
      </w:r>
      <w:r w:rsidR="00CC5D66" w:rsidRPr="00BA0E8D">
        <w:rPr>
          <w:rFonts w:ascii="Times New Roman" w:hAnsi="Times New Roman"/>
          <w:sz w:val="24"/>
          <w:szCs w:val="24"/>
        </w:rPr>
        <w:t xml:space="preserve"> and governance indicators are positive and statistically</w:t>
      </w:r>
      <w:r w:rsidR="00B45A9B" w:rsidRPr="00BA0E8D">
        <w:rPr>
          <w:rFonts w:ascii="Times New Roman" w:hAnsi="Times New Roman"/>
          <w:sz w:val="24"/>
          <w:szCs w:val="24"/>
        </w:rPr>
        <w:t xml:space="preserve"> significant. With negative</w:t>
      </w:r>
      <w:r w:rsidR="00C82D15" w:rsidRPr="00BA0E8D">
        <w:rPr>
          <w:rFonts w:ascii="Times New Roman" w:hAnsi="Times New Roman"/>
          <w:sz w:val="24"/>
          <w:szCs w:val="24"/>
        </w:rPr>
        <w:t xml:space="preserve"> and</w:t>
      </w:r>
      <w:r w:rsidR="00B45A9B" w:rsidRPr="00BA0E8D">
        <w:rPr>
          <w:rFonts w:ascii="Times New Roman" w:hAnsi="Times New Roman"/>
          <w:sz w:val="24"/>
          <w:szCs w:val="24"/>
        </w:rPr>
        <w:t xml:space="preserve"> </w:t>
      </w:r>
      <w:r w:rsidR="004573F3" w:rsidRPr="00BA0E8D">
        <w:rPr>
          <w:rFonts w:ascii="Times New Roman" w:hAnsi="Times New Roman"/>
          <w:sz w:val="24"/>
          <w:szCs w:val="24"/>
        </w:rPr>
        <w:t xml:space="preserve">statistically </w:t>
      </w:r>
      <w:r w:rsidR="00B45A9B" w:rsidRPr="00BA0E8D">
        <w:rPr>
          <w:rFonts w:ascii="Times New Roman" w:hAnsi="Times New Roman"/>
          <w:sz w:val="24"/>
          <w:szCs w:val="24"/>
        </w:rPr>
        <w:t>significan</w:t>
      </w:r>
      <w:r w:rsidR="00C82D15" w:rsidRPr="00BA0E8D">
        <w:rPr>
          <w:rFonts w:ascii="Times New Roman" w:hAnsi="Times New Roman"/>
          <w:sz w:val="24"/>
          <w:szCs w:val="24"/>
        </w:rPr>
        <w:t>t</w:t>
      </w:r>
      <w:r w:rsidR="00B45A9B" w:rsidRPr="00BA0E8D">
        <w:rPr>
          <w:rFonts w:ascii="Times New Roman" w:hAnsi="Times New Roman"/>
          <w:sz w:val="24"/>
          <w:szCs w:val="24"/>
        </w:rPr>
        <w:t xml:space="preserve"> coefficients on the governance indicators</w:t>
      </w:r>
      <w:r w:rsidR="00C82D15" w:rsidRPr="00BA0E8D">
        <w:rPr>
          <w:rFonts w:ascii="Times New Roman" w:hAnsi="Times New Roman"/>
          <w:sz w:val="24"/>
          <w:szCs w:val="24"/>
        </w:rPr>
        <w:t xml:space="preserve"> of rule of law and regulatory quality</w:t>
      </w:r>
      <w:r w:rsidR="00B45A9B" w:rsidRPr="00BA0E8D">
        <w:rPr>
          <w:rFonts w:ascii="Times New Roman" w:hAnsi="Times New Roman"/>
          <w:sz w:val="24"/>
          <w:szCs w:val="24"/>
        </w:rPr>
        <w:t>, the evidence suggest</w:t>
      </w:r>
      <w:r w:rsidR="00F92E7A" w:rsidRPr="00BA0E8D">
        <w:rPr>
          <w:rFonts w:ascii="Times New Roman" w:hAnsi="Times New Roman"/>
          <w:sz w:val="24"/>
          <w:szCs w:val="24"/>
        </w:rPr>
        <w:t>s</w:t>
      </w:r>
      <w:r w:rsidR="00B45A9B" w:rsidRPr="00BA0E8D">
        <w:rPr>
          <w:rFonts w:ascii="Times New Roman" w:hAnsi="Times New Roman"/>
          <w:sz w:val="24"/>
          <w:szCs w:val="24"/>
        </w:rPr>
        <w:t xml:space="preserve"> that credit </w:t>
      </w:r>
      <w:r w:rsidR="00390F3F" w:rsidRPr="00BA0E8D">
        <w:rPr>
          <w:rFonts w:ascii="Times New Roman" w:hAnsi="Times New Roman"/>
          <w:sz w:val="24"/>
          <w:szCs w:val="24"/>
        </w:rPr>
        <w:t>bureau</w:t>
      </w:r>
      <w:r w:rsidR="00B45A9B" w:rsidRPr="00BA0E8D">
        <w:rPr>
          <w:rFonts w:ascii="Times New Roman" w:hAnsi="Times New Roman"/>
          <w:sz w:val="24"/>
          <w:szCs w:val="24"/>
        </w:rPr>
        <w:t xml:space="preserve"> coverage moderates the impact of governance quality on credit intermediation cost.</w:t>
      </w:r>
    </w:p>
    <w:p w14:paraId="0B2C0B31" w14:textId="7F054C06" w:rsidR="00BB0135" w:rsidRPr="00BA0E8D" w:rsidRDefault="00E914C4" w:rsidP="00BB0135">
      <w:pPr>
        <w:spacing w:before="240" w:after="240" w:line="360" w:lineRule="auto"/>
        <w:jc w:val="center"/>
        <w:rPr>
          <w:rFonts w:ascii="Times New Roman" w:hAnsi="Times New Roman"/>
          <w:b/>
          <w:sz w:val="28"/>
          <w:szCs w:val="24"/>
        </w:rPr>
      </w:pPr>
      <w:r w:rsidRPr="00BA0E8D" w:rsidDel="00E914C4">
        <w:rPr>
          <w:rFonts w:ascii="Times New Roman" w:hAnsi="Times New Roman"/>
          <w:sz w:val="24"/>
          <w:szCs w:val="24"/>
        </w:rPr>
        <w:t xml:space="preserve"> </w:t>
      </w:r>
      <w:r w:rsidR="00BB0135" w:rsidRPr="00BA0E8D">
        <w:rPr>
          <w:rFonts w:ascii="Times New Roman" w:hAnsi="Times New Roman"/>
          <w:b/>
          <w:sz w:val="28"/>
          <w:szCs w:val="24"/>
        </w:rPr>
        <w:t xml:space="preserve">[Table </w:t>
      </w:r>
      <w:r w:rsidR="00D725DC" w:rsidRPr="00BA0E8D">
        <w:rPr>
          <w:rFonts w:ascii="Times New Roman" w:hAnsi="Times New Roman"/>
          <w:b/>
          <w:sz w:val="28"/>
          <w:szCs w:val="24"/>
        </w:rPr>
        <w:t>9</w:t>
      </w:r>
      <w:r w:rsidR="00BB0135" w:rsidRPr="00BA0E8D">
        <w:rPr>
          <w:rFonts w:ascii="Times New Roman" w:hAnsi="Times New Roman"/>
          <w:b/>
          <w:sz w:val="28"/>
          <w:szCs w:val="24"/>
        </w:rPr>
        <w:t xml:space="preserve"> about here]</w:t>
      </w:r>
    </w:p>
    <w:p w14:paraId="21D241D4" w14:textId="4801D33C" w:rsidR="00BB0135" w:rsidRPr="00BA0E8D" w:rsidRDefault="00B24A70" w:rsidP="005755F3">
      <w:pPr>
        <w:spacing w:before="240" w:after="240" w:line="360" w:lineRule="auto"/>
        <w:jc w:val="both"/>
        <w:rPr>
          <w:rFonts w:ascii="Times New Roman" w:hAnsi="Times New Roman"/>
          <w:sz w:val="24"/>
          <w:szCs w:val="24"/>
        </w:rPr>
      </w:pPr>
      <w:r w:rsidRPr="00FD1B21">
        <w:rPr>
          <w:rFonts w:ascii="Times New Roman" w:hAnsi="Times New Roman"/>
          <w:sz w:val="24"/>
          <w:szCs w:val="24"/>
        </w:rPr>
        <w:t>The findings suggest that</w:t>
      </w:r>
      <w:r w:rsidR="008F2B8A">
        <w:rPr>
          <w:rFonts w:ascii="Times New Roman" w:hAnsi="Times New Roman"/>
          <w:sz w:val="24"/>
          <w:szCs w:val="24"/>
        </w:rPr>
        <w:t xml:space="preserve"> the</w:t>
      </w:r>
      <w:r w:rsidRPr="00FD1B21">
        <w:rPr>
          <w:rFonts w:ascii="Times New Roman" w:hAnsi="Times New Roman"/>
          <w:sz w:val="24"/>
          <w:szCs w:val="24"/>
        </w:rPr>
        <w:t xml:space="preserve"> overall quality of regulation is of paramount importance </w:t>
      </w:r>
      <w:r w:rsidR="007654B0" w:rsidRPr="00FD1B21">
        <w:rPr>
          <w:rFonts w:ascii="Times New Roman" w:hAnsi="Times New Roman"/>
          <w:sz w:val="24"/>
          <w:szCs w:val="24"/>
        </w:rPr>
        <w:t>for the efficiency of banks’</w:t>
      </w:r>
      <w:r w:rsidRPr="00FD1B21">
        <w:rPr>
          <w:rFonts w:ascii="Times New Roman" w:hAnsi="Times New Roman"/>
          <w:sz w:val="24"/>
          <w:szCs w:val="24"/>
        </w:rPr>
        <w:t xml:space="preserve"> credit intermediation</w:t>
      </w:r>
      <w:r w:rsidR="007654B0" w:rsidRPr="00FD1B21">
        <w:rPr>
          <w:rFonts w:ascii="Times New Roman" w:hAnsi="Times New Roman"/>
          <w:sz w:val="24"/>
          <w:szCs w:val="24"/>
        </w:rPr>
        <w:t xml:space="preserve"> role in developing countries</w:t>
      </w:r>
      <w:r w:rsidR="0050005C" w:rsidRPr="00FD1B21">
        <w:rPr>
          <w:rFonts w:ascii="Times New Roman" w:hAnsi="Times New Roman"/>
          <w:sz w:val="24"/>
          <w:szCs w:val="24"/>
        </w:rPr>
        <w:t>.</w:t>
      </w:r>
      <w:r w:rsidR="006517DA" w:rsidRPr="00BA0E8D">
        <w:rPr>
          <w:rFonts w:ascii="Times New Roman" w:hAnsi="Times New Roman"/>
          <w:sz w:val="24"/>
          <w:szCs w:val="24"/>
        </w:rPr>
        <w:t xml:space="preserve"> </w:t>
      </w:r>
      <w:r w:rsidR="00CB25A6" w:rsidRPr="00BA0E8D">
        <w:rPr>
          <w:rFonts w:ascii="Times New Roman" w:hAnsi="Times New Roman"/>
          <w:sz w:val="24"/>
          <w:szCs w:val="24"/>
        </w:rPr>
        <w:t>However</w:t>
      </w:r>
      <w:r w:rsidR="006517DA" w:rsidRPr="00BA0E8D">
        <w:rPr>
          <w:rFonts w:ascii="Times New Roman" w:hAnsi="Times New Roman"/>
          <w:sz w:val="24"/>
          <w:szCs w:val="24"/>
        </w:rPr>
        <w:t>, the findings suggest that rule of law cannot be an effective substitute for effective credit information sharing in developing countries.</w:t>
      </w:r>
    </w:p>
    <w:p w14:paraId="585CDDBE" w14:textId="17E71247" w:rsidR="00E811AD" w:rsidRPr="00BA0E8D" w:rsidRDefault="009D5233" w:rsidP="00E811AD">
      <w:pPr>
        <w:spacing w:before="240" w:after="240" w:line="360" w:lineRule="auto"/>
        <w:jc w:val="both"/>
        <w:rPr>
          <w:rFonts w:ascii="Times New Roman" w:hAnsi="Times New Roman"/>
          <w:b/>
          <w:sz w:val="24"/>
          <w:szCs w:val="24"/>
        </w:rPr>
      </w:pPr>
      <w:r>
        <w:rPr>
          <w:rFonts w:ascii="Times New Roman" w:hAnsi="Times New Roman"/>
          <w:b/>
          <w:sz w:val="24"/>
          <w:szCs w:val="24"/>
        </w:rPr>
        <w:t>5</w:t>
      </w:r>
      <w:r w:rsidR="00E811AD" w:rsidRPr="00BA0E8D">
        <w:rPr>
          <w:rFonts w:ascii="Times New Roman" w:hAnsi="Times New Roman"/>
          <w:b/>
          <w:sz w:val="24"/>
          <w:szCs w:val="24"/>
        </w:rPr>
        <w:t>.</w:t>
      </w:r>
      <w:r w:rsidR="00EB1F6E">
        <w:rPr>
          <w:rFonts w:ascii="Times New Roman" w:hAnsi="Times New Roman"/>
          <w:b/>
          <w:sz w:val="24"/>
          <w:szCs w:val="24"/>
        </w:rPr>
        <w:t>6</w:t>
      </w:r>
      <w:r w:rsidR="00E811AD" w:rsidRPr="00BA0E8D">
        <w:rPr>
          <w:rFonts w:ascii="Times New Roman" w:hAnsi="Times New Roman"/>
          <w:b/>
          <w:sz w:val="24"/>
          <w:szCs w:val="24"/>
        </w:rPr>
        <w:t xml:space="preserve"> Credit information sharing and credit intermediation cost </w:t>
      </w:r>
      <w:r w:rsidR="008C4E5F" w:rsidRPr="00BA0E8D">
        <w:rPr>
          <w:rFonts w:ascii="Times New Roman" w:hAnsi="Times New Roman"/>
          <w:b/>
          <w:sz w:val="24"/>
          <w:szCs w:val="24"/>
        </w:rPr>
        <w:t>–</w:t>
      </w:r>
      <w:r w:rsidR="00E811AD" w:rsidRPr="00BA0E8D">
        <w:rPr>
          <w:rFonts w:ascii="Times New Roman" w:hAnsi="Times New Roman"/>
          <w:b/>
          <w:sz w:val="24"/>
          <w:szCs w:val="24"/>
        </w:rPr>
        <w:t xml:space="preserve"> Endogeneity</w:t>
      </w:r>
    </w:p>
    <w:p w14:paraId="1D9647AD" w14:textId="2EB74FEE" w:rsidR="008A3D6C" w:rsidRPr="00BA0E8D" w:rsidRDefault="008C4E5F" w:rsidP="00E811AD">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In this section, we address </w:t>
      </w:r>
      <w:r w:rsidR="007D552D" w:rsidRPr="00BA0E8D">
        <w:rPr>
          <w:rFonts w:ascii="Times New Roman" w:hAnsi="Times New Roman"/>
          <w:sz w:val="24"/>
          <w:szCs w:val="24"/>
        </w:rPr>
        <w:t>the potential</w:t>
      </w:r>
      <w:r w:rsidRPr="00BA0E8D">
        <w:rPr>
          <w:rFonts w:ascii="Times New Roman" w:hAnsi="Times New Roman"/>
          <w:sz w:val="24"/>
          <w:szCs w:val="24"/>
        </w:rPr>
        <w:t xml:space="preserve"> of endogeneity problems </w:t>
      </w:r>
      <w:r w:rsidR="00300B11">
        <w:rPr>
          <w:rFonts w:ascii="Times New Roman" w:hAnsi="Times New Roman"/>
          <w:sz w:val="24"/>
          <w:szCs w:val="24"/>
        </w:rPr>
        <w:t>to</w:t>
      </w:r>
      <w:r w:rsidR="00300B11" w:rsidRPr="00BA0E8D">
        <w:rPr>
          <w:rFonts w:ascii="Times New Roman" w:hAnsi="Times New Roman"/>
          <w:sz w:val="24"/>
          <w:szCs w:val="24"/>
        </w:rPr>
        <w:t xml:space="preserve"> </w:t>
      </w:r>
      <w:r w:rsidRPr="00BA0E8D">
        <w:rPr>
          <w:rFonts w:ascii="Times New Roman" w:hAnsi="Times New Roman"/>
          <w:sz w:val="24"/>
          <w:szCs w:val="24"/>
        </w:rPr>
        <w:t xml:space="preserve">plague our findings. Such problems may arise from possible reverse causality between credit information sharing and credit intermediation cost. For instance, it is likely that </w:t>
      </w:r>
      <w:r w:rsidR="00792C32" w:rsidRPr="00BA0E8D">
        <w:rPr>
          <w:rFonts w:ascii="Times New Roman" w:hAnsi="Times New Roman"/>
          <w:sz w:val="24"/>
          <w:szCs w:val="24"/>
        </w:rPr>
        <w:t>a move towards</w:t>
      </w:r>
      <w:r w:rsidRPr="00BA0E8D">
        <w:rPr>
          <w:rFonts w:ascii="Times New Roman" w:hAnsi="Times New Roman"/>
          <w:sz w:val="24"/>
          <w:szCs w:val="24"/>
        </w:rPr>
        <w:t xml:space="preserve"> </w:t>
      </w:r>
      <w:r w:rsidR="00792C32" w:rsidRPr="00BA0E8D">
        <w:rPr>
          <w:rFonts w:ascii="Times New Roman" w:hAnsi="Times New Roman"/>
          <w:sz w:val="24"/>
          <w:szCs w:val="24"/>
        </w:rPr>
        <w:t>facilitating</w:t>
      </w:r>
      <w:r w:rsidRPr="00BA0E8D">
        <w:rPr>
          <w:rFonts w:ascii="Times New Roman" w:hAnsi="Times New Roman"/>
          <w:sz w:val="24"/>
          <w:szCs w:val="24"/>
        </w:rPr>
        <w:t xml:space="preserve"> lending decisions may le</w:t>
      </w:r>
      <w:r w:rsidR="00792C32" w:rsidRPr="00BA0E8D">
        <w:rPr>
          <w:rFonts w:ascii="Times New Roman" w:hAnsi="Times New Roman"/>
          <w:sz w:val="24"/>
          <w:szCs w:val="24"/>
        </w:rPr>
        <w:t>ad to a decision to</w:t>
      </w:r>
      <w:r w:rsidRPr="00BA0E8D">
        <w:rPr>
          <w:rFonts w:ascii="Times New Roman" w:hAnsi="Times New Roman"/>
          <w:sz w:val="24"/>
          <w:szCs w:val="24"/>
        </w:rPr>
        <w:t xml:space="preserve"> </w:t>
      </w:r>
      <w:r w:rsidR="00792C32" w:rsidRPr="00BA0E8D">
        <w:rPr>
          <w:rFonts w:ascii="Times New Roman" w:hAnsi="Times New Roman"/>
          <w:sz w:val="24"/>
          <w:szCs w:val="24"/>
        </w:rPr>
        <w:t>establish</w:t>
      </w:r>
      <w:r w:rsidRPr="00BA0E8D">
        <w:rPr>
          <w:rFonts w:ascii="Times New Roman" w:hAnsi="Times New Roman"/>
          <w:sz w:val="24"/>
          <w:szCs w:val="24"/>
        </w:rPr>
        <w:t xml:space="preserve"> credit information</w:t>
      </w:r>
      <w:r w:rsidR="00300B11">
        <w:rPr>
          <w:rFonts w:ascii="Times New Roman" w:hAnsi="Times New Roman"/>
          <w:sz w:val="24"/>
          <w:szCs w:val="24"/>
        </w:rPr>
        <w:t>-</w:t>
      </w:r>
      <w:r w:rsidRPr="00BA0E8D">
        <w:rPr>
          <w:rFonts w:ascii="Times New Roman" w:hAnsi="Times New Roman"/>
          <w:sz w:val="24"/>
          <w:szCs w:val="24"/>
        </w:rPr>
        <w:t xml:space="preserve">sharing </w:t>
      </w:r>
      <w:r w:rsidR="003D1F1C" w:rsidRPr="00BA0E8D">
        <w:rPr>
          <w:rFonts w:ascii="Times New Roman" w:hAnsi="Times New Roman"/>
          <w:sz w:val="24"/>
          <w:szCs w:val="24"/>
        </w:rPr>
        <w:t>schemes</w:t>
      </w:r>
      <w:r w:rsidRPr="00BA0E8D">
        <w:rPr>
          <w:rFonts w:ascii="Times New Roman" w:hAnsi="Times New Roman"/>
          <w:sz w:val="24"/>
          <w:szCs w:val="24"/>
        </w:rPr>
        <w:t>.</w:t>
      </w:r>
      <w:r w:rsidR="003D1F1C" w:rsidRPr="00BA0E8D">
        <w:rPr>
          <w:rFonts w:ascii="Times New Roman" w:hAnsi="Times New Roman"/>
          <w:sz w:val="24"/>
          <w:szCs w:val="24"/>
        </w:rPr>
        <w:t xml:space="preserve"> This may </w:t>
      </w:r>
      <w:r w:rsidR="00792C32" w:rsidRPr="00BA0E8D">
        <w:rPr>
          <w:rFonts w:ascii="Times New Roman" w:hAnsi="Times New Roman"/>
          <w:sz w:val="24"/>
          <w:szCs w:val="24"/>
        </w:rPr>
        <w:t>not</w:t>
      </w:r>
      <w:r w:rsidR="003D1F1C" w:rsidRPr="00BA0E8D">
        <w:rPr>
          <w:rFonts w:ascii="Times New Roman" w:hAnsi="Times New Roman"/>
          <w:sz w:val="24"/>
          <w:szCs w:val="24"/>
        </w:rPr>
        <w:t xml:space="preserve"> be a problem in our setup since we instigate credit intermediation cost at the bank level in relation to credit information sharing mechanism at the country level. This notwithstanding, we test for the robustness of our models by </w:t>
      </w:r>
      <w:proofErr w:type="spellStart"/>
      <w:r w:rsidR="000826FF" w:rsidRPr="00BA0E8D">
        <w:rPr>
          <w:rFonts w:ascii="Times New Roman" w:hAnsi="Times New Roman"/>
          <w:sz w:val="24"/>
          <w:szCs w:val="24"/>
        </w:rPr>
        <w:t>e</w:t>
      </w:r>
      <w:r w:rsidR="004E7D92" w:rsidRPr="00BA0E8D">
        <w:rPr>
          <w:rFonts w:ascii="Times New Roman" w:hAnsi="Times New Roman"/>
          <w:sz w:val="24"/>
          <w:szCs w:val="24"/>
        </w:rPr>
        <w:t>nd</w:t>
      </w:r>
      <w:r w:rsidR="003D1F1C" w:rsidRPr="00BA0E8D">
        <w:rPr>
          <w:rFonts w:ascii="Times New Roman" w:hAnsi="Times New Roman"/>
          <w:sz w:val="24"/>
          <w:szCs w:val="24"/>
        </w:rPr>
        <w:t>ogenising</w:t>
      </w:r>
      <w:proofErr w:type="spellEnd"/>
      <w:r w:rsidR="003D1F1C" w:rsidRPr="00BA0E8D">
        <w:rPr>
          <w:rFonts w:ascii="Times New Roman" w:hAnsi="Times New Roman"/>
          <w:sz w:val="24"/>
          <w:szCs w:val="24"/>
        </w:rPr>
        <w:t xml:space="preserve"> our main</w:t>
      </w:r>
      <w:r w:rsidR="00792C32" w:rsidRPr="00BA0E8D">
        <w:rPr>
          <w:rFonts w:ascii="Times New Roman" w:hAnsi="Times New Roman"/>
          <w:sz w:val="24"/>
          <w:szCs w:val="24"/>
        </w:rPr>
        <w:t xml:space="preserve"> </w:t>
      </w:r>
      <w:r w:rsidR="003D1F1C" w:rsidRPr="00BA0E8D">
        <w:rPr>
          <w:rFonts w:ascii="Times New Roman" w:hAnsi="Times New Roman"/>
          <w:sz w:val="24"/>
          <w:szCs w:val="24"/>
        </w:rPr>
        <w:t>information sharing measure, the depth of credit information sharing</w:t>
      </w:r>
      <w:r w:rsidR="006E746A" w:rsidRPr="00BA0E8D">
        <w:rPr>
          <w:rFonts w:ascii="Times New Roman" w:hAnsi="Times New Roman"/>
          <w:sz w:val="24"/>
          <w:szCs w:val="24"/>
        </w:rPr>
        <w:t xml:space="preserve">. </w:t>
      </w:r>
    </w:p>
    <w:p w14:paraId="0C129505" w14:textId="0FC8D091" w:rsidR="0008476E" w:rsidRPr="00BA0E8D" w:rsidRDefault="006E746A" w:rsidP="00E811AD">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We follow </w:t>
      </w:r>
      <w:proofErr w:type="spellStart"/>
      <w:r w:rsidRPr="00BA0E8D">
        <w:rPr>
          <w:rFonts w:ascii="Times New Roman" w:hAnsi="Times New Roman"/>
          <w:sz w:val="24"/>
          <w:szCs w:val="20"/>
          <w:shd w:val="clear" w:color="auto" w:fill="FFFFFF"/>
        </w:rPr>
        <w:t>Büyükkarabacak</w:t>
      </w:r>
      <w:proofErr w:type="spellEnd"/>
      <w:r w:rsidRPr="00BA0E8D">
        <w:rPr>
          <w:rFonts w:ascii="Times New Roman" w:hAnsi="Times New Roman"/>
          <w:sz w:val="24"/>
          <w:szCs w:val="20"/>
          <w:shd w:val="clear" w:color="auto" w:fill="FFFFFF"/>
        </w:rPr>
        <w:t xml:space="preserve"> (2012) and Houston et </w:t>
      </w:r>
      <w:r w:rsidRPr="00BA0E8D">
        <w:rPr>
          <w:rFonts w:ascii="Times New Roman" w:hAnsi="Times New Roman"/>
          <w:sz w:val="24"/>
          <w:szCs w:val="24"/>
        </w:rPr>
        <w:t xml:space="preserve">al. (2010) and choose as </w:t>
      </w:r>
      <w:r w:rsidR="003D1F1C" w:rsidRPr="00BA0E8D">
        <w:rPr>
          <w:rFonts w:ascii="Times New Roman" w:hAnsi="Times New Roman"/>
          <w:sz w:val="24"/>
          <w:szCs w:val="24"/>
        </w:rPr>
        <w:t>instrume</w:t>
      </w:r>
      <w:r w:rsidR="00792C32" w:rsidRPr="00BA0E8D">
        <w:rPr>
          <w:rFonts w:ascii="Times New Roman" w:hAnsi="Times New Roman"/>
          <w:sz w:val="24"/>
          <w:szCs w:val="24"/>
        </w:rPr>
        <w:t>nts</w:t>
      </w:r>
      <w:r w:rsidR="003D1F1C" w:rsidRPr="00BA0E8D">
        <w:rPr>
          <w:rFonts w:ascii="Times New Roman" w:hAnsi="Times New Roman"/>
          <w:sz w:val="24"/>
          <w:szCs w:val="24"/>
        </w:rPr>
        <w:t xml:space="preserve"> urbanisation, population size and geographical latitude.</w:t>
      </w:r>
      <w:r w:rsidRPr="00BA0E8D">
        <w:rPr>
          <w:rFonts w:ascii="Times New Roman" w:hAnsi="Times New Roman"/>
          <w:sz w:val="24"/>
          <w:szCs w:val="24"/>
        </w:rPr>
        <w:t xml:space="preserve"> As argued in </w:t>
      </w:r>
      <w:proofErr w:type="spellStart"/>
      <w:r w:rsidRPr="00BA0E8D">
        <w:rPr>
          <w:rFonts w:ascii="Times New Roman" w:hAnsi="Times New Roman"/>
          <w:sz w:val="24"/>
          <w:szCs w:val="20"/>
          <w:shd w:val="clear" w:color="auto" w:fill="FFFFFF"/>
        </w:rPr>
        <w:t>Büyükkarabacak</w:t>
      </w:r>
      <w:proofErr w:type="spellEnd"/>
      <w:r w:rsidRPr="00BA0E8D">
        <w:rPr>
          <w:rFonts w:ascii="Times New Roman" w:hAnsi="Times New Roman"/>
          <w:sz w:val="24"/>
          <w:szCs w:val="20"/>
          <w:shd w:val="clear" w:color="auto" w:fill="FFFFFF"/>
        </w:rPr>
        <w:t xml:space="preserve"> (2012), larger</w:t>
      </w:r>
      <w:r w:rsidRPr="00BA0E8D">
        <w:rPr>
          <w:rFonts w:ascii="Times New Roman" w:hAnsi="Times New Roman"/>
          <w:sz w:val="24"/>
          <w:szCs w:val="24"/>
        </w:rPr>
        <w:t xml:space="preserve"> population size and urbanisation impede the dissemination of information in a country. </w:t>
      </w:r>
      <w:r w:rsidR="00300B11">
        <w:rPr>
          <w:rFonts w:ascii="Times New Roman" w:hAnsi="Times New Roman"/>
          <w:sz w:val="24"/>
          <w:szCs w:val="24"/>
        </w:rPr>
        <w:t>Moreover</w:t>
      </w:r>
      <w:r w:rsidRPr="00BA0E8D">
        <w:rPr>
          <w:rFonts w:ascii="Times New Roman" w:hAnsi="Times New Roman"/>
          <w:sz w:val="24"/>
          <w:szCs w:val="24"/>
        </w:rPr>
        <w:t xml:space="preserve">, </w:t>
      </w:r>
      <w:r w:rsidR="008A0E1D" w:rsidRPr="00BA0E8D">
        <w:rPr>
          <w:rFonts w:ascii="Times New Roman" w:hAnsi="Times New Roman"/>
          <w:sz w:val="24"/>
          <w:szCs w:val="24"/>
        </w:rPr>
        <w:t xml:space="preserve">it is argued that geography </w:t>
      </w:r>
      <w:r w:rsidR="008A3D6C" w:rsidRPr="00BA0E8D">
        <w:rPr>
          <w:rFonts w:ascii="Times New Roman" w:hAnsi="Times New Roman"/>
          <w:sz w:val="24"/>
          <w:szCs w:val="24"/>
        </w:rPr>
        <w:t>defines</w:t>
      </w:r>
      <w:r w:rsidR="008A0E1D" w:rsidRPr="00BA0E8D">
        <w:rPr>
          <w:rFonts w:ascii="Times New Roman" w:hAnsi="Times New Roman"/>
          <w:sz w:val="24"/>
          <w:szCs w:val="24"/>
        </w:rPr>
        <w:t xml:space="preserve"> overall institutional development, and consequently financial development (</w:t>
      </w:r>
      <w:r w:rsidR="00A54631" w:rsidRPr="00BA0E8D">
        <w:rPr>
          <w:rFonts w:ascii="Times New Roman" w:hAnsi="Times New Roman"/>
          <w:sz w:val="24"/>
          <w:szCs w:val="24"/>
        </w:rPr>
        <w:t>Acemoglu</w:t>
      </w:r>
      <w:r w:rsidR="00803E50" w:rsidRPr="00BA0E8D">
        <w:rPr>
          <w:rFonts w:ascii="Times New Roman" w:hAnsi="Times New Roman"/>
          <w:sz w:val="24"/>
          <w:szCs w:val="24"/>
        </w:rPr>
        <w:t xml:space="preserve"> et al.</w:t>
      </w:r>
      <w:r w:rsidR="00A54631" w:rsidRPr="00BA0E8D">
        <w:rPr>
          <w:rFonts w:ascii="Times New Roman" w:hAnsi="Times New Roman"/>
          <w:sz w:val="24"/>
          <w:szCs w:val="24"/>
        </w:rPr>
        <w:t>, 200</w:t>
      </w:r>
      <w:r w:rsidR="008072C0" w:rsidRPr="00BA0E8D">
        <w:rPr>
          <w:rFonts w:ascii="Times New Roman" w:hAnsi="Times New Roman"/>
          <w:sz w:val="24"/>
          <w:szCs w:val="24"/>
        </w:rPr>
        <w:t>5</w:t>
      </w:r>
      <w:r w:rsidR="004C41A8" w:rsidRPr="00BA0E8D">
        <w:rPr>
          <w:rFonts w:ascii="Times New Roman" w:hAnsi="Times New Roman"/>
          <w:sz w:val="24"/>
          <w:szCs w:val="24"/>
        </w:rPr>
        <w:t>;</w:t>
      </w:r>
      <w:r w:rsidR="00A54631" w:rsidRPr="00BA0E8D">
        <w:rPr>
          <w:rFonts w:ascii="Times New Roman" w:hAnsi="Times New Roman"/>
          <w:sz w:val="24"/>
          <w:szCs w:val="24"/>
        </w:rPr>
        <w:t xml:space="preserve"> Beck, </w:t>
      </w:r>
      <w:r w:rsidR="001C459E" w:rsidRPr="00BA0E8D">
        <w:rPr>
          <w:rFonts w:ascii="Times New Roman" w:hAnsi="Times New Roman"/>
          <w:color w:val="222222"/>
          <w:sz w:val="24"/>
          <w:szCs w:val="24"/>
        </w:rPr>
        <w:t>et al.</w:t>
      </w:r>
      <w:r w:rsidR="00844C75" w:rsidRPr="00BA0E8D">
        <w:rPr>
          <w:rFonts w:ascii="Times New Roman" w:hAnsi="Times New Roman"/>
          <w:color w:val="222222"/>
          <w:sz w:val="24"/>
          <w:szCs w:val="24"/>
        </w:rPr>
        <w:t>, 200</w:t>
      </w:r>
      <w:r w:rsidR="00A17352" w:rsidRPr="00BA0E8D">
        <w:rPr>
          <w:rFonts w:ascii="Times New Roman" w:hAnsi="Times New Roman"/>
          <w:color w:val="222222"/>
          <w:sz w:val="24"/>
          <w:szCs w:val="24"/>
        </w:rPr>
        <w:t>9</w:t>
      </w:r>
      <w:r w:rsidR="004C41A8" w:rsidRPr="00BA0E8D">
        <w:rPr>
          <w:rFonts w:ascii="Times New Roman" w:hAnsi="Times New Roman"/>
          <w:color w:val="222222"/>
          <w:sz w:val="24"/>
          <w:szCs w:val="24"/>
        </w:rPr>
        <w:t>)</w:t>
      </w:r>
      <w:r w:rsidR="003C01EC" w:rsidRPr="00BA0E8D">
        <w:rPr>
          <w:rFonts w:ascii="Times New Roman" w:hAnsi="Times New Roman"/>
          <w:sz w:val="24"/>
          <w:szCs w:val="24"/>
        </w:rPr>
        <w:t>.</w:t>
      </w:r>
      <w:r w:rsidRPr="00BA0E8D">
        <w:rPr>
          <w:rFonts w:ascii="Times New Roman" w:hAnsi="Times New Roman"/>
          <w:sz w:val="24"/>
          <w:szCs w:val="24"/>
        </w:rPr>
        <w:t xml:space="preserve"> </w:t>
      </w:r>
      <w:r w:rsidR="00792C32" w:rsidRPr="00BA0E8D">
        <w:rPr>
          <w:rFonts w:ascii="Times New Roman" w:hAnsi="Times New Roman"/>
          <w:sz w:val="24"/>
          <w:szCs w:val="24"/>
        </w:rPr>
        <w:t>Meanwhile, these factors should not directly affect bank credit intermediation cost, especially after controlling for the over</w:t>
      </w:r>
      <w:r w:rsidR="00CB755C" w:rsidRPr="00BA0E8D">
        <w:rPr>
          <w:rFonts w:ascii="Times New Roman" w:hAnsi="Times New Roman"/>
          <w:sz w:val="24"/>
          <w:szCs w:val="24"/>
        </w:rPr>
        <w:t xml:space="preserve">all lending volume. These arguments suggest that these factors could serve as valid </w:t>
      </w:r>
      <w:r w:rsidR="004351E1" w:rsidRPr="00BA0E8D">
        <w:rPr>
          <w:rFonts w:ascii="Times New Roman" w:hAnsi="Times New Roman"/>
          <w:sz w:val="24"/>
          <w:szCs w:val="24"/>
        </w:rPr>
        <w:t xml:space="preserve">external </w:t>
      </w:r>
      <w:r w:rsidR="00CB755C" w:rsidRPr="00BA0E8D">
        <w:rPr>
          <w:rFonts w:ascii="Times New Roman" w:hAnsi="Times New Roman"/>
          <w:sz w:val="24"/>
          <w:szCs w:val="24"/>
        </w:rPr>
        <w:t>instruments for information sharing</w:t>
      </w:r>
      <w:r w:rsidR="008A3D6C" w:rsidRPr="00BA0E8D">
        <w:rPr>
          <w:rFonts w:ascii="Times New Roman" w:hAnsi="Times New Roman"/>
          <w:sz w:val="24"/>
          <w:szCs w:val="24"/>
        </w:rPr>
        <w:t>.</w:t>
      </w:r>
      <w:r w:rsidR="006A5164" w:rsidRPr="00BA0E8D">
        <w:rPr>
          <w:rFonts w:ascii="Times New Roman" w:hAnsi="Times New Roman"/>
          <w:sz w:val="24"/>
          <w:szCs w:val="24"/>
        </w:rPr>
        <w:t xml:space="preserve"> </w:t>
      </w:r>
      <w:r w:rsidR="0008476E" w:rsidRPr="00BA0E8D">
        <w:rPr>
          <w:rFonts w:ascii="Times New Roman" w:hAnsi="Times New Roman"/>
          <w:sz w:val="24"/>
          <w:szCs w:val="24"/>
        </w:rPr>
        <w:t xml:space="preserve">We present the results </w:t>
      </w:r>
      <w:r w:rsidR="00E607AD" w:rsidRPr="00BA0E8D">
        <w:rPr>
          <w:rFonts w:ascii="Times New Roman" w:hAnsi="Times New Roman"/>
          <w:sz w:val="24"/>
          <w:szCs w:val="24"/>
        </w:rPr>
        <w:t>for the endogenous credit information sharing</w:t>
      </w:r>
      <w:r w:rsidR="0008476E" w:rsidRPr="00BA0E8D">
        <w:rPr>
          <w:rFonts w:ascii="Times New Roman" w:hAnsi="Times New Roman"/>
          <w:sz w:val="24"/>
          <w:szCs w:val="24"/>
        </w:rPr>
        <w:t xml:space="preserve"> in Table </w:t>
      </w:r>
      <w:r w:rsidR="00D725DC" w:rsidRPr="00BA0E8D">
        <w:rPr>
          <w:rFonts w:ascii="Times New Roman" w:hAnsi="Times New Roman"/>
          <w:sz w:val="24"/>
          <w:szCs w:val="24"/>
        </w:rPr>
        <w:t>10</w:t>
      </w:r>
      <w:r w:rsidR="00E607AD" w:rsidRPr="00BA0E8D">
        <w:rPr>
          <w:rFonts w:ascii="Times New Roman" w:hAnsi="Times New Roman"/>
          <w:sz w:val="24"/>
          <w:szCs w:val="24"/>
        </w:rPr>
        <w:t>.</w:t>
      </w:r>
      <w:r w:rsidR="00B84AB7" w:rsidRPr="00BA0E8D">
        <w:rPr>
          <w:rFonts w:ascii="Times New Roman" w:hAnsi="Times New Roman"/>
          <w:sz w:val="24"/>
          <w:szCs w:val="24"/>
        </w:rPr>
        <w:t xml:space="preserve"> The Hansen test </w:t>
      </w:r>
      <w:r w:rsidR="00B84AB7" w:rsidRPr="003C588D">
        <w:rPr>
          <w:rFonts w:ascii="Times New Roman" w:hAnsi="Times New Roman"/>
          <w:i/>
          <w:iCs/>
          <w:sz w:val="24"/>
          <w:szCs w:val="24"/>
        </w:rPr>
        <w:t>p</w:t>
      </w:r>
      <w:r w:rsidR="00B84AB7" w:rsidRPr="00BA0E8D">
        <w:rPr>
          <w:rFonts w:ascii="Times New Roman" w:hAnsi="Times New Roman"/>
          <w:sz w:val="24"/>
          <w:szCs w:val="24"/>
        </w:rPr>
        <w:t xml:space="preserve">-values remain consistently higher </w:t>
      </w:r>
      <w:r w:rsidR="004B285C">
        <w:rPr>
          <w:rFonts w:ascii="Times New Roman" w:hAnsi="Times New Roman"/>
          <w:sz w:val="24"/>
          <w:szCs w:val="24"/>
        </w:rPr>
        <w:t>than</w:t>
      </w:r>
      <w:r w:rsidR="007A4655">
        <w:rPr>
          <w:rFonts w:ascii="Times New Roman" w:hAnsi="Times New Roman"/>
          <w:sz w:val="24"/>
          <w:szCs w:val="24"/>
        </w:rPr>
        <w:t xml:space="preserve"> </w:t>
      </w:r>
      <w:r w:rsidR="004B285C">
        <w:rPr>
          <w:rFonts w:ascii="Times New Roman" w:hAnsi="Times New Roman"/>
          <w:sz w:val="24"/>
          <w:szCs w:val="24"/>
        </w:rPr>
        <w:t>0.</w:t>
      </w:r>
      <w:r w:rsidR="00B84AB7" w:rsidRPr="00BA0E8D">
        <w:rPr>
          <w:rFonts w:ascii="Times New Roman" w:hAnsi="Times New Roman"/>
          <w:sz w:val="24"/>
          <w:szCs w:val="24"/>
        </w:rPr>
        <w:t>1, justifying the validity of the instruments.</w:t>
      </w:r>
    </w:p>
    <w:p w14:paraId="7DB3AA78" w14:textId="15A18EF8" w:rsidR="00892EE6" w:rsidRPr="00BA0E8D" w:rsidRDefault="00892EE6" w:rsidP="00892EE6">
      <w:pPr>
        <w:spacing w:before="240" w:after="240" w:line="360" w:lineRule="auto"/>
        <w:jc w:val="center"/>
        <w:rPr>
          <w:rFonts w:ascii="Times New Roman" w:hAnsi="Times New Roman"/>
          <w:b/>
          <w:sz w:val="28"/>
          <w:szCs w:val="24"/>
        </w:rPr>
      </w:pPr>
      <w:r w:rsidRPr="00BA0E8D">
        <w:rPr>
          <w:rFonts w:ascii="Times New Roman" w:hAnsi="Times New Roman"/>
          <w:b/>
          <w:sz w:val="28"/>
          <w:szCs w:val="24"/>
        </w:rPr>
        <w:t xml:space="preserve">[Table </w:t>
      </w:r>
      <w:r w:rsidR="00D725DC" w:rsidRPr="00BA0E8D">
        <w:rPr>
          <w:rFonts w:ascii="Times New Roman" w:hAnsi="Times New Roman"/>
          <w:b/>
          <w:sz w:val="28"/>
          <w:szCs w:val="24"/>
        </w:rPr>
        <w:t>10</w:t>
      </w:r>
      <w:r w:rsidRPr="00BA0E8D">
        <w:rPr>
          <w:rFonts w:ascii="Times New Roman" w:hAnsi="Times New Roman"/>
          <w:b/>
          <w:sz w:val="28"/>
          <w:szCs w:val="24"/>
        </w:rPr>
        <w:t xml:space="preserve"> about here]</w:t>
      </w:r>
    </w:p>
    <w:p w14:paraId="7EE0E9F9" w14:textId="5E6DA4FF" w:rsidR="00AF147B" w:rsidRPr="00BA0E8D" w:rsidRDefault="00F34BE3" w:rsidP="00894076">
      <w:pPr>
        <w:spacing w:before="240" w:after="240" w:line="360" w:lineRule="auto"/>
        <w:jc w:val="both"/>
        <w:rPr>
          <w:rFonts w:ascii="Times New Roman" w:hAnsi="Times New Roman"/>
          <w:sz w:val="24"/>
          <w:szCs w:val="24"/>
        </w:rPr>
      </w:pPr>
      <w:r w:rsidRPr="00BA0E8D">
        <w:rPr>
          <w:rFonts w:ascii="Times New Roman" w:hAnsi="Times New Roman"/>
          <w:sz w:val="24"/>
          <w:szCs w:val="24"/>
        </w:rPr>
        <w:lastRenderedPageBreak/>
        <w:t xml:space="preserve">The results in Table </w:t>
      </w:r>
      <w:r w:rsidR="00D725DC" w:rsidRPr="00BA0E8D">
        <w:rPr>
          <w:rFonts w:ascii="Times New Roman" w:hAnsi="Times New Roman"/>
          <w:sz w:val="24"/>
          <w:szCs w:val="24"/>
        </w:rPr>
        <w:t>10</w:t>
      </w:r>
      <w:r w:rsidRPr="00BA0E8D">
        <w:rPr>
          <w:rFonts w:ascii="Times New Roman" w:hAnsi="Times New Roman"/>
          <w:sz w:val="24"/>
          <w:szCs w:val="24"/>
        </w:rPr>
        <w:t xml:space="preserve"> confirm the negative effect of credit information sharing on bank credit intermediation cost. The coefficient on the depth of credit information enters all the models with a negative sign and </w:t>
      </w:r>
      <w:r w:rsidR="00FE1827" w:rsidRPr="00BA0E8D">
        <w:rPr>
          <w:rFonts w:ascii="Times New Roman" w:hAnsi="Times New Roman"/>
          <w:sz w:val="24"/>
          <w:szCs w:val="24"/>
        </w:rPr>
        <w:t xml:space="preserve">is </w:t>
      </w:r>
      <w:r w:rsidRPr="00BA0E8D">
        <w:rPr>
          <w:rFonts w:ascii="Times New Roman" w:hAnsi="Times New Roman"/>
          <w:sz w:val="24"/>
          <w:szCs w:val="24"/>
        </w:rPr>
        <w:t>statistically significant.</w:t>
      </w:r>
      <w:r w:rsidR="006659E8" w:rsidRPr="00BA0E8D">
        <w:rPr>
          <w:rFonts w:ascii="Times New Roman" w:hAnsi="Times New Roman"/>
          <w:sz w:val="24"/>
          <w:szCs w:val="24"/>
        </w:rPr>
        <w:t xml:space="preserve"> </w:t>
      </w:r>
      <w:r w:rsidR="00300B11">
        <w:rPr>
          <w:rFonts w:ascii="Times New Roman" w:hAnsi="Times New Roman"/>
          <w:sz w:val="24"/>
          <w:szCs w:val="24"/>
        </w:rPr>
        <w:t>Additionally</w:t>
      </w:r>
      <w:r w:rsidR="006659E8" w:rsidRPr="00BA0E8D">
        <w:rPr>
          <w:rFonts w:ascii="Times New Roman" w:hAnsi="Times New Roman"/>
          <w:sz w:val="24"/>
          <w:szCs w:val="24"/>
        </w:rPr>
        <w:t xml:space="preserve">, the interaction terms between credit information sharing and concentration (Model 2), on </w:t>
      </w:r>
      <w:r w:rsidR="00300B11">
        <w:rPr>
          <w:rFonts w:ascii="Times New Roman" w:hAnsi="Times New Roman"/>
          <w:sz w:val="24"/>
          <w:szCs w:val="24"/>
        </w:rPr>
        <w:t xml:space="preserve">the </w:t>
      </w:r>
      <w:r w:rsidR="006659E8" w:rsidRPr="00BA0E8D">
        <w:rPr>
          <w:rFonts w:ascii="Times New Roman" w:hAnsi="Times New Roman"/>
          <w:sz w:val="24"/>
          <w:szCs w:val="24"/>
        </w:rPr>
        <w:t xml:space="preserve">one hand, and credit information sharing and governance indicator of rule of law (Model 3), on the other hand, remain positive and significant. Finally, the two interaction terms remain positive and statistically significant when </w:t>
      </w:r>
      <w:r w:rsidR="00AF147B" w:rsidRPr="00BA0E8D">
        <w:rPr>
          <w:rFonts w:ascii="Times New Roman" w:hAnsi="Times New Roman"/>
          <w:sz w:val="24"/>
          <w:szCs w:val="24"/>
        </w:rPr>
        <w:t xml:space="preserve">we control for them </w:t>
      </w:r>
      <w:r w:rsidR="006659E8" w:rsidRPr="00BA0E8D">
        <w:rPr>
          <w:rFonts w:ascii="Times New Roman" w:hAnsi="Times New Roman"/>
          <w:sz w:val="24"/>
          <w:szCs w:val="24"/>
        </w:rPr>
        <w:t xml:space="preserve">jointly (Model 4). </w:t>
      </w:r>
    </w:p>
    <w:p w14:paraId="709FC5BC" w14:textId="157CE9C0" w:rsidR="00D5679F" w:rsidRPr="00BA0E8D" w:rsidRDefault="006659E8" w:rsidP="00894076">
      <w:pPr>
        <w:spacing w:before="240" w:after="240" w:line="360" w:lineRule="auto"/>
        <w:jc w:val="both"/>
        <w:rPr>
          <w:rFonts w:ascii="Times New Roman" w:hAnsi="Times New Roman"/>
          <w:sz w:val="24"/>
          <w:szCs w:val="24"/>
        </w:rPr>
      </w:pPr>
      <w:r w:rsidRPr="00BA0E8D">
        <w:rPr>
          <w:rFonts w:ascii="Times New Roman" w:hAnsi="Times New Roman"/>
          <w:sz w:val="24"/>
          <w:szCs w:val="24"/>
        </w:rPr>
        <w:t xml:space="preserve">Overall, these findings corroborate the earlier findings suggesting that </w:t>
      </w:r>
      <w:r w:rsidR="000C0E76" w:rsidRPr="00BA0E8D">
        <w:rPr>
          <w:rFonts w:ascii="Times New Roman" w:hAnsi="Times New Roman"/>
          <w:sz w:val="24"/>
          <w:szCs w:val="24"/>
        </w:rPr>
        <w:t xml:space="preserve">credit information sharing reduces bank credit intermediation cost but less so in a more concentrated banking market and banking markets with relatively good governance.  </w:t>
      </w:r>
    </w:p>
    <w:p w14:paraId="3C71BF26" w14:textId="60B64B8E" w:rsidR="00395619" w:rsidRPr="00BA0E8D" w:rsidRDefault="006659E8" w:rsidP="00894076">
      <w:pPr>
        <w:widowControl w:val="0"/>
        <w:tabs>
          <w:tab w:val="left" w:pos="8300"/>
        </w:tabs>
        <w:autoSpaceDE w:val="0"/>
        <w:autoSpaceDN w:val="0"/>
        <w:adjustRightInd w:val="0"/>
        <w:spacing w:after="0" w:line="360" w:lineRule="auto"/>
        <w:jc w:val="both"/>
        <w:rPr>
          <w:rFonts w:ascii="Times New Roman" w:hAnsi="Times New Roman"/>
          <w:sz w:val="24"/>
          <w:szCs w:val="24"/>
        </w:rPr>
      </w:pPr>
      <w:r w:rsidRPr="00BA0E8D">
        <w:rPr>
          <w:rFonts w:ascii="Times New Roman" w:hAnsi="Times New Roman"/>
          <w:sz w:val="24"/>
          <w:szCs w:val="24"/>
        </w:rPr>
        <w:tab/>
      </w:r>
    </w:p>
    <w:p w14:paraId="72BEE666" w14:textId="0E663926" w:rsidR="00A651BC" w:rsidRPr="00BA0E8D" w:rsidRDefault="009D5233" w:rsidP="00444D9D">
      <w:pPr>
        <w:spacing w:line="360" w:lineRule="auto"/>
        <w:jc w:val="both"/>
        <w:rPr>
          <w:rFonts w:ascii="Times New Roman" w:hAnsi="Times New Roman"/>
          <w:b/>
          <w:sz w:val="24"/>
          <w:szCs w:val="24"/>
        </w:rPr>
      </w:pPr>
      <w:r>
        <w:rPr>
          <w:rFonts w:ascii="Times New Roman" w:hAnsi="Times New Roman"/>
          <w:b/>
          <w:sz w:val="24"/>
          <w:szCs w:val="24"/>
        </w:rPr>
        <w:t>6</w:t>
      </w:r>
      <w:r w:rsidR="00A651BC" w:rsidRPr="00BA0E8D">
        <w:rPr>
          <w:rFonts w:ascii="Times New Roman" w:hAnsi="Times New Roman"/>
          <w:b/>
          <w:sz w:val="24"/>
          <w:szCs w:val="24"/>
        </w:rPr>
        <w:t>. Conclusion</w:t>
      </w:r>
    </w:p>
    <w:p w14:paraId="735E385D" w14:textId="5DE64933" w:rsidR="00AB075A" w:rsidRPr="00BA0E8D" w:rsidRDefault="0026642D" w:rsidP="00444D9D">
      <w:pPr>
        <w:spacing w:line="360" w:lineRule="auto"/>
        <w:jc w:val="both"/>
        <w:rPr>
          <w:rFonts w:ascii="Times New Roman" w:hAnsi="Times New Roman"/>
          <w:color w:val="000000"/>
          <w:sz w:val="24"/>
          <w:szCs w:val="24"/>
        </w:rPr>
      </w:pPr>
      <w:r w:rsidRPr="00BA0E8D">
        <w:rPr>
          <w:rFonts w:ascii="Times New Roman" w:hAnsi="Times New Roman"/>
          <w:sz w:val="24"/>
          <w:szCs w:val="24"/>
        </w:rPr>
        <w:t xml:space="preserve">The findings of prior studies suggest that credit information sharing can have </w:t>
      </w:r>
      <w:proofErr w:type="gramStart"/>
      <w:r w:rsidRPr="00BA0E8D">
        <w:rPr>
          <w:rFonts w:ascii="Times New Roman" w:hAnsi="Times New Roman"/>
          <w:sz w:val="24"/>
          <w:szCs w:val="24"/>
        </w:rPr>
        <w:t>a number of</w:t>
      </w:r>
      <w:proofErr w:type="gramEnd"/>
      <w:r w:rsidRPr="00BA0E8D">
        <w:rPr>
          <w:rFonts w:ascii="Times New Roman" w:hAnsi="Times New Roman"/>
          <w:sz w:val="24"/>
          <w:szCs w:val="24"/>
        </w:rPr>
        <w:t xml:space="preserve"> positive </w:t>
      </w:r>
      <w:r w:rsidR="001A3A28" w:rsidRPr="00BA0E8D">
        <w:rPr>
          <w:rFonts w:ascii="Times New Roman" w:hAnsi="Times New Roman"/>
          <w:sz w:val="24"/>
          <w:szCs w:val="24"/>
        </w:rPr>
        <w:t>effects, including</w:t>
      </w:r>
      <w:r w:rsidRPr="00BA0E8D">
        <w:rPr>
          <w:rFonts w:ascii="Times New Roman" w:hAnsi="Times New Roman"/>
          <w:sz w:val="24"/>
          <w:szCs w:val="24"/>
        </w:rPr>
        <w:t xml:space="preserve"> reducing default rates</w:t>
      </w:r>
      <w:r w:rsidR="001A3A28" w:rsidRPr="00BA0E8D">
        <w:rPr>
          <w:rFonts w:ascii="Times New Roman" w:hAnsi="Times New Roman"/>
          <w:sz w:val="24"/>
          <w:szCs w:val="24"/>
        </w:rPr>
        <w:t>,</w:t>
      </w:r>
      <w:r w:rsidRPr="00BA0E8D">
        <w:rPr>
          <w:rFonts w:ascii="Times New Roman" w:hAnsi="Times New Roman"/>
          <w:sz w:val="24"/>
          <w:szCs w:val="24"/>
        </w:rPr>
        <w:t xml:space="preserve"> </w:t>
      </w:r>
      <w:r w:rsidR="001A3A28" w:rsidRPr="00BA0E8D">
        <w:rPr>
          <w:rFonts w:ascii="Times New Roman" w:hAnsi="Times New Roman"/>
          <w:sz w:val="24"/>
          <w:szCs w:val="24"/>
        </w:rPr>
        <w:t xml:space="preserve">enhancing access to private credit, and improving </w:t>
      </w:r>
      <w:r w:rsidRPr="00BA0E8D">
        <w:rPr>
          <w:rFonts w:ascii="Times New Roman" w:hAnsi="Times New Roman"/>
          <w:sz w:val="24"/>
          <w:szCs w:val="24"/>
        </w:rPr>
        <w:t>credit performance (</w:t>
      </w:r>
      <w:proofErr w:type="spellStart"/>
      <w:r w:rsidR="00EF7146" w:rsidRPr="00BA0E8D">
        <w:rPr>
          <w:rFonts w:ascii="Times New Roman" w:hAnsi="Times New Roman"/>
          <w:color w:val="222222"/>
          <w:sz w:val="24"/>
          <w:szCs w:val="20"/>
          <w:shd w:val="clear" w:color="auto" w:fill="FFFFFF"/>
        </w:rPr>
        <w:t>Jappelli</w:t>
      </w:r>
      <w:proofErr w:type="spellEnd"/>
      <w:r w:rsidR="00EF7146" w:rsidRPr="00BA0E8D">
        <w:rPr>
          <w:rFonts w:ascii="Times New Roman" w:hAnsi="Times New Roman"/>
          <w:color w:val="222222"/>
          <w:sz w:val="24"/>
          <w:szCs w:val="20"/>
          <w:shd w:val="clear" w:color="auto" w:fill="FFFFFF"/>
        </w:rPr>
        <w:t xml:space="preserve">, </w:t>
      </w:r>
      <w:r w:rsidR="00803E50" w:rsidRPr="00BA0E8D">
        <w:rPr>
          <w:rFonts w:ascii="Times New Roman" w:hAnsi="Times New Roman"/>
          <w:color w:val="222222"/>
          <w:sz w:val="24"/>
          <w:szCs w:val="20"/>
          <w:shd w:val="clear" w:color="auto" w:fill="FFFFFF"/>
        </w:rPr>
        <w:t xml:space="preserve">and </w:t>
      </w:r>
      <w:r w:rsidR="00EF7146" w:rsidRPr="00BA0E8D">
        <w:rPr>
          <w:rFonts w:ascii="Times New Roman" w:hAnsi="Times New Roman"/>
          <w:color w:val="222222"/>
          <w:sz w:val="24"/>
          <w:szCs w:val="20"/>
          <w:shd w:val="clear" w:color="auto" w:fill="FFFFFF"/>
        </w:rPr>
        <w:t>Pagano, 2002</w:t>
      </w:r>
      <w:r w:rsidR="004C41A8" w:rsidRPr="00BA0E8D">
        <w:rPr>
          <w:rFonts w:ascii="Times New Roman" w:hAnsi="Times New Roman"/>
          <w:color w:val="222222"/>
          <w:sz w:val="24"/>
          <w:szCs w:val="20"/>
          <w:shd w:val="clear" w:color="auto" w:fill="FFFFFF"/>
        </w:rPr>
        <w:t>;</w:t>
      </w:r>
      <w:r w:rsidR="004C41A8" w:rsidRPr="00BA0E8D">
        <w:rPr>
          <w:rFonts w:ascii="Times New Roman" w:hAnsi="Times New Roman"/>
          <w:sz w:val="24"/>
          <w:szCs w:val="24"/>
        </w:rPr>
        <w:t xml:space="preserve"> Brown et al. 2009; Fosu, 2014</w:t>
      </w:r>
      <w:r w:rsidRPr="00BA0E8D">
        <w:rPr>
          <w:rFonts w:ascii="Times New Roman" w:hAnsi="Times New Roman"/>
          <w:sz w:val="24"/>
          <w:szCs w:val="24"/>
        </w:rPr>
        <w:t xml:space="preserve">). However, the extent to which </w:t>
      </w:r>
      <w:r w:rsidR="001A3A28" w:rsidRPr="00BA0E8D">
        <w:rPr>
          <w:rFonts w:ascii="Times New Roman" w:hAnsi="Times New Roman"/>
          <w:sz w:val="24"/>
          <w:szCs w:val="24"/>
        </w:rPr>
        <w:t xml:space="preserve">credit information sharing influences credit intermediation cost has rarely been examined. </w:t>
      </w:r>
      <w:r w:rsidR="00562012" w:rsidRPr="00BA0E8D">
        <w:rPr>
          <w:rFonts w:ascii="Times New Roman" w:hAnsi="Times New Roman"/>
          <w:sz w:val="24"/>
          <w:szCs w:val="24"/>
        </w:rPr>
        <w:t>Consequently, in this paper, we seek to</w:t>
      </w:r>
      <w:r w:rsidR="00885D56" w:rsidRPr="00BA0E8D">
        <w:rPr>
          <w:rFonts w:ascii="Times New Roman" w:hAnsi="Times New Roman"/>
          <w:sz w:val="24"/>
          <w:szCs w:val="24"/>
        </w:rPr>
        <w:t xml:space="preserve"> offer</w:t>
      </w:r>
      <w:r w:rsidR="00562012" w:rsidRPr="00BA0E8D">
        <w:rPr>
          <w:rFonts w:ascii="Times New Roman" w:hAnsi="Times New Roman"/>
          <w:sz w:val="24"/>
          <w:szCs w:val="24"/>
        </w:rPr>
        <w:t xml:space="preserve"> </w:t>
      </w:r>
      <w:r w:rsidR="007C2046" w:rsidRPr="00BA0E8D">
        <w:rPr>
          <w:rFonts w:ascii="Times New Roman" w:hAnsi="Times New Roman"/>
          <w:sz w:val="24"/>
          <w:szCs w:val="24"/>
        </w:rPr>
        <w:t>fresh perspectives</w:t>
      </w:r>
      <w:r w:rsidR="003F1186" w:rsidRPr="00BA0E8D">
        <w:rPr>
          <w:rFonts w:ascii="Times New Roman" w:hAnsi="Times New Roman"/>
          <w:sz w:val="24"/>
          <w:szCs w:val="24"/>
        </w:rPr>
        <w:t xml:space="preserve"> </w:t>
      </w:r>
      <w:r w:rsidR="00217DAE" w:rsidRPr="00BA0E8D">
        <w:rPr>
          <w:rFonts w:ascii="Times New Roman" w:hAnsi="Times New Roman"/>
          <w:sz w:val="24"/>
          <w:szCs w:val="24"/>
        </w:rPr>
        <w:t xml:space="preserve">to the growing literature on </w:t>
      </w:r>
      <w:r w:rsidR="00260E43" w:rsidRPr="00BA0E8D">
        <w:rPr>
          <w:rFonts w:ascii="Times New Roman" w:hAnsi="Times New Roman"/>
          <w:sz w:val="24"/>
          <w:szCs w:val="24"/>
        </w:rPr>
        <w:t>credit information sharing</w:t>
      </w:r>
      <w:r w:rsidR="00217DAE" w:rsidRPr="00BA0E8D">
        <w:rPr>
          <w:rFonts w:ascii="Times New Roman" w:hAnsi="Times New Roman"/>
          <w:sz w:val="24"/>
          <w:szCs w:val="24"/>
        </w:rPr>
        <w:t xml:space="preserve"> by empirically examining the relationship between </w:t>
      </w:r>
      <w:r w:rsidR="00260E43" w:rsidRPr="00BA0E8D">
        <w:rPr>
          <w:rFonts w:ascii="Times New Roman" w:hAnsi="Times New Roman"/>
          <w:sz w:val="24"/>
          <w:szCs w:val="24"/>
        </w:rPr>
        <w:t>credit information sharing and bank intermediation cost</w:t>
      </w:r>
      <w:r w:rsidR="00562012" w:rsidRPr="00BA0E8D">
        <w:rPr>
          <w:rFonts w:ascii="Times New Roman" w:hAnsi="Times New Roman"/>
          <w:sz w:val="24"/>
          <w:szCs w:val="24"/>
        </w:rPr>
        <w:t xml:space="preserve"> in developing countries</w:t>
      </w:r>
      <w:r w:rsidR="006D4938">
        <w:rPr>
          <w:rFonts w:ascii="Times New Roman" w:hAnsi="Times New Roman"/>
          <w:sz w:val="24"/>
          <w:szCs w:val="24"/>
        </w:rPr>
        <w:t>,</w:t>
      </w:r>
      <w:r w:rsidR="00562012" w:rsidRPr="00BA0E8D">
        <w:rPr>
          <w:rFonts w:ascii="Times New Roman" w:hAnsi="Times New Roman"/>
          <w:sz w:val="24"/>
          <w:szCs w:val="24"/>
        </w:rPr>
        <w:t xml:space="preserve"> with a specific focus on banks in Africa. In </w:t>
      </w:r>
      <w:proofErr w:type="gramStart"/>
      <w:r w:rsidR="00562012" w:rsidRPr="00BA0E8D">
        <w:rPr>
          <w:rFonts w:ascii="Times New Roman" w:hAnsi="Times New Roman"/>
          <w:sz w:val="24"/>
          <w:szCs w:val="24"/>
        </w:rPr>
        <w:t>particular</w:t>
      </w:r>
      <w:r w:rsidR="006D4938">
        <w:rPr>
          <w:rFonts w:ascii="Times New Roman" w:hAnsi="Times New Roman"/>
          <w:sz w:val="24"/>
          <w:szCs w:val="24"/>
        </w:rPr>
        <w:t>,</w:t>
      </w:r>
      <w:r w:rsidR="00562012" w:rsidRPr="00BA0E8D">
        <w:rPr>
          <w:rFonts w:ascii="Times New Roman" w:hAnsi="Times New Roman"/>
          <w:sz w:val="24"/>
          <w:szCs w:val="24"/>
        </w:rPr>
        <w:t xml:space="preserve"> and</w:t>
      </w:r>
      <w:proofErr w:type="gramEnd"/>
      <w:r w:rsidR="00562012" w:rsidRPr="00BA0E8D">
        <w:rPr>
          <w:rFonts w:ascii="Times New Roman" w:hAnsi="Times New Roman"/>
          <w:sz w:val="24"/>
          <w:szCs w:val="24"/>
        </w:rPr>
        <w:t xml:space="preserve"> m</w:t>
      </w:r>
      <w:r w:rsidR="00217DAE" w:rsidRPr="00BA0E8D">
        <w:rPr>
          <w:rFonts w:ascii="Times New Roman" w:hAnsi="Times New Roman"/>
          <w:sz w:val="24"/>
          <w:szCs w:val="24"/>
        </w:rPr>
        <w:t xml:space="preserve">otivated by the </w:t>
      </w:r>
      <w:r w:rsidR="00B84AB7" w:rsidRPr="00BA0E8D">
        <w:rPr>
          <w:rFonts w:ascii="Times New Roman" w:hAnsi="Times New Roman"/>
          <w:sz w:val="24"/>
          <w:szCs w:val="24"/>
        </w:rPr>
        <w:t xml:space="preserve">growing attention </w:t>
      </w:r>
      <w:r w:rsidR="006D4938">
        <w:rPr>
          <w:rFonts w:ascii="Times New Roman" w:hAnsi="Times New Roman"/>
          <w:sz w:val="24"/>
          <w:szCs w:val="24"/>
        </w:rPr>
        <w:t xml:space="preserve">being paid both </w:t>
      </w:r>
      <w:r w:rsidR="00B84AB7" w:rsidRPr="00BA0E8D">
        <w:rPr>
          <w:rFonts w:ascii="Times New Roman" w:hAnsi="Times New Roman"/>
          <w:sz w:val="24"/>
          <w:szCs w:val="24"/>
        </w:rPr>
        <w:t>to</w:t>
      </w:r>
      <w:r w:rsidR="00217DAE" w:rsidRPr="00BA0E8D">
        <w:rPr>
          <w:rFonts w:ascii="Times New Roman" w:hAnsi="Times New Roman"/>
          <w:sz w:val="24"/>
          <w:szCs w:val="24"/>
        </w:rPr>
        <w:t xml:space="preserve"> banking competition </w:t>
      </w:r>
      <w:r w:rsidR="00FE1827" w:rsidRPr="00BA0E8D">
        <w:rPr>
          <w:rFonts w:ascii="Times New Roman" w:hAnsi="Times New Roman"/>
          <w:sz w:val="24"/>
          <w:szCs w:val="24"/>
        </w:rPr>
        <w:t xml:space="preserve">and </w:t>
      </w:r>
      <w:r w:rsidR="00B84AB7" w:rsidRPr="00BA0E8D">
        <w:rPr>
          <w:rFonts w:ascii="Times New Roman" w:hAnsi="Times New Roman"/>
          <w:sz w:val="24"/>
          <w:szCs w:val="24"/>
        </w:rPr>
        <w:t>to credit information mechanisms in developing countries</w:t>
      </w:r>
      <w:r w:rsidR="00217DAE" w:rsidRPr="00BA0E8D">
        <w:rPr>
          <w:rFonts w:ascii="Times New Roman" w:hAnsi="Times New Roman"/>
          <w:sz w:val="24"/>
          <w:szCs w:val="24"/>
        </w:rPr>
        <w:t xml:space="preserve">, </w:t>
      </w:r>
      <w:r w:rsidR="00B84AB7" w:rsidRPr="00BA0E8D">
        <w:rPr>
          <w:rFonts w:ascii="Times New Roman" w:hAnsi="Times New Roman"/>
          <w:sz w:val="24"/>
          <w:szCs w:val="24"/>
        </w:rPr>
        <w:t xml:space="preserve">we provide </w:t>
      </w:r>
      <w:r w:rsidR="00FE1827" w:rsidRPr="00BA0E8D">
        <w:rPr>
          <w:rFonts w:ascii="Times New Roman" w:hAnsi="Times New Roman"/>
          <w:sz w:val="24"/>
          <w:szCs w:val="24"/>
        </w:rPr>
        <w:t>first-hand</w:t>
      </w:r>
      <w:r w:rsidR="00B84AB7" w:rsidRPr="00BA0E8D">
        <w:rPr>
          <w:rFonts w:ascii="Times New Roman" w:hAnsi="Times New Roman"/>
          <w:sz w:val="24"/>
          <w:szCs w:val="24"/>
        </w:rPr>
        <w:t xml:space="preserve"> evidence using a sample</w:t>
      </w:r>
      <w:r w:rsidR="00970A22" w:rsidRPr="00BA0E8D">
        <w:rPr>
          <w:rFonts w:ascii="Times New Roman" w:hAnsi="Times New Roman"/>
          <w:sz w:val="24"/>
          <w:szCs w:val="24"/>
        </w:rPr>
        <w:t xml:space="preserve"> </w:t>
      </w:r>
      <w:r w:rsidR="006D4938">
        <w:rPr>
          <w:rFonts w:ascii="Times New Roman" w:hAnsi="Times New Roman"/>
          <w:sz w:val="24"/>
          <w:szCs w:val="24"/>
        </w:rPr>
        <w:t xml:space="preserve">of </w:t>
      </w:r>
      <w:r w:rsidR="00DB77D0" w:rsidRPr="00BA0E8D">
        <w:rPr>
          <w:rFonts w:ascii="Times New Roman" w:hAnsi="Times New Roman"/>
          <w:sz w:val="24"/>
          <w:szCs w:val="24"/>
        </w:rPr>
        <w:t>272</w:t>
      </w:r>
      <w:r w:rsidR="00B84AB7" w:rsidRPr="00BA0E8D">
        <w:rPr>
          <w:rFonts w:ascii="Times New Roman" w:hAnsi="Times New Roman"/>
          <w:sz w:val="24"/>
          <w:szCs w:val="24"/>
        </w:rPr>
        <w:t xml:space="preserve"> banks from</w:t>
      </w:r>
      <w:r w:rsidR="00217DAE" w:rsidRPr="00BA0E8D">
        <w:rPr>
          <w:rFonts w:ascii="Times New Roman" w:hAnsi="Times New Roman"/>
          <w:sz w:val="24"/>
          <w:szCs w:val="24"/>
        </w:rPr>
        <w:t xml:space="preserve"> </w:t>
      </w:r>
      <w:r w:rsidR="00DB77D0" w:rsidRPr="00BA0E8D">
        <w:rPr>
          <w:rFonts w:ascii="Times New Roman" w:hAnsi="Times New Roman"/>
          <w:sz w:val="24"/>
          <w:szCs w:val="24"/>
        </w:rPr>
        <w:t>27</w:t>
      </w:r>
      <w:r w:rsidR="008625C6" w:rsidRPr="00BA0E8D">
        <w:rPr>
          <w:rFonts w:ascii="Times New Roman" w:hAnsi="Times New Roman"/>
          <w:sz w:val="24"/>
          <w:szCs w:val="24"/>
        </w:rPr>
        <w:t xml:space="preserve"> countries in Africa</w:t>
      </w:r>
      <w:r w:rsidR="00970A22" w:rsidRPr="00BA0E8D">
        <w:rPr>
          <w:rFonts w:ascii="Times New Roman" w:hAnsi="Times New Roman"/>
          <w:sz w:val="24"/>
          <w:szCs w:val="24"/>
        </w:rPr>
        <w:t xml:space="preserve"> over a</w:t>
      </w:r>
      <w:r w:rsidR="006D4938">
        <w:rPr>
          <w:rFonts w:ascii="Times New Roman" w:hAnsi="Times New Roman"/>
          <w:sz w:val="24"/>
          <w:szCs w:val="24"/>
        </w:rPr>
        <w:t xml:space="preserve"> </w:t>
      </w:r>
      <w:r w:rsidR="00FE4CDB">
        <w:rPr>
          <w:rFonts w:ascii="Times New Roman" w:hAnsi="Times New Roman"/>
          <w:sz w:val="24"/>
          <w:szCs w:val="24"/>
        </w:rPr>
        <w:t>9</w:t>
      </w:r>
      <w:r w:rsidR="00970A22" w:rsidRPr="00BA0E8D">
        <w:rPr>
          <w:rFonts w:ascii="Times New Roman" w:hAnsi="Times New Roman"/>
          <w:sz w:val="24"/>
          <w:szCs w:val="24"/>
        </w:rPr>
        <w:t>-year period (i.e., 2004-201</w:t>
      </w:r>
      <w:r w:rsidR="00FE4CDB">
        <w:rPr>
          <w:rFonts w:ascii="Times New Roman" w:hAnsi="Times New Roman"/>
          <w:sz w:val="24"/>
          <w:szCs w:val="24"/>
        </w:rPr>
        <w:t>2</w:t>
      </w:r>
      <w:r w:rsidR="00970A22" w:rsidRPr="00BA0E8D">
        <w:rPr>
          <w:rFonts w:ascii="Times New Roman" w:hAnsi="Times New Roman"/>
          <w:sz w:val="24"/>
          <w:szCs w:val="24"/>
        </w:rPr>
        <w:t>)</w:t>
      </w:r>
      <w:r w:rsidR="00217DAE" w:rsidRPr="00BA0E8D">
        <w:rPr>
          <w:rFonts w:ascii="Times New Roman" w:hAnsi="Times New Roman"/>
          <w:sz w:val="24"/>
          <w:szCs w:val="24"/>
        </w:rPr>
        <w:t>. Notably, evidence presented here indicate</w:t>
      </w:r>
      <w:r w:rsidR="00FA1E2B" w:rsidRPr="00BA0E8D">
        <w:rPr>
          <w:rFonts w:ascii="Times New Roman" w:hAnsi="Times New Roman"/>
          <w:sz w:val="24"/>
          <w:szCs w:val="24"/>
        </w:rPr>
        <w:t>s</w:t>
      </w:r>
      <w:r w:rsidR="00217DAE" w:rsidRPr="00BA0E8D">
        <w:rPr>
          <w:rFonts w:ascii="Times New Roman" w:hAnsi="Times New Roman"/>
          <w:sz w:val="24"/>
          <w:szCs w:val="24"/>
        </w:rPr>
        <w:t xml:space="preserve"> that </w:t>
      </w:r>
      <w:r w:rsidR="00260E43" w:rsidRPr="00BA0E8D">
        <w:rPr>
          <w:rFonts w:ascii="Times New Roman" w:hAnsi="Times New Roman"/>
          <w:sz w:val="24"/>
          <w:szCs w:val="24"/>
        </w:rPr>
        <w:t>credit information sharing leads to a reduction of banks</w:t>
      </w:r>
      <w:r w:rsidR="006D4938">
        <w:rPr>
          <w:rFonts w:ascii="Times New Roman" w:hAnsi="Times New Roman"/>
          <w:sz w:val="24"/>
          <w:szCs w:val="24"/>
        </w:rPr>
        <w:t>’</w:t>
      </w:r>
      <w:r w:rsidR="00260E43" w:rsidRPr="00BA0E8D">
        <w:rPr>
          <w:rFonts w:ascii="Times New Roman" w:hAnsi="Times New Roman"/>
          <w:sz w:val="24"/>
          <w:szCs w:val="24"/>
        </w:rPr>
        <w:t xml:space="preserve"> intermediation cost</w:t>
      </w:r>
      <w:r w:rsidR="006D4938">
        <w:rPr>
          <w:rFonts w:ascii="Times New Roman" w:hAnsi="Times New Roman"/>
          <w:sz w:val="24"/>
          <w:szCs w:val="24"/>
        </w:rPr>
        <w:t>s</w:t>
      </w:r>
      <w:r w:rsidR="00217DAE" w:rsidRPr="00BA0E8D">
        <w:rPr>
          <w:rFonts w:ascii="Times New Roman" w:hAnsi="Times New Roman"/>
          <w:sz w:val="24"/>
          <w:szCs w:val="24"/>
        </w:rPr>
        <w:t xml:space="preserve">. </w:t>
      </w:r>
      <w:r w:rsidR="00E96153" w:rsidRPr="00BA0E8D">
        <w:rPr>
          <w:rFonts w:ascii="Times New Roman" w:hAnsi="Times New Roman"/>
          <w:sz w:val="24"/>
          <w:szCs w:val="24"/>
        </w:rPr>
        <w:t xml:space="preserve">However, the extent to which </w:t>
      </w:r>
      <w:r w:rsidR="00AB075A" w:rsidRPr="00BA0E8D">
        <w:rPr>
          <w:rFonts w:ascii="Times New Roman" w:hAnsi="Times New Roman"/>
          <w:sz w:val="24"/>
          <w:szCs w:val="24"/>
        </w:rPr>
        <w:t>credit intermediation reduces in respons</w:t>
      </w:r>
      <w:r w:rsidR="00E96BD5" w:rsidRPr="00BA0E8D">
        <w:rPr>
          <w:rFonts w:ascii="Times New Roman" w:hAnsi="Times New Roman"/>
          <w:sz w:val="24"/>
          <w:szCs w:val="24"/>
        </w:rPr>
        <w:t>e</w:t>
      </w:r>
      <w:r w:rsidR="00AB075A" w:rsidRPr="00BA0E8D">
        <w:rPr>
          <w:rFonts w:ascii="Times New Roman" w:hAnsi="Times New Roman"/>
          <w:sz w:val="24"/>
          <w:szCs w:val="24"/>
        </w:rPr>
        <w:t xml:space="preserve"> to credit information sharing </w:t>
      </w:r>
      <w:r w:rsidR="00E96153" w:rsidRPr="00BA0E8D">
        <w:rPr>
          <w:rFonts w:ascii="Times New Roman" w:hAnsi="Times New Roman"/>
          <w:sz w:val="24"/>
          <w:szCs w:val="24"/>
        </w:rPr>
        <w:t xml:space="preserve">is moderated by </w:t>
      </w:r>
      <w:r w:rsidR="00AB075A" w:rsidRPr="00BA0E8D">
        <w:rPr>
          <w:rFonts w:ascii="Times New Roman" w:hAnsi="Times New Roman"/>
          <w:sz w:val="24"/>
          <w:szCs w:val="24"/>
        </w:rPr>
        <w:t>banking market concentration and, to a large extent, governance quality</w:t>
      </w:r>
      <w:r w:rsidR="00356BE7" w:rsidRPr="00BA0E8D">
        <w:rPr>
          <w:rFonts w:ascii="Times New Roman" w:hAnsi="Times New Roman"/>
          <w:color w:val="000000"/>
          <w:sz w:val="24"/>
          <w:szCs w:val="24"/>
        </w:rPr>
        <w:t>.</w:t>
      </w:r>
      <w:r w:rsidR="00611F87">
        <w:rPr>
          <w:rFonts w:ascii="Times New Roman" w:hAnsi="Times New Roman"/>
          <w:color w:val="000000"/>
          <w:sz w:val="24"/>
          <w:szCs w:val="24"/>
        </w:rPr>
        <w:t xml:space="preserve"> </w:t>
      </w:r>
      <w:r w:rsidR="00AB075A" w:rsidRPr="00BA0E8D">
        <w:rPr>
          <w:rFonts w:ascii="Times New Roman" w:hAnsi="Times New Roman"/>
          <w:color w:val="000000"/>
          <w:sz w:val="24"/>
          <w:szCs w:val="24"/>
        </w:rPr>
        <w:t>By way of extension, we also find that banking market concentration reduces credit intermediation costs</w:t>
      </w:r>
      <w:r w:rsidR="00CE2D63">
        <w:rPr>
          <w:rFonts w:ascii="Times New Roman" w:hAnsi="Times New Roman"/>
          <w:color w:val="000000"/>
          <w:sz w:val="24"/>
          <w:szCs w:val="24"/>
        </w:rPr>
        <w:t>,</w:t>
      </w:r>
      <w:r w:rsidR="00AB075A" w:rsidRPr="00BA0E8D">
        <w:rPr>
          <w:rFonts w:ascii="Times New Roman" w:hAnsi="Times New Roman"/>
          <w:color w:val="000000"/>
          <w:sz w:val="24"/>
          <w:szCs w:val="24"/>
        </w:rPr>
        <w:t xml:space="preserve"> but the effect decreases with credit information sharing. </w:t>
      </w:r>
      <w:r w:rsidR="007510D3" w:rsidRPr="00BA0E8D">
        <w:rPr>
          <w:rFonts w:ascii="Times New Roman" w:hAnsi="Times New Roman"/>
          <w:color w:val="000000"/>
          <w:sz w:val="24"/>
          <w:szCs w:val="24"/>
        </w:rPr>
        <w:t>These finding</w:t>
      </w:r>
      <w:r w:rsidR="00AB075A" w:rsidRPr="00BA0E8D">
        <w:rPr>
          <w:rFonts w:ascii="Times New Roman" w:hAnsi="Times New Roman"/>
          <w:color w:val="000000"/>
          <w:sz w:val="24"/>
          <w:szCs w:val="24"/>
        </w:rPr>
        <w:t>s</w:t>
      </w:r>
      <w:r w:rsidR="007510D3" w:rsidRPr="00BA0E8D">
        <w:rPr>
          <w:rFonts w:ascii="Times New Roman" w:hAnsi="Times New Roman"/>
          <w:color w:val="000000"/>
          <w:sz w:val="24"/>
          <w:szCs w:val="24"/>
        </w:rPr>
        <w:t xml:space="preserve"> are </w:t>
      </w:r>
      <w:proofErr w:type="gramStart"/>
      <w:r w:rsidR="00E96BD5" w:rsidRPr="00BA0E8D">
        <w:rPr>
          <w:rFonts w:ascii="Times New Roman" w:hAnsi="Times New Roman"/>
          <w:color w:val="000000"/>
          <w:sz w:val="24"/>
          <w:szCs w:val="24"/>
        </w:rPr>
        <w:t>novel</w:t>
      </w:r>
      <w:proofErr w:type="gramEnd"/>
      <w:r w:rsidR="00E96BD5" w:rsidRPr="00BA0E8D">
        <w:rPr>
          <w:rFonts w:ascii="Times New Roman" w:hAnsi="Times New Roman"/>
          <w:color w:val="000000"/>
          <w:sz w:val="24"/>
          <w:szCs w:val="24"/>
        </w:rPr>
        <w:t xml:space="preserve"> and our </w:t>
      </w:r>
      <w:r w:rsidR="00217DAE" w:rsidRPr="00BA0E8D">
        <w:rPr>
          <w:rFonts w:ascii="Times New Roman" w:hAnsi="Times New Roman"/>
          <w:color w:val="000000"/>
          <w:sz w:val="24"/>
          <w:szCs w:val="24"/>
        </w:rPr>
        <w:t>empirical findings remain robust to alternative econometric method</w:t>
      </w:r>
      <w:r w:rsidR="00E96BD5" w:rsidRPr="00BA0E8D">
        <w:rPr>
          <w:rFonts w:ascii="Times New Roman" w:hAnsi="Times New Roman"/>
          <w:color w:val="000000"/>
          <w:sz w:val="24"/>
          <w:szCs w:val="24"/>
        </w:rPr>
        <w:t>s</w:t>
      </w:r>
      <w:r w:rsidR="00AB075A" w:rsidRPr="00BA0E8D">
        <w:rPr>
          <w:rFonts w:ascii="Times New Roman" w:hAnsi="Times New Roman"/>
          <w:color w:val="000000"/>
          <w:sz w:val="24"/>
          <w:szCs w:val="24"/>
        </w:rPr>
        <w:t xml:space="preserve">. </w:t>
      </w:r>
    </w:p>
    <w:p w14:paraId="25536DF3" w14:textId="66930DA1" w:rsidR="00DD38AA" w:rsidRPr="003C588D" w:rsidRDefault="002B725E" w:rsidP="00444D9D">
      <w:pPr>
        <w:spacing w:line="360" w:lineRule="auto"/>
        <w:jc w:val="both"/>
        <w:rPr>
          <w:rFonts w:ascii="Times New Roman" w:hAnsi="Times New Roman"/>
          <w:sz w:val="24"/>
          <w:szCs w:val="24"/>
        </w:rPr>
      </w:pPr>
      <w:r w:rsidRPr="00BA0E8D">
        <w:rPr>
          <w:rFonts w:ascii="Times New Roman" w:hAnsi="Times New Roman"/>
          <w:sz w:val="24"/>
          <w:szCs w:val="24"/>
        </w:rPr>
        <w:t>A major implication of our study is th</w:t>
      </w:r>
      <w:r w:rsidR="00136B63" w:rsidRPr="00BA0E8D">
        <w:rPr>
          <w:rFonts w:ascii="Times New Roman" w:hAnsi="Times New Roman"/>
          <w:sz w:val="24"/>
          <w:szCs w:val="24"/>
        </w:rPr>
        <w:t xml:space="preserve">at greater information sharing </w:t>
      </w:r>
      <w:r w:rsidRPr="00BA0E8D">
        <w:rPr>
          <w:rFonts w:ascii="Times New Roman" w:hAnsi="Times New Roman"/>
          <w:sz w:val="24"/>
          <w:szCs w:val="24"/>
        </w:rPr>
        <w:t>leads to a</w:t>
      </w:r>
      <w:r w:rsidR="00136B63" w:rsidRPr="00BA0E8D">
        <w:rPr>
          <w:rFonts w:ascii="Times New Roman" w:hAnsi="Times New Roman"/>
          <w:sz w:val="24"/>
          <w:szCs w:val="24"/>
        </w:rPr>
        <w:t xml:space="preserve"> lower intermediation cost for borrowers</w:t>
      </w:r>
      <w:r w:rsidR="00C35996" w:rsidRPr="00BA0E8D">
        <w:rPr>
          <w:rFonts w:ascii="Times New Roman" w:hAnsi="Times New Roman"/>
          <w:sz w:val="24"/>
          <w:szCs w:val="24"/>
        </w:rPr>
        <w:t xml:space="preserve"> </w:t>
      </w:r>
      <w:r w:rsidR="00AB075A" w:rsidRPr="00BA0E8D">
        <w:rPr>
          <w:rFonts w:ascii="Times New Roman" w:hAnsi="Times New Roman"/>
          <w:sz w:val="24"/>
          <w:szCs w:val="24"/>
        </w:rPr>
        <w:t>in</w:t>
      </w:r>
      <w:r w:rsidR="00C35996" w:rsidRPr="00BA0E8D">
        <w:rPr>
          <w:rFonts w:ascii="Times New Roman" w:hAnsi="Times New Roman"/>
          <w:sz w:val="24"/>
          <w:szCs w:val="24"/>
        </w:rPr>
        <w:t xml:space="preserve"> </w:t>
      </w:r>
      <w:r w:rsidR="00C35996" w:rsidRPr="003C588D">
        <w:rPr>
          <w:rFonts w:ascii="Times New Roman" w:hAnsi="Times New Roman"/>
          <w:sz w:val="24"/>
          <w:szCs w:val="24"/>
        </w:rPr>
        <w:t>developing countries</w:t>
      </w:r>
      <w:r w:rsidR="00CE2D63" w:rsidRPr="003C588D">
        <w:rPr>
          <w:rFonts w:ascii="Times New Roman" w:hAnsi="Times New Roman"/>
          <w:sz w:val="24"/>
          <w:szCs w:val="24"/>
        </w:rPr>
        <w:t>,</w:t>
      </w:r>
      <w:r w:rsidR="00C35996" w:rsidRPr="003C588D">
        <w:rPr>
          <w:rFonts w:ascii="Times New Roman" w:hAnsi="Times New Roman"/>
          <w:sz w:val="24"/>
          <w:szCs w:val="24"/>
        </w:rPr>
        <w:t xml:space="preserve"> </w:t>
      </w:r>
      <w:r w:rsidR="00474767" w:rsidRPr="003C588D">
        <w:rPr>
          <w:rFonts w:ascii="Times New Roman" w:hAnsi="Times New Roman"/>
          <w:sz w:val="24"/>
          <w:szCs w:val="24"/>
        </w:rPr>
        <w:t xml:space="preserve">where institutional voids make </w:t>
      </w:r>
      <w:r w:rsidR="00474767" w:rsidRPr="003C588D">
        <w:rPr>
          <w:rFonts w:ascii="Times New Roman" w:hAnsi="Times New Roman"/>
          <w:sz w:val="24"/>
          <w:szCs w:val="24"/>
        </w:rPr>
        <w:lastRenderedPageBreak/>
        <w:t xml:space="preserve">adverse selections and moral hazards severe problems for banks. Therefore, the promotion of credit information sharing schemes across the African continent seems to be a step in the right direction since it has the potential to improve the balance sheets of banks, boost lending and even make the financial system more stable. However, in order to reap greater benefits from information sharing, </w:t>
      </w:r>
      <w:r w:rsidR="009D5233" w:rsidRPr="003C588D">
        <w:rPr>
          <w:rFonts w:ascii="Times New Roman" w:hAnsi="Times New Roman"/>
          <w:sz w:val="24"/>
          <w:szCs w:val="24"/>
        </w:rPr>
        <w:t xml:space="preserve">policy makers in </w:t>
      </w:r>
      <w:r w:rsidR="00474767" w:rsidRPr="003C588D">
        <w:rPr>
          <w:rFonts w:ascii="Times New Roman" w:hAnsi="Times New Roman"/>
          <w:sz w:val="24"/>
          <w:szCs w:val="24"/>
        </w:rPr>
        <w:t>countries with highly concentrated banking markets may need to take steps to increase competition, and perhaps reduce the risk of inefficient lending.</w:t>
      </w:r>
      <w:r w:rsidR="00D84C2F" w:rsidRPr="003C588D">
        <w:rPr>
          <w:rFonts w:ascii="Times New Roman" w:hAnsi="Times New Roman"/>
          <w:sz w:val="24"/>
          <w:szCs w:val="24"/>
        </w:rPr>
        <w:t xml:space="preserve"> Another implication of our study is that information sharing through the public credit registries seems to achieve greater desirable outcomes than those shared through the private credit bureaus. Therefore, policy makers in Africa seeking to drive down banking intermediation costs should focus more the public credit registries. </w:t>
      </w:r>
      <w:r w:rsidR="00474767" w:rsidRPr="003C588D">
        <w:rPr>
          <w:rFonts w:ascii="Times New Roman" w:hAnsi="Times New Roman"/>
          <w:sz w:val="24"/>
          <w:szCs w:val="24"/>
        </w:rPr>
        <w:t xml:space="preserve">  </w:t>
      </w:r>
      <w:r w:rsidR="00136B63" w:rsidRPr="003C588D">
        <w:rPr>
          <w:rFonts w:ascii="Times New Roman" w:hAnsi="Times New Roman"/>
          <w:sz w:val="24"/>
          <w:szCs w:val="24"/>
        </w:rPr>
        <w:t xml:space="preserve"> </w:t>
      </w:r>
    </w:p>
    <w:p w14:paraId="47C73D74" w14:textId="7504DD65" w:rsidR="00356BE7" w:rsidRPr="003C588D" w:rsidRDefault="00B571BF" w:rsidP="00444D9D">
      <w:pPr>
        <w:spacing w:line="360" w:lineRule="auto"/>
        <w:jc w:val="both"/>
        <w:rPr>
          <w:rFonts w:ascii="Times New Roman" w:hAnsi="Times New Roman"/>
          <w:sz w:val="24"/>
          <w:szCs w:val="24"/>
        </w:rPr>
      </w:pPr>
      <w:r w:rsidRPr="003C588D">
        <w:rPr>
          <w:rFonts w:ascii="Times New Roman" w:hAnsi="Times New Roman"/>
          <w:sz w:val="24"/>
          <w:szCs w:val="24"/>
        </w:rPr>
        <w:t xml:space="preserve">Although </w:t>
      </w:r>
      <w:r w:rsidR="00AB075A" w:rsidRPr="003C588D">
        <w:rPr>
          <w:rFonts w:ascii="Times New Roman" w:hAnsi="Times New Roman"/>
          <w:sz w:val="24"/>
          <w:szCs w:val="24"/>
        </w:rPr>
        <w:t xml:space="preserve">our study focuses on </w:t>
      </w:r>
      <w:r w:rsidRPr="003C588D">
        <w:rPr>
          <w:rFonts w:ascii="Times New Roman" w:hAnsi="Times New Roman"/>
          <w:sz w:val="24"/>
          <w:szCs w:val="24"/>
        </w:rPr>
        <w:t>Afric</w:t>
      </w:r>
      <w:r w:rsidR="00AB075A" w:rsidRPr="003C588D">
        <w:rPr>
          <w:rFonts w:ascii="Times New Roman" w:hAnsi="Times New Roman"/>
          <w:sz w:val="24"/>
          <w:szCs w:val="24"/>
        </w:rPr>
        <w:t xml:space="preserve">an countries, </w:t>
      </w:r>
      <w:r w:rsidR="00E96BD5" w:rsidRPr="003C588D">
        <w:rPr>
          <w:rFonts w:ascii="Times New Roman" w:hAnsi="Times New Roman"/>
          <w:sz w:val="24"/>
          <w:szCs w:val="24"/>
        </w:rPr>
        <w:t>which</w:t>
      </w:r>
      <w:r w:rsidR="00AB075A" w:rsidRPr="003C588D">
        <w:rPr>
          <w:rFonts w:ascii="Times New Roman" w:hAnsi="Times New Roman"/>
          <w:sz w:val="24"/>
          <w:szCs w:val="24"/>
        </w:rPr>
        <w:t xml:space="preserve"> </w:t>
      </w:r>
      <w:r w:rsidRPr="003C588D">
        <w:rPr>
          <w:rFonts w:ascii="Times New Roman" w:hAnsi="Times New Roman"/>
          <w:sz w:val="24"/>
          <w:szCs w:val="24"/>
        </w:rPr>
        <w:t xml:space="preserve">share </w:t>
      </w:r>
      <w:r w:rsidR="00AB075A" w:rsidRPr="003C588D">
        <w:rPr>
          <w:rFonts w:ascii="Times New Roman" w:hAnsi="Times New Roman"/>
          <w:sz w:val="24"/>
          <w:szCs w:val="24"/>
        </w:rPr>
        <w:t xml:space="preserve">some similar institutional </w:t>
      </w:r>
      <w:r w:rsidRPr="003C588D">
        <w:rPr>
          <w:rFonts w:ascii="Times New Roman" w:hAnsi="Times New Roman"/>
          <w:sz w:val="24"/>
          <w:szCs w:val="24"/>
        </w:rPr>
        <w:t xml:space="preserve">characteristics with other developing </w:t>
      </w:r>
      <w:r w:rsidR="00F87CE4" w:rsidRPr="003C588D">
        <w:rPr>
          <w:rFonts w:ascii="Times New Roman" w:hAnsi="Times New Roman"/>
          <w:sz w:val="24"/>
          <w:szCs w:val="24"/>
        </w:rPr>
        <w:t>economies</w:t>
      </w:r>
      <w:r w:rsidR="00AB075A" w:rsidRPr="003C588D">
        <w:rPr>
          <w:rFonts w:ascii="Times New Roman" w:hAnsi="Times New Roman"/>
          <w:sz w:val="24"/>
          <w:szCs w:val="24"/>
        </w:rPr>
        <w:t>, thus</w:t>
      </w:r>
      <w:r w:rsidRPr="003C588D">
        <w:rPr>
          <w:rFonts w:ascii="Times New Roman" w:hAnsi="Times New Roman"/>
          <w:sz w:val="24"/>
          <w:szCs w:val="24"/>
        </w:rPr>
        <w:t xml:space="preserve"> provid</w:t>
      </w:r>
      <w:r w:rsidR="00E96BD5" w:rsidRPr="003C588D">
        <w:rPr>
          <w:rFonts w:ascii="Times New Roman" w:hAnsi="Times New Roman"/>
          <w:sz w:val="24"/>
          <w:szCs w:val="24"/>
        </w:rPr>
        <w:t>ing</w:t>
      </w:r>
      <w:r w:rsidRPr="003C588D">
        <w:rPr>
          <w:rFonts w:ascii="Times New Roman" w:hAnsi="Times New Roman"/>
          <w:sz w:val="24"/>
          <w:szCs w:val="24"/>
        </w:rPr>
        <w:t xml:space="preserve"> </w:t>
      </w:r>
      <w:r w:rsidR="00AB075A" w:rsidRPr="003C588D">
        <w:rPr>
          <w:rFonts w:ascii="Times New Roman" w:hAnsi="Times New Roman"/>
          <w:sz w:val="24"/>
          <w:szCs w:val="24"/>
        </w:rPr>
        <w:t xml:space="preserve">a </w:t>
      </w:r>
      <w:r w:rsidRPr="003C588D">
        <w:rPr>
          <w:rFonts w:ascii="Times New Roman" w:hAnsi="Times New Roman"/>
          <w:sz w:val="24"/>
          <w:szCs w:val="24"/>
        </w:rPr>
        <w:t xml:space="preserve">basis for the generalisability of the results to other </w:t>
      </w:r>
      <w:r w:rsidR="00F87CE4" w:rsidRPr="003C588D">
        <w:rPr>
          <w:rFonts w:ascii="Times New Roman" w:hAnsi="Times New Roman"/>
          <w:sz w:val="24"/>
          <w:szCs w:val="24"/>
        </w:rPr>
        <w:t>developing economies</w:t>
      </w:r>
      <w:r w:rsidR="006D4938" w:rsidRPr="003C588D">
        <w:rPr>
          <w:rFonts w:ascii="Times New Roman" w:hAnsi="Times New Roman"/>
          <w:sz w:val="24"/>
          <w:szCs w:val="24"/>
        </w:rPr>
        <w:t>, n</w:t>
      </w:r>
      <w:r w:rsidR="00E96BD5" w:rsidRPr="003C588D">
        <w:rPr>
          <w:rFonts w:ascii="Times New Roman" w:hAnsi="Times New Roman"/>
          <w:sz w:val="24"/>
          <w:szCs w:val="24"/>
        </w:rPr>
        <w:t>onetheless</w:t>
      </w:r>
      <w:r w:rsidRPr="003C588D">
        <w:rPr>
          <w:rFonts w:ascii="Times New Roman" w:hAnsi="Times New Roman"/>
          <w:sz w:val="24"/>
          <w:szCs w:val="24"/>
        </w:rPr>
        <w:t xml:space="preserve">, </w:t>
      </w:r>
      <w:r w:rsidR="00AB075A" w:rsidRPr="003C588D">
        <w:rPr>
          <w:rFonts w:ascii="Times New Roman" w:hAnsi="Times New Roman"/>
          <w:sz w:val="24"/>
          <w:szCs w:val="24"/>
        </w:rPr>
        <w:t xml:space="preserve">some </w:t>
      </w:r>
      <w:r w:rsidRPr="003C588D">
        <w:rPr>
          <w:rFonts w:ascii="Times New Roman" w:hAnsi="Times New Roman"/>
          <w:sz w:val="24"/>
          <w:szCs w:val="24"/>
        </w:rPr>
        <w:t>institutional differences</w:t>
      </w:r>
      <w:r w:rsidRPr="00BA0E8D">
        <w:rPr>
          <w:rFonts w:ascii="Times New Roman" w:hAnsi="Times New Roman"/>
          <w:sz w:val="24"/>
          <w:szCs w:val="24"/>
        </w:rPr>
        <w:t xml:space="preserve"> </w:t>
      </w:r>
      <w:r w:rsidR="00AB075A" w:rsidRPr="00BA0E8D">
        <w:rPr>
          <w:rFonts w:ascii="Times New Roman" w:hAnsi="Times New Roman"/>
          <w:sz w:val="24"/>
          <w:szCs w:val="24"/>
        </w:rPr>
        <w:t>between developing countries, on</w:t>
      </w:r>
      <w:r w:rsidR="00E96BD5" w:rsidRPr="00BA0E8D">
        <w:rPr>
          <w:rFonts w:ascii="Times New Roman" w:hAnsi="Times New Roman"/>
          <w:sz w:val="24"/>
          <w:szCs w:val="24"/>
        </w:rPr>
        <w:t xml:space="preserve"> the</w:t>
      </w:r>
      <w:r w:rsidR="00AB075A" w:rsidRPr="00BA0E8D">
        <w:rPr>
          <w:rFonts w:ascii="Times New Roman" w:hAnsi="Times New Roman"/>
          <w:sz w:val="24"/>
          <w:szCs w:val="24"/>
        </w:rPr>
        <w:t xml:space="preserve"> one hand, and emerging </w:t>
      </w:r>
      <w:r w:rsidRPr="00BA0E8D">
        <w:rPr>
          <w:rFonts w:ascii="Times New Roman" w:hAnsi="Times New Roman"/>
          <w:sz w:val="24"/>
          <w:szCs w:val="24"/>
        </w:rPr>
        <w:t>economies</w:t>
      </w:r>
      <w:r w:rsidR="00AB075A" w:rsidRPr="00BA0E8D">
        <w:rPr>
          <w:rFonts w:ascii="Times New Roman" w:hAnsi="Times New Roman"/>
          <w:sz w:val="24"/>
          <w:szCs w:val="24"/>
        </w:rPr>
        <w:t>,</w:t>
      </w:r>
      <w:r w:rsidRPr="00BA0E8D">
        <w:rPr>
          <w:rFonts w:ascii="Times New Roman" w:hAnsi="Times New Roman"/>
          <w:sz w:val="24"/>
          <w:szCs w:val="24"/>
        </w:rPr>
        <w:t xml:space="preserve"> </w:t>
      </w:r>
      <w:r w:rsidR="00AB075A" w:rsidRPr="00BA0E8D">
        <w:rPr>
          <w:rFonts w:ascii="Times New Roman" w:hAnsi="Times New Roman"/>
          <w:sz w:val="24"/>
          <w:szCs w:val="24"/>
        </w:rPr>
        <w:t xml:space="preserve">on the other hand, suggest a natural extension of our study to other emerging economies. </w:t>
      </w:r>
      <w:r w:rsidR="004F286F" w:rsidRPr="00BA0E8D">
        <w:rPr>
          <w:rFonts w:ascii="Times New Roman" w:hAnsi="Times New Roman"/>
          <w:sz w:val="24"/>
          <w:szCs w:val="24"/>
        </w:rPr>
        <w:t xml:space="preserve">In the light of this, </w:t>
      </w:r>
      <w:r w:rsidRPr="00BA0E8D">
        <w:rPr>
          <w:rFonts w:ascii="Times New Roman" w:hAnsi="Times New Roman"/>
          <w:sz w:val="24"/>
          <w:szCs w:val="24"/>
        </w:rPr>
        <w:t xml:space="preserve">future studies </w:t>
      </w:r>
      <w:r w:rsidR="00B40189" w:rsidRPr="00BA0E8D">
        <w:rPr>
          <w:rFonts w:ascii="Times New Roman" w:hAnsi="Times New Roman"/>
          <w:sz w:val="24"/>
          <w:szCs w:val="24"/>
        </w:rPr>
        <w:t>could aim</w:t>
      </w:r>
      <w:r w:rsidR="00AB075A" w:rsidRPr="00BA0E8D">
        <w:rPr>
          <w:rFonts w:ascii="Times New Roman" w:hAnsi="Times New Roman"/>
          <w:sz w:val="24"/>
          <w:szCs w:val="24"/>
        </w:rPr>
        <w:t xml:space="preserve"> to provide further insights by extending</w:t>
      </w:r>
      <w:r w:rsidR="0054303E" w:rsidRPr="00BA0E8D">
        <w:rPr>
          <w:rFonts w:ascii="Times New Roman" w:hAnsi="Times New Roman"/>
          <w:sz w:val="24"/>
          <w:szCs w:val="24"/>
        </w:rPr>
        <w:t xml:space="preserve"> this study to other emerging </w:t>
      </w:r>
      <w:r w:rsidR="0054303E" w:rsidRPr="003C588D">
        <w:rPr>
          <w:rFonts w:ascii="Times New Roman" w:hAnsi="Times New Roman"/>
          <w:sz w:val="24"/>
          <w:szCs w:val="24"/>
        </w:rPr>
        <w:t>economies</w:t>
      </w:r>
      <w:r w:rsidRPr="003C588D">
        <w:rPr>
          <w:rFonts w:ascii="Times New Roman" w:hAnsi="Times New Roman"/>
          <w:sz w:val="24"/>
          <w:szCs w:val="24"/>
        </w:rPr>
        <w:t>.</w:t>
      </w:r>
    </w:p>
    <w:p w14:paraId="56AE5989" w14:textId="2BF1E86A" w:rsidR="00DD38AA" w:rsidRPr="00BA0E8D" w:rsidRDefault="0046410C" w:rsidP="00444D9D">
      <w:pPr>
        <w:spacing w:line="360" w:lineRule="auto"/>
        <w:jc w:val="both"/>
        <w:rPr>
          <w:rFonts w:ascii="Times New Roman" w:hAnsi="Times New Roman"/>
          <w:sz w:val="24"/>
          <w:szCs w:val="24"/>
        </w:rPr>
      </w:pPr>
      <w:r w:rsidRPr="003C588D">
        <w:rPr>
          <w:rFonts w:ascii="Times New Roman" w:hAnsi="Times New Roman"/>
          <w:sz w:val="24"/>
          <w:szCs w:val="24"/>
        </w:rPr>
        <w:t>Moreover</w:t>
      </w:r>
      <w:r w:rsidR="00DD38AA" w:rsidRPr="003C588D">
        <w:rPr>
          <w:rFonts w:ascii="Times New Roman" w:hAnsi="Times New Roman"/>
          <w:sz w:val="24"/>
          <w:szCs w:val="24"/>
        </w:rPr>
        <w:t xml:space="preserve">, although our study employs a large dataset comprising bank-level data from </w:t>
      </w:r>
      <w:proofErr w:type="spellStart"/>
      <w:r w:rsidR="00DD38AA" w:rsidRPr="003C588D">
        <w:rPr>
          <w:rFonts w:ascii="Times New Roman" w:hAnsi="Times New Roman"/>
          <w:sz w:val="24"/>
          <w:szCs w:val="24"/>
        </w:rPr>
        <w:t>BankScope</w:t>
      </w:r>
      <w:proofErr w:type="spellEnd"/>
      <w:r w:rsidR="00DD38AA" w:rsidRPr="003C588D">
        <w:rPr>
          <w:rFonts w:ascii="Times New Roman" w:hAnsi="Times New Roman"/>
          <w:sz w:val="24"/>
          <w:szCs w:val="24"/>
        </w:rPr>
        <w:t xml:space="preserve"> and country-level data from the World Bank, our findings may be limited by the errors and omissions of these data sources. For instance, Bhattacharya (2003) and Fosu et al. (2019) point out that the </w:t>
      </w:r>
      <w:proofErr w:type="spellStart"/>
      <w:r w:rsidR="00DD38AA" w:rsidRPr="003C588D">
        <w:rPr>
          <w:rFonts w:ascii="Times New Roman" w:hAnsi="Times New Roman"/>
          <w:sz w:val="24"/>
          <w:szCs w:val="24"/>
        </w:rPr>
        <w:t>BankScope</w:t>
      </w:r>
      <w:proofErr w:type="spellEnd"/>
      <w:r w:rsidR="00DD38AA" w:rsidRPr="003C588D">
        <w:rPr>
          <w:rFonts w:ascii="Times New Roman" w:hAnsi="Times New Roman"/>
          <w:sz w:val="24"/>
          <w:szCs w:val="24"/>
        </w:rPr>
        <w:t xml:space="preserve"> database suffers from selectivity bias, and particularly in its coverage of </w:t>
      </w:r>
      <w:r w:rsidR="00CE2D63" w:rsidRPr="003C588D">
        <w:rPr>
          <w:rFonts w:ascii="Times New Roman" w:hAnsi="Times New Roman"/>
          <w:sz w:val="24"/>
          <w:szCs w:val="24"/>
        </w:rPr>
        <w:t>banks</w:t>
      </w:r>
      <w:r w:rsidR="00DD38AA" w:rsidRPr="003C588D">
        <w:rPr>
          <w:rFonts w:ascii="Times New Roman" w:hAnsi="Times New Roman"/>
          <w:sz w:val="24"/>
          <w:szCs w:val="24"/>
        </w:rPr>
        <w:t xml:space="preserve"> in developing countries in that it almost completely omits rural and foreign banks. Given the focus of our analysis on African countries, it is likely that our results apply more to domestic and commercial banks in urban centres, and generalisation to other banks should be carried out with caution. Future studies can, therefore, extend our analysis specifically to rural and foreign banks to see how information sharing influences the intermediation costs of such banks.</w:t>
      </w:r>
      <w:r w:rsidRPr="003C588D">
        <w:rPr>
          <w:rFonts w:asciiTheme="majorBidi" w:hAnsiTheme="majorBidi" w:cstheme="majorBidi"/>
          <w:sz w:val="24"/>
          <w:szCs w:val="24"/>
        </w:rPr>
        <w:t xml:space="preserve"> </w:t>
      </w:r>
      <w:r w:rsidRPr="003C588D">
        <w:rPr>
          <w:rFonts w:ascii="Times New Roman" w:hAnsi="Times New Roman"/>
          <w:sz w:val="24"/>
          <w:szCs w:val="24"/>
        </w:rPr>
        <w:t>Finally, as with archival studies of this nature, our measures for credit information sharing, intermediation costs, banking market concentration and governance quality, amongst others, may or may not reflect practice. Future research can offer additional insights by conducting in-depth interviews and surveys with bankers and regulatory bodies regarding these issues</w:t>
      </w:r>
      <w:r w:rsidR="003C588D">
        <w:rPr>
          <w:rFonts w:ascii="Times New Roman" w:hAnsi="Times New Roman"/>
          <w:sz w:val="24"/>
          <w:szCs w:val="24"/>
        </w:rPr>
        <w:t>.</w:t>
      </w:r>
    </w:p>
    <w:p w14:paraId="74A32720" w14:textId="033F0EC1" w:rsidR="00DB77D0" w:rsidRDefault="00DB77D0" w:rsidP="00914AB0">
      <w:pPr>
        <w:widowControl w:val="0"/>
        <w:autoSpaceDE w:val="0"/>
        <w:autoSpaceDN w:val="0"/>
        <w:adjustRightInd w:val="0"/>
        <w:spacing w:after="0" w:line="360" w:lineRule="auto"/>
        <w:jc w:val="both"/>
        <w:rPr>
          <w:rFonts w:ascii="Times New Roman" w:hAnsi="Times New Roman"/>
          <w:b/>
          <w:sz w:val="24"/>
          <w:szCs w:val="24"/>
        </w:rPr>
      </w:pPr>
    </w:p>
    <w:p w14:paraId="6006E5F7" w14:textId="77777777" w:rsidR="00FC3D92" w:rsidRPr="00020413" w:rsidRDefault="00FC3D92" w:rsidP="00FC3D92">
      <w:pPr>
        <w:spacing w:after="120" w:line="360" w:lineRule="auto"/>
        <w:jc w:val="both"/>
        <w:rPr>
          <w:rFonts w:ascii="Times New Roman" w:hAnsi="Times New Roman"/>
          <w:b/>
          <w:sz w:val="24"/>
          <w:szCs w:val="24"/>
        </w:rPr>
      </w:pPr>
      <w:r w:rsidRPr="00020413">
        <w:rPr>
          <w:rFonts w:ascii="Times New Roman" w:hAnsi="Times New Roman"/>
          <w:b/>
          <w:sz w:val="24"/>
          <w:szCs w:val="24"/>
        </w:rPr>
        <w:lastRenderedPageBreak/>
        <w:t>Appendix 1</w:t>
      </w:r>
    </w:p>
    <w:p w14:paraId="03B12A72" w14:textId="6159A5D8" w:rsidR="00FC3D92" w:rsidRPr="00020413" w:rsidRDefault="00FC3D92" w:rsidP="00FC3D92">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[Figure </w:t>
      </w:r>
      <w:r>
        <w:rPr>
          <w:rFonts w:ascii="Times New Roman" w:hAnsi="Times New Roman"/>
          <w:b/>
          <w:sz w:val="28"/>
          <w:szCs w:val="24"/>
        </w:rPr>
        <w:t>A</w:t>
      </w:r>
      <w:r w:rsidRPr="00020413">
        <w:rPr>
          <w:rFonts w:ascii="Times New Roman" w:hAnsi="Times New Roman"/>
          <w:b/>
          <w:sz w:val="28"/>
          <w:szCs w:val="24"/>
        </w:rPr>
        <w:t>1 about here]</w:t>
      </w:r>
    </w:p>
    <w:p w14:paraId="3EB6189A" w14:textId="77777777" w:rsidR="00FC3D92" w:rsidRPr="00020413" w:rsidRDefault="00FC3D92" w:rsidP="00FC3D92">
      <w:pPr>
        <w:spacing w:after="120" w:line="360" w:lineRule="auto"/>
        <w:jc w:val="both"/>
        <w:rPr>
          <w:rFonts w:ascii="Times New Roman" w:hAnsi="Times New Roman"/>
          <w:b/>
          <w:sz w:val="24"/>
          <w:szCs w:val="24"/>
        </w:rPr>
      </w:pPr>
    </w:p>
    <w:p w14:paraId="6ADAA6D5" w14:textId="77777777" w:rsidR="00FC3D92" w:rsidRPr="00020413" w:rsidRDefault="00FC3D92" w:rsidP="00FC3D92">
      <w:pPr>
        <w:spacing w:after="120" w:line="360" w:lineRule="auto"/>
        <w:jc w:val="both"/>
        <w:rPr>
          <w:rFonts w:ascii="Times New Roman" w:hAnsi="Times New Roman"/>
          <w:b/>
          <w:sz w:val="24"/>
          <w:szCs w:val="24"/>
        </w:rPr>
      </w:pPr>
      <w:r w:rsidRPr="00020413">
        <w:rPr>
          <w:rFonts w:ascii="Times New Roman" w:hAnsi="Times New Roman"/>
          <w:b/>
          <w:sz w:val="24"/>
          <w:szCs w:val="24"/>
        </w:rPr>
        <w:t>Appendix 2</w:t>
      </w:r>
    </w:p>
    <w:p w14:paraId="613F1FE1" w14:textId="6BFDB6DE" w:rsidR="00FC3D92" w:rsidRPr="00020413" w:rsidRDefault="00FC3D92" w:rsidP="00FC3D92">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[Table </w:t>
      </w:r>
      <w:r>
        <w:rPr>
          <w:rFonts w:ascii="Times New Roman" w:hAnsi="Times New Roman"/>
          <w:b/>
          <w:sz w:val="28"/>
          <w:szCs w:val="24"/>
        </w:rPr>
        <w:t>A</w:t>
      </w:r>
      <w:r w:rsidRPr="00020413">
        <w:rPr>
          <w:rFonts w:ascii="Times New Roman" w:hAnsi="Times New Roman"/>
          <w:b/>
          <w:sz w:val="28"/>
          <w:szCs w:val="24"/>
        </w:rPr>
        <w:t>2 about here]</w:t>
      </w:r>
    </w:p>
    <w:p w14:paraId="4DB6E729" w14:textId="77777777" w:rsidR="00FC3D92" w:rsidRPr="00020413" w:rsidRDefault="00FC3D92" w:rsidP="00FC3D92">
      <w:pPr>
        <w:spacing w:after="120" w:line="360" w:lineRule="auto"/>
        <w:jc w:val="both"/>
        <w:rPr>
          <w:rFonts w:ascii="Times New Roman" w:hAnsi="Times New Roman"/>
          <w:b/>
          <w:sz w:val="24"/>
          <w:szCs w:val="24"/>
        </w:rPr>
      </w:pPr>
    </w:p>
    <w:p w14:paraId="7CCEE35C" w14:textId="77777777" w:rsidR="00FC3D92" w:rsidRPr="00020413" w:rsidRDefault="00FC3D92" w:rsidP="00FC3D92">
      <w:pPr>
        <w:spacing w:after="120" w:line="360" w:lineRule="auto"/>
        <w:jc w:val="both"/>
        <w:rPr>
          <w:rFonts w:ascii="Times New Roman" w:hAnsi="Times New Roman"/>
          <w:b/>
          <w:sz w:val="24"/>
          <w:szCs w:val="24"/>
        </w:rPr>
      </w:pPr>
      <w:r w:rsidRPr="00020413">
        <w:rPr>
          <w:rFonts w:ascii="Times New Roman" w:hAnsi="Times New Roman"/>
          <w:b/>
          <w:sz w:val="24"/>
          <w:szCs w:val="24"/>
        </w:rPr>
        <w:t>Appendix 3</w:t>
      </w:r>
    </w:p>
    <w:p w14:paraId="27F54DF7" w14:textId="389B4580" w:rsidR="00FC3D92" w:rsidRPr="00020413" w:rsidRDefault="00FC3D92" w:rsidP="00FC3D92">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[Table </w:t>
      </w:r>
      <w:r>
        <w:rPr>
          <w:rFonts w:ascii="Times New Roman" w:hAnsi="Times New Roman"/>
          <w:b/>
          <w:sz w:val="28"/>
          <w:szCs w:val="24"/>
        </w:rPr>
        <w:t>A</w:t>
      </w:r>
      <w:r w:rsidRPr="00020413">
        <w:rPr>
          <w:rFonts w:ascii="Times New Roman" w:hAnsi="Times New Roman"/>
          <w:b/>
          <w:sz w:val="28"/>
          <w:szCs w:val="24"/>
        </w:rPr>
        <w:t>3 about here]</w:t>
      </w:r>
    </w:p>
    <w:p w14:paraId="2525A542" w14:textId="37C61358"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44E0FAA0" w14:textId="05FB95EF"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1FB3A215" w14:textId="495DB235"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2A8A6609" w14:textId="1A792563"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349C10B2" w14:textId="62394C50"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4B317620" w14:textId="438D7407"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24A9188C" w14:textId="061F6AD6"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7E523B27" w14:textId="33B435D7"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23823786" w14:textId="5598CEEB"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6246F2E6" w14:textId="56E1401D"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1A657B38" w14:textId="4234CF49"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7F010958" w14:textId="65D06F66"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084E94C5" w14:textId="49ADEE95"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30A699A1" w14:textId="0260849E"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4BCC4DAE" w14:textId="77CCF376"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0CA4F240" w14:textId="2EEE48CF"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066BF296" w14:textId="76461F9C"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7B378992" w14:textId="1CA5A771"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1A156834" w14:textId="424B57AD"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5F6F57F2" w14:textId="4D8DBF6C"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51F56A46" w14:textId="4EFAE9AD" w:rsidR="00FC3D92"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0AE3816B" w14:textId="77777777" w:rsidR="00FC3D92" w:rsidRPr="00BA0E8D" w:rsidRDefault="00FC3D92" w:rsidP="00914AB0">
      <w:pPr>
        <w:widowControl w:val="0"/>
        <w:autoSpaceDE w:val="0"/>
        <w:autoSpaceDN w:val="0"/>
        <w:adjustRightInd w:val="0"/>
        <w:spacing w:after="0" w:line="360" w:lineRule="auto"/>
        <w:jc w:val="both"/>
        <w:rPr>
          <w:rFonts w:ascii="Times New Roman" w:hAnsi="Times New Roman"/>
          <w:b/>
          <w:sz w:val="24"/>
          <w:szCs w:val="24"/>
        </w:rPr>
      </w:pPr>
    </w:p>
    <w:p w14:paraId="36B40F51" w14:textId="1BA68DC3" w:rsidR="00AD6B33" w:rsidRPr="00AD6B33" w:rsidRDefault="00003E25" w:rsidP="00055C72">
      <w:pPr>
        <w:widowControl w:val="0"/>
        <w:autoSpaceDE w:val="0"/>
        <w:autoSpaceDN w:val="0"/>
        <w:adjustRightInd w:val="0"/>
        <w:spacing w:after="0" w:line="240" w:lineRule="auto"/>
        <w:jc w:val="both"/>
        <w:rPr>
          <w:rFonts w:ascii="Times New Roman" w:hAnsi="Times New Roman"/>
          <w:b/>
          <w:sz w:val="24"/>
          <w:szCs w:val="24"/>
        </w:rPr>
      </w:pPr>
      <w:r w:rsidRPr="00AD6B33">
        <w:rPr>
          <w:rFonts w:ascii="Times New Roman" w:hAnsi="Times New Roman"/>
          <w:b/>
          <w:sz w:val="24"/>
          <w:szCs w:val="24"/>
        </w:rPr>
        <w:lastRenderedPageBreak/>
        <w:t>References</w:t>
      </w:r>
    </w:p>
    <w:p w14:paraId="7B39E86F" w14:textId="77777777" w:rsidR="00AA1AEC" w:rsidRPr="00055C72" w:rsidRDefault="00AA1AEC" w:rsidP="00055C72">
      <w:pPr>
        <w:widowControl w:val="0"/>
        <w:autoSpaceDE w:val="0"/>
        <w:autoSpaceDN w:val="0"/>
        <w:adjustRightInd w:val="0"/>
        <w:spacing w:after="0" w:line="240" w:lineRule="auto"/>
        <w:jc w:val="both"/>
        <w:rPr>
          <w:rFonts w:ascii="Times New Roman" w:hAnsi="Times New Roman"/>
          <w:b/>
          <w:sz w:val="24"/>
          <w:szCs w:val="24"/>
        </w:rPr>
      </w:pPr>
    </w:p>
    <w:p w14:paraId="72DE384D" w14:textId="4D3867B7" w:rsidR="00AA1AEC" w:rsidRPr="003C588D" w:rsidRDefault="00AA1AEC" w:rsidP="00055C72">
      <w:pPr>
        <w:widowControl w:val="0"/>
        <w:autoSpaceDE w:val="0"/>
        <w:autoSpaceDN w:val="0"/>
        <w:adjustRightInd w:val="0"/>
        <w:spacing w:after="120" w:line="240" w:lineRule="auto"/>
        <w:ind w:left="720" w:hanging="720"/>
        <w:jc w:val="both"/>
        <w:rPr>
          <w:rFonts w:ascii="Times New Roman" w:hAnsi="Times New Roman"/>
          <w:sz w:val="24"/>
          <w:szCs w:val="24"/>
        </w:rPr>
      </w:pPr>
      <w:r w:rsidRPr="003C588D">
        <w:rPr>
          <w:rFonts w:ascii="Times New Roman" w:hAnsi="Times New Roman"/>
          <w:sz w:val="24"/>
          <w:szCs w:val="24"/>
        </w:rPr>
        <w:t>Acemoglu, D., Johnson, S., 2005. Unbundling institutions. Journal of Political Economy113, 949–995.</w:t>
      </w:r>
    </w:p>
    <w:p w14:paraId="484A9825" w14:textId="211CF922" w:rsidR="00AA1AEC" w:rsidRPr="003C588D" w:rsidRDefault="00AA1AEC" w:rsidP="00055C72">
      <w:pPr>
        <w:widowControl w:val="0"/>
        <w:autoSpaceDE w:val="0"/>
        <w:autoSpaceDN w:val="0"/>
        <w:adjustRightInd w:val="0"/>
        <w:spacing w:after="120" w:line="240" w:lineRule="auto"/>
        <w:ind w:left="720" w:hanging="720"/>
        <w:jc w:val="both"/>
        <w:rPr>
          <w:rFonts w:ascii="Times New Roman" w:hAnsi="Times New Roman"/>
          <w:sz w:val="24"/>
          <w:szCs w:val="24"/>
        </w:rPr>
      </w:pPr>
      <w:r w:rsidRPr="003C588D">
        <w:rPr>
          <w:rFonts w:ascii="Times New Roman" w:hAnsi="Times New Roman"/>
          <w:sz w:val="24"/>
          <w:szCs w:val="24"/>
        </w:rPr>
        <w:t>Adegbite, E. 2015. Good corporate governance in Nigeria: Antecedents, propositions and peculiarities. International Business Review 24, 319–330.</w:t>
      </w:r>
    </w:p>
    <w:p w14:paraId="660F8189" w14:textId="77777777" w:rsidR="00AA1AEC" w:rsidRPr="003C588D" w:rsidRDefault="00AA1AEC" w:rsidP="00055C72">
      <w:pPr>
        <w:spacing w:after="120" w:line="240" w:lineRule="auto"/>
        <w:ind w:left="720" w:hanging="720"/>
        <w:jc w:val="both"/>
        <w:rPr>
          <w:rFonts w:ascii="Times New Roman" w:hAnsi="Times New Roman"/>
          <w:color w:val="222222"/>
          <w:sz w:val="24"/>
          <w:szCs w:val="24"/>
          <w:shd w:val="clear" w:color="auto" w:fill="FFFFFF"/>
        </w:rPr>
      </w:pPr>
      <w:r w:rsidRPr="003C588D">
        <w:rPr>
          <w:rFonts w:ascii="Times New Roman" w:hAnsi="Times New Roman"/>
          <w:color w:val="222222"/>
          <w:sz w:val="24"/>
          <w:szCs w:val="24"/>
          <w:shd w:val="clear" w:color="auto" w:fill="FFFFFF"/>
          <w:lang w:val="en-US"/>
        </w:rPr>
        <w:t xml:space="preserve">Agyei-Boapeah, H. &amp; Machokoto, M. (2018). Allocation of internally generated corporate cash flow in Africa. </w:t>
      </w:r>
      <w:r w:rsidRPr="003C588D">
        <w:rPr>
          <w:rFonts w:ascii="Times New Roman" w:hAnsi="Times New Roman"/>
          <w:i/>
          <w:color w:val="222222"/>
          <w:sz w:val="24"/>
          <w:szCs w:val="24"/>
          <w:shd w:val="clear" w:color="auto" w:fill="FFFFFF"/>
          <w:lang w:val="en-US"/>
        </w:rPr>
        <w:t>Journal of Accounting in Emerging Economies</w:t>
      </w:r>
      <w:r w:rsidRPr="003C588D">
        <w:rPr>
          <w:rFonts w:ascii="Times New Roman" w:hAnsi="Times New Roman"/>
          <w:color w:val="222222"/>
          <w:sz w:val="24"/>
          <w:szCs w:val="24"/>
          <w:shd w:val="clear" w:color="auto" w:fill="FFFFFF"/>
          <w:lang w:val="en-US"/>
        </w:rPr>
        <w:t xml:space="preserve">, 8(4), pp.495-513. DOI: </w:t>
      </w:r>
      <w:hyperlink r:id="rId56" w:history="1">
        <w:r w:rsidRPr="003C588D">
          <w:rPr>
            <w:rStyle w:val="Hyperlink"/>
            <w:rFonts w:ascii="Times New Roman" w:hAnsi="Times New Roman"/>
            <w:sz w:val="24"/>
            <w:szCs w:val="24"/>
            <w:shd w:val="clear" w:color="auto" w:fill="FFFFFF"/>
            <w:lang w:val="en-US"/>
          </w:rPr>
          <w:t>https://doi.org/10.1108/jaee-10-2017-0099</w:t>
        </w:r>
      </w:hyperlink>
    </w:p>
    <w:p w14:paraId="734CEAB6" w14:textId="1E01658E" w:rsidR="00AA1AEC" w:rsidRPr="003C588D" w:rsidRDefault="00AA1AEC" w:rsidP="00055C72">
      <w:pPr>
        <w:widowControl w:val="0"/>
        <w:autoSpaceDE w:val="0"/>
        <w:autoSpaceDN w:val="0"/>
        <w:adjustRightInd w:val="0"/>
        <w:spacing w:after="12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 xml:space="preserve">Allen, F., </w:t>
      </w:r>
      <w:proofErr w:type="spellStart"/>
      <w:r w:rsidRPr="003C588D">
        <w:rPr>
          <w:rFonts w:ascii="Times New Roman" w:hAnsi="Times New Roman"/>
          <w:sz w:val="24"/>
          <w:szCs w:val="24"/>
          <w:shd w:val="clear" w:color="auto" w:fill="FFFFFF"/>
        </w:rPr>
        <w:t>Carletti</w:t>
      </w:r>
      <w:proofErr w:type="spellEnd"/>
      <w:r w:rsidRPr="003C588D">
        <w:rPr>
          <w:rFonts w:ascii="Times New Roman" w:hAnsi="Times New Roman"/>
          <w:sz w:val="24"/>
          <w:szCs w:val="24"/>
          <w:shd w:val="clear" w:color="auto" w:fill="FFFFFF"/>
        </w:rPr>
        <w:t xml:space="preserve">, E., Cull, R., Qian, J., </w:t>
      </w:r>
      <w:proofErr w:type="spellStart"/>
      <w:r w:rsidRPr="003C588D">
        <w:rPr>
          <w:rFonts w:ascii="Times New Roman" w:hAnsi="Times New Roman"/>
          <w:sz w:val="24"/>
          <w:szCs w:val="24"/>
          <w:shd w:val="clear" w:color="auto" w:fill="FFFFFF"/>
        </w:rPr>
        <w:t>Senbet</w:t>
      </w:r>
      <w:proofErr w:type="spellEnd"/>
      <w:r w:rsidRPr="003C588D">
        <w:rPr>
          <w:rFonts w:ascii="Times New Roman" w:hAnsi="Times New Roman"/>
          <w:sz w:val="24"/>
          <w:szCs w:val="24"/>
          <w:shd w:val="clear" w:color="auto" w:fill="FFFFFF"/>
        </w:rPr>
        <w:t>, L., Valenzuela, P., 2012.</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Resolving the African financial development gap: cross-country comparisons and a within-country study of Kenya. NBER </w:t>
      </w:r>
      <w:r w:rsidRPr="003C588D">
        <w:rPr>
          <w:rFonts w:ascii="Times New Roman" w:hAnsi="Times New Roman"/>
          <w:i/>
          <w:iCs/>
          <w:sz w:val="24"/>
          <w:szCs w:val="24"/>
          <w:shd w:val="clear" w:color="auto" w:fill="FFFFFF"/>
        </w:rPr>
        <w:t>working papers</w:t>
      </w:r>
      <w:r w:rsidRPr="003C588D">
        <w:rPr>
          <w:rStyle w:val="apple-converted-space"/>
          <w:rFonts w:ascii="Times New Roman" w:hAnsi="Times New Roman"/>
          <w:sz w:val="24"/>
          <w:szCs w:val="24"/>
          <w:shd w:val="clear" w:color="auto" w:fill="FFFFFF"/>
        </w:rPr>
        <w:t> </w:t>
      </w:r>
      <w:r w:rsidRPr="003C588D">
        <w:rPr>
          <w:rFonts w:ascii="Times New Roman" w:hAnsi="Times New Roman"/>
          <w:sz w:val="24"/>
          <w:szCs w:val="24"/>
          <w:shd w:val="clear" w:color="auto" w:fill="FFFFFF"/>
        </w:rPr>
        <w:t>18013. Cambridge, MA: National Bureau of Economic Research.</w:t>
      </w:r>
    </w:p>
    <w:p w14:paraId="19E3B788" w14:textId="7574DAE9" w:rsidR="00AA1AEC" w:rsidRPr="003C588D" w:rsidRDefault="00AA1AEC" w:rsidP="00055C72">
      <w:pPr>
        <w:widowControl w:val="0"/>
        <w:autoSpaceDE w:val="0"/>
        <w:autoSpaceDN w:val="0"/>
        <w:adjustRightInd w:val="0"/>
        <w:spacing w:after="120" w:line="240" w:lineRule="auto"/>
        <w:ind w:left="720" w:hanging="720"/>
        <w:jc w:val="both"/>
        <w:rPr>
          <w:rFonts w:ascii="Times New Roman" w:hAnsi="Times New Roman"/>
          <w:sz w:val="24"/>
          <w:szCs w:val="24"/>
        </w:rPr>
      </w:pPr>
      <w:r w:rsidRPr="003C588D">
        <w:rPr>
          <w:rFonts w:ascii="Times New Roman" w:hAnsi="Times New Roman"/>
          <w:sz w:val="24"/>
          <w:szCs w:val="24"/>
        </w:rPr>
        <w:t>Alonso-Borrego, C., &amp; Arellano, M. (1999). Symmetrically normalized instrumental variable estimation using panel data. Journal of Business &amp; Economic Statistics, 36–49.</w:t>
      </w:r>
    </w:p>
    <w:p w14:paraId="0F86250E" w14:textId="39959E84" w:rsidR="00AA1AEC" w:rsidRPr="003C588D" w:rsidRDefault="00AA1AEC" w:rsidP="00055C72">
      <w:pPr>
        <w:autoSpaceDE w:val="0"/>
        <w:autoSpaceDN w:val="0"/>
        <w:adjustRightInd w:val="0"/>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Altunbas</w:t>
      </w:r>
      <w:proofErr w:type="spellEnd"/>
      <w:r w:rsidRPr="003C588D">
        <w:rPr>
          <w:rFonts w:ascii="Times New Roman" w:hAnsi="Times New Roman"/>
          <w:sz w:val="24"/>
          <w:szCs w:val="24"/>
        </w:rPr>
        <w:t xml:space="preserve">, Y., </w:t>
      </w:r>
      <w:proofErr w:type="spellStart"/>
      <w:r w:rsidRPr="003C588D">
        <w:rPr>
          <w:rFonts w:ascii="Times New Roman" w:hAnsi="Times New Roman"/>
          <w:sz w:val="24"/>
          <w:szCs w:val="24"/>
        </w:rPr>
        <w:t>Gambacorta</w:t>
      </w:r>
      <w:proofErr w:type="spellEnd"/>
      <w:r w:rsidRPr="003C588D">
        <w:rPr>
          <w:rFonts w:ascii="Times New Roman" w:hAnsi="Times New Roman"/>
          <w:sz w:val="24"/>
          <w:szCs w:val="24"/>
        </w:rPr>
        <w:t>, L., Marques-Ibanez, D., 2009. Securitisation and the bank lending channel. European Economic Review 53, 996–1009.</w:t>
      </w:r>
    </w:p>
    <w:p w14:paraId="74AA9A7C" w14:textId="587011EE"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Andrianova</w:t>
      </w:r>
      <w:proofErr w:type="spellEnd"/>
      <w:r w:rsidRPr="003C588D">
        <w:rPr>
          <w:rFonts w:ascii="Times New Roman" w:hAnsi="Times New Roman"/>
          <w:sz w:val="24"/>
          <w:szCs w:val="24"/>
          <w:shd w:val="clear" w:color="auto" w:fill="FFFFFF"/>
        </w:rPr>
        <w:t xml:space="preserve">, S., </w:t>
      </w:r>
      <w:proofErr w:type="spellStart"/>
      <w:r w:rsidRPr="003C588D">
        <w:rPr>
          <w:rFonts w:ascii="Times New Roman" w:hAnsi="Times New Roman"/>
          <w:sz w:val="24"/>
          <w:szCs w:val="24"/>
          <w:shd w:val="clear" w:color="auto" w:fill="FFFFFF"/>
        </w:rPr>
        <w:t>Baltagi</w:t>
      </w:r>
      <w:proofErr w:type="spellEnd"/>
      <w:r w:rsidRPr="003C588D">
        <w:rPr>
          <w:rFonts w:ascii="Times New Roman" w:hAnsi="Times New Roman"/>
          <w:sz w:val="24"/>
          <w:szCs w:val="24"/>
          <w:shd w:val="clear" w:color="auto" w:fill="FFFFFF"/>
        </w:rPr>
        <w:t xml:space="preserve">, B., </w:t>
      </w:r>
      <w:proofErr w:type="spellStart"/>
      <w:r w:rsidRPr="003C588D">
        <w:rPr>
          <w:rFonts w:ascii="Times New Roman" w:hAnsi="Times New Roman"/>
          <w:sz w:val="24"/>
          <w:szCs w:val="24"/>
          <w:shd w:val="clear" w:color="auto" w:fill="FFFFFF"/>
        </w:rPr>
        <w:t>Demetriades</w:t>
      </w:r>
      <w:proofErr w:type="spellEnd"/>
      <w:r w:rsidRPr="003C588D">
        <w:rPr>
          <w:rFonts w:ascii="Times New Roman" w:hAnsi="Times New Roman"/>
          <w:sz w:val="24"/>
          <w:szCs w:val="24"/>
          <w:shd w:val="clear" w:color="auto" w:fill="FFFFFF"/>
        </w:rPr>
        <w:t xml:space="preserve">, P., Fielding, D., 2015. Why do African banks </w:t>
      </w:r>
      <w:proofErr w:type="gramStart"/>
      <w:r w:rsidRPr="003C588D">
        <w:rPr>
          <w:rFonts w:ascii="Times New Roman" w:hAnsi="Times New Roman"/>
          <w:sz w:val="24"/>
          <w:szCs w:val="24"/>
          <w:shd w:val="clear" w:color="auto" w:fill="FFFFFF"/>
        </w:rPr>
        <w:t>lend  so</w:t>
      </w:r>
      <w:proofErr w:type="gramEnd"/>
      <w:r w:rsidRPr="003C588D">
        <w:rPr>
          <w:rFonts w:ascii="Times New Roman" w:hAnsi="Times New Roman"/>
          <w:sz w:val="24"/>
          <w:szCs w:val="24"/>
          <w:shd w:val="clear" w:color="auto" w:fill="FFFFFF"/>
        </w:rPr>
        <w:t xml:space="preserve"> little?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Oxford Bulletin of Economics and Statistics 77, </w:t>
      </w:r>
      <w:r w:rsidRPr="003C588D">
        <w:rPr>
          <w:rFonts w:ascii="Times New Roman" w:hAnsi="Times New Roman"/>
          <w:sz w:val="24"/>
          <w:szCs w:val="24"/>
          <w:shd w:val="clear" w:color="auto" w:fill="FFFFFF"/>
        </w:rPr>
        <w:t>339-359.</w:t>
      </w:r>
    </w:p>
    <w:p w14:paraId="4CE6FEAB" w14:textId="4D6707D0"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Angbazo</w:t>
      </w:r>
      <w:proofErr w:type="spellEnd"/>
      <w:r w:rsidRPr="003C588D">
        <w:rPr>
          <w:rFonts w:ascii="Times New Roman" w:hAnsi="Times New Roman"/>
          <w:sz w:val="24"/>
          <w:szCs w:val="24"/>
        </w:rPr>
        <w:t xml:space="preserve">, L., 1997. Commercial bank net interest margins, default risk, interest rate risk and </w:t>
      </w:r>
      <w:proofErr w:type="gramStart"/>
      <w:r w:rsidRPr="003C588D">
        <w:rPr>
          <w:rFonts w:ascii="Times New Roman" w:hAnsi="Times New Roman"/>
          <w:sz w:val="24"/>
          <w:szCs w:val="24"/>
        </w:rPr>
        <w:t>off balance</w:t>
      </w:r>
      <w:proofErr w:type="gramEnd"/>
      <w:r w:rsidRPr="003C588D">
        <w:rPr>
          <w:rFonts w:ascii="Times New Roman" w:hAnsi="Times New Roman"/>
          <w:sz w:val="24"/>
          <w:szCs w:val="24"/>
        </w:rPr>
        <w:t xml:space="preserve"> sheet activities. Journal of Banking and Finance 21, 55–87.</w:t>
      </w:r>
    </w:p>
    <w:p w14:paraId="2B3046F2" w14:textId="04A38B03" w:rsidR="00AA1AEC" w:rsidRPr="003C588D" w:rsidRDefault="00AA1AEC" w:rsidP="00055C72">
      <w:pPr>
        <w:autoSpaceDE w:val="0"/>
        <w:autoSpaceDN w:val="0"/>
        <w:adjustRightInd w:val="0"/>
        <w:spacing w:after="0" w:line="240" w:lineRule="auto"/>
        <w:ind w:left="720" w:hanging="720"/>
        <w:jc w:val="both"/>
        <w:rPr>
          <w:rFonts w:ascii="Times New Roman" w:hAnsi="Times New Roman"/>
          <w:sz w:val="24"/>
          <w:szCs w:val="24"/>
          <w:lang w:eastAsia="en-GB"/>
        </w:rPr>
      </w:pPr>
      <w:r w:rsidRPr="003C588D">
        <w:rPr>
          <w:rFonts w:ascii="Times New Roman" w:hAnsi="Times New Roman"/>
          <w:sz w:val="24"/>
          <w:szCs w:val="24"/>
          <w:lang w:eastAsia="en-GB"/>
        </w:rPr>
        <w:t xml:space="preserve">Acharya V.V., </w:t>
      </w:r>
      <w:proofErr w:type="spellStart"/>
      <w:r w:rsidRPr="003C588D">
        <w:rPr>
          <w:rFonts w:ascii="Times New Roman" w:hAnsi="Times New Roman"/>
          <w:sz w:val="24"/>
          <w:szCs w:val="24"/>
          <w:lang w:eastAsia="en-GB"/>
        </w:rPr>
        <w:t>Anginer</w:t>
      </w:r>
      <w:proofErr w:type="spellEnd"/>
      <w:r w:rsidRPr="003C588D">
        <w:rPr>
          <w:rFonts w:ascii="Times New Roman" w:hAnsi="Times New Roman"/>
          <w:sz w:val="24"/>
          <w:szCs w:val="24"/>
          <w:lang w:eastAsia="en-GB"/>
        </w:rPr>
        <w:t xml:space="preserve"> D., Warburton A.J., 2013. The end of market discipline? Investor          expectations of implicit state guarantees, working Paper, New York University Stern </w:t>
      </w:r>
      <w:proofErr w:type="gramStart"/>
      <w:r w:rsidRPr="003C588D">
        <w:rPr>
          <w:rFonts w:ascii="Times New Roman" w:hAnsi="Times New Roman"/>
          <w:sz w:val="24"/>
          <w:szCs w:val="24"/>
          <w:lang w:eastAsia="en-GB"/>
        </w:rPr>
        <w:t>School  of</w:t>
      </w:r>
      <w:proofErr w:type="gramEnd"/>
      <w:r w:rsidRPr="003C588D">
        <w:rPr>
          <w:rFonts w:ascii="Times New Roman" w:hAnsi="Times New Roman"/>
          <w:sz w:val="24"/>
          <w:szCs w:val="24"/>
          <w:lang w:eastAsia="en-GB"/>
        </w:rPr>
        <w:t xml:space="preserve"> Business</w:t>
      </w:r>
    </w:p>
    <w:p w14:paraId="7E0723DE" w14:textId="11189A68"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Arellano, M., Bond, S. 1991. Some tests of specification for panel data: Monte Carlo evidence and an application to employment equations.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Review of Economic Studies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58</w:t>
      </w:r>
      <w:r w:rsidRPr="003C588D">
        <w:rPr>
          <w:rFonts w:ascii="Times New Roman" w:hAnsi="Times New Roman"/>
          <w:sz w:val="24"/>
          <w:szCs w:val="24"/>
          <w:shd w:val="clear" w:color="auto" w:fill="FFFFFF"/>
        </w:rPr>
        <w:t>, 277-297.</w:t>
      </w:r>
    </w:p>
    <w:p w14:paraId="4D5E4D26" w14:textId="219DF704"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Arellano, M.,   </w:t>
      </w:r>
      <w:proofErr w:type="spellStart"/>
      <w:r w:rsidRPr="003C588D">
        <w:rPr>
          <w:rFonts w:ascii="Times New Roman" w:hAnsi="Times New Roman"/>
          <w:sz w:val="24"/>
          <w:szCs w:val="24"/>
          <w:shd w:val="clear" w:color="auto" w:fill="FFFFFF"/>
        </w:rPr>
        <w:t>Bover</w:t>
      </w:r>
      <w:proofErr w:type="spellEnd"/>
      <w:r w:rsidRPr="003C588D">
        <w:rPr>
          <w:rFonts w:ascii="Times New Roman" w:hAnsi="Times New Roman"/>
          <w:sz w:val="24"/>
          <w:szCs w:val="24"/>
          <w:shd w:val="clear" w:color="auto" w:fill="FFFFFF"/>
        </w:rPr>
        <w:t xml:space="preserve">, O., 1995. Another look at the instrumental variable estimation </w:t>
      </w:r>
      <w:proofErr w:type="gramStart"/>
      <w:r w:rsidRPr="003C588D">
        <w:rPr>
          <w:rFonts w:ascii="Times New Roman" w:hAnsi="Times New Roman"/>
          <w:sz w:val="24"/>
          <w:szCs w:val="24"/>
          <w:shd w:val="clear" w:color="auto" w:fill="FFFFFF"/>
        </w:rPr>
        <w:t>of  error</w:t>
      </w:r>
      <w:proofErr w:type="gramEnd"/>
      <w:r w:rsidRPr="003C588D">
        <w:rPr>
          <w:rFonts w:ascii="Times New Roman" w:hAnsi="Times New Roman"/>
          <w:sz w:val="24"/>
          <w:szCs w:val="24"/>
          <w:shd w:val="clear" w:color="auto" w:fill="FFFFFF"/>
        </w:rPr>
        <w:t>-components models.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Econometrics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68</w:t>
      </w:r>
      <w:r w:rsidRPr="003C588D">
        <w:rPr>
          <w:rFonts w:ascii="Times New Roman" w:hAnsi="Times New Roman"/>
          <w:sz w:val="24"/>
          <w:szCs w:val="24"/>
          <w:shd w:val="clear" w:color="auto" w:fill="FFFFFF"/>
        </w:rPr>
        <w:t>, 29-51.</w:t>
      </w:r>
    </w:p>
    <w:p w14:paraId="123AB7BC" w14:textId="37137719"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Aydemir</w:t>
      </w:r>
      <w:proofErr w:type="spellEnd"/>
      <w:r w:rsidRPr="003C588D">
        <w:rPr>
          <w:rFonts w:ascii="Times New Roman" w:hAnsi="Times New Roman"/>
          <w:sz w:val="24"/>
          <w:szCs w:val="24"/>
        </w:rPr>
        <w:t>, R.</w:t>
      </w:r>
      <w:proofErr w:type="gramStart"/>
      <w:r w:rsidRPr="003C588D">
        <w:rPr>
          <w:rFonts w:ascii="Times New Roman" w:hAnsi="Times New Roman"/>
          <w:sz w:val="24"/>
          <w:szCs w:val="24"/>
        </w:rPr>
        <w:t xml:space="preserve">,  </w:t>
      </w:r>
      <w:proofErr w:type="spellStart"/>
      <w:r w:rsidRPr="003C588D">
        <w:rPr>
          <w:rFonts w:ascii="Times New Roman" w:hAnsi="Times New Roman"/>
          <w:sz w:val="24"/>
          <w:szCs w:val="24"/>
        </w:rPr>
        <w:t>Guloglu</w:t>
      </w:r>
      <w:proofErr w:type="spellEnd"/>
      <w:proofErr w:type="gramEnd"/>
      <w:r w:rsidRPr="003C588D">
        <w:rPr>
          <w:rFonts w:ascii="Times New Roman" w:hAnsi="Times New Roman"/>
          <w:sz w:val="24"/>
          <w:szCs w:val="24"/>
        </w:rPr>
        <w:t xml:space="preserve">, B., 2016. How do banks determine their spreads under credit </w:t>
      </w:r>
      <w:proofErr w:type="gramStart"/>
      <w:r w:rsidRPr="003C588D">
        <w:rPr>
          <w:rFonts w:ascii="Times New Roman" w:hAnsi="Times New Roman"/>
          <w:sz w:val="24"/>
          <w:szCs w:val="24"/>
        </w:rPr>
        <w:t>and  liquidity</w:t>
      </w:r>
      <w:proofErr w:type="gramEnd"/>
      <w:r w:rsidRPr="003C588D">
        <w:rPr>
          <w:rFonts w:ascii="Times New Roman" w:hAnsi="Times New Roman"/>
          <w:sz w:val="24"/>
          <w:szCs w:val="24"/>
        </w:rPr>
        <w:t xml:space="preserve"> risks during business cycles? </w:t>
      </w:r>
      <w:r w:rsidRPr="003C588D">
        <w:rPr>
          <w:rFonts w:ascii="Times New Roman" w:hAnsi="Times New Roman"/>
          <w:iCs/>
          <w:sz w:val="24"/>
          <w:szCs w:val="24"/>
        </w:rPr>
        <w:t>Journal of International Financial Markets, Institutions and Money</w:t>
      </w:r>
      <w:r w:rsidRPr="003C588D">
        <w:rPr>
          <w:rFonts w:ascii="Times New Roman" w:hAnsi="Times New Roman"/>
          <w:sz w:val="24"/>
          <w:szCs w:val="24"/>
        </w:rPr>
        <w:t xml:space="preserve">. DOI: </w:t>
      </w:r>
      <w:r w:rsidRPr="003C588D">
        <w:rPr>
          <w:rFonts w:ascii="Times New Roman" w:hAnsi="Times New Roman"/>
          <w:sz w:val="24"/>
          <w:szCs w:val="24"/>
          <w:bdr w:val="none" w:sz="0" w:space="0" w:color="auto" w:frame="1"/>
          <w:shd w:val="clear" w:color="auto" w:fill="FFFFFF"/>
        </w:rPr>
        <w:t>10.1016/j.intfin.2016.08.001</w:t>
      </w:r>
      <w:r w:rsidRPr="003C588D">
        <w:rPr>
          <w:rStyle w:val="Hyperlink"/>
          <w:rFonts w:ascii="Times New Roman" w:hAnsi="Times New Roman"/>
          <w:sz w:val="24"/>
          <w:szCs w:val="24"/>
          <w:bdr w:val="none" w:sz="0" w:space="0" w:color="auto" w:frame="1"/>
          <w:shd w:val="clear" w:color="auto" w:fill="FFFFFF"/>
        </w:rPr>
        <w:t>.</w:t>
      </w:r>
    </w:p>
    <w:p w14:paraId="3C46B01F" w14:textId="77777777" w:rsidR="00AA1AEC" w:rsidRPr="003C588D" w:rsidRDefault="00AA1AEC" w:rsidP="00055C72">
      <w:pPr>
        <w:spacing w:after="0" w:line="240" w:lineRule="auto"/>
        <w:ind w:left="720" w:hanging="720"/>
        <w:jc w:val="both"/>
        <w:rPr>
          <w:rFonts w:ascii="Times New Roman" w:hAnsi="Times New Roman"/>
          <w:bCs/>
          <w:sz w:val="24"/>
          <w:szCs w:val="24"/>
        </w:rPr>
      </w:pPr>
      <w:proofErr w:type="spellStart"/>
      <w:r w:rsidRPr="003C588D">
        <w:rPr>
          <w:rFonts w:ascii="Times New Roman" w:hAnsi="Times New Roman"/>
          <w:sz w:val="24"/>
          <w:szCs w:val="24"/>
        </w:rPr>
        <w:t>Bahadir</w:t>
      </w:r>
      <w:proofErr w:type="spellEnd"/>
      <w:r w:rsidRPr="003C588D">
        <w:rPr>
          <w:rFonts w:ascii="Times New Roman" w:hAnsi="Times New Roman"/>
          <w:sz w:val="24"/>
          <w:szCs w:val="24"/>
        </w:rPr>
        <w:t xml:space="preserve">, B. and </w:t>
      </w:r>
      <w:proofErr w:type="spellStart"/>
      <w:r w:rsidRPr="003C588D">
        <w:rPr>
          <w:rFonts w:ascii="Times New Roman" w:hAnsi="Times New Roman"/>
          <w:sz w:val="24"/>
          <w:szCs w:val="24"/>
        </w:rPr>
        <w:t>Valev</w:t>
      </w:r>
      <w:proofErr w:type="spellEnd"/>
      <w:r w:rsidRPr="003C588D">
        <w:rPr>
          <w:rFonts w:ascii="Times New Roman" w:hAnsi="Times New Roman"/>
          <w:sz w:val="24"/>
          <w:szCs w:val="24"/>
        </w:rPr>
        <w:t>, N. (2019), Credit information sharing and the shift in bank lending towards</w:t>
      </w:r>
      <w:r w:rsidRPr="003C588D">
        <w:rPr>
          <w:rFonts w:ascii="Times New Roman" w:hAnsi="Times New Roman"/>
          <w:b/>
          <w:bCs/>
          <w:sz w:val="24"/>
          <w:szCs w:val="24"/>
        </w:rPr>
        <w:t xml:space="preserve"> </w:t>
      </w:r>
      <w:r w:rsidRPr="003C588D">
        <w:rPr>
          <w:rFonts w:ascii="Times New Roman" w:hAnsi="Times New Roman"/>
          <w:sz w:val="24"/>
          <w:szCs w:val="24"/>
        </w:rPr>
        <w:t>households</w:t>
      </w:r>
      <w:r w:rsidRPr="003C588D">
        <w:rPr>
          <w:rFonts w:ascii="Times New Roman" w:hAnsi="Times New Roman"/>
          <w:bCs/>
          <w:sz w:val="24"/>
          <w:szCs w:val="24"/>
        </w:rPr>
        <w:t xml:space="preserve">, </w:t>
      </w:r>
      <w:r w:rsidRPr="003C588D">
        <w:rPr>
          <w:rFonts w:ascii="Times New Roman" w:hAnsi="Times New Roman"/>
          <w:bCs/>
          <w:i/>
          <w:sz w:val="24"/>
          <w:szCs w:val="24"/>
        </w:rPr>
        <w:t>International Journal of Finance and Economic</w:t>
      </w:r>
      <w:r w:rsidRPr="003C588D">
        <w:rPr>
          <w:rFonts w:ascii="Times New Roman" w:hAnsi="Times New Roman"/>
          <w:bCs/>
          <w:sz w:val="24"/>
          <w:szCs w:val="24"/>
        </w:rPr>
        <w:t>, 1-13.</w:t>
      </w:r>
      <w:r w:rsidRPr="003C588D">
        <w:rPr>
          <w:rFonts w:ascii="Times New Roman" w:hAnsi="Times New Roman"/>
          <w:sz w:val="24"/>
          <w:szCs w:val="24"/>
          <w:lang w:eastAsia="en-GB"/>
        </w:rPr>
        <w:t xml:space="preserve"> </w:t>
      </w:r>
      <w:r w:rsidRPr="003C588D">
        <w:rPr>
          <w:rFonts w:ascii="Times New Roman" w:hAnsi="Times New Roman"/>
          <w:bCs/>
          <w:sz w:val="24"/>
          <w:szCs w:val="24"/>
        </w:rPr>
        <w:t xml:space="preserve">DOI: 10.1002/ijfe.1776 </w:t>
      </w:r>
    </w:p>
    <w:p w14:paraId="4D448ACD" w14:textId="7A3A3890"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Beck, T., </w:t>
      </w:r>
      <w:proofErr w:type="spellStart"/>
      <w:r w:rsidRPr="003C588D">
        <w:rPr>
          <w:rFonts w:ascii="Times New Roman" w:hAnsi="Times New Roman"/>
          <w:sz w:val="24"/>
          <w:szCs w:val="24"/>
        </w:rPr>
        <w:t>Demirgüç-Kunt</w:t>
      </w:r>
      <w:proofErr w:type="spellEnd"/>
      <w:r w:rsidRPr="003C588D">
        <w:rPr>
          <w:rFonts w:ascii="Times New Roman" w:hAnsi="Times New Roman"/>
          <w:sz w:val="24"/>
          <w:szCs w:val="24"/>
        </w:rPr>
        <w:t>, A.</w:t>
      </w:r>
      <w:proofErr w:type="gramStart"/>
      <w:r w:rsidRPr="003C588D">
        <w:rPr>
          <w:rFonts w:ascii="Times New Roman" w:hAnsi="Times New Roman"/>
          <w:sz w:val="24"/>
          <w:szCs w:val="24"/>
        </w:rPr>
        <w:t>,  Levine</w:t>
      </w:r>
      <w:proofErr w:type="gramEnd"/>
      <w:r w:rsidRPr="003C588D">
        <w:rPr>
          <w:rFonts w:ascii="Times New Roman" w:hAnsi="Times New Roman"/>
          <w:sz w:val="24"/>
          <w:szCs w:val="24"/>
        </w:rPr>
        <w:t xml:space="preserve">, R, 2006. Bank concentration, competition, and crises: First results. </w:t>
      </w:r>
      <w:r w:rsidRPr="003C588D">
        <w:rPr>
          <w:rFonts w:ascii="Times New Roman" w:hAnsi="Times New Roman"/>
          <w:iCs/>
          <w:sz w:val="24"/>
          <w:szCs w:val="24"/>
        </w:rPr>
        <w:t>Journal of Banking &amp; Finance</w:t>
      </w:r>
      <w:r w:rsidRPr="003C588D">
        <w:rPr>
          <w:rFonts w:ascii="Times New Roman" w:hAnsi="Times New Roman"/>
          <w:sz w:val="24"/>
          <w:szCs w:val="24"/>
        </w:rPr>
        <w:t xml:space="preserve"> </w:t>
      </w:r>
      <w:r w:rsidRPr="003C588D">
        <w:rPr>
          <w:rFonts w:ascii="Times New Roman" w:hAnsi="Times New Roman"/>
          <w:iCs/>
          <w:sz w:val="24"/>
          <w:szCs w:val="24"/>
        </w:rPr>
        <w:t xml:space="preserve">30, </w:t>
      </w:r>
      <w:r w:rsidRPr="003C588D">
        <w:rPr>
          <w:rFonts w:ascii="Times New Roman" w:hAnsi="Times New Roman"/>
          <w:sz w:val="24"/>
          <w:szCs w:val="24"/>
        </w:rPr>
        <w:t>1581-1603.</w:t>
      </w:r>
    </w:p>
    <w:p w14:paraId="55D42C2C" w14:textId="2698E360"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Beck, T., </w:t>
      </w:r>
      <w:proofErr w:type="spellStart"/>
      <w:r w:rsidRPr="003C588D">
        <w:rPr>
          <w:rFonts w:ascii="Times New Roman" w:hAnsi="Times New Roman"/>
          <w:sz w:val="24"/>
          <w:szCs w:val="24"/>
        </w:rPr>
        <w:t>Demirgüç-Kunt</w:t>
      </w:r>
      <w:proofErr w:type="spellEnd"/>
      <w:r w:rsidRPr="003C588D">
        <w:rPr>
          <w:rFonts w:ascii="Times New Roman" w:hAnsi="Times New Roman"/>
          <w:sz w:val="24"/>
          <w:szCs w:val="24"/>
        </w:rPr>
        <w:t>, A., Levine, R. 2009. Financial institutions and markets across countries and over time — Data and analysis. Policy research working paper series 4943. Washington, DC: World Bank.</w:t>
      </w:r>
    </w:p>
    <w:p w14:paraId="4F175FED" w14:textId="5257A57A"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Beck, T., De </w:t>
      </w:r>
      <w:proofErr w:type="spellStart"/>
      <w:r w:rsidRPr="003C588D">
        <w:rPr>
          <w:rFonts w:ascii="Times New Roman" w:hAnsi="Times New Roman"/>
          <w:sz w:val="24"/>
          <w:szCs w:val="24"/>
        </w:rPr>
        <w:t>Jonghe</w:t>
      </w:r>
      <w:proofErr w:type="spellEnd"/>
      <w:r w:rsidRPr="003C588D">
        <w:rPr>
          <w:rFonts w:ascii="Times New Roman" w:hAnsi="Times New Roman"/>
          <w:sz w:val="24"/>
          <w:szCs w:val="24"/>
        </w:rPr>
        <w:t xml:space="preserve">, O., Schepens, G., 2013. Bank competition and stability: cross-country heterogeneity. </w:t>
      </w:r>
      <w:r w:rsidRPr="003C588D">
        <w:rPr>
          <w:rFonts w:ascii="Times New Roman" w:hAnsi="Times New Roman"/>
          <w:iCs/>
          <w:sz w:val="24"/>
          <w:szCs w:val="24"/>
        </w:rPr>
        <w:t>Journal of Financial Intermediation</w:t>
      </w:r>
      <w:r w:rsidRPr="003C588D">
        <w:rPr>
          <w:rFonts w:ascii="Times New Roman" w:hAnsi="Times New Roman"/>
          <w:sz w:val="24"/>
          <w:szCs w:val="24"/>
        </w:rPr>
        <w:t xml:space="preserve"> </w:t>
      </w:r>
      <w:r w:rsidRPr="003C588D">
        <w:rPr>
          <w:rFonts w:ascii="Times New Roman" w:hAnsi="Times New Roman"/>
          <w:iCs/>
          <w:sz w:val="24"/>
          <w:szCs w:val="24"/>
        </w:rPr>
        <w:t>22</w:t>
      </w:r>
      <w:r w:rsidRPr="003C588D">
        <w:rPr>
          <w:rFonts w:ascii="Times New Roman" w:hAnsi="Times New Roman"/>
          <w:sz w:val="24"/>
          <w:szCs w:val="24"/>
        </w:rPr>
        <w:t>, 218-244.</w:t>
      </w:r>
    </w:p>
    <w:p w14:paraId="77AEC325" w14:textId="07741DBA"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Behr, P., </w:t>
      </w:r>
      <w:proofErr w:type="spellStart"/>
      <w:r w:rsidRPr="003C588D">
        <w:rPr>
          <w:rFonts w:ascii="Times New Roman" w:hAnsi="Times New Roman"/>
          <w:sz w:val="24"/>
          <w:szCs w:val="24"/>
          <w:shd w:val="clear" w:color="auto" w:fill="FFFFFF"/>
        </w:rPr>
        <w:t>Sonnekalb</w:t>
      </w:r>
      <w:proofErr w:type="spellEnd"/>
      <w:r w:rsidRPr="003C588D">
        <w:rPr>
          <w:rFonts w:ascii="Times New Roman" w:hAnsi="Times New Roman"/>
          <w:sz w:val="24"/>
          <w:szCs w:val="24"/>
          <w:shd w:val="clear" w:color="auto" w:fill="FFFFFF"/>
        </w:rPr>
        <w:t>, S. 2012. The effect of information sharing between lenders on access to credit, cost of credit, and loan performance – Evidence from a credit registry introduction.</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Banking &amp;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36, </w:t>
      </w:r>
      <w:r w:rsidRPr="003C588D">
        <w:rPr>
          <w:rFonts w:ascii="Times New Roman" w:hAnsi="Times New Roman"/>
          <w:sz w:val="24"/>
          <w:szCs w:val="24"/>
          <w:shd w:val="clear" w:color="auto" w:fill="FFFFFF"/>
        </w:rPr>
        <w:t>3017-3032.</w:t>
      </w:r>
    </w:p>
    <w:p w14:paraId="06815D1A" w14:textId="77777777" w:rsidR="00AA1AEC" w:rsidRPr="003C588D" w:rsidRDefault="00AA1AEC" w:rsidP="00055C72">
      <w:pPr>
        <w:spacing w:after="0" w:line="240" w:lineRule="auto"/>
        <w:ind w:left="720" w:hanging="720"/>
        <w:jc w:val="both"/>
        <w:rPr>
          <w:rFonts w:ascii="Times New Roman" w:hAnsi="Times New Roman"/>
          <w:sz w:val="24"/>
          <w:szCs w:val="24"/>
        </w:rPr>
      </w:pPr>
    </w:p>
    <w:p w14:paraId="69021562" w14:textId="377C2FA6"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lastRenderedPageBreak/>
        <w:t xml:space="preserve">Bennardo, A., Pagano, M., Piccolo, S., 2015. Multiple bank lending, creditor rights, </w:t>
      </w:r>
      <w:proofErr w:type="gramStart"/>
      <w:r w:rsidRPr="003C588D">
        <w:rPr>
          <w:rFonts w:ascii="Times New Roman" w:hAnsi="Times New Roman"/>
          <w:sz w:val="24"/>
          <w:szCs w:val="24"/>
        </w:rPr>
        <w:t>and  information</w:t>
      </w:r>
      <w:proofErr w:type="gramEnd"/>
      <w:r w:rsidRPr="003C588D">
        <w:rPr>
          <w:rFonts w:ascii="Times New Roman" w:hAnsi="Times New Roman"/>
          <w:sz w:val="24"/>
          <w:szCs w:val="24"/>
        </w:rPr>
        <w:t xml:space="preserve"> sharing. </w:t>
      </w:r>
      <w:r w:rsidRPr="003C588D">
        <w:rPr>
          <w:rFonts w:ascii="Times New Roman" w:hAnsi="Times New Roman"/>
          <w:iCs/>
          <w:sz w:val="24"/>
          <w:szCs w:val="24"/>
        </w:rPr>
        <w:t>Review of Finance</w:t>
      </w:r>
      <w:r w:rsidRPr="003C588D">
        <w:rPr>
          <w:rFonts w:ascii="Times New Roman" w:hAnsi="Times New Roman"/>
          <w:sz w:val="24"/>
          <w:szCs w:val="24"/>
        </w:rPr>
        <w:t xml:space="preserve"> </w:t>
      </w:r>
      <w:r w:rsidRPr="003C588D">
        <w:rPr>
          <w:rFonts w:ascii="Times New Roman" w:hAnsi="Times New Roman"/>
          <w:iCs/>
          <w:sz w:val="24"/>
          <w:szCs w:val="24"/>
        </w:rPr>
        <w:t>19</w:t>
      </w:r>
      <w:r w:rsidRPr="003C588D">
        <w:rPr>
          <w:rFonts w:ascii="Times New Roman" w:hAnsi="Times New Roman"/>
          <w:sz w:val="24"/>
          <w:szCs w:val="24"/>
        </w:rPr>
        <w:t>, 519-570.</w:t>
      </w:r>
    </w:p>
    <w:p w14:paraId="71CCF40C" w14:textId="323CCFFE"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Berger, A. N., Hannan, T. H., 1998. The efficiency cost of market power in the banking industry: A test of the “quiet life” and related hypotheses. </w:t>
      </w:r>
      <w:r w:rsidRPr="003C588D">
        <w:rPr>
          <w:rFonts w:ascii="Times New Roman" w:hAnsi="Times New Roman"/>
          <w:iCs/>
          <w:sz w:val="24"/>
          <w:szCs w:val="24"/>
        </w:rPr>
        <w:t>Review of Economics and Statistics</w:t>
      </w:r>
      <w:r w:rsidRPr="003C588D">
        <w:rPr>
          <w:rFonts w:ascii="Times New Roman" w:hAnsi="Times New Roman"/>
          <w:sz w:val="24"/>
          <w:szCs w:val="24"/>
        </w:rPr>
        <w:t xml:space="preserve"> </w:t>
      </w:r>
      <w:r w:rsidRPr="003C588D">
        <w:rPr>
          <w:rFonts w:ascii="Times New Roman" w:hAnsi="Times New Roman"/>
          <w:iCs/>
          <w:sz w:val="24"/>
          <w:szCs w:val="24"/>
        </w:rPr>
        <w:t>80</w:t>
      </w:r>
      <w:r w:rsidRPr="003C588D">
        <w:rPr>
          <w:rFonts w:ascii="Times New Roman" w:hAnsi="Times New Roman"/>
          <w:sz w:val="24"/>
          <w:szCs w:val="24"/>
        </w:rPr>
        <w:t>, 454-465.</w:t>
      </w:r>
    </w:p>
    <w:p w14:paraId="580AF3C9" w14:textId="77777777"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Biggs, T. and Shah, M. K. (2006). African </w:t>
      </w:r>
      <w:r w:rsidRPr="003C588D">
        <w:rPr>
          <w:rFonts w:ascii="Times New Roman" w:hAnsi="Times New Roman"/>
          <w:noProof/>
          <w:sz w:val="24"/>
          <w:szCs w:val="24"/>
        </w:rPr>
        <w:t>SMES</w:t>
      </w:r>
      <w:r w:rsidRPr="003C588D">
        <w:rPr>
          <w:rFonts w:ascii="Times New Roman" w:hAnsi="Times New Roman"/>
          <w:sz w:val="24"/>
          <w:szCs w:val="24"/>
        </w:rPr>
        <w:t xml:space="preserve">, networks, and manufacturing performance. </w:t>
      </w:r>
      <w:r w:rsidRPr="003C588D">
        <w:rPr>
          <w:rFonts w:ascii="Times New Roman" w:hAnsi="Times New Roman"/>
          <w:i/>
          <w:sz w:val="24"/>
          <w:szCs w:val="24"/>
        </w:rPr>
        <w:t>Journal of Banking &amp; Finance</w:t>
      </w:r>
      <w:r w:rsidRPr="003C588D">
        <w:rPr>
          <w:rFonts w:ascii="Times New Roman" w:hAnsi="Times New Roman"/>
          <w:sz w:val="24"/>
          <w:szCs w:val="24"/>
        </w:rPr>
        <w:t>, 30, 3043-3066.</w:t>
      </w:r>
    </w:p>
    <w:p w14:paraId="2C537189" w14:textId="62041132"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Blundell, R.,   Bond, S., 1998. Initial conditions and moment restrictions in dynamic panel data models.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Econometrics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87</w:t>
      </w:r>
      <w:r w:rsidRPr="003C588D">
        <w:rPr>
          <w:rFonts w:ascii="Times New Roman" w:hAnsi="Times New Roman"/>
          <w:sz w:val="24"/>
          <w:szCs w:val="24"/>
          <w:shd w:val="clear" w:color="auto" w:fill="FFFFFF"/>
        </w:rPr>
        <w:t>, 115-143.</w:t>
      </w:r>
    </w:p>
    <w:p w14:paraId="4B1754E9" w14:textId="5114A7C5"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Brown, M., </w:t>
      </w:r>
      <w:proofErr w:type="spellStart"/>
      <w:r w:rsidRPr="003C588D">
        <w:rPr>
          <w:rFonts w:ascii="Times New Roman" w:hAnsi="Times New Roman"/>
          <w:sz w:val="24"/>
          <w:szCs w:val="24"/>
          <w:shd w:val="clear" w:color="auto" w:fill="FFFFFF"/>
        </w:rPr>
        <w:t>Jappelli</w:t>
      </w:r>
      <w:proofErr w:type="spellEnd"/>
      <w:r w:rsidRPr="003C588D">
        <w:rPr>
          <w:rFonts w:ascii="Times New Roman" w:hAnsi="Times New Roman"/>
          <w:sz w:val="24"/>
          <w:szCs w:val="24"/>
          <w:shd w:val="clear" w:color="auto" w:fill="FFFFFF"/>
        </w:rPr>
        <w:t>, T., Pagano, M., 2009. Information sharing and credit: Firm-level evidence from transition countries.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Financial Intermediation</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18, </w:t>
      </w:r>
      <w:r w:rsidRPr="003C588D">
        <w:rPr>
          <w:rFonts w:ascii="Times New Roman" w:hAnsi="Times New Roman"/>
          <w:sz w:val="24"/>
          <w:szCs w:val="24"/>
          <w:shd w:val="clear" w:color="auto" w:fill="FFFFFF"/>
        </w:rPr>
        <w:t>151-172.</w:t>
      </w:r>
    </w:p>
    <w:p w14:paraId="03460F02" w14:textId="20750D08"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Büyükkarabacak</w:t>
      </w:r>
      <w:proofErr w:type="spellEnd"/>
      <w:r w:rsidRPr="003C588D">
        <w:rPr>
          <w:rFonts w:ascii="Times New Roman" w:hAnsi="Times New Roman"/>
          <w:sz w:val="24"/>
          <w:szCs w:val="24"/>
          <w:shd w:val="clear" w:color="auto" w:fill="FFFFFF"/>
        </w:rPr>
        <w:t xml:space="preserve">, B., </w:t>
      </w:r>
      <w:proofErr w:type="spellStart"/>
      <w:r w:rsidRPr="003C588D">
        <w:rPr>
          <w:rFonts w:ascii="Times New Roman" w:hAnsi="Times New Roman"/>
          <w:sz w:val="24"/>
          <w:szCs w:val="24"/>
          <w:shd w:val="clear" w:color="auto" w:fill="FFFFFF"/>
        </w:rPr>
        <w:t>Valev</w:t>
      </w:r>
      <w:proofErr w:type="spellEnd"/>
      <w:r w:rsidRPr="003C588D">
        <w:rPr>
          <w:rFonts w:ascii="Times New Roman" w:hAnsi="Times New Roman"/>
          <w:sz w:val="24"/>
          <w:szCs w:val="24"/>
          <w:shd w:val="clear" w:color="auto" w:fill="FFFFFF"/>
        </w:rPr>
        <w:t>, N., 2012. Credit information sharing and banking crises: An empirical investigation.</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Macroeconomics 34, 788</w:t>
      </w:r>
      <w:r w:rsidRPr="003C588D">
        <w:rPr>
          <w:rFonts w:ascii="Times New Roman" w:hAnsi="Times New Roman"/>
          <w:sz w:val="24"/>
          <w:szCs w:val="24"/>
          <w:shd w:val="clear" w:color="auto" w:fill="FFFFFF"/>
        </w:rPr>
        <w:t>-800.</w:t>
      </w:r>
    </w:p>
    <w:p w14:paraId="2791AA44" w14:textId="19A0FAB5" w:rsidR="00AA1AEC" w:rsidRPr="003C588D" w:rsidRDefault="00AA1AEC" w:rsidP="00055C72">
      <w:pPr>
        <w:autoSpaceDE w:val="0"/>
        <w:autoSpaceDN w:val="0"/>
        <w:adjustRightInd w:val="0"/>
        <w:spacing w:after="0" w:line="240" w:lineRule="auto"/>
        <w:ind w:left="720" w:hanging="720"/>
        <w:jc w:val="both"/>
        <w:rPr>
          <w:rFonts w:ascii="Times New Roman" w:hAnsi="Times New Roman"/>
          <w:sz w:val="24"/>
          <w:szCs w:val="24"/>
          <w:lang w:eastAsia="en-GB"/>
        </w:rPr>
      </w:pPr>
      <w:proofErr w:type="spellStart"/>
      <w:r w:rsidRPr="003C588D">
        <w:rPr>
          <w:rFonts w:ascii="Times New Roman" w:hAnsi="Times New Roman"/>
          <w:sz w:val="24"/>
          <w:szCs w:val="24"/>
          <w:lang w:eastAsia="en-GB"/>
        </w:rPr>
        <w:t>Cetorelli</w:t>
      </w:r>
      <w:proofErr w:type="spellEnd"/>
      <w:r w:rsidRPr="003C588D">
        <w:rPr>
          <w:rFonts w:ascii="Times New Roman" w:hAnsi="Times New Roman"/>
          <w:sz w:val="24"/>
          <w:szCs w:val="24"/>
          <w:lang w:eastAsia="en-GB"/>
        </w:rPr>
        <w:t xml:space="preserve">, N., </w:t>
      </w:r>
      <w:proofErr w:type="spellStart"/>
      <w:r w:rsidRPr="003C588D">
        <w:rPr>
          <w:rFonts w:ascii="Times New Roman" w:hAnsi="Times New Roman"/>
          <w:sz w:val="24"/>
          <w:szCs w:val="24"/>
          <w:lang w:eastAsia="en-GB"/>
        </w:rPr>
        <w:t>Peretto</w:t>
      </w:r>
      <w:proofErr w:type="spellEnd"/>
      <w:r w:rsidRPr="003C588D">
        <w:rPr>
          <w:rFonts w:ascii="Times New Roman" w:hAnsi="Times New Roman"/>
          <w:sz w:val="24"/>
          <w:szCs w:val="24"/>
          <w:lang w:eastAsia="en-GB"/>
        </w:rPr>
        <w:t>, P. F. 2000. Oligopoly banking and capital accumulation. Working paper series WP-00-12. Federal Reserve Bank of Chicago.</w:t>
      </w:r>
    </w:p>
    <w:p w14:paraId="51774C02" w14:textId="4FBEA6BA" w:rsidR="00AA1AEC" w:rsidRPr="003C588D" w:rsidRDefault="00AA1AEC" w:rsidP="00055C72">
      <w:pPr>
        <w:spacing w:after="0" w:line="240" w:lineRule="auto"/>
        <w:ind w:left="720" w:hanging="720"/>
        <w:jc w:val="both"/>
        <w:rPr>
          <w:rFonts w:ascii="Times New Roman" w:hAnsi="Times New Roman"/>
          <w:iCs/>
          <w:sz w:val="24"/>
          <w:szCs w:val="24"/>
        </w:rPr>
      </w:pPr>
      <w:r w:rsidRPr="003C588D">
        <w:rPr>
          <w:rFonts w:ascii="Times New Roman" w:hAnsi="Times New Roman"/>
          <w:sz w:val="24"/>
          <w:szCs w:val="24"/>
        </w:rPr>
        <w:t xml:space="preserve">Cole, R., Cumming, D., Li, D., 2016. Do banks or VCs spur small firm </w:t>
      </w:r>
      <w:proofErr w:type="gramStart"/>
      <w:r w:rsidRPr="003C588D">
        <w:rPr>
          <w:rFonts w:ascii="Times New Roman" w:hAnsi="Times New Roman"/>
          <w:sz w:val="24"/>
          <w:szCs w:val="24"/>
        </w:rPr>
        <w:t>growth?.</w:t>
      </w:r>
      <w:proofErr w:type="gramEnd"/>
      <w:r w:rsidRPr="003C588D">
        <w:rPr>
          <w:rFonts w:ascii="Times New Roman" w:hAnsi="Times New Roman"/>
          <w:sz w:val="24"/>
          <w:szCs w:val="24"/>
        </w:rPr>
        <w:t xml:space="preserve"> </w:t>
      </w:r>
      <w:r w:rsidRPr="003C588D">
        <w:rPr>
          <w:rFonts w:ascii="Times New Roman" w:hAnsi="Times New Roman"/>
          <w:iCs/>
          <w:sz w:val="24"/>
          <w:szCs w:val="24"/>
        </w:rPr>
        <w:t>Journal of International Financial Markets, Institutions and Money</w:t>
      </w:r>
      <w:r w:rsidRPr="003C588D">
        <w:rPr>
          <w:rFonts w:ascii="Times New Roman" w:hAnsi="Times New Roman"/>
          <w:sz w:val="24"/>
          <w:szCs w:val="24"/>
        </w:rPr>
        <w:t xml:space="preserve">, </w:t>
      </w:r>
      <w:r w:rsidRPr="003C588D">
        <w:rPr>
          <w:rFonts w:ascii="Times New Roman" w:hAnsi="Times New Roman"/>
          <w:iCs/>
          <w:sz w:val="24"/>
          <w:szCs w:val="24"/>
        </w:rPr>
        <w:t>41</w:t>
      </w:r>
      <w:r w:rsidRPr="003C588D">
        <w:rPr>
          <w:rFonts w:ascii="Times New Roman" w:hAnsi="Times New Roman"/>
          <w:sz w:val="24"/>
          <w:szCs w:val="24"/>
        </w:rPr>
        <w:t>, 60-72.</w:t>
      </w:r>
    </w:p>
    <w:p w14:paraId="20BE6191" w14:textId="647A3457" w:rsidR="00AA1AEC" w:rsidRPr="003C588D" w:rsidRDefault="00AA1AEC" w:rsidP="00055C72">
      <w:pPr>
        <w:spacing w:after="0" w:line="240" w:lineRule="auto"/>
        <w:ind w:left="720" w:hanging="720"/>
        <w:jc w:val="both"/>
        <w:rPr>
          <w:rFonts w:ascii="Times New Roman" w:hAnsi="Times New Roman"/>
          <w:b/>
          <w:bCs/>
          <w:sz w:val="24"/>
          <w:szCs w:val="24"/>
        </w:rPr>
      </w:pPr>
      <w:r w:rsidRPr="003C588D">
        <w:rPr>
          <w:rFonts w:ascii="Times New Roman" w:hAnsi="Times New Roman"/>
          <w:sz w:val="24"/>
          <w:szCs w:val="24"/>
        </w:rPr>
        <w:t xml:space="preserve">Collier, P. and Gunning, J.W. (1999), </w:t>
      </w:r>
      <w:r w:rsidRPr="003C588D">
        <w:rPr>
          <w:rFonts w:ascii="Times New Roman" w:hAnsi="Times New Roman"/>
          <w:bCs/>
          <w:sz w:val="24"/>
          <w:szCs w:val="24"/>
        </w:rPr>
        <w:t xml:space="preserve">Explaining African Economic Performance, </w:t>
      </w:r>
      <w:r w:rsidRPr="003C588D">
        <w:rPr>
          <w:rFonts w:ascii="Times New Roman" w:hAnsi="Times New Roman"/>
          <w:bCs/>
          <w:i/>
          <w:sz w:val="24"/>
          <w:szCs w:val="24"/>
        </w:rPr>
        <w:t>Journal of</w:t>
      </w:r>
      <w:r w:rsidR="00AD6B33" w:rsidRPr="003C588D">
        <w:rPr>
          <w:rFonts w:ascii="Times New Roman" w:hAnsi="Times New Roman"/>
          <w:bCs/>
          <w:i/>
          <w:sz w:val="24"/>
          <w:szCs w:val="24"/>
        </w:rPr>
        <w:t xml:space="preserve"> </w:t>
      </w:r>
      <w:r w:rsidRPr="003C588D">
        <w:rPr>
          <w:rFonts w:ascii="Times New Roman" w:hAnsi="Times New Roman"/>
          <w:bCs/>
          <w:i/>
          <w:sz w:val="24"/>
          <w:szCs w:val="24"/>
        </w:rPr>
        <w:t>Economic Literature</w:t>
      </w:r>
      <w:r w:rsidRPr="003C588D">
        <w:rPr>
          <w:rFonts w:ascii="Times New Roman" w:hAnsi="Times New Roman"/>
          <w:bCs/>
          <w:sz w:val="24"/>
          <w:szCs w:val="24"/>
        </w:rPr>
        <w:t xml:space="preserve"> 37(1), 64-111.</w:t>
      </w:r>
    </w:p>
    <w:p w14:paraId="57B59EBA" w14:textId="3F36D276"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Demetriades</w:t>
      </w:r>
      <w:proofErr w:type="spellEnd"/>
      <w:r w:rsidRPr="003C588D">
        <w:rPr>
          <w:rFonts w:ascii="Times New Roman" w:hAnsi="Times New Roman"/>
          <w:sz w:val="24"/>
          <w:szCs w:val="24"/>
        </w:rPr>
        <w:t>, P. and Fielding, D., 2012. Information, institutions, and banking sector development in West Africa. </w:t>
      </w:r>
      <w:r w:rsidRPr="003C588D">
        <w:rPr>
          <w:rFonts w:ascii="Times New Roman" w:hAnsi="Times New Roman"/>
          <w:i/>
          <w:iCs/>
          <w:sz w:val="24"/>
          <w:szCs w:val="24"/>
        </w:rPr>
        <w:t>Economic Inquiry</w:t>
      </w:r>
      <w:r w:rsidRPr="003C588D">
        <w:rPr>
          <w:rFonts w:ascii="Times New Roman" w:hAnsi="Times New Roman"/>
          <w:sz w:val="24"/>
          <w:szCs w:val="24"/>
        </w:rPr>
        <w:t>, </w:t>
      </w:r>
      <w:r w:rsidRPr="003C588D">
        <w:rPr>
          <w:rFonts w:ascii="Times New Roman" w:hAnsi="Times New Roman"/>
          <w:iCs/>
          <w:sz w:val="24"/>
          <w:szCs w:val="24"/>
        </w:rPr>
        <w:t>50</w:t>
      </w:r>
      <w:r w:rsidRPr="003C588D">
        <w:rPr>
          <w:rFonts w:ascii="Times New Roman" w:hAnsi="Times New Roman"/>
          <w:sz w:val="24"/>
          <w:szCs w:val="24"/>
        </w:rPr>
        <w:t>, 739-753.</w:t>
      </w:r>
    </w:p>
    <w:p w14:paraId="4BD5E09B" w14:textId="31BEBCF1"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Demsetz</w:t>
      </w:r>
      <w:proofErr w:type="spellEnd"/>
      <w:r w:rsidRPr="003C588D">
        <w:rPr>
          <w:rFonts w:ascii="Times New Roman" w:hAnsi="Times New Roman"/>
          <w:sz w:val="24"/>
          <w:szCs w:val="24"/>
        </w:rPr>
        <w:t>, H. 1973. Industry Structure, Market Rivalry, and Public Policy. Journal of Law and Economics 16, 1–9.</w:t>
      </w:r>
    </w:p>
    <w:p w14:paraId="32E238F1" w14:textId="7D6338E5"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De </w:t>
      </w:r>
      <w:proofErr w:type="spellStart"/>
      <w:r w:rsidRPr="003C588D">
        <w:rPr>
          <w:rFonts w:ascii="Times New Roman" w:hAnsi="Times New Roman"/>
          <w:sz w:val="24"/>
          <w:szCs w:val="24"/>
        </w:rPr>
        <w:t>Haan</w:t>
      </w:r>
      <w:proofErr w:type="spellEnd"/>
      <w:r w:rsidRPr="003C588D">
        <w:rPr>
          <w:rFonts w:ascii="Times New Roman" w:hAnsi="Times New Roman"/>
          <w:sz w:val="24"/>
          <w:szCs w:val="24"/>
        </w:rPr>
        <w:t xml:space="preserve">, J., Poghosyan, T., 2012. Bank size, market concentration, and bank earnings volatility in the US. </w:t>
      </w:r>
      <w:r w:rsidRPr="003C588D">
        <w:rPr>
          <w:rFonts w:ascii="Times New Roman" w:hAnsi="Times New Roman"/>
          <w:iCs/>
          <w:sz w:val="24"/>
          <w:szCs w:val="24"/>
        </w:rPr>
        <w:t>Journal of International Financial Markets, Institutions and Money</w:t>
      </w:r>
      <w:r w:rsidRPr="003C588D">
        <w:rPr>
          <w:rFonts w:ascii="Times New Roman" w:hAnsi="Times New Roman"/>
          <w:sz w:val="24"/>
          <w:szCs w:val="24"/>
        </w:rPr>
        <w:t xml:space="preserve"> </w:t>
      </w:r>
      <w:r w:rsidRPr="003C588D">
        <w:rPr>
          <w:rFonts w:ascii="Times New Roman" w:hAnsi="Times New Roman"/>
          <w:iCs/>
          <w:sz w:val="24"/>
          <w:szCs w:val="24"/>
        </w:rPr>
        <w:t>22</w:t>
      </w:r>
      <w:r w:rsidRPr="003C588D">
        <w:rPr>
          <w:rFonts w:ascii="Times New Roman" w:hAnsi="Times New Roman"/>
          <w:sz w:val="24"/>
          <w:szCs w:val="24"/>
        </w:rPr>
        <w:t>, 35-54.</w:t>
      </w:r>
    </w:p>
    <w:p w14:paraId="43807E84" w14:textId="628AB71B"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Diamond, D. W., 1984. Financial intermediation and delegated monitoring.</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Review of Economic Studies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51</w:t>
      </w:r>
      <w:r w:rsidRPr="003C588D">
        <w:rPr>
          <w:rFonts w:ascii="Times New Roman" w:hAnsi="Times New Roman"/>
          <w:sz w:val="24"/>
          <w:szCs w:val="24"/>
          <w:shd w:val="clear" w:color="auto" w:fill="FFFFFF"/>
        </w:rPr>
        <w:t>, 393-414.</w:t>
      </w:r>
    </w:p>
    <w:p w14:paraId="45D89D04" w14:textId="7E9F61D8"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 xml:space="preserve">Diamond, D. W., </w:t>
      </w:r>
      <w:proofErr w:type="spellStart"/>
      <w:r w:rsidRPr="003C588D">
        <w:rPr>
          <w:rFonts w:ascii="Times New Roman" w:hAnsi="Times New Roman"/>
          <w:sz w:val="24"/>
          <w:szCs w:val="24"/>
          <w:shd w:val="clear" w:color="auto" w:fill="FFFFFF"/>
        </w:rPr>
        <w:t>Dybvig</w:t>
      </w:r>
      <w:proofErr w:type="spellEnd"/>
      <w:r w:rsidRPr="003C588D">
        <w:rPr>
          <w:rFonts w:ascii="Times New Roman" w:hAnsi="Times New Roman"/>
          <w:sz w:val="24"/>
          <w:szCs w:val="24"/>
          <w:shd w:val="clear" w:color="auto" w:fill="FFFFFF"/>
        </w:rPr>
        <w:t>, P. H., 1983. Bank runs, deposit insurance, and liquidity.</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Journal of Political Economy</w:t>
      </w:r>
      <w:r w:rsidRPr="003C588D">
        <w:rPr>
          <w:rFonts w:ascii="Times New Roman" w:hAnsi="Times New Roman"/>
          <w:sz w:val="24"/>
          <w:szCs w:val="24"/>
          <w:shd w:val="clear" w:color="auto" w:fill="FFFFFF"/>
        </w:rPr>
        <w:t xml:space="preserve"> 401- 419.</w:t>
      </w:r>
    </w:p>
    <w:p w14:paraId="5ACE3A9B" w14:textId="43798FE8"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Dierkes</w:t>
      </w:r>
      <w:proofErr w:type="spellEnd"/>
      <w:r w:rsidRPr="003C588D">
        <w:rPr>
          <w:rFonts w:ascii="Times New Roman" w:hAnsi="Times New Roman"/>
          <w:sz w:val="24"/>
          <w:szCs w:val="24"/>
        </w:rPr>
        <w:t xml:space="preserve">, M., </w:t>
      </w:r>
      <w:proofErr w:type="spellStart"/>
      <w:r w:rsidRPr="003C588D">
        <w:rPr>
          <w:rFonts w:ascii="Times New Roman" w:hAnsi="Times New Roman"/>
          <w:sz w:val="24"/>
          <w:szCs w:val="24"/>
        </w:rPr>
        <w:t>Erner</w:t>
      </w:r>
      <w:proofErr w:type="spellEnd"/>
      <w:r w:rsidRPr="003C588D">
        <w:rPr>
          <w:rFonts w:ascii="Times New Roman" w:hAnsi="Times New Roman"/>
          <w:sz w:val="24"/>
          <w:szCs w:val="24"/>
        </w:rPr>
        <w:t xml:space="preserve">, C., Langer, T., Norden, L., 2013. Business credit information sharing and default risk of private firms. </w:t>
      </w:r>
      <w:r w:rsidRPr="003C588D">
        <w:rPr>
          <w:rFonts w:ascii="Times New Roman" w:hAnsi="Times New Roman"/>
          <w:iCs/>
          <w:sz w:val="24"/>
          <w:szCs w:val="24"/>
        </w:rPr>
        <w:t>Journal of Banking &amp; Finance</w:t>
      </w:r>
      <w:r w:rsidRPr="003C588D">
        <w:rPr>
          <w:rFonts w:ascii="Times New Roman" w:hAnsi="Times New Roman"/>
          <w:sz w:val="24"/>
          <w:szCs w:val="24"/>
        </w:rPr>
        <w:t xml:space="preserve"> </w:t>
      </w:r>
      <w:r w:rsidRPr="003C588D">
        <w:rPr>
          <w:rFonts w:ascii="Times New Roman" w:hAnsi="Times New Roman"/>
          <w:iCs/>
          <w:sz w:val="24"/>
          <w:szCs w:val="24"/>
        </w:rPr>
        <w:t>37</w:t>
      </w:r>
      <w:r w:rsidRPr="003C588D">
        <w:rPr>
          <w:rFonts w:ascii="Times New Roman" w:hAnsi="Times New Roman"/>
          <w:sz w:val="24"/>
          <w:szCs w:val="24"/>
        </w:rPr>
        <w:t>, 2867-2878.</w:t>
      </w:r>
    </w:p>
    <w:p w14:paraId="535A08E2" w14:textId="29929B9D"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proofErr w:type="spellStart"/>
      <w:r w:rsidRPr="003C588D">
        <w:rPr>
          <w:rFonts w:ascii="Times New Roman" w:hAnsi="Times New Roman"/>
          <w:sz w:val="24"/>
          <w:szCs w:val="24"/>
          <w:shd w:val="clear" w:color="auto" w:fill="FFFFFF"/>
        </w:rPr>
        <w:t>Demirg</w:t>
      </w:r>
      <w:r w:rsidRPr="003C588D">
        <w:rPr>
          <w:rFonts w:ascii="Times New Roman" w:hAnsi="Times New Roman"/>
          <w:sz w:val="24"/>
          <w:szCs w:val="24"/>
        </w:rPr>
        <w:t>üç</w:t>
      </w:r>
      <w:r w:rsidRPr="003C588D">
        <w:rPr>
          <w:rFonts w:ascii="Times New Roman" w:hAnsi="Times New Roman"/>
          <w:sz w:val="24"/>
          <w:szCs w:val="24"/>
          <w:shd w:val="clear" w:color="auto" w:fill="FFFFFF"/>
        </w:rPr>
        <w:t>-Kunt</w:t>
      </w:r>
      <w:proofErr w:type="spellEnd"/>
      <w:r w:rsidRPr="003C588D">
        <w:rPr>
          <w:rFonts w:ascii="Times New Roman" w:hAnsi="Times New Roman"/>
          <w:sz w:val="24"/>
          <w:szCs w:val="24"/>
          <w:shd w:val="clear" w:color="auto" w:fill="FFFFFF"/>
        </w:rPr>
        <w:t xml:space="preserve">, A., </w:t>
      </w:r>
      <w:proofErr w:type="spellStart"/>
      <w:r w:rsidRPr="003C588D">
        <w:rPr>
          <w:rFonts w:ascii="Times New Roman" w:hAnsi="Times New Roman"/>
          <w:sz w:val="24"/>
          <w:szCs w:val="24"/>
          <w:shd w:val="clear" w:color="auto" w:fill="FFFFFF"/>
        </w:rPr>
        <w:t>Laeven</w:t>
      </w:r>
      <w:proofErr w:type="spellEnd"/>
      <w:r w:rsidRPr="003C588D">
        <w:rPr>
          <w:rFonts w:ascii="Times New Roman" w:hAnsi="Times New Roman"/>
          <w:sz w:val="24"/>
          <w:szCs w:val="24"/>
          <w:shd w:val="clear" w:color="auto" w:fill="FFFFFF"/>
        </w:rPr>
        <w:t>, L., Levine, R., 2003.</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Regulations, market structure, institutions, and the cost of financial intermediation</w:t>
      </w:r>
      <w:r w:rsidRPr="003C588D">
        <w:rPr>
          <w:rFonts w:ascii="Times New Roman" w:hAnsi="Times New Roman"/>
          <w:sz w:val="24"/>
          <w:szCs w:val="24"/>
          <w:shd w:val="clear" w:color="auto" w:fill="FFFFFF"/>
        </w:rPr>
        <w:t>. Journal of Money, Credit and Banking 36, 593 – 622</w:t>
      </w:r>
    </w:p>
    <w:p w14:paraId="49A153E9" w14:textId="786891D3"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proofErr w:type="spellStart"/>
      <w:r w:rsidRPr="003C588D">
        <w:rPr>
          <w:rFonts w:ascii="Times New Roman" w:hAnsi="Times New Roman"/>
          <w:sz w:val="24"/>
          <w:szCs w:val="24"/>
          <w:shd w:val="clear" w:color="auto" w:fill="FFFFFF"/>
        </w:rPr>
        <w:t>Djankov</w:t>
      </w:r>
      <w:proofErr w:type="spellEnd"/>
      <w:r w:rsidRPr="003C588D">
        <w:rPr>
          <w:rFonts w:ascii="Times New Roman" w:hAnsi="Times New Roman"/>
          <w:sz w:val="24"/>
          <w:szCs w:val="24"/>
          <w:shd w:val="clear" w:color="auto" w:fill="FFFFFF"/>
        </w:rPr>
        <w:t xml:space="preserve">, S., </w:t>
      </w:r>
      <w:proofErr w:type="spellStart"/>
      <w:r w:rsidRPr="003C588D">
        <w:rPr>
          <w:rFonts w:ascii="Times New Roman" w:hAnsi="Times New Roman"/>
          <w:sz w:val="24"/>
          <w:szCs w:val="24"/>
          <w:shd w:val="clear" w:color="auto" w:fill="FFFFFF"/>
        </w:rPr>
        <w:t>McLiesh</w:t>
      </w:r>
      <w:proofErr w:type="spellEnd"/>
      <w:r w:rsidRPr="003C588D">
        <w:rPr>
          <w:rFonts w:ascii="Times New Roman" w:hAnsi="Times New Roman"/>
          <w:sz w:val="24"/>
          <w:szCs w:val="24"/>
          <w:shd w:val="clear" w:color="auto" w:fill="FFFFFF"/>
        </w:rPr>
        <w:t>, C., Shleifer, A.,</w:t>
      </w:r>
      <w:r w:rsidRPr="003C588D" w:rsidDel="00B33AD1">
        <w:rPr>
          <w:rFonts w:ascii="Times New Roman" w:hAnsi="Times New Roman"/>
          <w:sz w:val="24"/>
          <w:szCs w:val="24"/>
          <w:shd w:val="clear" w:color="auto" w:fill="FFFFFF"/>
        </w:rPr>
        <w:t xml:space="preserve"> </w:t>
      </w:r>
      <w:r w:rsidRPr="003C588D">
        <w:rPr>
          <w:rFonts w:ascii="Times New Roman" w:hAnsi="Times New Roman"/>
          <w:sz w:val="24"/>
          <w:szCs w:val="24"/>
          <w:shd w:val="clear" w:color="auto" w:fill="FFFFFF"/>
        </w:rPr>
        <w:t>2007. Private credit in 129 countries.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Financial Economics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84, </w:t>
      </w:r>
      <w:r w:rsidRPr="003C588D">
        <w:rPr>
          <w:rFonts w:ascii="Times New Roman" w:hAnsi="Times New Roman"/>
          <w:sz w:val="24"/>
          <w:szCs w:val="24"/>
          <w:shd w:val="clear" w:color="auto" w:fill="FFFFFF"/>
        </w:rPr>
        <w:t>299-329.</w:t>
      </w:r>
    </w:p>
    <w:p w14:paraId="27C73D40" w14:textId="5EAF49E8"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Doblas</w:t>
      </w:r>
      <w:proofErr w:type="spellEnd"/>
      <w:r w:rsidRPr="003C588D">
        <w:rPr>
          <w:rFonts w:ascii="Times New Roman" w:hAnsi="Times New Roman"/>
          <w:sz w:val="24"/>
          <w:szCs w:val="24"/>
          <w:shd w:val="clear" w:color="auto" w:fill="FFFFFF"/>
        </w:rPr>
        <w:t xml:space="preserve">-Madrid, A., </w:t>
      </w:r>
      <w:proofErr w:type="spellStart"/>
      <w:r w:rsidRPr="003C588D">
        <w:rPr>
          <w:rFonts w:ascii="Times New Roman" w:hAnsi="Times New Roman"/>
          <w:sz w:val="24"/>
          <w:szCs w:val="24"/>
          <w:shd w:val="clear" w:color="auto" w:fill="FFFFFF"/>
        </w:rPr>
        <w:t>Minetti</w:t>
      </w:r>
      <w:proofErr w:type="spellEnd"/>
      <w:r w:rsidRPr="003C588D">
        <w:rPr>
          <w:rFonts w:ascii="Times New Roman" w:hAnsi="Times New Roman"/>
          <w:sz w:val="24"/>
          <w:szCs w:val="24"/>
          <w:shd w:val="clear" w:color="auto" w:fill="FFFFFF"/>
        </w:rPr>
        <w:t>, R., 2013. Sharing information in the credit market: Contract-level evidence from US firms.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Financial Economics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109</w:t>
      </w:r>
      <w:r w:rsidRPr="003C588D">
        <w:rPr>
          <w:rFonts w:ascii="Times New Roman" w:hAnsi="Times New Roman"/>
          <w:sz w:val="24"/>
          <w:szCs w:val="24"/>
          <w:shd w:val="clear" w:color="auto" w:fill="FFFFFF"/>
        </w:rPr>
        <w:t>, 198-223.</w:t>
      </w:r>
    </w:p>
    <w:p w14:paraId="68F17EDC" w14:textId="05B325AC"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Fosu, S., 2014. Credit information, consolidation and credit market performance: Bank-level evidence from developing countries. </w:t>
      </w:r>
      <w:r w:rsidRPr="003C588D">
        <w:rPr>
          <w:rFonts w:ascii="Times New Roman" w:hAnsi="Times New Roman"/>
          <w:iCs/>
          <w:sz w:val="24"/>
          <w:szCs w:val="24"/>
        </w:rPr>
        <w:t>International Review of Financial Analysis</w:t>
      </w:r>
      <w:r w:rsidRPr="003C588D">
        <w:rPr>
          <w:rFonts w:ascii="Times New Roman" w:hAnsi="Times New Roman"/>
          <w:sz w:val="24"/>
          <w:szCs w:val="24"/>
        </w:rPr>
        <w:t xml:space="preserve"> </w:t>
      </w:r>
      <w:r w:rsidRPr="003C588D">
        <w:rPr>
          <w:rFonts w:ascii="Times New Roman" w:hAnsi="Times New Roman"/>
          <w:iCs/>
          <w:sz w:val="24"/>
          <w:szCs w:val="24"/>
        </w:rPr>
        <w:t>32</w:t>
      </w:r>
      <w:r w:rsidRPr="003C588D">
        <w:rPr>
          <w:rFonts w:ascii="Times New Roman" w:hAnsi="Times New Roman"/>
          <w:sz w:val="24"/>
          <w:szCs w:val="24"/>
        </w:rPr>
        <w:t>, 23-36.</w:t>
      </w:r>
    </w:p>
    <w:p w14:paraId="00B6D5DC" w14:textId="44B8E989"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 xml:space="preserve">Fosu, S., 2013. Banking competition in Africa: </w:t>
      </w:r>
      <w:proofErr w:type="spellStart"/>
      <w:r w:rsidRPr="003C588D">
        <w:rPr>
          <w:rFonts w:ascii="Times New Roman" w:hAnsi="Times New Roman"/>
          <w:sz w:val="24"/>
          <w:szCs w:val="24"/>
          <w:shd w:val="clear" w:color="auto" w:fill="FFFFFF"/>
        </w:rPr>
        <w:t>Subregional</w:t>
      </w:r>
      <w:proofErr w:type="spellEnd"/>
      <w:r w:rsidRPr="003C588D">
        <w:rPr>
          <w:rFonts w:ascii="Times New Roman" w:hAnsi="Times New Roman"/>
          <w:sz w:val="24"/>
          <w:szCs w:val="24"/>
          <w:shd w:val="clear" w:color="auto" w:fill="FFFFFF"/>
        </w:rPr>
        <w:t xml:space="preserve"> comparative studies.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Emerging Markets Review</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15,</w:t>
      </w:r>
      <w:r w:rsidRPr="003C588D">
        <w:rPr>
          <w:rFonts w:ascii="Times New Roman" w:hAnsi="Times New Roman"/>
          <w:sz w:val="24"/>
          <w:szCs w:val="24"/>
          <w:shd w:val="clear" w:color="auto" w:fill="FFFFFF"/>
        </w:rPr>
        <w:t xml:space="preserve"> 233-254.</w:t>
      </w:r>
    </w:p>
    <w:p w14:paraId="394DA66F" w14:textId="3CCCCA1A" w:rsidR="00AA1AEC" w:rsidRPr="003C588D" w:rsidRDefault="00AA1AEC" w:rsidP="00055C72">
      <w:pPr>
        <w:spacing w:after="0" w:line="240" w:lineRule="auto"/>
        <w:ind w:left="720" w:hanging="720"/>
        <w:jc w:val="both"/>
        <w:rPr>
          <w:rFonts w:ascii="Times New Roman" w:hAnsi="Times New Roman"/>
          <w:color w:val="222222"/>
          <w:sz w:val="24"/>
          <w:szCs w:val="24"/>
          <w:shd w:val="clear" w:color="auto" w:fill="FFFFFF"/>
        </w:rPr>
      </w:pPr>
      <w:r w:rsidRPr="003C588D">
        <w:rPr>
          <w:rFonts w:ascii="Times New Roman" w:hAnsi="Times New Roman"/>
          <w:color w:val="222222"/>
          <w:sz w:val="24"/>
          <w:szCs w:val="24"/>
          <w:shd w:val="clear" w:color="auto" w:fill="FFFFFF"/>
          <w:lang w:val="en-US"/>
        </w:rPr>
        <w:t>Fosu, S., Danso, A., Agyei-Boapeah, H., Ntim, C.G., &amp; Adegbite, E. (2019). Credit</w:t>
      </w:r>
      <w:r w:rsidR="00AD6B33" w:rsidRPr="003C588D">
        <w:rPr>
          <w:rFonts w:ascii="Times New Roman" w:hAnsi="Times New Roman"/>
          <w:color w:val="222222"/>
          <w:sz w:val="24"/>
          <w:szCs w:val="24"/>
          <w:shd w:val="clear" w:color="auto" w:fill="FFFFFF"/>
          <w:lang w:val="en-US"/>
        </w:rPr>
        <w:t xml:space="preserve"> </w:t>
      </w:r>
      <w:r w:rsidRPr="003C588D">
        <w:rPr>
          <w:rFonts w:ascii="Times New Roman" w:hAnsi="Times New Roman"/>
          <w:color w:val="222222"/>
          <w:sz w:val="24"/>
          <w:szCs w:val="24"/>
          <w:shd w:val="clear" w:color="auto" w:fill="FFFFFF"/>
          <w:lang w:val="en-US"/>
        </w:rPr>
        <w:t xml:space="preserve">Information Sharing and Loan Default in Developing Countries: The Moderating Effect of Banking Market Concentration and National Governance Quality. </w:t>
      </w:r>
      <w:r w:rsidRPr="003C588D">
        <w:rPr>
          <w:rFonts w:ascii="Times New Roman" w:hAnsi="Times New Roman"/>
          <w:i/>
          <w:color w:val="222222"/>
          <w:sz w:val="24"/>
          <w:szCs w:val="24"/>
          <w:shd w:val="clear" w:color="auto" w:fill="FFFFFF"/>
          <w:lang w:val="en-US"/>
        </w:rPr>
        <w:t>Review of Quantitative Finance &amp; Accounting</w:t>
      </w:r>
      <w:r w:rsidRPr="003C588D">
        <w:rPr>
          <w:rFonts w:ascii="Times New Roman" w:hAnsi="Times New Roman"/>
          <w:color w:val="222222"/>
          <w:sz w:val="24"/>
          <w:szCs w:val="24"/>
          <w:shd w:val="clear" w:color="auto" w:fill="FFFFFF"/>
          <w:lang w:val="en-US"/>
        </w:rPr>
        <w:t xml:space="preserve">. DOI: </w:t>
      </w:r>
      <w:hyperlink r:id="rId57" w:history="1">
        <w:r w:rsidRPr="003C588D">
          <w:rPr>
            <w:rStyle w:val="Hyperlink"/>
            <w:rFonts w:ascii="Times New Roman" w:hAnsi="Times New Roman"/>
            <w:sz w:val="24"/>
            <w:szCs w:val="24"/>
            <w:shd w:val="clear" w:color="auto" w:fill="FFFFFF"/>
            <w:lang w:val="en-US"/>
          </w:rPr>
          <w:t>https://doi.org/10.1007/s11156-019-00836-1</w:t>
        </w:r>
      </w:hyperlink>
    </w:p>
    <w:p w14:paraId="72F6C0AE" w14:textId="77777777"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
    <w:p w14:paraId="72F3EE64" w14:textId="12B72B87" w:rsidR="00AA1AEC" w:rsidRPr="003C588D" w:rsidRDefault="00AA1AEC" w:rsidP="00055C72">
      <w:pPr>
        <w:spacing w:after="0" w:line="240" w:lineRule="auto"/>
        <w:ind w:left="720" w:hanging="720"/>
        <w:jc w:val="both"/>
        <w:rPr>
          <w:rFonts w:ascii="Times New Roman" w:hAnsi="Times New Roman"/>
          <w:i/>
          <w:iCs/>
          <w:sz w:val="24"/>
          <w:szCs w:val="24"/>
          <w:shd w:val="clear" w:color="auto" w:fill="FFFFFF"/>
        </w:rPr>
      </w:pPr>
      <w:r w:rsidRPr="003C588D">
        <w:rPr>
          <w:rFonts w:ascii="Times New Roman" w:hAnsi="Times New Roman"/>
          <w:sz w:val="24"/>
          <w:szCs w:val="24"/>
          <w:shd w:val="clear" w:color="auto" w:fill="FFFFFF"/>
        </w:rPr>
        <w:t>Furlong, F.T. and Keeley, M.C., 1989. Capital regulation and bank risk-taking: A note. </w:t>
      </w:r>
      <w:r w:rsidRPr="003C588D">
        <w:rPr>
          <w:rFonts w:ascii="Times New Roman" w:hAnsi="Times New Roman"/>
          <w:i/>
          <w:iCs/>
          <w:sz w:val="24"/>
          <w:szCs w:val="24"/>
          <w:shd w:val="clear" w:color="auto" w:fill="FFFFFF"/>
        </w:rPr>
        <w:t>Journal</w:t>
      </w:r>
      <w:r w:rsidR="00AD6B33" w:rsidRPr="003C588D">
        <w:rPr>
          <w:rFonts w:ascii="Times New Roman" w:hAnsi="Times New Roman"/>
          <w:i/>
          <w:iCs/>
          <w:sz w:val="24"/>
          <w:szCs w:val="24"/>
          <w:shd w:val="clear" w:color="auto" w:fill="FFFFFF"/>
        </w:rPr>
        <w:t xml:space="preserve"> </w:t>
      </w:r>
      <w:r w:rsidRPr="003C588D">
        <w:rPr>
          <w:rFonts w:ascii="Times New Roman" w:hAnsi="Times New Roman"/>
          <w:i/>
          <w:iCs/>
          <w:sz w:val="24"/>
          <w:szCs w:val="24"/>
          <w:shd w:val="clear" w:color="auto" w:fill="FFFFFF"/>
        </w:rPr>
        <w:t>of banking &amp; finance</w:t>
      </w:r>
      <w:r w:rsidRPr="003C588D">
        <w:rPr>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13</w:t>
      </w:r>
      <w:r w:rsidRPr="003C588D">
        <w:rPr>
          <w:rFonts w:ascii="Times New Roman" w:hAnsi="Times New Roman"/>
          <w:sz w:val="24"/>
          <w:szCs w:val="24"/>
          <w:shd w:val="clear" w:color="auto" w:fill="FFFFFF"/>
        </w:rPr>
        <w:t>, 883-891.</w:t>
      </w:r>
    </w:p>
    <w:p w14:paraId="5653A597" w14:textId="180D9756"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Ghosh, A., 2015. Banking-industry specific and regional economic determinants of non-performing loans: Evidence from US states. Journal of Financial Stability, 20, 93-104.</w:t>
      </w:r>
    </w:p>
    <w:p w14:paraId="765D1CE9" w14:textId="5C73880C"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Grajzl</w:t>
      </w:r>
      <w:proofErr w:type="spellEnd"/>
      <w:r w:rsidRPr="003C588D">
        <w:rPr>
          <w:rFonts w:ascii="Times New Roman" w:hAnsi="Times New Roman"/>
          <w:sz w:val="24"/>
          <w:szCs w:val="24"/>
          <w:shd w:val="clear" w:color="auto" w:fill="FFFFFF"/>
        </w:rPr>
        <w:t xml:space="preserve">, P., </w:t>
      </w:r>
      <w:proofErr w:type="spellStart"/>
      <w:r w:rsidRPr="003C588D">
        <w:rPr>
          <w:rFonts w:ascii="Times New Roman" w:hAnsi="Times New Roman"/>
          <w:sz w:val="24"/>
          <w:szCs w:val="24"/>
          <w:shd w:val="clear" w:color="auto" w:fill="FFFFFF"/>
        </w:rPr>
        <w:t>Laptieva</w:t>
      </w:r>
      <w:proofErr w:type="spellEnd"/>
      <w:r w:rsidRPr="003C588D">
        <w:rPr>
          <w:rFonts w:ascii="Times New Roman" w:hAnsi="Times New Roman"/>
          <w:sz w:val="24"/>
          <w:szCs w:val="24"/>
          <w:shd w:val="clear" w:color="auto" w:fill="FFFFFF"/>
        </w:rPr>
        <w:t xml:space="preserve">, N., 2016. Information sharing and the volume of private credit in transition: Evidence from Ukrainian bank-level panel data. </w:t>
      </w:r>
      <w:r w:rsidRPr="003C588D">
        <w:rPr>
          <w:rFonts w:ascii="Times New Roman" w:hAnsi="Times New Roman"/>
          <w:iCs/>
          <w:sz w:val="24"/>
          <w:szCs w:val="24"/>
          <w:shd w:val="clear" w:color="auto" w:fill="FFFFFF"/>
        </w:rPr>
        <w:t>Journal of Comparative Economics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44</w:t>
      </w:r>
      <w:r w:rsidRPr="003C588D">
        <w:rPr>
          <w:rFonts w:ascii="Times New Roman" w:hAnsi="Times New Roman"/>
          <w:sz w:val="24"/>
          <w:szCs w:val="24"/>
          <w:shd w:val="clear" w:color="auto" w:fill="FFFFFF"/>
        </w:rPr>
        <w:t>, 434-449.</w:t>
      </w:r>
    </w:p>
    <w:p w14:paraId="25AB9C1A" w14:textId="75ACF1C2" w:rsidR="00AA1AEC" w:rsidRPr="003C588D" w:rsidRDefault="00AA1AEC" w:rsidP="00055C72">
      <w:pPr>
        <w:spacing w:after="0" w:line="240" w:lineRule="auto"/>
        <w:ind w:left="720" w:hanging="720"/>
        <w:jc w:val="both"/>
        <w:rPr>
          <w:rFonts w:ascii="Times New Roman" w:hAnsi="Times New Roman"/>
          <w:bCs/>
          <w:sz w:val="24"/>
          <w:szCs w:val="24"/>
        </w:rPr>
      </w:pPr>
      <w:r w:rsidRPr="003C588D">
        <w:rPr>
          <w:rFonts w:ascii="Times New Roman" w:hAnsi="Times New Roman"/>
          <w:sz w:val="24"/>
          <w:szCs w:val="24"/>
        </w:rPr>
        <w:t xml:space="preserve">Gyapong, E., </w:t>
      </w:r>
      <w:proofErr w:type="spellStart"/>
      <w:r w:rsidRPr="003C588D">
        <w:rPr>
          <w:rFonts w:ascii="Times New Roman" w:hAnsi="Times New Roman"/>
          <w:sz w:val="24"/>
          <w:szCs w:val="24"/>
        </w:rPr>
        <w:t>Monen</w:t>
      </w:r>
      <w:proofErr w:type="spellEnd"/>
      <w:r w:rsidRPr="003C588D">
        <w:rPr>
          <w:rFonts w:ascii="Times New Roman" w:hAnsi="Times New Roman"/>
          <w:sz w:val="24"/>
          <w:szCs w:val="24"/>
        </w:rPr>
        <w:t xml:space="preserve">, R.M., and Hu, F., (2016), </w:t>
      </w:r>
      <w:r w:rsidRPr="003C588D">
        <w:rPr>
          <w:rFonts w:ascii="Times New Roman" w:hAnsi="Times New Roman"/>
          <w:bCs/>
          <w:sz w:val="24"/>
          <w:szCs w:val="24"/>
        </w:rPr>
        <w:t>Do Women and Ethnic Minority Directors</w:t>
      </w:r>
      <w:r w:rsidR="00AD6B33" w:rsidRPr="003C588D">
        <w:rPr>
          <w:rFonts w:ascii="Times New Roman" w:hAnsi="Times New Roman"/>
          <w:bCs/>
          <w:sz w:val="24"/>
          <w:szCs w:val="24"/>
        </w:rPr>
        <w:t xml:space="preserve"> </w:t>
      </w:r>
      <w:r w:rsidRPr="003C588D">
        <w:rPr>
          <w:rFonts w:ascii="Times New Roman" w:hAnsi="Times New Roman"/>
          <w:bCs/>
          <w:sz w:val="24"/>
          <w:szCs w:val="24"/>
        </w:rPr>
        <w:t xml:space="preserve">Influence Firm Value? Evidence from Post-Apartheid South Africa, </w:t>
      </w:r>
      <w:r w:rsidRPr="003C588D">
        <w:rPr>
          <w:rFonts w:ascii="Times New Roman" w:hAnsi="Times New Roman"/>
          <w:bCs/>
          <w:i/>
          <w:sz w:val="24"/>
          <w:szCs w:val="24"/>
        </w:rPr>
        <w:t>Journal of Business Finance &amp; Accounting</w:t>
      </w:r>
      <w:r w:rsidRPr="003C588D">
        <w:rPr>
          <w:rFonts w:ascii="Times New Roman" w:hAnsi="Times New Roman"/>
          <w:bCs/>
          <w:sz w:val="24"/>
          <w:szCs w:val="24"/>
        </w:rPr>
        <w:t xml:space="preserve"> 43(3-4), 370-413.</w:t>
      </w:r>
    </w:p>
    <w:p w14:paraId="4591B79C" w14:textId="06C3909F"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Hauswald</w:t>
      </w:r>
      <w:proofErr w:type="spellEnd"/>
      <w:r w:rsidRPr="003C588D">
        <w:rPr>
          <w:rFonts w:ascii="Times New Roman" w:hAnsi="Times New Roman"/>
          <w:sz w:val="24"/>
          <w:szCs w:val="24"/>
          <w:shd w:val="clear" w:color="auto" w:fill="FFFFFF"/>
        </w:rPr>
        <w:t>, R., Marquez, R., 2006. Competition and strategic information acquisition in credit markets.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Review of Financial Studies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19, </w:t>
      </w:r>
      <w:r w:rsidRPr="003C588D">
        <w:rPr>
          <w:rFonts w:ascii="Times New Roman" w:hAnsi="Times New Roman"/>
          <w:sz w:val="24"/>
          <w:szCs w:val="24"/>
          <w:shd w:val="clear" w:color="auto" w:fill="FFFFFF"/>
        </w:rPr>
        <w:t>967-1000.</w:t>
      </w:r>
    </w:p>
    <w:p w14:paraId="18E8C1E1" w14:textId="178FE208" w:rsidR="00AA1AEC" w:rsidRPr="003C588D" w:rsidRDefault="00AA1AEC" w:rsidP="00055C72">
      <w:pPr>
        <w:spacing w:after="0" w:line="240" w:lineRule="auto"/>
        <w:ind w:left="720" w:hanging="720"/>
        <w:jc w:val="both"/>
        <w:rPr>
          <w:rFonts w:ascii="Times New Roman" w:hAnsi="Times New Roman"/>
          <w:color w:val="000000"/>
          <w:sz w:val="24"/>
          <w:szCs w:val="24"/>
          <w:lang w:eastAsia="en-GB"/>
        </w:rPr>
      </w:pPr>
      <w:proofErr w:type="spellStart"/>
      <w:r w:rsidRPr="003C588D">
        <w:rPr>
          <w:rFonts w:ascii="Times New Roman" w:hAnsi="Times New Roman"/>
          <w:color w:val="000000"/>
          <w:sz w:val="24"/>
          <w:szCs w:val="24"/>
          <w:lang w:eastAsia="en-GB"/>
        </w:rPr>
        <w:t>Heggestad</w:t>
      </w:r>
      <w:proofErr w:type="spellEnd"/>
      <w:r w:rsidRPr="003C588D">
        <w:rPr>
          <w:rFonts w:ascii="Times New Roman" w:hAnsi="Times New Roman"/>
          <w:color w:val="000000"/>
          <w:sz w:val="24"/>
          <w:szCs w:val="24"/>
          <w:lang w:eastAsia="en-GB"/>
        </w:rPr>
        <w:t xml:space="preserve">, A.A. and Mingo, J.J., 1976. Prices, </w:t>
      </w:r>
      <w:proofErr w:type="spellStart"/>
      <w:r w:rsidRPr="003C588D">
        <w:rPr>
          <w:rFonts w:ascii="Times New Roman" w:hAnsi="Times New Roman"/>
          <w:color w:val="000000"/>
          <w:sz w:val="24"/>
          <w:szCs w:val="24"/>
          <w:lang w:eastAsia="en-GB"/>
        </w:rPr>
        <w:t>nonprices</w:t>
      </w:r>
      <w:proofErr w:type="spellEnd"/>
      <w:r w:rsidRPr="003C588D">
        <w:rPr>
          <w:rFonts w:ascii="Times New Roman" w:hAnsi="Times New Roman"/>
          <w:color w:val="000000"/>
          <w:sz w:val="24"/>
          <w:szCs w:val="24"/>
          <w:lang w:eastAsia="en-GB"/>
        </w:rPr>
        <w:t>, and concentration in commercial banking. </w:t>
      </w:r>
      <w:r w:rsidRPr="003C588D">
        <w:rPr>
          <w:rFonts w:ascii="Times New Roman" w:hAnsi="Times New Roman"/>
          <w:i/>
          <w:iCs/>
          <w:color w:val="000000"/>
          <w:sz w:val="24"/>
          <w:szCs w:val="24"/>
          <w:lang w:eastAsia="en-GB"/>
        </w:rPr>
        <w:t>Journal of Money, Credit and Banking</w:t>
      </w:r>
      <w:r w:rsidRPr="003C588D">
        <w:rPr>
          <w:rFonts w:ascii="Times New Roman" w:hAnsi="Times New Roman"/>
          <w:color w:val="000000"/>
          <w:sz w:val="24"/>
          <w:szCs w:val="24"/>
          <w:lang w:eastAsia="en-GB"/>
        </w:rPr>
        <w:t>, </w:t>
      </w:r>
      <w:r w:rsidRPr="003C588D">
        <w:rPr>
          <w:rFonts w:ascii="Times New Roman" w:hAnsi="Times New Roman"/>
          <w:i/>
          <w:iCs/>
          <w:color w:val="000000"/>
          <w:sz w:val="24"/>
          <w:szCs w:val="24"/>
          <w:lang w:eastAsia="en-GB"/>
        </w:rPr>
        <w:t>8</w:t>
      </w:r>
      <w:r w:rsidRPr="003C588D">
        <w:rPr>
          <w:rFonts w:ascii="Times New Roman" w:hAnsi="Times New Roman"/>
          <w:color w:val="000000"/>
          <w:sz w:val="24"/>
          <w:szCs w:val="24"/>
          <w:lang w:eastAsia="en-GB"/>
        </w:rPr>
        <w:t>(1), 107-117.</w:t>
      </w:r>
    </w:p>
    <w:p w14:paraId="24301527" w14:textId="05DEFE37" w:rsidR="00AA1AEC" w:rsidRPr="003C588D" w:rsidRDefault="00AA1AEC" w:rsidP="00055C72">
      <w:pPr>
        <w:spacing w:after="0" w:line="240" w:lineRule="auto"/>
        <w:ind w:left="720" w:hanging="720"/>
        <w:jc w:val="both"/>
        <w:rPr>
          <w:rFonts w:ascii="Times New Roman" w:hAnsi="Times New Roman"/>
          <w:sz w:val="24"/>
          <w:szCs w:val="24"/>
          <w:lang w:eastAsia="en-GB"/>
        </w:rPr>
      </w:pPr>
      <w:proofErr w:type="spellStart"/>
      <w:r w:rsidRPr="003C588D">
        <w:rPr>
          <w:rFonts w:ascii="Times New Roman" w:hAnsi="Times New Roman"/>
          <w:color w:val="000000"/>
          <w:sz w:val="24"/>
          <w:szCs w:val="24"/>
          <w:lang w:eastAsia="en-GB"/>
        </w:rPr>
        <w:t>Honohan</w:t>
      </w:r>
      <w:proofErr w:type="spellEnd"/>
      <w:r w:rsidRPr="003C588D">
        <w:rPr>
          <w:rFonts w:ascii="Times New Roman" w:hAnsi="Times New Roman"/>
          <w:color w:val="000000"/>
          <w:sz w:val="24"/>
          <w:szCs w:val="24"/>
          <w:lang w:eastAsia="en-GB"/>
        </w:rPr>
        <w:t>, P.</w:t>
      </w:r>
      <w:proofErr w:type="gramStart"/>
      <w:r w:rsidRPr="003C588D">
        <w:rPr>
          <w:rFonts w:ascii="Times New Roman" w:hAnsi="Times New Roman"/>
          <w:color w:val="000000"/>
          <w:sz w:val="24"/>
          <w:szCs w:val="24"/>
          <w:lang w:eastAsia="en-GB"/>
        </w:rPr>
        <w:t>,  Beck</w:t>
      </w:r>
      <w:proofErr w:type="gramEnd"/>
      <w:r w:rsidRPr="003C588D">
        <w:rPr>
          <w:rFonts w:ascii="Times New Roman" w:hAnsi="Times New Roman"/>
          <w:color w:val="000000"/>
          <w:sz w:val="24"/>
          <w:szCs w:val="24"/>
          <w:lang w:eastAsia="en-GB"/>
        </w:rPr>
        <w:t>, T., 2007</w:t>
      </w:r>
      <w:r w:rsidRPr="003C588D">
        <w:rPr>
          <w:rFonts w:ascii="Times New Roman" w:hAnsi="Times New Roman"/>
          <w:sz w:val="24"/>
          <w:szCs w:val="24"/>
          <w:lang w:eastAsia="en-GB"/>
        </w:rPr>
        <w:t>. Making finance work for Africa. Washington, DC: World Bank.</w:t>
      </w:r>
    </w:p>
    <w:p w14:paraId="7ECBD8C5" w14:textId="56CB2506"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Houston, J. F., Lin, C., Lin, P., Ma, Y., 2010. Creditor rights, information sharing, and bank risk taking.</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Financial Economics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96, </w:t>
      </w:r>
      <w:r w:rsidRPr="003C588D">
        <w:rPr>
          <w:rFonts w:ascii="Times New Roman" w:hAnsi="Times New Roman"/>
          <w:sz w:val="24"/>
          <w:szCs w:val="24"/>
          <w:shd w:val="clear" w:color="auto" w:fill="FFFFFF"/>
        </w:rPr>
        <w:t>485-512.</w:t>
      </w:r>
    </w:p>
    <w:p w14:paraId="43893B0A" w14:textId="4A5834FD"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Jappelli</w:t>
      </w:r>
      <w:proofErr w:type="spellEnd"/>
      <w:r w:rsidRPr="003C588D">
        <w:rPr>
          <w:rFonts w:ascii="Times New Roman" w:hAnsi="Times New Roman"/>
          <w:sz w:val="24"/>
          <w:szCs w:val="24"/>
          <w:shd w:val="clear" w:color="auto" w:fill="FFFFFF"/>
        </w:rPr>
        <w:t>, T., Pagano, M.,</w:t>
      </w:r>
      <w:r w:rsidRPr="003C588D" w:rsidDel="00BA6CB4">
        <w:rPr>
          <w:rFonts w:ascii="Times New Roman" w:hAnsi="Times New Roman"/>
          <w:sz w:val="24"/>
          <w:szCs w:val="24"/>
          <w:shd w:val="clear" w:color="auto" w:fill="FFFFFF"/>
        </w:rPr>
        <w:t xml:space="preserve"> </w:t>
      </w:r>
      <w:r w:rsidRPr="003C588D">
        <w:rPr>
          <w:rFonts w:ascii="Times New Roman" w:hAnsi="Times New Roman"/>
          <w:sz w:val="24"/>
          <w:szCs w:val="24"/>
          <w:shd w:val="clear" w:color="auto" w:fill="FFFFFF"/>
        </w:rPr>
        <w:t>2002. Information sharing, lending and defaults: Cross-country evidence.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Banking &amp; Finance</w:t>
      </w:r>
      <w:r w:rsidRPr="003C588D">
        <w:rPr>
          <w:rFonts w:ascii="Times New Roman" w:hAnsi="Times New Roman"/>
          <w:sz w:val="24"/>
          <w:szCs w:val="24"/>
          <w:shd w:val="clear" w:color="auto" w:fill="FFFFFF"/>
        </w:rPr>
        <w:t>,</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26, </w:t>
      </w:r>
      <w:r w:rsidRPr="003C588D">
        <w:rPr>
          <w:rFonts w:ascii="Times New Roman" w:hAnsi="Times New Roman"/>
          <w:sz w:val="24"/>
          <w:szCs w:val="24"/>
          <w:shd w:val="clear" w:color="auto" w:fill="FFFFFF"/>
        </w:rPr>
        <w:t>2017-2045.</w:t>
      </w:r>
    </w:p>
    <w:p w14:paraId="6B192FCD" w14:textId="5BC7D6F1" w:rsidR="00AA1AEC" w:rsidRPr="003C588D" w:rsidRDefault="00AA1AEC" w:rsidP="00055C72">
      <w:pPr>
        <w:spacing w:after="0" w:line="240" w:lineRule="auto"/>
        <w:ind w:left="720" w:hanging="720"/>
        <w:jc w:val="both"/>
        <w:rPr>
          <w:rFonts w:ascii="Times New Roman" w:hAnsi="Times New Roman"/>
          <w:color w:val="222222"/>
          <w:sz w:val="24"/>
          <w:szCs w:val="24"/>
          <w:shd w:val="clear" w:color="auto" w:fill="FFFFFF"/>
        </w:rPr>
      </w:pPr>
      <w:r w:rsidRPr="003C588D">
        <w:rPr>
          <w:rFonts w:ascii="Times New Roman" w:hAnsi="Times New Roman"/>
          <w:color w:val="222222"/>
          <w:sz w:val="24"/>
          <w:szCs w:val="24"/>
          <w:shd w:val="clear" w:color="auto" w:fill="FFFFFF"/>
        </w:rPr>
        <w:t xml:space="preserve">Kalyvas AN, </w:t>
      </w:r>
      <w:proofErr w:type="spellStart"/>
      <w:r w:rsidRPr="003C588D">
        <w:rPr>
          <w:rFonts w:ascii="Times New Roman" w:hAnsi="Times New Roman"/>
          <w:color w:val="222222"/>
          <w:sz w:val="24"/>
          <w:szCs w:val="24"/>
          <w:shd w:val="clear" w:color="auto" w:fill="FFFFFF"/>
        </w:rPr>
        <w:t>Mamatzakis</w:t>
      </w:r>
      <w:proofErr w:type="spellEnd"/>
      <w:r w:rsidRPr="003C588D">
        <w:rPr>
          <w:rFonts w:ascii="Times New Roman" w:hAnsi="Times New Roman"/>
          <w:color w:val="222222"/>
          <w:sz w:val="24"/>
          <w:szCs w:val="24"/>
          <w:shd w:val="clear" w:color="auto" w:fill="FFFFFF"/>
        </w:rPr>
        <w:t xml:space="preserve"> E (2017) Do creditor rights and information sharing affect the</w:t>
      </w:r>
      <w:r w:rsidR="00AD6B33" w:rsidRPr="003C588D">
        <w:rPr>
          <w:rFonts w:ascii="Times New Roman" w:hAnsi="Times New Roman"/>
          <w:color w:val="222222"/>
          <w:sz w:val="24"/>
          <w:szCs w:val="24"/>
          <w:shd w:val="clear" w:color="auto" w:fill="FFFFFF"/>
        </w:rPr>
        <w:t xml:space="preserve"> </w:t>
      </w:r>
      <w:r w:rsidRPr="003C588D">
        <w:rPr>
          <w:rFonts w:ascii="Times New Roman" w:hAnsi="Times New Roman"/>
          <w:color w:val="222222"/>
          <w:sz w:val="24"/>
          <w:szCs w:val="24"/>
          <w:shd w:val="clear" w:color="auto" w:fill="FFFFFF"/>
        </w:rPr>
        <w:t>performance of foreign banks? </w:t>
      </w:r>
      <w:r w:rsidRPr="003C588D">
        <w:rPr>
          <w:rFonts w:ascii="Times New Roman" w:hAnsi="Times New Roman"/>
          <w:iCs/>
          <w:color w:val="222222"/>
          <w:sz w:val="24"/>
          <w:szCs w:val="24"/>
          <w:shd w:val="clear" w:color="auto" w:fill="FFFFFF"/>
        </w:rPr>
        <w:t xml:space="preserve">J Int </w:t>
      </w:r>
      <w:proofErr w:type="spellStart"/>
      <w:r w:rsidRPr="003C588D">
        <w:rPr>
          <w:rFonts w:ascii="Times New Roman" w:hAnsi="Times New Roman"/>
          <w:iCs/>
          <w:color w:val="222222"/>
          <w:sz w:val="24"/>
          <w:szCs w:val="24"/>
          <w:shd w:val="clear" w:color="auto" w:fill="FFFFFF"/>
        </w:rPr>
        <w:t>Financ</w:t>
      </w:r>
      <w:proofErr w:type="spellEnd"/>
      <w:r w:rsidRPr="003C588D">
        <w:rPr>
          <w:rFonts w:ascii="Times New Roman" w:hAnsi="Times New Roman"/>
          <w:iCs/>
          <w:color w:val="222222"/>
          <w:sz w:val="24"/>
          <w:szCs w:val="24"/>
          <w:shd w:val="clear" w:color="auto" w:fill="FFFFFF"/>
        </w:rPr>
        <w:t xml:space="preserve"> Mark Inst Money</w:t>
      </w:r>
      <w:r w:rsidRPr="003C588D">
        <w:rPr>
          <w:rFonts w:ascii="Times New Roman" w:hAnsi="Times New Roman"/>
          <w:color w:val="222222"/>
          <w:sz w:val="24"/>
          <w:szCs w:val="24"/>
          <w:shd w:val="clear" w:color="auto" w:fill="FFFFFF"/>
        </w:rPr>
        <w:t xml:space="preserve"> 50:13-35</w:t>
      </w:r>
    </w:p>
    <w:p w14:paraId="2179E338" w14:textId="1C8DB432"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Kane, E. (2010) Redefining and containing systemic risk, Atlantic Economic Journal 38, 251–264.</w:t>
      </w:r>
    </w:p>
    <w:p w14:paraId="18A4DC9D" w14:textId="3545BF90"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Karapetyan</w:t>
      </w:r>
      <w:proofErr w:type="spellEnd"/>
      <w:r w:rsidRPr="003C588D">
        <w:rPr>
          <w:rFonts w:ascii="Times New Roman" w:hAnsi="Times New Roman"/>
          <w:sz w:val="24"/>
          <w:szCs w:val="24"/>
          <w:shd w:val="clear" w:color="auto" w:fill="FFFFFF"/>
        </w:rPr>
        <w:t xml:space="preserve">, A., </w:t>
      </w:r>
      <w:proofErr w:type="spellStart"/>
      <w:r w:rsidRPr="003C588D">
        <w:rPr>
          <w:rFonts w:ascii="Times New Roman" w:hAnsi="Times New Roman"/>
          <w:sz w:val="24"/>
          <w:szCs w:val="24"/>
          <w:shd w:val="clear" w:color="auto" w:fill="FFFFFF"/>
        </w:rPr>
        <w:t>Stacescu</w:t>
      </w:r>
      <w:proofErr w:type="spellEnd"/>
      <w:r w:rsidRPr="003C588D">
        <w:rPr>
          <w:rFonts w:ascii="Times New Roman" w:hAnsi="Times New Roman"/>
          <w:sz w:val="24"/>
          <w:szCs w:val="24"/>
          <w:shd w:val="clear" w:color="auto" w:fill="FFFFFF"/>
        </w:rPr>
        <w:t>, B., 2014. Does information sharing reduce the role of collateral as a screening device?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Banking &amp;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43</w:t>
      </w:r>
      <w:r w:rsidRPr="003C588D">
        <w:rPr>
          <w:rFonts w:ascii="Times New Roman" w:hAnsi="Times New Roman"/>
          <w:sz w:val="24"/>
          <w:szCs w:val="24"/>
          <w:shd w:val="clear" w:color="auto" w:fill="FFFFFF"/>
        </w:rPr>
        <w:t>, 48-57.</w:t>
      </w:r>
    </w:p>
    <w:p w14:paraId="385481E7" w14:textId="4FD2D87E" w:rsidR="00AA1AEC" w:rsidRPr="003C588D" w:rsidRDefault="00AA1AEC" w:rsidP="00055C72">
      <w:pPr>
        <w:autoSpaceDE w:val="0"/>
        <w:autoSpaceDN w:val="0"/>
        <w:adjustRightInd w:val="0"/>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Kaufmann, D., </w:t>
      </w:r>
      <w:proofErr w:type="spellStart"/>
      <w:r w:rsidRPr="003C588D">
        <w:rPr>
          <w:rFonts w:ascii="Times New Roman" w:hAnsi="Times New Roman"/>
          <w:sz w:val="24"/>
          <w:szCs w:val="24"/>
        </w:rPr>
        <w:t>Kraay</w:t>
      </w:r>
      <w:proofErr w:type="spellEnd"/>
      <w:r w:rsidRPr="003C588D">
        <w:rPr>
          <w:rFonts w:ascii="Times New Roman" w:hAnsi="Times New Roman"/>
          <w:sz w:val="24"/>
          <w:szCs w:val="24"/>
        </w:rPr>
        <w:t xml:space="preserve">, A., </w:t>
      </w:r>
      <w:proofErr w:type="spellStart"/>
      <w:r w:rsidRPr="003C588D">
        <w:rPr>
          <w:rFonts w:ascii="Times New Roman" w:hAnsi="Times New Roman"/>
          <w:sz w:val="24"/>
          <w:szCs w:val="24"/>
        </w:rPr>
        <w:t>Mastruzzi</w:t>
      </w:r>
      <w:proofErr w:type="spellEnd"/>
      <w:r w:rsidRPr="003C588D">
        <w:rPr>
          <w:rFonts w:ascii="Times New Roman" w:hAnsi="Times New Roman"/>
          <w:sz w:val="24"/>
          <w:szCs w:val="24"/>
        </w:rPr>
        <w:t xml:space="preserve">, M., 2011. The worldwide governance </w:t>
      </w:r>
      <w:proofErr w:type="spellStart"/>
      <w:proofErr w:type="gramStart"/>
      <w:r w:rsidRPr="003C588D">
        <w:rPr>
          <w:rFonts w:ascii="Times New Roman" w:hAnsi="Times New Roman"/>
          <w:sz w:val="24"/>
          <w:szCs w:val="24"/>
        </w:rPr>
        <w:t>indicators:Methodology</w:t>
      </w:r>
      <w:proofErr w:type="spellEnd"/>
      <w:proofErr w:type="gramEnd"/>
      <w:r w:rsidRPr="003C588D">
        <w:rPr>
          <w:rFonts w:ascii="Times New Roman" w:hAnsi="Times New Roman"/>
          <w:sz w:val="24"/>
          <w:szCs w:val="24"/>
        </w:rPr>
        <w:t xml:space="preserve"> and analytical issues. Hague Journal on the Rule of Law 3, 220–246.</w:t>
      </w:r>
    </w:p>
    <w:p w14:paraId="142C3C00" w14:textId="66C84A2A"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Kleln</w:t>
      </w:r>
      <w:proofErr w:type="spellEnd"/>
      <w:r w:rsidRPr="003C588D">
        <w:rPr>
          <w:rFonts w:ascii="Times New Roman" w:hAnsi="Times New Roman"/>
          <w:sz w:val="24"/>
          <w:szCs w:val="24"/>
        </w:rPr>
        <w:t xml:space="preserve">, D. B. 1992. Promise keeping in the great society: A model of credit information sharing. </w:t>
      </w:r>
      <w:r w:rsidRPr="003C588D">
        <w:rPr>
          <w:rFonts w:ascii="Times New Roman" w:hAnsi="Times New Roman"/>
          <w:iCs/>
          <w:sz w:val="24"/>
          <w:szCs w:val="24"/>
        </w:rPr>
        <w:t>Economics &amp; Politics</w:t>
      </w:r>
      <w:r w:rsidRPr="003C588D">
        <w:rPr>
          <w:rFonts w:ascii="Times New Roman" w:hAnsi="Times New Roman"/>
          <w:sz w:val="24"/>
          <w:szCs w:val="24"/>
        </w:rPr>
        <w:t xml:space="preserve"> </w:t>
      </w:r>
      <w:r w:rsidRPr="003C588D">
        <w:rPr>
          <w:rFonts w:ascii="Times New Roman" w:hAnsi="Times New Roman"/>
          <w:iCs/>
          <w:sz w:val="24"/>
          <w:szCs w:val="24"/>
        </w:rPr>
        <w:t xml:space="preserve">4, </w:t>
      </w:r>
      <w:r w:rsidRPr="003C588D">
        <w:rPr>
          <w:rFonts w:ascii="Times New Roman" w:hAnsi="Times New Roman"/>
          <w:sz w:val="24"/>
          <w:szCs w:val="24"/>
        </w:rPr>
        <w:t>117-136.</w:t>
      </w:r>
    </w:p>
    <w:p w14:paraId="62567CAC" w14:textId="2CD218C8"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Léon, F., 2016. Does the expansion of regional cross-border banks affect competition in Africa? Indirect evidence.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Research in International Business and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37</w:t>
      </w:r>
      <w:r w:rsidRPr="003C588D">
        <w:rPr>
          <w:rFonts w:ascii="Times New Roman" w:hAnsi="Times New Roman"/>
          <w:sz w:val="24"/>
          <w:szCs w:val="24"/>
          <w:shd w:val="clear" w:color="auto" w:fill="FFFFFF"/>
        </w:rPr>
        <w:t>, 66-77.</w:t>
      </w:r>
    </w:p>
    <w:p w14:paraId="2200A1B1" w14:textId="130D7D3C"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Lepetit</w:t>
      </w:r>
      <w:proofErr w:type="spellEnd"/>
      <w:r w:rsidRPr="003C588D">
        <w:rPr>
          <w:rFonts w:ascii="Times New Roman" w:hAnsi="Times New Roman"/>
          <w:sz w:val="24"/>
          <w:szCs w:val="24"/>
          <w:shd w:val="clear" w:color="auto" w:fill="FFFFFF"/>
        </w:rPr>
        <w:t xml:space="preserve">, L., </w:t>
      </w:r>
      <w:proofErr w:type="spellStart"/>
      <w:r w:rsidRPr="003C588D">
        <w:rPr>
          <w:rFonts w:ascii="Times New Roman" w:hAnsi="Times New Roman"/>
          <w:sz w:val="24"/>
          <w:szCs w:val="24"/>
          <w:shd w:val="clear" w:color="auto" w:fill="FFFFFF"/>
        </w:rPr>
        <w:t>Nys</w:t>
      </w:r>
      <w:proofErr w:type="spellEnd"/>
      <w:r w:rsidRPr="003C588D">
        <w:rPr>
          <w:rFonts w:ascii="Times New Roman" w:hAnsi="Times New Roman"/>
          <w:sz w:val="24"/>
          <w:szCs w:val="24"/>
          <w:shd w:val="clear" w:color="auto" w:fill="FFFFFF"/>
        </w:rPr>
        <w:t xml:space="preserve">, E., Rous, P., </w:t>
      </w:r>
      <w:proofErr w:type="spellStart"/>
      <w:r w:rsidRPr="003C588D">
        <w:rPr>
          <w:rFonts w:ascii="Times New Roman" w:hAnsi="Times New Roman"/>
          <w:sz w:val="24"/>
          <w:szCs w:val="24"/>
          <w:shd w:val="clear" w:color="auto" w:fill="FFFFFF"/>
        </w:rPr>
        <w:t>Tarazi</w:t>
      </w:r>
      <w:proofErr w:type="spellEnd"/>
      <w:r w:rsidRPr="003C588D">
        <w:rPr>
          <w:rFonts w:ascii="Times New Roman" w:hAnsi="Times New Roman"/>
          <w:sz w:val="24"/>
          <w:szCs w:val="24"/>
          <w:shd w:val="clear" w:color="auto" w:fill="FFFFFF"/>
        </w:rPr>
        <w:t>, A., 2008. The expansion of services in European banking: Implications for loan pricing and interest margins.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Banking &amp;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32</w:t>
      </w:r>
      <w:r w:rsidRPr="003C588D">
        <w:rPr>
          <w:rFonts w:ascii="Times New Roman" w:hAnsi="Times New Roman"/>
          <w:sz w:val="24"/>
          <w:szCs w:val="24"/>
          <w:shd w:val="clear" w:color="auto" w:fill="FFFFFF"/>
        </w:rPr>
        <w:t>, 2325-2335.</w:t>
      </w:r>
    </w:p>
    <w:p w14:paraId="3B0FFA11" w14:textId="08C89C61"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 xml:space="preserve">Love, I., </w:t>
      </w:r>
      <w:proofErr w:type="spellStart"/>
      <w:r w:rsidRPr="003C588D">
        <w:rPr>
          <w:rFonts w:ascii="Times New Roman" w:hAnsi="Times New Roman"/>
          <w:sz w:val="24"/>
          <w:szCs w:val="24"/>
          <w:shd w:val="clear" w:color="auto" w:fill="FFFFFF"/>
        </w:rPr>
        <w:t>Pería</w:t>
      </w:r>
      <w:proofErr w:type="spellEnd"/>
      <w:r w:rsidRPr="003C588D">
        <w:rPr>
          <w:rFonts w:ascii="Times New Roman" w:hAnsi="Times New Roman"/>
          <w:sz w:val="24"/>
          <w:szCs w:val="24"/>
          <w:shd w:val="clear" w:color="auto" w:fill="FFFFFF"/>
        </w:rPr>
        <w:t>, M. S. M., 2015. How bank competition affects firms' access to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World Bank Economic Review</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29</w:t>
      </w:r>
      <w:r w:rsidRPr="003C588D">
        <w:rPr>
          <w:rFonts w:ascii="Times New Roman" w:hAnsi="Times New Roman"/>
          <w:sz w:val="24"/>
          <w:szCs w:val="24"/>
          <w:shd w:val="clear" w:color="auto" w:fill="FFFFFF"/>
        </w:rPr>
        <w:t>, 413-448.</w:t>
      </w:r>
    </w:p>
    <w:p w14:paraId="4D1DCEBA" w14:textId="1323F8FA"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 xml:space="preserve">Love, I., </w:t>
      </w:r>
      <w:proofErr w:type="spellStart"/>
      <w:r w:rsidRPr="003C588D">
        <w:rPr>
          <w:rFonts w:ascii="Times New Roman" w:hAnsi="Times New Roman"/>
          <w:sz w:val="24"/>
          <w:szCs w:val="24"/>
          <w:shd w:val="clear" w:color="auto" w:fill="FFFFFF"/>
        </w:rPr>
        <w:t>Mylenko</w:t>
      </w:r>
      <w:proofErr w:type="spellEnd"/>
      <w:r w:rsidRPr="003C588D">
        <w:rPr>
          <w:rFonts w:ascii="Times New Roman" w:hAnsi="Times New Roman"/>
          <w:sz w:val="24"/>
          <w:szCs w:val="24"/>
          <w:shd w:val="clear" w:color="auto" w:fill="FFFFFF"/>
        </w:rPr>
        <w:t xml:space="preserve">, N., 2003. Credit reporting and financing constraints. </w:t>
      </w:r>
      <w:r w:rsidRPr="003C588D">
        <w:rPr>
          <w:rFonts w:ascii="Times New Roman" w:hAnsi="Times New Roman"/>
          <w:iCs/>
          <w:sz w:val="24"/>
          <w:szCs w:val="24"/>
          <w:shd w:val="clear" w:color="auto" w:fill="FFFFFF"/>
        </w:rPr>
        <w:t>World Bank Policy Research Working Paper</w:t>
      </w:r>
      <w:r w:rsidRPr="003C588D">
        <w:rPr>
          <w:rFonts w:ascii="Times New Roman" w:hAnsi="Times New Roman"/>
          <w:sz w:val="24"/>
          <w:szCs w:val="24"/>
          <w:shd w:val="clear" w:color="auto" w:fill="FFFFFF"/>
        </w:rPr>
        <w:t xml:space="preserve"> 3142. Washington, DC: World Bank.</w:t>
      </w:r>
    </w:p>
    <w:p w14:paraId="61AD6B4D" w14:textId="66134A16"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Marquez, R. 2002. Competition, adverse selection, and information dispersion in </w:t>
      </w:r>
      <w:proofErr w:type="spellStart"/>
      <w:r w:rsidRPr="003C588D">
        <w:rPr>
          <w:rFonts w:ascii="Times New Roman" w:hAnsi="Times New Roman"/>
          <w:sz w:val="24"/>
          <w:szCs w:val="24"/>
          <w:shd w:val="clear" w:color="auto" w:fill="FFFFFF"/>
        </w:rPr>
        <w:t>thebanking</w:t>
      </w:r>
      <w:proofErr w:type="spellEnd"/>
      <w:r w:rsidRPr="003C588D">
        <w:rPr>
          <w:rFonts w:ascii="Times New Roman" w:hAnsi="Times New Roman"/>
          <w:sz w:val="24"/>
          <w:szCs w:val="24"/>
          <w:shd w:val="clear" w:color="auto" w:fill="FFFFFF"/>
        </w:rPr>
        <w:t xml:space="preserve"> industry. Review of Financial Studies 15, 901–926.</w:t>
      </w:r>
    </w:p>
    <w:p w14:paraId="6BD83510" w14:textId="0D0E21D6" w:rsidR="00AA1AEC" w:rsidRPr="003C588D" w:rsidRDefault="00AA1AEC" w:rsidP="00055C72">
      <w:pPr>
        <w:spacing w:after="0" w:line="240" w:lineRule="auto"/>
        <w:ind w:left="720" w:hanging="720"/>
        <w:jc w:val="both"/>
        <w:rPr>
          <w:rFonts w:ascii="Times New Roman" w:hAnsi="Times New Roman"/>
          <w:color w:val="222222"/>
          <w:sz w:val="24"/>
          <w:szCs w:val="24"/>
          <w:shd w:val="clear" w:color="auto" w:fill="FFFFFF"/>
        </w:rPr>
      </w:pPr>
      <w:proofErr w:type="spellStart"/>
      <w:r w:rsidRPr="003C588D">
        <w:rPr>
          <w:rFonts w:ascii="Times New Roman" w:hAnsi="Times New Roman"/>
          <w:sz w:val="24"/>
          <w:szCs w:val="24"/>
          <w:shd w:val="clear" w:color="auto" w:fill="FFFFFF"/>
        </w:rPr>
        <w:t>Mylenko</w:t>
      </w:r>
      <w:proofErr w:type="spellEnd"/>
      <w:r w:rsidRPr="003C588D">
        <w:rPr>
          <w:rFonts w:ascii="Times New Roman" w:hAnsi="Times New Roman"/>
          <w:color w:val="222222"/>
          <w:sz w:val="24"/>
          <w:szCs w:val="24"/>
          <w:shd w:val="clear" w:color="auto" w:fill="FFFFFF"/>
        </w:rPr>
        <w:t xml:space="preserve"> N (2007) Developing Credit Reporting in Africa: Opportunities and Challenges.</w:t>
      </w:r>
      <w:r w:rsidRPr="003C588D">
        <w:rPr>
          <w:rStyle w:val="apple-converted-space"/>
          <w:rFonts w:ascii="Times New Roman" w:hAnsi="Times New Roman"/>
          <w:color w:val="222222"/>
          <w:sz w:val="24"/>
          <w:szCs w:val="24"/>
          <w:shd w:val="clear" w:color="auto" w:fill="FFFFFF"/>
        </w:rPr>
        <w:t> </w:t>
      </w:r>
      <w:r w:rsidRPr="003C588D">
        <w:rPr>
          <w:rFonts w:ascii="Times New Roman" w:hAnsi="Times New Roman"/>
          <w:iCs/>
          <w:color w:val="222222"/>
          <w:sz w:val="24"/>
          <w:szCs w:val="24"/>
          <w:shd w:val="clear" w:color="auto" w:fill="FFFFFF"/>
        </w:rPr>
        <w:t>Access Finance, The World Bank Group, Issue</w:t>
      </w:r>
      <w:r w:rsidRPr="003C588D">
        <w:rPr>
          <w:rFonts w:ascii="Times New Roman" w:hAnsi="Times New Roman"/>
          <w:color w:val="222222"/>
          <w:sz w:val="24"/>
          <w:szCs w:val="24"/>
          <w:shd w:val="clear" w:color="auto" w:fill="FFFFFF"/>
        </w:rPr>
        <w:t>, (19).</w:t>
      </w:r>
    </w:p>
    <w:p w14:paraId="7B6BEC56" w14:textId="7234BB2C"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Nana, P. N. 2014. Legal rights, information sharing, and private credit: New cross-country evidence.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Quarterly Review of Economics and Finance 54</w:t>
      </w:r>
      <w:r w:rsidRPr="003C588D">
        <w:rPr>
          <w:rFonts w:ascii="Times New Roman" w:hAnsi="Times New Roman"/>
          <w:sz w:val="24"/>
          <w:szCs w:val="24"/>
          <w:shd w:val="clear" w:color="auto" w:fill="FFFFFF"/>
        </w:rPr>
        <w:t>, 315-323.</w:t>
      </w:r>
    </w:p>
    <w:p w14:paraId="5DACE0EC" w14:textId="6BFD7C2B" w:rsidR="00AA1AEC" w:rsidRPr="003C588D" w:rsidRDefault="00AA1AEC" w:rsidP="00055C72">
      <w:pPr>
        <w:spacing w:after="0" w:line="240" w:lineRule="auto"/>
        <w:ind w:left="720" w:hanging="720"/>
        <w:jc w:val="both"/>
        <w:rPr>
          <w:rFonts w:ascii="Times New Roman" w:hAnsi="Times New Roman"/>
          <w:color w:val="222222"/>
          <w:sz w:val="24"/>
          <w:szCs w:val="24"/>
          <w:shd w:val="clear" w:color="auto" w:fill="FFFFFF"/>
        </w:rPr>
      </w:pPr>
      <w:r w:rsidRPr="003C588D">
        <w:rPr>
          <w:rFonts w:ascii="Times New Roman" w:hAnsi="Times New Roman"/>
          <w:color w:val="222222"/>
          <w:sz w:val="24"/>
          <w:szCs w:val="24"/>
          <w:shd w:val="clear" w:color="auto" w:fill="FFFFFF"/>
        </w:rPr>
        <w:t>Nataliya, M., 2007. Developing Credit Reporting in Africa: Opportunities and Challenges.</w:t>
      </w:r>
      <w:r w:rsidRPr="003C588D">
        <w:rPr>
          <w:rStyle w:val="apple-converted-space"/>
          <w:rFonts w:ascii="Times New Roman" w:hAnsi="Times New Roman"/>
          <w:color w:val="222222"/>
          <w:sz w:val="24"/>
          <w:szCs w:val="24"/>
          <w:shd w:val="clear" w:color="auto" w:fill="FFFFFF"/>
        </w:rPr>
        <w:t> </w:t>
      </w:r>
      <w:r w:rsidRPr="003C588D">
        <w:rPr>
          <w:rFonts w:ascii="Times New Roman" w:hAnsi="Times New Roman"/>
          <w:i/>
          <w:iCs/>
          <w:color w:val="222222"/>
          <w:sz w:val="24"/>
          <w:szCs w:val="24"/>
          <w:shd w:val="clear" w:color="auto" w:fill="FFFFFF"/>
        </w:rPr>
        <w:t>Access Finance, The World Bank Group, Issue</w:t>
      </w:r>
      <w:r w:rsidRPr="003C588D">
        <w:rPr>
          <w:rFonts w:ascii="Times New Roman" w:hAnsi="Times New Roman"/>
          <w:color w:val="222222"/>
          <w:sz w:val="24"/>
          <w:szCs w:val="24"/>
          <w:shd w:val="clear" w:color="auto" w:fill="FFFFFF"/>
        </w:rPr>
        <w:t>, (19).</w:t>
      </w:r>
    </w:p>
    <w:p w14:paraId="302B2855" w14:textId="03455805"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lastRenderedPageBreak/>
        <w:t xml:space="preserve">Nguyen, M, </w:t>
      </w:r>
      <w:proofErr w:type="spellStart"/>
      <w:r w:rsidRPr="003C588D">
        <w:rPr>
          <w:rFonts w:ascii="Times New Roman" w:hAnsi="Times New Roman"/>
          <w:sz w:val="24"/>
          <w:szCs w:val="24"/>
          <w:shd w:val="clear" w:color="auto" w:fill="FFFFFF"/>
        </w:rPr>
        <w:t>Perera</w:t>
      </w:r>
      <w:proofErr w:type="spellEnd"/>
      <w:r w:rsidRPr="003C588D">
        <w:rPr>
          <w:rFonts w:ascii="Times New Roman" w:hAnsi="Times New Roman"/>
          <w:sz w:val="24"/>
          <w:szCs w:val="24"/>
          <w:shd w:val="clear" w:color="auto" w:fill="FFFFFF"/>
        </w:rPr>
        <w:t xml:space="preserve">, S., &amp; </w:t>
      </w:r>
      <w:proofErr w:type="spellStart"/>
      <w:r w:rsidRPr="003C588D">
        <w:rPr>
          <w:rFonts w:ascii="Times New Roman" w:hAnsi="Times New Roman"/>
          <w:sz w:val="24"/>
          <w:szCs w:val="24"/>
          <w:shd w:val="clear" w:color="auto" w:fill="FFFFFF"/>
        </w:rPr>
        <w:t>Skully</w:t>
      </w:r>
      <w:proofErr w:type="spellEnd"/>
      <w:r w:rsidRPr="003C588D">
        <w:rPr>
          <w:rFonts w:ascii="Times New Roman" w:hAnsi="Times New Roman"/>
          <w:sz w:val="24"/>
          <w:szCs w:val="24"/>
          <w:shd w:val="clear" w:color="auto" w:fill="FFFFFF"/>
        </w:rPr>
        <w:t>, M. 2016. Bank market power, ownership, regional presence and revenue diversification: Evidence from Africa. Emerging Markets Review 27, 36-62</w:t>
      </w:r>
      <w:r w:rsidR="00E6550C">
        <w:rPr>
          <w:rFonts w:ascii="Times New Roman" w:hAnsi="Times New Roman"/>
          <w:sz w:val="24"/>
          <w:szCs w:val="24"/>
          <w:shd w:val="clear" w:color="auto" w:fill="FFFFFF"/>
        </w:rPr>
        <w:t>.</w:t>
      </w:r>
    </w:p>
    <w:p w14:paraId="427C148C" w14:textId="4B7F31AD" w:rsidR="00AA1AEC" w:rsidRPr="003C588D" w:rsidRDefault="00AA1AEC" w:rsidP="00055C72">
      <w:pPr>
        <w:spacing w:after="0" w:line="240" w:lineRule="auto"/>
        <w:ind w:left="720" w:hanging="720"/>
        <w:jc w:val="both"/>
        <w:rPr>
          <w:rFonts w:ascii="Times New Roman" w:hAnsi="Times New Roman"/>
          <w:iCs/>
          <w:sz w:val="24"/>
          <w:szCs w:val="24"/>
          <w:shd w:val="clear" w:color="auto" w:fill="FFFFFF"/>
        </w:rPr>
      </w:pPr>
      <w:r w:rsidRPr="003C588D">
        <w:rPr>
          <w:rFonts w:ascii="Times New Roman" w:hAnsi="Times New Roman"/>
          <w:sz w:val="24"/>
          <w:szCs w:val="24"/>
          <w:shd w:val="clear" w:color="auto" w:fill="FFFFFF"/>
        </w:rPr>
        <w:t xml:space="preserve">Pagano, M., </w:t>
      </w:r>
      <w:proofErr w:type="spellStart"/>
      <w:r w:rsidRPr="003C588D">
        <w:rPr>
          <w:rFonts w:ascii="Times New Roman" w:hAnsi="Times New Roman"/>
          <w:sz w:val="24"/>
          <w:szCs w:val="24"/>
          <w:shd w:val="clear" w:color="auto" w:fill="FFFFFF"/>
        </w:rPr>
        <w:t>Jappelli</w:t>
      </w:r>
      <w:proofErr w:type="spellEnd"/>
      <w:r w:rsidRPr="003C588D">
        <w:rPr>
          <w:rFonts w:ascii="Times New Roman" w:hAnsi="Times New Roman"/>
          <w:sz w:val="24"/>
          <w:szCs w:val="24"/>
          <w:shd w:val="clear" w:color="auto" w:fill="FFFFFF"/>
        </w:rPr>
        <w:t>, T., 1993. Information sharing in credit markets.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Journal of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48</w:t>
      </w:r>
      <w:r w:rsidRPr="003C588D">
        <w:rPr>
          <w:rFonts w:ascii="Times New Roman" w:hAnsi="Times New Roman"/>
          <w:sz w:val="24"/>
          <w:szCs w:val="24"/>
          <w:shd w:val="clear" w:color="auto" w:fill="FFFFFF"/>
        </w:rPr>
        <w:t>, 1693-1718.</w:t>
      </w:r>
    </w:p>
    <w:p w14:paraId="1171784B" w14:textId="69A19B67"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Padilla, A. J., Pagano, M. 2000. Sharing default information as a borrower discipline device. </w:t>
      </w:r>
      <w:r w:rsidRPr="003C588D">
        <w:rPr>
          <w:rFonts w:ascii="Times New Roman" w:hAnsi="Times New Roman"/>
          <w:iCs/>
          <w:sz w:val="24"/>
          <w:szCs w:val="24"/>
        </w:rPr>
        <w:t>European Economic Review</w:t>
      </w:r>
      <w:r w:rsidRPr="003C588D">
        <w:rPr>
          <w:rFonts w:ascii="Times New Roman" w:hAnsi="Times New Roman"/>
          <w:sz w:val="24"/>
          <w:szCs w:val="24"/>
        </w:rPr>
        <w:t xml:space="preserve"> </w:t>
      </w:r>
      <w:r w:rsidRPr="003C588D">
        <w:rPr>
          <w:rFonts w:ascii="Times New Roman" w:hAnsi="Times New Roman"/>
          <w:iCs/>
          <w:sz w:val="24"/>
          <w:szCs w:val="24"/>
        </w:rPr>
        <w:t>44</w:t>
      </w:r>
      <w:r w:rsidRPr="003C588D">
        <w:rPr>
          <w:rFonts w:ascii="Times New Roman" w:hAnsi="Times New Roman"/>
          <w:sz w:val="24"/>
          <w:szCs w:val="24"/>
        </w:rPr>
        <w:t>, 1951-1980.</w:t>
      </w:r>
    </w:p>
    <w:p w14:paraId="116C38C7" w14:textId="77D3AB49"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Padilla, A. J., Pagano, M., 1997. Endogenous communication among lenders and entrepreneurial incentives.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Review of Financial Studies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 xml:space="preserve">10, </w:t>
      </w:r>
      <w:r w:rsidRPr="003C588D">
        <w:rPr>
          <w:rFonts w:ascii="Times New Roman" w:hAnsi="Times New Roman"/>
          <w:sz w:val="24"/>
          <w:szCs w:val="24"/>
          <w:shd w:val="clear" w:color="auto" w:fill="FFFFFF"/>
        </w:rPr>
        <w:t>205-236.</w:t>
      </w:r>
    </w:p>
    <w:p w14:paraId="527D28E3" w14:textId="44688415"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Petersen, M. A., </w:t>
      </w:r>
      <w:proofErr w:type="spellStart"/>
      <w:r w:rsidRPr="003C588D">
        <w:rPr>
          <w:rFonts w:ascii="Times New Roman" w:hAnsi="Times New Roman"/>
          <w:sz w:val="24"/>
          <w:szCs w:val="24"/>
          <w:shd w:val="clear" w:color="auto" w:fill="FFFFFF"/>
        </w:rPr>
        <w:t>Rajan</w:t>
      </w:r>
      <w:proofErr w:type="spellEnd"/>
      <w:r w:rsidRPr="003C588D">
        <w:rPr>
          <w:rFonts w:ascii="Times New Roman" w:hAnsi="Times New Roman"/>
          <w:sz w:val="24"/>
          <w:szCs w:val="24"/>
          <w:shd w:val="clear" w:color="auto" w:fill="FFFFFF"/>
        </w:rPr>
        <w:t>, R. G.,</w:t>
      </w:r>
      <w:r w:rsidRPr="003C588D" w:rsidDel="00EB3172">
        <w:rPr>
          <w:rFonts w:ascii="Times New Roman" w:hAnsi="Times New Roman"/>
          <w:sz w:val="24"/>
          <w:szCs w:val="24"/>
          <w:shd w:val="clear" w:color="auto" w:fill="FFFFFF"/>
        </w:rPr>
        <w:t xml:space="preserve"> </w:t>
      </w:r>
      <w:r w:rsidRPr="003C588D">
        <w:rPr>
          <w:rFonts w:ascii="Times New Roman" w:hAnsi="Times New Roman"/>
          <w:sz w:val="24"/>
          <w:szCs w:val="24"/>
          <w:shd w:val="clear" w:color="auto" w:fill="FFFFFF"/>
        </w:rPr>
        <w:t>1995. The effect of credit market competition on lending relationships.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The Quarterly Journal of Economics</w:t>
      </w:r>
      <w:r w:rsidRPr="003C588D">
        <w:rPr>
          <w:rFonts w:ascii="Times New Roman" w:hAnsi="Times New Roman"/>
          <w:sz w:val="24"/>
          <w:szCs w:val="24"/>
          <w:shd w:val="clear" w:color="auto" w:fill="FFFFFF"/>
        </w:rPr>
        <w:t xml:space="preserve"> 110, 407-443.</w:t>
      </w:r>
    </w:p>
    <w:p w14:paraId="4A46932B" w14:textId="2F09CC11" w:rsidR="00AA1AEC" w:rsidRPr="003C588D" w:rsidRDefault="00AA1AEC" w:rsidP="00055C72">
      <w:pPr>
        <w:spacing w:after="0" w:line="240" w:lineRule="auto"/>
        <w:ind w:left="720" w:hanging="720"/>
        <w:jc w:val="both"/>
        <w:rPr>
          <w:rFonts w:ascii="Times New Roman" w:hAnsi="Times New Roman"/>
          <w:sz w:val="24"/>
          <w:szCs w:val="24"/>
        </w:rPr>
      </w:pPr>
      <w:r w:rsidRPr="003C588D">
        <w:rPr>
          <w:rFonts w:ascii="Times New Roman" w:hAnsi="Times New Roman"/>
          <w:sz w:val="24"/>
          <w:szCs w:val="24"/>
        </w:rPr>
        <w:t xml:space="preserve">La Porta, R.; F. Lopez-de-Silanes; A. Shleifer; and R. </w:t>
      </w:r>
      <w:proofErr w:type="spellStart"/>
      <w:r w:rsidRPr="003C588D">
        <w:rPr>
          <w:rFonts w:ascii="Times New Roman" w:hAnsi="Times New Roman"/>
          <w:sz w:val="24"/>
          <w:szCs w:val="24"/>
        </w:rPr>
        <w:t>Vishny</w:t>
      </w:r>
      <w:proofErr w:type="spellEnd"/>
      <w:r w:rsidRPr="003C588D">
        <w:rPr>
          <w:rFonts w:ascii="Times New Roman" w:hAnsi="Times New Roman"/>
          <w:sz w:val="24"/>
          <w:szCs w:val="24"/>
        </w:rPr>
        <w:t xml:space="preserve">, (1997), Legal Determinants of External Finance, </w:t>
      </w:r>
      <w:r w:rsidRPr="003C588D">
        <w:rPr>
          <w:rFonts w:ascii="Times New Roman" w:hAnsi="Times New Roman"/>
          <w:i/>
          <w:sz w:val="24"/>
          <w:szCs w:val="24"/>
        </w:rPr>
        <w:t>Journal of Finance</w:t>
      </w:r>
      <w:r w:rsidRPr="003C588D">
        <w:rPr>
          <w:rFonts w:ascii="Times New Roman" w:hAnsi="Times New Roman"/>
          <w:sz w:val="24"/>
          <w:szCs w:val="24"/>
        </w:rPr>
        <w:t>, 52(3), 1131–1150.</w:t>
      </w:r>
    </w:p>
    <w:p w14:paraId="68699C92" w14:textId="0554FF45" w:rsidR="00AA1AEC" w:rsidRPr="003C588D" w:rsidRDefault="00AA1AEC" w:rsidP="00055C72">
      <w:pPr>
        <w:spacing w:after="0" w:line="240" w:lineRule="auto"/>
        <w:ind w:left="720" w:hanging="720"/>
        <w:jc w:val="both"/>
        <w:rPr>
          <w:rFonts w:ascii="Times New Roman" w:hAnsi="Times New Roman"/>
          <w:sz w:val="24"/>
          <w:szCs w:val="24"/>
        </w:rPr>
      </w:pPr>
      <w:proofErr w:type="spellStart"/>
      <w:r w:rsidRPr="003C588D">
        <w:rPr>
          <w:rFonts w:ascii="Times New Roman" w:hAnsi="Times New Roman"/>
          <w:sz w:val="24"/>
          <w:szCs w:val="24"/>
        </w:rPr>
        <w:t>Rajan</w:t>
      </w:r>
      <w:proofErr w:type="spellEnd"/>
      <w:r w:rsidRPr="003C588D">
        <w:rPr>
          <w:rFonts w:ascii="Times New Roman" w:hAnsi="Times New Roman"/>
          <w:sz w:val="24"/>
          <w:szCs w:val="24"/>
        </w:rPr>
        <w:t>, R.G., and Zingales L., (1998), Financial Dependence and Growth, American Economic Review, 88(3), 559–586.</w:t>
      </w:r>
    </w:p>
    <w:p w14:paraId="36A875B7" w14:textId="77777777"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Roodman</w:t>
      </w:r>
      <w:proofErr w:type="spellEnd"/>
      <w:r w:rsidRPr="003C588D">
        <w:rPr>
          <w:rFonts w:ascii="Times New Roman" w:hAnsi="Times New Roman"/>
          <w:sz w:val="24"/>
          <w:szCs w:val="24"/>
          <w:shd w:val="clear" w:color="auto" w:fill="FFFFFF"/>
        </w:rPr>
        <w:t xml:space="preserve">, D., 2009. How to do xtabond2: An introduction to difference and system </w:t>
      </w:r>
      <w:proofErr w:type="spellStart"/>
      <w:r w:rsidRPr="003C588D">
        <w:rPr>
          <w:rFonts w:ascii="Times New Roman" w:hAnsi="Times New Roman"/>
          <w:sz w:val="24"/>
          <w:szCs w:val="24"/>
          <w:shd w:val="clear" w:color="auto" w:fill="FFFFFF"/>
        </w:rPr>
        <w:t>gmm</w:t>
      </w:r>
      <w:proofErr w:type="spellEnd"/>
      <w:r w:rsidRPr="003C588D">
        <w:rPr>
          <w:rFonts w:ascii="Times New Roman" w:hAnsi="Times New Roman"/>
          <w:sz w:val="24"/>
          <w:szCs w:val="24"/>
          <w:shd w:val="clear" w:color="auto" w:fill="FFFFFF"/>
        </w:rPr>
        <w:t xml:space="preserve"> in </w:t>
      </w:r>
    </w:p>
    <w:p w14:paraId="055656E4" w14:textId="28D1BA48" w:rsidR="00AA1AEC" w:rsidRPr="003C588D" w:rsidRDefault="00AA1AEC" w:rsidP="00055C72">
      <w:pPr>
        <w:spacing w:after="0" w:line="240" w:lineRule="auto"/>
        <w:ind w:left="720" w:hanging="720"/>
        <w:jc w:val="both"/>
        <w:rPr>
          <w:rFonts w:ascii="Times New Roman" w:hAnsi="Times New Roman"/>
          <w:i/>
          <w:iCs/>
          <w:sz w:val="24"/>
          <w:szCs w:val="24"/>
          <w:shd w:val="clear" w:color="auto" w:fill="FFFFFF"/>
        </w:rPr>
      </w:pPr>
      <w:proofErr w:type="spellStart"/>
      <w:r w:rsidRPr="003C588D">
        <w:rPr>
          <w:rFonts w:ascii="Times New Roman" w:hAnsi="Times New Roman"/>
          <w:sz w:val="24"/>
          <w:szCs w:val="24"/>
          <w:shd w:val="clear" w:color="auto" w:fill="FFFFFF"/>
        </w:rPr>
        <w:t>stata</w:t>
      </w:r>
      <w:proofErr w:type="spellEnd"/>
      <w:r w:rsidRPr="003C588D">
        <w:rPr>
          <w:rFonts w:ascii="Times New Roman" w:hAnsi="Times New Roman"/>
          <w:sz w:val="24"/>
          <w:szCs w:val="24"/>
          <w:shd w:val="clear" w:color="auto" w:fill="FFFFFF"/>
        </w:rPr>
        <w:t>. Stata Journal 9, 86-136.</w:t>
      </w:r>
      <w:r w:rsidRPr="003C588D">
        <w:rPr>
          <w:rStyle w:val="apple-converted-space"/>
          <w:rFonts w:ascii="Times New Roman" w:hAnsi="Times New Roman"/>
          <w:sz w:val="24"/>
          <w:szCs w:val="24"/>
          <w:shd w:val="clear" w:color="auto" w:fill="FFFFFF"/>
        </w:rPr>
        <w:t xml:space="preserve"> </w:t>
      </w:r>
    </w:p>
    <w:p w14:paraId="1E1C98AC" w14:textId="764E20C8" w:rsidR="00AA1AEC" w:rsidRPr="003C588D" w:rsidRDefault="00AA1AEC" w:rsidP="00055C72">
      <w:pPr>
        <w:spacing w:after="0" w:line="240" w:lineRule="auto"/>
        <w:ind w:left="720" w:hanging="720"/>
        <w:jc w:val="both"/>
        <w:rPr>
          <w:rFonts w:ascii="Times New Roman" w:hAnsi="Times New Roman"/>
          <w:i/>
          <w:sz w:val="24"/>
          <w:szCs w:val="24"/>
        </w:rPr>
      </w:pPr>
      <w:proofErr w:type="spellStart"/>
      <w:r w:rsidRPr="003C588D">
        <w:rPr>
          <w:rFonts w:ascii="Times New Roman" w:hAnsi="Times New Roman"/>
          <w:sz w:val="24"/>
          <w:szCs w:val="24"/>
        </w:rPr>
        <w:t>Sacerdoti</w:t>
      </w:r>
      <w:proofErr w:type="spellEnd"/>
      <w:r w:rsidRPr="003C588D">
        <w:rPr>
          <w:rFonts w:ascii="Times New Roman" w:hAnsi="Times New Roman"/>
          <w:sz w:val="24"/>
          <w:szCs w:val="24"/>
        </w:rPr>
        <w:t xml:space="preserve">, E., 2005. </w:t>
      </w:r>
      <w:r w:rsidRPr="003C588D">
        <w:rPr>
          <w:rFonts w:ascii="Times New Roman" w:hAnsi="Times New Roman"/>
          <w:i/>
          <w:sz w:val="24"/>
          <w:szCs w:val="24"/>
        </w:rPr>
        <w:t>Access to bank credit in sub-Saharan Africa: key issues and reform strategies</w:t>
      </w:r>
      <w:r w:rsidRPr="003C588D">
        <w:rPr>
          <w:rFonts w:ascii="Times New Roman" w:hAnsi="Times New Roman"/>
          <w:sz w:val="24"/>
          <w:szCs w:val="24"/>
        </w:rPr>
        <w:t>. IMF Working Paper 166. New York: IMF.</w:t>
      </w:r>
    </w:p>
    <w:p w14:paraId="083A4ECF" w14:textId="3604EEE9" w:rsidR="00AA1AEC" w:rsidRPr="003C588D" w:rsidRDefault="00AA1AEC" w:rsidP="00055C72">
      <w:pPr>
        <w:spacing w:after="0" w:line="240" w:lineRule="auto"/>
        <w:ind w:left="720" w:hanging="720"/>
        <w:jc w:val="both"/>
        <w:rPr>
          <w:rFonts w:ascii="Times New Roman" w:hAnsi="Times New Roman"/>
          <w:i/>
          <w:iCs/>
          <w:color w:val="222222"/>
          <w:sz w:val="24"/>
          <w:szCs w:val="24"/>
          <w:shd w:val="clear" w:color="auto" w:fill="FFFFFF"/>
        </w:rPr>
      </w:pPr>
      <w:r w:rsidRPr="003C588D">
        <w:rPr>
          <w:rFonts w:ascii="Times New Roman" w:hAnsi="Times New Roman"/>
          <w:color w:val="222222"/>
          <w:sz w:val="24"/>
          <w:szCs w:val="24"/>
          <w:shd w:val="clear" w:color="auto" w:fill="FFFFFF"/>
        </w:rPr>
        <w:t>Sharpe, W.F., 1978. Bank capital adequacy, deposit insurance and security values. </w:t>
      </w:r>
      <w:r w:rsidRPr="003C588D">
        <w:rPr>
          <w:rFonts w:ascii="Times New Roman" w:hAnsi="Times New Roman"/>
          <w:i/>
          <w:iCs/>
          <w:color w:val="222222"/>
          <w:sz w:val="24"/>
          <w:szCs w:val="24"/>
          <w:shd w:val="clear" w:color="auto" w:fill="FFFFFF"/>
        </w:rPr>
        <w:t>Journal of financial and quantitative analysis</w:t>
      </w:r>
      <w:r w:rsidRPr="003C588D">
        <w:rPr>
          <w:rFonts w:ascii="Times New Roman" w:hAnsi="Times New Roman"/>
          <w:color w:val="222222"/>
          <w:sz w:val="24"/>
          <w:szCs w:val="24"/>
          <w:shd w:val="clear" w:color="auto" w:fill="FFFFFF"/>
        </w:rPr>
        <w:t>, </w:t>
      </w:r>
      <w:r w:rsidRPr="003C588D">
        <w:rPr>
          <w:rFonts w:ascii="Times New Roman" w:hAnsi="Times New Roman"/>
          <w:iCs/>
          <w:color w:val="222222"/>
          <w:sz w:val="24"/>
          <w:szCs w:val="24"/>
          <w:shd w:val="clear" w:color="auto" w:fill="FFFFFF"/>
        </w:rPr>
        <w:t>13</w:t>
      </w:r>
      <w:r w:rsidRPr="003C588D">
        <w:rPr>
          <w:rFonts w:ascii="Times New Roman" w:hAnsi="Times New Roman"/>
          <w:color w:val="222222"/>
          <w:sz w:val="24"/>
          <w:szCs w:val="24"/>
          <w:shd w:val="clear" w:color="auto" w:fill="FFFFFF"/>
        </w:rPr>
        <w:t>, 701-718.</w:t>
      </w:r>
    </w:p>
    <w:p w14:paraId="79339F7C" w14:textId="2E4C8514" w:rsidR="00AA1AEC" w:rsidRPr="003C588D" w:rsidRDefault="00AA1AEC" w:rsidP="00055C72">
      <w:pPr>
        <w:spacing w:after="0" w:line="240" w:lineRule="auto"/>
        <w:ind w:left="720" w:hanging="720"/>
        <w:jc w:val="both"/>
        <w:rPr>
          <w:rFonts w:ascii="Times New Roman" w:hAnsi="Times New Roman"/>
          <w:iCs/>
          <w:color w:val="222222"/>
          <w:sz w:val="24"/>
          <w:szCs w:val="24"/>
          <w:shd w:val="clear" w:color="auto" w:fill="FFFFFF"/>
        </w:rPr>
      </w:pPr>
      <w:r w:rsidRPr="003C588D">
        <w:rPr>
          <w:rFonts w:ascii="Times New Roman" w:hAnsi="Times New Roman"/>
          <w:color w:val="222222"/>
          <w:sz w:val="24"/>
          <w:szCs w:val="24"/>
          <w:shd w:val="clear" w:color="auto" w:fill="FFFFFF"/>
        </w:rPr>
        <w:t>Stiglitz, J.E., Weiss, A., 1981. Credit rationing in markets with imperfect information.</w:t>
      </w:r>
      <w:r w:rsidRPr="003C588D">
        <w:rPr>
          <w:rStyle w:val="apple-converted-space"/>
          <w:rFonts w:ascii="Times New Roman" w:hAnsi="Times New Roman"/>
          <w:color w:val="222222"/>
          <w:sz w:val="24"/>
          <w:szCs w:val="24"/>
          <w:shd w:val="clear" w:color="auto" w:fill="FFFFFF"/>
        </w:rPr>
        <w:t> </w:t>
      </w:r>
      <w:r w:rsidRPr="003C588D">
        <w:rPr>
          <w:rFonts w:ascii="Times New Roman" w:hAnsi="Times New Roman"/>
          <w:iCs/>
          <w:color w:val="222222"/>
          <w:sz w:val="24"/>
          <w:szCs w:val="24"/>
          <w:shd w:val="clear" w:color="auto" w:fill="FFFFFF"/>
        </w:rPr>
        <w:t>The American economic review</w:t>
      </w:r>
      <w:r w:rsidRPr="003C588D">
        <w:rPr>
          <w:rStyle w:val="apple-converted-space"/>
          <w:rFonts w:ascii="Times New Roman" w:hAnsi="Times New Roman"/>
          <w:color w:val="222222"/>
          <w:sz w:val="24"/>
          <w:szCs w:val="24"/>
          <w:shd w:val="clear" w:color="auto" w:fill="FFFFFF"/>
        </w:rPr>
        <w:t> </w:t>
      </w:r>
      <w:r w:rsidRPr="003C588D">
        <w:rPr>
          <w:rFonts w:ascii="Times New Roman" w:hAnsi="Times New Roman"/>
          <w:iCs/>
          <w:color w:val="222222"/>
          <w:sz w:val="24"/>
          <w:szCs w:val="24"/>
          <w:shd w:val="clear" w:color="auto" w:fill="FFFFFF"/>
        </w:rPr>
        <w:t>71,</w:t>
      </w:r>
      <w:r w:rsidRPr="003C588D">
        <w:rPr>
          <w:rFonts w:ascii="Times New Roman" w:hAnsi="Times New Roman"/>
          <w:color w:val="222222"/>
          <w:sz w:val="24"/>
          <w:szCs w:val="24"/>
          <w:shd w:val="clear" w:color="auto" w:fill="FFFFFF"/>
        </w:rPr>
        <w:t xml:space="preserve"> 393-410.</w:t>
      </w:r>
    </w:p>
    <w:p w14:paraId="56EEDCB8" w14:textId="5020F03F"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rPr>
        <w:t xml:space="preserve">Tahir, S., Adegbite, E. </w:t>
      </w:r>
      <w:proofErr w:type="spellStart"/>
      <w:r w:rsidRPr="003C588D">
        <w:rPr>
          <w:rFonts w:ascii="Times New Roman" w:hAnsi="Times New Roman"/>
          <w:sz w:val="24"/>
          <w:szCs w:val="24"/>
        </w:rPr>
        <w:t>Guney</w:t>
      </w:r>
      <w:proofErr w:type="spellEnd"/>
      <w:r w:rsidRPr="003C588D">
        <w:rPr>
          <w:rFonts w:ascii="Times New Roman" w:hAnsi="Times New Roman"/>
          <w:sz w:val="24"/>
          <w:szCs w:val="24"/>
        </w:rPr>
        <w:t xml:space="preserve">, Y. 2016. </w:t>
      </w:r>
      <w:r w:rsidRPr="003C588D">
        <w:rPr>
          <w:rFonts w:ascii="Times New Roman" w:hAnsi="Times New Roman"/>
          <w:sz w:val="24"/>
          <w:szCs w:val="24"/>
          <w:shd w:val="clear" w:color="auto" w:fill="FFFFFF"/>
        </w:rPr>
        <w:t xml:space="preserve">An international examination of the economic effectiveness </w:t>
      </w:r>
      <w:r w:rsidRPr="003C588D">
        <w:rPr>
          <w:rFonts w:ascii="Times New Roman" w:hAnsi="Times New Roman"/>
          <w:sz w:val="24"/>
          <w:szCs w:val="24"/>
        </w:rPr>
        <w:t xml:space="preserve">of banking recapitalization. International Business Review, DOI: </w:t>
      </w:r>
      <w:r w:rsidRPr="003C588D">
        <w:rPr>
          <w:rStyle w:val="headertablecelldata"/>
          <w:rFonts w:ascii="Times New Roman" w:hAnsi="Times New Roman"/>
          <w:sz w:val="24"/>
          <w:szCs w:val="24"/>
        </w:rPr>
        <w:t>10.1016/j.ibusrev.2016.10.002.</w:t>
      </w:r>
    </w:p>
    <w:p w14:paraId="24965B3B" w14:textId="77777777"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Valverde, S. C., Fernández, F. R., 2007. The determinants of bank margins in European </w:t>
      </w:r>
    </w:p>
    <w:p w14:paraId="4A44718F" w14:textId="1AAD8794"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banking.</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Banking &amp; Finance</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31</w:t>
      </w:r>
      <w:r w:rsidRPr="003C588D">
        <w:rPr>
          <w:rFonts w:ascii="Times New Roman" w:hAnsi="Times New Roman"/>
          <w:sz w:val="24"/>
          <w:szCs w:val="24"/>
          <w:shd w:val="clear" w:color="auto" w:fill="FFFFFF"/>
        </w:rPr>
        <w:t>, 2043-2063.</w:t>
      </w:r>
    </w:p>
    <w:p w14:paraId="793375D5" w14:textId="6E989B18"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Vercammen, J. A.</w:t>
      </w:r>
      <w:r w:rsidRPr="003C588D" w:rsidDel="00EB3172">
        <w:rPr>
          <w:rFonts w:ascii="Times New Roman" w:hAnsi="Times New Roman"/>
          <w:sz w:val="24"/>
          <w:szCs w:val="24"/>
          <w:shd w:val="clear" w:color="auto" w:fill="FFFFFF"/>
        </w:rPr>
        <w:t xml:space="preserve"> </w:t>
      </w:r>
      <w:r w:rsidRPr="003C588D">
        <w:rPr>
          <w:rFonts w:ascii="Times New Roman" w:hAnsi="Times New Roman"/>
          <w:sz w:val="24"/>
          <w:szCs w:val="24"/>
          <w:shd w:val="clear" w:color="auto" w:fill="FFFFFF"/>
        </w:rPr>
        <w:t>1995. Credit bureau policy and sustainable reputation effects in credit markets.</w:t>
      </w:r>
      <w:r w:rsidRPr="003C588D">
        <w:rPr>
          <w:rStyle w:val="apple-converted-space"/>
          <w:rFonts w:ascii="Times New Roman" w:hAnsi="Times New Roman"/>
          <w:sz w:val="24"/>
          <w:szCs w:val="24"/>
          <w:shd w:val="clear" w:color="auto" w:fill="FFFFFF"/>
        </w:rPr>
        <w:t> </w:t>
      </w:r>
      <w:proofErr w:type="spellStart"/>
      <w:r w:rsidRPr="003C588D">
        <w:rPr>
          <w:rFonts w:ascii="Times New Roman" w:hAnsi="Times New Roman"/>
          <w:iCs/>
          <w:sz w:val="24"/>
          <w:szCs w:val="24"/>
          <w:shd w:val="clear" w:color="auto" w:fill="FFFFFF"/>
        </w:rPr>
        <w:t>Economica</w:t>
      </w:r>
      <w:proofErr w:type="spellEnd"/>
      <w:r w:rsidRPr="003C588D">
        <w:rPr>
          <w:rFonts w:ascii="Times New Roman" w:hAnsi="Times New Roman"/>
          <w:sz w:val="24"/>
          <w:szCs w:val="24"/>
          <w:shd w:val="clear" w:color="auto" w:fill="FFFFFF"/>
        </w:rPr>
        <w:t xml:space="preserve"> 62, 461-478.</w:t>
      </w:r>
    </w:p>
    <w:p w14:paraId="4B6C1C2E" w14:textId="0AFCC696" w:rsidR="00AA1AEC" w:rsidRPr="003C588D" w:rsidRDefault="00AA1AEC" w:rsidP="00055C72">
      <w:pPr>
        <w:spacing w:after="0" w:line="240" w:lineRule="auto"/>
        <w:ind w:left="720" w:hanging="720"/>
        <w:jc w:val="both"/>
        <w:rPr>
          <w:rFonts w:ascii="Times New Roman" w:hAnsi="Times New Roman"/>
          <w:sz w:val="24"/>
          <w:szCs w:val="24"/>
          <w:shd w:val="clear" w:color="auto" w:fill="FFFFFF"/>
        </w:rPr>
      </w:pPr>
      <w:proofErr w:type="spellStart"/>
      <w:r w:rsidRPr="003C588D">
        <w:rPr>
          <w:rFonts w:ascii="Times New Roman" w:hAnsi="Times New Roman"/>
          <w:sz w:val="24"/>
          <w:szCs w:val="24"/>
          <w:shd w:val="clear" w:color="auto" w:fill="FFFFFF"/>
        </w:rPr>
        <w:t>Windmeijer</w:t>
      </w:r>
      <w:proofErr w:type="spellEnd"/>
      <w:r w:rsidRPr="003C588D">
        <w:rPr>
          <w:rFonts w:ascii="Times New Roman" w:hAnsi="Times New Roman"/>
          <w:sz w:val="24"/>
          <w:szCs w:val="24"/>
          <w:shd w:val="clear" w:color="auto" w:fill="FFFFFF"/>
        </w:rPr>
        <w:t>, F., 2005. A finite sample correction for the variance of linear efficient two-step GMM estimators.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Journal of Econometrics</w:t>
      </w:r>
      <w:r w:rsidRPr="003C588D">
        <w:rPr>
          <w:rStyle w:val="apple-converted-space"/>
          <w:rFonts w:ascii="Times New Roman" w:hAnsi="Times New Roman"/>
          <w:sz w:val="24"/>
          <w:szCs w:val="24"/>
          <w:shd w:val="clear" w:color="auto" w:fill="FFFFFF"/>
        </w:rPr>
        <w:t> </w:t>
      </w:r>
      <w:r w:rsidRPr="003C588D">
        <w:rPr>
          <w:rFonts w:ascii="Times New Roman" w:hAnsi="Times New Roman"/>
          <w:iCs/>
          <w:sz w:val="24"/>
          <w:szCs w:val="24"/>
          <w:shd w:val="clear" w:color="auto" w:fill="FFFFFF"/>
        </w:rPr>
        <w:t>126</w:t>
      </w:r>
      <w:r w:rsidRPr="003C588D">
        <w:rPr>
          <w:rFonts w:ascii="Times New Roman" w:hAnsi="Times New Roman"/>
          <w:sz w:val="24"/>
          <w:szCs w:val="24"/>
          <w:shd w:val="clear" w:color="auto" w:fill="FFFFFF"/>
        </w:rPr>
        <w:t>, 25-51.</w:t>
      </w:r>
    </w:p>
    <w:p w14:paraId="4BFBD5CD" w14:textId="1E5B2928" w:rsidR="00AA1AEC" w:rsidRPr="00055C72" w:rsidRDefault="00AA1AEC" w:rsidP="00055C72">
      <w:pPr>
        <w:spacing w:after="0" w:line="240" w:lineRule="auto"/>
        <w:ind w:left="720" w:hanging="720"/>
        <w:jc w:val="both"/>
        <w:rPr>
          <w:rFonts w:ascii="Times New Roman" w:hAnsi="Times New Roman"/>
          <w:sz w:val="24"/>
          <w:szCs w:val="24"/>
          <w:shd w:val="clear" w:color="auto" w:fill="FFFFFF"/>
        </w:rPr>
      </w:pPr>
      <w:r w:rsidRPr="003C588D">
        <w:rPr>
          <w:rFonts w:ascii="Times New Roman" w:hAnsi="Times New Roman"/>
          <w:sz w:val="24"/>
          <w:szCs w:val="24"/>
          <w:shd w:val="clear" w:color="auto" w:fill="FFFFFF"/>
        </w:rPr>
        <w:t xml:space="preserve">World Bank Doing Business, 2016. </w:t>
      </w:r>
      <w:r w:rsidRPr="003C588D">
        <w:rPr>
          <w:rFonts w:ascii="Times New Roman" w:hAnsi="Times New Roman"/>
          <w:sz w:val="24"/>
          <w:szCs w:val="24"/>
        </w:rPr>
        <w:t>Getting Credit Methodology.</w:t>
      </w:r>
      <w:r w:rsidRPr="003C588D">
        <w:rPr>
          <w:rFonts w:ascii="Times New Roman" w:hAnsi="Times New Roman"/>
          <w:sz w:val="24"/>
          <w:szCs w:val="24"/>
          <w:shd w:val="clear" w:color="auto" w:fill="FFFFFF"/>
        </w:rPr>
        <w:t xml:space="preserve"> Available at </w:t>
      </w:r>
      <w:r w:rsidRPr="003C588D">
        <w:rPr>
          <w:rFonts w:ascii="Times New Roman" w:hAnsi="Times New Roman"/>
          <w:sz w:val="24"/>
          <w:szCs w:val="24"/>
        </w:rPr>
        <w:t xml:space="preserve">www.doingbusiness.com (Accessed 01 </w:t>
      </w:r>
      <w:proofErr w:type="gramStart"/>
      <w:r w:rsidRPr="003C588D">
        <w:rPr>
          <w:rFonts w:ascii="Times New Roman" w:hAnsi="Times New Roman"/>
          <w:sz w:val="24"/>
          <w:szCs w:val="24"/>
        </w:rPr>
        <w:t>October,</w:t>
      </w:r>
      <w:proofErr w:type="gramEnd"/>
      <w:r w:rsidRPr="003C588D">
        <w:rPr>
          <w:rFonts w:ascii="Times New Roman" w:hAnsi="Times New Roman"/>
          <w:sz w:val="24"/>
          <w:szCs w:val="24"/>
        </w:rPr>
        <w:t xml:space="preserve"> 2016).</w:t>
      </w:r>
    </w:p>
    <w:p w14:paraId="1745E959" w14:textId="77777777" w:rsidR="00AA1AEC" w:rsidRDefault="00AA1AEC" w:rsidP="00055C72">
      <w:pPr>
        <w:spacing w:after="0" w:line="240" w:lineRule="auto"/>
        <w:ind w:left="720" w:hanging="720"/>
        <w:jc w:val="both"/>
        <w:rPr>
          <w:rFonts w:ascii="Times New Roman" w:hAnsi="Times New Roman"/>
          <w:sz w:val="24"/>
          <w:szCs w:val="24"/>
        </w:rPr>
      </w:pPr>
    </w:p>
    <w:p w14:paraId="7015C6EF" w14:textId="77777777" w:rsidR="00AA1AEC" w:rsidRDefault="00AA1AEC" w:rsidP="00055C72">
      <w:pPr>
        <w:spacing w:after="0" w:line="240" w:lineRule="auto"/>
        <w:ind w:left="720" w:hanging="720"/>
        <w:jc w:val="both"/>
        <w:rPr>
          <w:rFonts w:ascii="Times New Roman" w:hAnsi="Times New Roman"/>
          <w:sz w:val="24"/>
          <w:szCs w:val="24"/>
        </w:rPr>
      </w:pPr>
    </w:p>
    <w:p w14:paraId="0E7DA33B" w14:textId="77777777" w:rsidR="00AA1AEC" w:rsidRDefault="00AA1AEC" w:rsidP="00055C72">
      <w:pPr>
        <w:spacing w:after="0" w:line="240" w:lineRule="auto"/>
        <w:ind w:left="720" w:hanging="720"/>
        <w:jc w:val="both"/>
        <w:rPr>
          <w:rFonts w:ascii="Times New Roman" w:hAnsi="Times New Roman"/>
          <w:sz w:val="24"/>
          <w:szCs w:val="24"/>
        </w:rPr>
      </w:pPr>
    </w:p>
    <w:p w14:paraId="04EBD133" w14:textId="77777777" w:rsidR="00AA1AEC" w:rsidRDefault="00AA1AEC" w:rsidP="00AA1AEC">
      <w:pPr>
        <w:spacing w:after="0" w:line="240" w:lineRule="auto"/>
        <w:ind w:left="720"/>
        <w:jc w:val="both"/>
        <w:rPr>
          <w:rFonts w:ascii="Times New Roman" w:hAnsi="Times New Roman"/>
          <w:sz w:val="24"/>
          <w:szCs w:val="24"/>
        </w:rPr>
      </w:pPr>
    </w:p>
    <w:p w14:paraId="625162EF" w14:textId="77777777" w:rsidR="00837486" w:rsidRPr="00BA0E8D" w:rsidRDefault="00837486" w:rsidP="00837486">
      <w:pPr>
        <w:rPr>
          <w:rFonts w:ascii="Times New Roman" w:hAnsi="Times New Roman"/>
          <w:sz w:val="20"/>
          <w:szCs w:val="20"/>
        </w:rPr>
      </w:pPr>
    </w:p>
    <w:p w14:paraId="1F2CA76F" w14:textId="77777777" w:rsidR="00837486" w:rsidRPr="00BA0E8D" w:rsidRDefault="00837486" w:rsidP="00837486">
      <w:pPr>
        <w:rPr>
          <w:rFonts w:ascii="Times New Roman" w:hAnsi="Times New Roman"/>
          <w:sz w:val="20"/>
          <w:szCs w:val="20"/>
        </w:rPr>
      </w:pPr>
    </w:p>
    <w:p w14:paraId="5C860AB8" w14:textId="77777777" w:rsidR="00837486" w:rsidRPr="00BA0E8D" w:rsidRDefault="00837486" w:rsidP="00837486">
      <w:pPr>
        <w:rPr>
          <w:rFonts w:ascii="Times New Roman" w:hAnsi="Times New Roman"/>
          <w:sz w:val="20"/>
          <w:szCs w:val="20"/>
        </w:rPr>
      </w:pPr>
    </w:p>
    <w:p w14:paraId="08D488E1" w14:textId="77777777" w:rsidR="00837486" w:rsidRPr="00BA0E8D" w:rsidRDefault="00837486" w:rsidP="00837486">
      <w:pPr>
        <w:rPr>
          <w:rFonts w:ascii="Times New Roman" w:hAnsi="Times New Roman"/>
          <w:sz w:val="20"/>
          <w:szCs w:val="20"/>
        </w:rPr>
      </w:pPr>
    </w:p>
    <w:p w14:paraId="2FFAC10E" w14:textId="77777777" w:rsidR="00837486" w:rsidRPr="00BA0E8D" w:rsidRDefault="00837486" w:rsidP="00837486">
      <w:pPr>
        <w:rPr>
          <w:rFonts w:ascii="Times New Roman" w:hAnsi="Times New Roman"/>
          <w:sz w:val="20"/>
          <w:szCs w:val="20"/>
        </w:rPr>
      </w:pPr>
    </w:p>
    <w:p w14:paraId="1412D9A2" w14:textId="58E72BCF" w:rsidR="00003E25" w:rsidRPr="00BA0E8D" w:rsidRDefault="00003E25" w:rsidP="00837486">
      <w:pPr>
        <w:tabs>
          <w:tab w:val="left" w:pos="1455"/>
        </w:tabs>
        <w:rPr>
          <w:rFonts w:ascii="Times New Roman" w:hAnsi="Times New Roman"/>
          <w:sz w:val="20"/>
          <w:szCs w:val="20"/>
        </w:rPr>
        <w:sectPr w:rsidR="00003E25" w:rsidRPr="00BA0E8D" w:rsidSect="00A651BC">
          <w:footerReference w:type="default" r:id="rId58"/>
          <w:pgSz w:w="11906" w:h="16838" w:code="9"/>
          <w:pgMar w:top="1440" w:right="1440" w:bottom="1440" w:left="1440" w:header="709" w:footer="709" w:gutter="0"/>
          <w:cols w:space="708"/>
          <w:docGrid w:linePitch="360"/>
        </w:sectPr>
      </w:pPr>
    </w:p>
    <w:p w14:paraId="4DF5AD18" w14:textId="77777777" w:rsidR="00003E25" w:rsidRPr="0008338F" w:rsidRDefault="00003E25" w:rsidP="00003E25">
      <w:pPr>
        <w:keepNext/>
        <w:widowControl w:val="0"/>
        <w:autoSpaceDE w:val="0"/>
        <w:autoSpaceDN w:val="0"/>
        <w:adjustRightInd w:val="0"/>
        <w:spacing w:after="0" w:line="240" w:lineRule="auto"/>
        <w:rPr>
          <w:rFonts w:ascii="Times New Roman" w:hAnsi="Times New Roman"/>
          <w:sz w:val="24"/>
          <w:szCs w:val="24"/>
        </w:rPr>
      </w:pPr>
      <w:r w:rsidRPr="0008338F">
        <w:rPr>
          <w:rFonts w:ascii="Times New Roman" w:hAnsi="Times New Roman"/>
          <w:b/>
          <w:bCs/>
          <w:sz w:val="24"/>
          <w:szCs w:val="24"/>
        </w:rPr>
        <w:lastRenderedPageBreak/>
        <w:t>Table 1:</w:t>
      </w:r>
      <w:r w:rsidRPr="0008338F">
        <w:rPr>
          <w:rFonts w:ascii="Times New Roman" w:hAnsi="Times New Roman"/>
          <w:sz w:val="24"/>
          <w:szCs w:val="24"/>
        </w:rPr>
        <w:t xml:space="preserve"> </w:t>
      </w:r>
      <w:r w:rsidRPr="0008338F">
        <w:rPr>
          <w:rFonts w:ascii="Times New Roman" w:hAnsi="Times New Roman"/>
          <w:b/>
          <w:bCs/>
          <w:sz w:val="24"/>
          <w:szCs w:val="24"/>
        </w:rPr>
        <w:t>Descriptive statistics</w:t>
      </w:r>
    </w:p>
    <w:tbl>
      <w:tblPr>
        <w:tblW w:w="10124" w:type="dxa"/>
        <w:tblInd w:w="-557" w:type="dxa"/>
        <w:tblLayout w:type="fixed"/>
        <w:tblLook w:val="0000" w:firstRow="0" w:lastRow="0" w:firstColumn="0" w:lastColumn="0" w:noHBand="0" w:noVBand="0"/>
      </w:tblPr>
      <w:tblGrid>
        <w:gridCol w:w="1338"/>
        <w:gridCol w:w="70"/>
        <w:gridCol w:w="685"/>
        <w:gridCol w:w="1395"/>
        <w:gridCol w:w="1050"/>
        <w:gridCol w:w="1099"/>
        <w:gridCol w:w="963"/>
        <w:gridCol w:w="1186"/>
        <w:gridCol w:w="1013"/>
        <w:gridCol w:w="1325"/>
      </w:tblGrid>
      <w:tr w:rsidR="00003E25" w:rsidRPr="00BA0E8D" w14:paraId="3E3E038E" w14:textId="77777777" w:rsidTr="0056122B">
        <w:trPr>
          <w:trHeight w:val="325"/>
        </w:trPr>
        <w:tc>
          <w:tcPr>
            <w:tcW w:w="1338" w:type="dxa"/>
            <w:tcBorders>
              <w:top w:val="single" w:sz="4" w:space="0" w:color="auto"/>
              <w:left w:val="nil"/>
              <w:bottom w:val="nil"/>
              <w:right w:val="nil"/>
            </w:tcBorders>
          </w:tcPr>
          <w:p w14:paraId="64FE5B4A"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p>
        </w:tc>
        <w:tc>
          <w:tcPr>
            <w:tcW w:w="755" w:type="dxa"/>
            <w:gridSpan w:val="2"/>
            <w:tcBorders>
              <w:top w:val="single" w:sz="4" w:space="0" w:color="auto"/>
              <w:left w:val="nil"/>
              <w:bottom w:val="nil"/>
              <w:right w:val="nil"/>
            </w:tcBorders>
          </w:tcPr>
          <w:p w14:paraId="0D012377"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w:t>
            </w:r>
          </w:p>
        </w:tc>
        <w:tc>
          <w:tcPr>
            <w:tcW w:w="1395" w:type="dxa"/>
            <w:tcBorders>
              <w:top w:val="single" w:sz="4" w:space="0" w:color="auto"/>
              <w:left w:val="nil"/>
              <w:bottom w:val="nil"/>
              <w:right w:val="nil"/>
            </w:tcBorders>
          </w:tcPr>
          <w:p w14:paraId="7FBA503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c>
          <w:tcPr>
            <w:tcW w:w="1050" w:type="dxa"/>
            <w:tcBorders>
              <w:top w:val="single" w:sz="4" w:space="0" w:color="auto"/>
              <w:left w:val="nil"/>
              <w:bottom w:val="nil"/>
              <w:right w:val="nil"/>
            </w:tcBorders>
          </w:tcPr>
          <w:p w14:paraId="29A337F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c>
          <w:tcPr>
            <w:tcW w:w="1099" w:type="dxa"/>
            <w:tcBorders>
              <w:top w:val="single" w:sz="4" w:space="0" w:color="auto"/>
              <w:left w:val="nil"/>
              <w:bottom w:val="nil"/>
              <w:right w:val="nil"/>
            </w:tcBorders>
          </w:tcPr>
          <w:p w14:paraId="75A7331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c>
          <w:tcPr>
            <w:tcW w:w="963" w:type="dxa"/>
            <w:tcBorders>
              <w:top w:val="single" w:sz="4" w:space="0" w:color="auto"/>
              <w:left w:val="nil"/>
              <w:bottom w:val="nil"/>
              <w:right w:val="nil"/>
            </w:tcBorders>
          </w:tcPr>
          <w:p w14:paraId="2A5F8E7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c>
          <w:tcPr>
            <w:tcW w:w="1186" w:type="dxa"/>
            <w:tcBorders>
              <w:top w:val="single" w:sz="4" w:space="0" w:color="auto"/>
              <w:left w:val="nil"/>
              <w:bottom w:val="nil"/>
              <w:right w:val="nil"/>
            </w:tcBorders>
          </w:tcPr>
          <w:p w14:paraId="2EEA0D9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c>
          <w:tcPr>
            <w:tcW w:w="1013" w:type="dxa"/>
            <w:tcBorders>
              <w:top w:val="single" w:sz="4" w:space="0" w:color="auto"/>
              <w:left w:val="nil"/>
              <w:bottom w:val="nil"/>
              <w:right w:val="nil"/>
            </w:tcBorders>
          </w:tcPr>
          <w:p w14:paraId="6417BB22"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c>
          <w:tcPr>
            <w:tcW w:w="1325" w:type="dxa"/>
            <w:tcBorders>
              <w:top w:val="single" w:sz="4" w:space="0" w:color="auto"/>
              <w:left w:val="nil"/>
              <w:bottom w:val="nil"/>
              <w:right w:val="nil"/>
            </w:tcBorders>
          </w:tcPr>
          <w:p w14:paraId="7D72F56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p>
        </w:tc>
      </w:tr>
      <w:tr w:rsidR="00003E25" w:rsidRPr="00BA0E8D" w14:paraId="19FAA04D" w14:textId="77777777" w:rsidTr="0056122B">
        <w:trPr>
          <w:trHeight w:val="667"/>
        </w:trPr>
        <w:tc>
          <w:tcPr>
            <w:tcW w:w="1338" w:type="dxa"/>
            <w:tcBorders>
              <w:top w:val="nil"/>
              <w:left w:val="nil"/>
              <w:bottom w:val="nil"/>
              <w:right w:val="nil"/>
            </w:tcBorders>
          </w:tcPr>
          <w:p w14:paraId="6C1B37D3"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p>
        </w:tc>
        <w:tc>
          <w:tcPr>
            <w:tcW w:w="755" w:type="dxa"/>
            <w:gridSpan w:val="2"/>
            <w:tcBorders>
              <w:top w:val="nil"/>
              <w:left w:val="nil"/>
              <w:bottom w:val="nil"/>
              <w:right w:val="nil"/>
            </w:tcBorders>
          </w:tcPr>
          <w:p w14:paraId="6B39804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Mean</w:t>
            </w:r>
          </w:p>
        </w:tc>
        <w:tc>
          <w:tcPr>
            <w:tcW w:w="1395" w:type="dxa"/>
            <w:tcBorders>
              <w:top w:val="nil"/>
              <w:left w:val="nil"/>
              <w:bottom w:val="nil"/>
              <w:right w:val="nil"/>
            </w:tcBorders>
          </w:tcPr>
          <w:p w14:paraId="17FC047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Standard Deviation</w:t>
            </w:r>
          </w:p>
        </w:tc>
        <w:tc>
          <w:tcPr>
            <w:tcW w:w="1050" w:type="dxa"/>
            <w:tcBorders>
              <w:top w:val="nil"/>
              <w:left w:val="nil"/>
              <w:bottom w:val="nil"/>
              <w:right w:val="nil"/>
            </w:tcBorders>
          </w:tcPr>
          <w:p w14:paraId="3A44BBE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Minimum</w:t>
            </w:r>
          </w:p>
        </w:tc>
        <w:tc>
          <w:tcPr>
            <w:tcW w:w="1099" w:type="dxa"/>
            <w:tcBorders>
              <w:top w:val="nil"/>
              <w:left w:val="nil"/>
              <w:bottom w:val="nil"/>
              <w:right w:val="nil"/>
            </w:tcBorders>
          </w:tcPr>
          <w:p w14:paraId="79EA3362"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Maximum</w:t>
            </w:r>
          </w:p>
        </w:tc>
        <w:tc>
          <w:tcPr>
            <w:tcW w:w="963" w:type="dxa"/>
            <w:tcBorders>
              <w:top w:val="nil"/>
              <w:left w:val="nil"/>
              <w:bottom w:val="nil"/>
              <w:right w:val="nil"/>
            </w:tcBorders>
          </w:tcPr>
          <w:p w14:paraId="28C230F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25th percentile</w:t>
            </w:r>
          </w:p>
        </w:tc>
        <w:tc>
          <w:tcPr>
            <w:tcW w:w="1186" w:type="dxa"/>
            <w:tcBorders>
              <w:top w:val="nil"/>
              <w:left w:val="nil"/>
              <w:bottom w:val="nil"/>
              <w:right w:val="nil"/>
            </w:tcBorders>
          </w:tcPr>
          <w:p w14:paraId="3CDD18A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50th percentile</w:t>
            </w:r>
          </w:p>
        </w:tc>
        <w:tc>
          <w:tcPr>
            <w:tcW w:w="1013" w:type="dxa"/>
            <w:tcBorders>
              <w:top w:val="nil"/>
              <w:left w:val="nil"/>
              <w:bottom w:val="nil"/>
              <w:right w:val="nil"/>
            </w:tcBorders>
          </w:tcPr>
          <w:p w14:paraId="0908470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75th percentile</w:t>
            </w:r>
          </w:p>
        </w:tc>
        <w:tc>
          <w:tcPr>
            <w:tcW w:w="1325" w:type="dxa"/>
            <w:tcBorders>
              <w:top w:val="nil"/>
              <w:left w:val="nil"/>
              <w:bottom w:val="nil"/>
              <w:right w:val="nil"/>
            </w:tcBorders>
          </w:tcPr>
          <w:p w14:paraId="1D9937B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Observations</w:t>
            </w:r>
          </w:p>
        </w:tc>
      </w:tr>
      <w:tr w:rsidR="00003E25" w:rsidRPr="00BA0E8D" w14:paraId="469E2B29" w14:textId="77777777" w:rsidTr="00BA0E8D">
        <w:trPr>
          <w:trHeight w:val="325"/>
        </w:trPr>
        <w:tc>
          <w:tcPr>
            <w:tcW w:w="1408" w:type="dxa"/>
            <w:gridSpan w:val="2"/>
            <w:tcBorders>
              <w:top w:val="single" w:sz="4" w:space="0" w:color="auto"/>
              <w:left w:val="nil"/>
              <w:bottom w:val="nil"/>
              <w:right w:val="nil"/>
            </w:tcBorders>
          </w:tcPr>
          <w:p w14:paraId="3EE46E62"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Spread</w:t>
            </w:r>
          </w:p>
        </w:tc>
        <w:tc>
          <w:tcPr>
            <w:tcW w:w="685" w:type="dxa"/>
            <w:tcBorders>
              <w:top w:val="single" w:sz="4" w:space="0" w:color="auto"/>
              <w:left w:val="nil"/>
              <w:bottom w:val="nil"/>
              <w:right w:val="nil"/>
            </w:tcBorders>
          </w:tcPr>
          <w:p w14:paraId="5C6B7938"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8.25</w:t>
            </w:r>
          </w:p>
        </w:tc>
        <w:tc>
          <w:tcPr>
            <w:tcW w:w="1395" w:type="dxa"/>
            <w:tcBorders>
              <w:top w:val="single" w:sz="4" w:space="0" w:color="auto"/>
              <w:left w:val="nil"/>
              <w:bottom w:val="nil"/>
              <w:right w:val="nil"/>
            </w:tcBorders>
          </w:tcPr>
          <w:p w14:paraId="22164E7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4.66</w:t>
            </w:r>
          </w:p>
        </w:tc>
        <w:tc>
          <w:tcPr>
            <w:tcW w:w="1050" w:type="dxa"/>
            <w:tcBorders>
              <w:top w:val="single" w:sz="4" w:space="0" w:color="auto"/>
              <w:left w:val="nil"/>
              <w:bottom w:val="nil"/>
              <w:right w:val="nil"/>
            </w:tcBorders>
          </w:tcPr>
          <w:p w14:paraId="4CCCB4A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-1.63</w:t>
            </w:r>
          </w:p>
        </w:tc>
        <w:tc>
          <w:tcPr>
            <w:tcW w:w="1099" w:type="dxa"/>
            <w:tcBorders>
              <w:top w:val="single" w:sz="4" w:space="0" w:color="auto"/>
              <w:left w:val="nil"/>
              <w:bottom w:val="nil"/>
              <w:right w:val="nil"/>
            </w:tcBorders>
          </w:tcPr>
          <w:p w14:paraId="643BFFF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27.44</w:t>
            </w:r>
          </w:p>
        </w:tc>
        <w:tc>
          <w:tcPr>
            <w:tcW w:w="963" w:type="dxa"/>
            <w:tcBorders>
              <w:top w:val="single" w:sz="4" w:space="0" w:color="auto"/>
              <w:left w:val="nil"/>
              <w:bottom w:val="nil"/>
              <w:right w:val="nil"/>
            </w:tcBorders>
          </w:tcPr>
          <w:p w14:paraId="6CD7FD5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5.30</w:t>
            </w:r>
          </w:p>
        </w:tc>
        <w:tc>
          <w:tcPr>
            <w:tcW w:w="1186" w:type="dxa"/>
            <w:tcBorders>
              <w:top w:val="single" w:sz="4" w:space="0" w:color="auto"/>
              <w:left w:val="nil"/>
              <w:bottom w:val="nil"/>
              <w:right w:val="nil"/>
            </w:tcBorders>
          </w:tcPr>
          <w:p w14:paraId="351E3B62"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7.41</w:t>
            </w:r>
          </w:p>
        </w:tc>
        <w:tc>
          <w:tcPr>
            <w:tcW w:w="1013" w:type="dxa"/>
            <w:tcBorders>
              <w:top w:val="single" w:sz="4" w:space="0" w:color="auto"/>
              <w:left w:val="nil"/>
              <w:bottom w:val="nil"/>
              <w:right w:val="nil"/>
            </w:tcBorders>
          </w:tcPr>
          <w:p w14:paraId="63D8FD8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10.48</w:t>
            </w:r>
          </w:p>
        </w:tc>
        <w:tc>
          <w:tcPr>
            <w:tcW w:w="1325" w:type="dxa"/>
            <w:tcBorders>
              <w:top w:val="single" w:sz="4" w:space="0" w:color="auto"/>
              <w:left w:val="nil"/>
              <w:bottom w:val="nil"/>
              <w:right w:val="nil"/>
            </w:tcBorders>
          </w:tcPr>
          <w:p w14:paraId="16834FEE"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5CA60067" w14:textId="77777777" w:rsidTr="00BA0E8D">
        <w:trPr>
          <w:trHeight w:val="325"/>
        </w:trPr>
        <w:tc>
          <w:tcPr>
            <w:tcW w:w="1408" w:type="dxa"/>
            <w:gridSpan w:val="2"/>
            <w:tcBorders>
              <w:top w:val="nil"/>
              <w:left w:val="nil"/>
              <w:bottom w:val="nil"/>
              <w:right w:val="nil"/>
            </w:tcBorders>
          </w:tcPr>
          <w:p w14:paraId="3CEAAB99"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Depth</w:t>
            </w:r>
          </w:p>
        </w:tc>
        <w:tc>
          <w:tcPr>
            <w:tcW w:w="685" w:type="dxa"/>
            <w:tcBorders>
              <w:top w:val="nil"/>
              <w:left w:val="nil"/>
              <w:bottom w:val="nil"/>
              <w:right w:val="nil"/>
            </w:tcBorders>
          </w:tcPr>
          <w:p w14:paraId="11C5CF0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1.28</w:t>
            </w:r>
          </w:p>
        </w:tc>
        <w:tc>
          <w:tcPr>
            <w:tcW w:w="1395" w:type="dxa"/>
            <w:tcBorders>
              <w:top w:val="nil"/>
              <w:left w:val="nil"/>
              <w:bottom w:val="nil"/>
              <w:right w:val="nil"/>
            </w:tcBorders>
          </w:tcPr>
          <w:p w14:paraId="6CA4B74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2.18</w:t>
            </w:r>
          </w:p>
        </w:tc>
        <w:tc>
          <w:tcPr>
            <w:tcW w:w="1050" w:type="dxa"/>
            <w:tcBorders>
              <w:top w:val="nil"/>
              <w:left w:val="nil"/>
              <w:bottom w:val="nil"/>
              <w:right w:val="nil"/>
            </w:tcBorders>
          </w:tcPr>
          <w:p w14:paraId="061725C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99" w:type="dxa"/>
            <w:tcBorders>
              <w:top w:val="nil"/>
              <w:left w:val="nil"/>
              <w:bottom w:val="nil"/>
              <w:right w:val="nil"/>
            </w:tcBorders>
          </w:tcPr>
          <w:p w14:paraId="41115C8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6.00</w:t>
            </w:r>
          </w:p>
        </w:tc>
        <w:tc>
          <w:tcPr>
            <w:tcW w:w="963" w:type="dxa"/>
            <w:tcBorders>
              <w:top w:val="nil"/>
              <w:left w:val="nil"/>
              <w:bottom w:val="nil"/>
              <w:right w:val="nil"/>
            </w:tcBorders>
          </w:tcPr>
          <w:p w14:paraId="5217459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186" w:type="dxa"/>
            <w:tcBorders>
              <w:top w:val="nil"/>
              <w:left w:val="nil"/>
              <w:bottom w:val="nil"/>
              <w:right w:val="nil"/>
            </w:tcBorders>
          </w:tcPr>
          <w:p w14:paraId="61D67612"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13" w:type="dxa"/>
            <w:tcBorders>
              <w:top w:val="nil"/>
              <w:left w:val="nil"/>
              <w:bottom w:val="nil"/>
              <w:right w:val="nil"/>
            </w:tcBorders>
          </w:tcPr>
          <w:p w14:paraId="7B7C68C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3.00</w:t>
            </w:r>
          </w:p>
        </w:tc>
        <w:tc>
          <w:tcPr>
            <w:tcW w:w="1325" w:type="dxa"/>
            <w:tcBorders>
              <w:top w:val="nil"/>
              <w:left w:val="nil"/>
              <w:bottom w:val="nil"/>
              <w:right w:val="nil"/>
            </w:tcBorders>
          </w:tcPr>
          <w:p w14:paraId="6ECD7FA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3AAD1359" w14:textId="77777777" w:rsidTr="00BA0E8D">
        <w:trPr>
          <w:trHeight w:val="342"/>
        </w:trPr>
        <w:tc>
          <w:tcPr>
            <w:tcW w:w="1408" w:type="dxa"/>
            <w:gridSpan w:val="2"/>
            <w:tcBorders>
              <w:top w:val="nil"/>
              <w:left w:val="nil"/>
              <w:bottom w:val="nil"/>
              <w:right w:val="nil"/>
            </w:tcBorders>
          </w:tcPr>
          <w:p w14:paraId="676A632E"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Registry</w:t>
            </w:r>
          </w:p>
        </w:tc>
        <w:tc>
          <w:tcPr>
            <w:tcW w:w="685" w:type="dxa"/>
            <w:tcBorders>
              <w:top w:val="nil"/>
              <w:left w:val="nil"/>
              <w:bottom w:val="nil"/>
              <w:right w:val="nil"/>
            </w:tcBorders>
          </w:tcPr>
          <w:p w14:paraId="776BCDE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3.02</w:t>
            </w:r>
          </w:p>
        </w:tc>
        <w:tc>
          <w:tcPr>
            <w:tcW w:w="1395" w:type="dxa"/>
            <w:tcBorders>
              <w:top w:val="nil"/>
              <w:left w:val="nil"/>
              <w:bottom w:val="nil"/>
              <w:right w:val="nil"/>
            </w:tcBorders>
          </w:tcPr>
          <w:p w14:paraId="7DC6E9D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8.37</w:t>
            </w:r>
          </w:p>
        </w:tc>
        <w:tc>
          <w:tcPr>
            <w:tcW w:w="1050" w:type="dxa"/>
            <w:tcBorders>
              <w:top w:val="nil"/>
              <w:left w:val="nil"/>
              <w:bottom w:val="nil"/>
              <w:right w:val="nil"/>
            </w:tcBorders>
          </w:tcPr>
          <w:p w14:paraId="5306A01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99" w:type="dxa"/>
            <w:tcBorders>
              <w:top w:val="nil"/>
              <w:left w:val="nil"/>
              <w:bottom w:val="nil"/>
              <w:right w:val="nil"/>
            </w:tcBorders>
          </w:tcPr>
          <w:p w14:paraId="4039A13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56.30</w:t>
            </w:r>
          </w:p>
        </w:tc>
        <w:tc>
          <w:tcPr>
            <w:tcW w:w="963" w:type="dxa"/>
            <w:tcBorders>
              <w:top w:val="nil"/>
              <w:left w:val="nil"/>
              <w:bottom w:val="nil"/>
              <w:right w:val="nil"/>
            </w:tcBorders>
          </w:tcPr>
          <w:p w14:paraId="7DE9F67E"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186" w:type="dxa"/>
            <w:tcBorders>
              <w:top w:val="nil"/>
              <w:left w:val="nil"/>
              <w:bottom w:val="nil"/>
              <w:right w:val="nil"/>
            </w:tcBorders>
          </w:tcPr>
          <w:p w14:paraId="13A23F3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13" w:type="dxa"/>
            <w:tcBorders>
              <w:top w:val="nil"/>
              <w:left w:val="nil"/>
              <w:bottom w:val="nil"/>
              <w:right w:val="nil"/>
            </w:tcBorders>
          </w:tcPr>
          <w:p w14:paraId="52606CD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2.50</w:t>
            </w:r>
          </w:p>
        </w:tc>
        <w:tc>
          <w:tcPr>
            <w:tcW w:w="1325" w:type="dxa"/>
            <w:tcBorders>
              <w:top w:val="nil"/>
              <w:left w:val="nil"/>
              <w:bottom w:val="nil"/>
              <w:right w:val="nil"/>
            </w:tcBorders>
          </w:tcPr>
          <w:p w14:paraId="583D172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133D0E32" w14:textId="77777777" w:rsidTr="00BA0E8D">
        <w:trPr>
          <w:trHeight w:val="325"/>
        </w:trPr>
        <w:tc>
          <w:tcPr>
            <w:tcW w:w="1408" w:type="dxa"/>
            <w:gridSpan w:val="2"/>
            <w:tcBorders>
              <w:top w:val="nil"/>
              <w:left w:val="nil"/>
              <w:bottom w:val="nil"/>
              <w:right w:val="nil"/>
            </w:tcBorders>
          </w:tcPr>
          <w:p w14:paraId="1CCC0651"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Bureau</w:t>
            </w:r>
          </w:p>
        </w:tc>
        <w:tc>
          <w:tcPr>
            <w:tcW w:w="685" w:type="dxa"/>
            <w:tcBorders>
              <w:top w:val="nil"/>
              <w:left w:val="nil"/>
              <w:bottom w:val="nil"/>
              <w:right w:val="nil"/>
            </w:tcBorders>
          </w:tcPr>
          <w:p w14:paraId="5A1B01C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8.21</w:t>
            </w:r>
          </w:p>
        </w:tc>
        <w:tc>
          <w:tcPr>
            <w:tcW w:w="1395" w:type="dxa"/>
            <w:tcBorders>
              <w:top w:val="nil"/>
              <w:left w:val="nil"/>
              <w:bottom w:val="nil"/>
              <w:right w:val="nil"/>
            </w:tcBorders>
          </w:tcPr>
          <w:p w14:paraId="591F290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18.20</w:t>
            </w:r>
          </w:p>
        </w:tc>
        <w:tc>
          <w:tcPr>
            <w:tcW w:w="1050" w:type="dxa"/>
            <w:tcBorders>
              <w:top w:val="nil"/>
              <w:left w:val="nil"/>
              <w:bottom w:val="nil"/>
              <w:right w:val="nil"/>
            </w:tcBorders>
          </w:tcPr>
          <w:p w14:paraId="1B7591D7"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99" w:type="dxa"/>
            <w:tcBorders>
              <w:top w:val="nil"/>
              <w:left w:val="nil"/>
              <w:bottom w:val="nil"/>
              <w:right w:val="nil"/>
            </w:tcBorders>
          </w:tcPr>
          <w:p w14:paraId="0868A39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64.80</w:t>
            </w:r>
          </w:p>
        </w:tc>
        <w:tc>
          <w:tcPr>
            <w:tcW w:w="963" w:type="dxa"/>
            <w:tcBorders>
              <w:top w:val="nil"/>
              <w:left w:val="nil"/>
              <w:bottom w:val="nil"/>
              <w:right w:val="nil"/>
            </w:tcBorders>
          </w:tcPr>
          <w:p w14:paraId="3158EAC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186" w:type="dxa"/>
            <w:tcBorders>
              <w:top w:val="nil"/>
              <w:left w:val="nil"/>
              <w:bottom w:val="nil"/>
              <w:right w:val="nil"/>
            </w:tcBorders>
          </w:tcPr>
          <w:p w14:paraId="3B3428C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13" w:type="dxa"/>
            <w:tcBorders>
              <w:top w:val="nil"/>
              <w:left w:val="nil"/>
              <w:bottom w:val="nil"/>
              <w:right w:val="nil"/>
            </w:tcBorders>
          </w:tcPr>
          <w:p w14:paraId="5B0DAC5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4.10</w:t>
            </w:r>
          </w:p>
        </w:tc>
        <w:tc>
          <w:tcPr>
            <w:tcW w:w="1325" w:type="dxa"/>
            <w:tcBorders>
              <w:top w:val="nil"/>
              <w:left w:val="nil"/>
              <w:bottom w:val="nil"/>
              <w:right w:val="nil"/>
            </w:tcBorders>
          </w:tcPr>
          <w:p w14:paraId="36987E9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57AB73B4" w14:textId="77777777" w:rsidTr="00BA0E8D">
        <w:trPr>
          <w:trHeight w:val="325"/>
        </w:trPr>
        <w:tc>
          <w:tcPr>
            <w:tcW w:w="1408" w:type="dxa"/>
            <w:gridSpan w:val="2"/>
            <w:tcBorders>
              <w:top w:val="nil"/>
              <w:left w:val="nil"/>
              <w:bottom w:val="nil"/>
              <w:right w:val="nil"/>
            </w:tcBorders>
          </w:tcPr>
          <w:p w14:paraId="28565581"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Size</w:t>
            </w:r>
          </w:p>
        </w:tc>
        <w:tc>
          <w:tcPr>
            <w:tcW w:w="685" w:type="dxa"/>
            <w:tcBorders>
              <w:top w:val="nil"/>
              <w:left w:val="nil"/>
              <w:bottom w:val="nil"/>
              <w:right w:val="nil"/>
            </w:tcBorders>
          </w:tcPr>
          <w:p w14:paraId="131AF85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12.99</w:t>
            </w:r>
          </w:p>
        </w:tc>
        <w:tc>
          <w:tcPr>
            <w:tcW w:w="1395" w:type="dxa"/>
            <w:tcBorders>
              <w:top w:val="nil"/>
              <w:left w:val="nil"/>
              <w:bottom w:val="nil"/>
              <w:right w:val="nil"/>
            </w:tcBorders>
          </w:tcPr>
          <w:p w14:paraId="0CB5666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1.68</w:t>
            </w:r>
          </w:p>
        </w:tc>
        <w:tc>
          <w:tcPr>
            <w:tcW w:w="1050" w:type="dxa"/>
            <w:tcBorders>
              <w:top w:val="nil"/>
              <w:left w:val="nil"/>
              <w:bottom w:val="nil"/>
              <w:right w:val="nil"/>
            </w:tcBorders>
          </w:tcPr>
          <w:p w14:paraId="2626B75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9.87</w:t>
            </w:r>
          </w:p>
        </w:tc>
        <w:tc>
          <w:tcPr>
            <w:tcW w:w="1099" w:type="dxa"/>
            <w:tcBorders>
              <w:top w:val="nil"/>
              <w:left w:val="nil"/>
              <w:bottom w:val="nil"/>
              <w:right w:val="nil"/>
            </w:tcBorders>
          </w:tcPr>
          <w:p w14:paraId="36536AD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18.19</w:t>
            </w:r>
          </w:p>
        </w:tc>
        <w:tc>
          <w:tcPr>
            <w:tcW w:w="963" w:type="dxa"/>
            <w:tcBorders>
              <w:top w:val="nil"/>
              <w:left w:val="nil"/>
              <w:bottom w:val="nil"/>
              <w:right w:val="nil"/>
            </w:tcBorders>
          </w:tcPr>
          <w:p w14:paraId="3937118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11.79</w:t>
            </w:r>
          </w:p>
        </w:tc>
        <w:tc>
          <w:tcPr>
            <w:tcW w:w="1186" w:type="dxa"/>
            <w:tcBorders>
              <w:top w:val="nil"/>
              <w:left w:val="nil"/>
              <w:bottom w:val="nil"/>
              <w:right w:val="nil"/>
            </w:tcBorders>
          </w:tcPr>
          <w:p w14:paraId="10A823D7"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12.80</w:t>
            </w:r>
          </w:p>
        </w:tc>
        <w:tc>
          <w:tcPr>
            <w:tcW w:w="1013" w:type="dxa"/>
            <w:tcBorders>
              <w:top w:val="nil"/>
              <w:left w:val="nil"/>
              <w:bottom w:val="nil"/>
              <w:right w:val="nil"/>
            </w:tcBorders>
          </w:tcPr>
          <w:p w14:paraId="1D73A0A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14.03</w:t>
            </w:r>
          </w:p>
        </w:tc>
        <w:tc>
          <w:tcPr>
            <w:tcW w:w="1325" w:type="dxa"/>
            <w:tcBorders>
              <w:top w:val="nil"/>
              <w:left w:val="nil"/>
              <w:bottom w:val="nil"/>
              <w:right w:val="nil"/>
            </w:tcBorders>
          </w:tcPr>
          <w:p w14:paraId="77E6432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6272C44F" w14:textId="77777777" w:rsidTr="00BA0E8D">
        <w:trPr>
          <w:trHeight w:val="342"/>
        </w:trPr>
        <w:tc>
          <w:tcPr>
            <w:tcW w:w="1408" w:type="dxa"/>
            <w:gridSpan w:val="2"/>
            <w:tcBorders>
              <w:top w:val="nil"/>
              <w:left w:val="nil"/>
              <w:bottom w:val="nil"/>
              <w:right w:val="nil"/>
            </w:tcBorders>
          </w:tcPr>
          <w:p w14:paraId="6782AB50"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Liquidity</w:t>
            </w:r>
          </w:p>
        </w:tc>
        <w:tc>
          <w:tcPr>
            <w:tcW w:w="685" w:type="dxa"/>
            <w:tcBorders>
              <w:top w:val="nil"/>
              <w:left w:val="nil"/>
              <w:bottom w:val="nil"/>
              <w:right w:val="nil"/>
            </w:tcBorders>
          </w:tcPr>
          <w:p w14:paraId="1AF2FD9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28.43</w:t>
            </w:r>
          </w:p>
        </w:tc>
        <w:tc>
          <w:tcPr>
            <w:tcW w:w="1395" w:type="dxa"/>
            <w:tcBorders>
              <w:top w:val="nil"/>
              <w:left w:val="nil"/>
              <w:bottom w:val="nil"/>
              <w:right w:val="nil"/>
            </w:tcBorders>
          </w:tcPr>
          <w:p w14:paraId="76F8834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16.76</w:t>
            </w:r>
          </w:p>
        </w:tc>
        <w:tc>
          <w:tcPr>
            <w:tcW w:w="1050" w:type="dxa"/>
            <w:tcBorders>
              <w:top w:val="nil"/>
              <w:left w:val="nil"/>
              <w:bottom w:val="nil"/>
              <w:right w:val="nil"/>
            </w:tcBorders>
          </w:tcPr>
          <w:p w14:paraId="36D0C4F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3.92</w:t>
            </w:r>
          </w:p>
        </w:tc>
        <w:tc>
          <w:tcPr>
            <w:tcW w:w="1099" w:type="dxa"/>
            <w:tcBorders>
              <w:top w:val="nil"/>
              <w:left w:val="nil"/>
              <w:bottom w:val="nil"/>
              <w:right w:val="nil"/>
            </w:tcBorders>
          </w:tcPr>
          <w:p w14:paraId="0221C60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81.11</w:t>
            </w:r>
          </w:p>
        </w:tc>
        <w:tc>
          <w:tcPr>
            <w:tcW w:w="963" w:type="dxa"/>
            <w:tcBorders>
              <w:top w:val="nil"/>
              <w:left w:val="nil"/>
              <w:bottom w:val="nil"/>
              <w:right w:val="nil"/>
            </w:tcBorders>
          </w:tcPr>
          <w:p w14:paraId="64B5A84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15.70</w:t>
            </w:r>
          </w:p>
        </w:tc>
        <w:tc>
          <w:tcPr>
            <w:tcW w:w="1186" w:type="dxa"/>
            <w:tcBorders>
              <w:top w:val="nil"/>
              <w:left w:val="nil"/>
              <w:bottom w:val="nil"/>
              <w:right w:val="nil"/>
            </w:tcBorders>
          </w:tcPr>
          <w:p w14:paraId="28062B3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24.28</w:t>
            </w:r>
          </w:p>
        </w:tc>
        <w:tc>
          <w:tcPr>
            <w:tcW w:w="1013" w:type="dxa"/>
            <w:tcBorders>
              <w:top w:val="nil"/>
              <w:left w:val="nil"/>
              <w:bottom w:val="nil"/>
              <w:right w:val="nil"/>
            </w:tcBorders>
          </w:tcPr>
          <w:p w14:paraId="0FB522B8"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38.17</w:t>
            </w:r>
          </w:p>
        </w:tc>
        <w:tc>
          <w:tcPr>
            <w:tcW w:w="1325" w:type="dxa"/>
            <w:tcBorders>
              <w:top w:val="nil"/>
              <w:left w:val="nil"/>
              <w:bottom w:val="nil"/>
              <w:right w:val="nil"/>
            </w:tcBorders>
          </w:tcPr>
          <w:p w14:paraId="3301ADB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3FEEEAE5" w14:textId="77777777" w:rsidTr="00BA0E8D">
        <w:trPr>
          <w:trHeight w:val="325"/>
        </w:trPr>
        <w:tc>
          <w:tcPr>
            <w:tcW w:w="1408" w:type="dxa"/>
            <w:gridSpan w:val="2"/>
            <w:tcBorders>
              <w:top w:val="nil"/>
              <w:left w:val="nil"/>
              <w:bottom w:val="nil"/>
              <w:right w:val="nil"/>
            </w:tcBorders>
          </w:tcPr>
          <w:p w14:paraId="67E201AF"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Provisions</w:t>
            </w:r>
          </w:p>
        </w:tc>
        <w:tc>
          <w:tcPr>
            <w:tcW w:w="685" w:type="dxa"/>
            <w:tcBorders>
              <w:top w:val="nil"/>
              <w:left w:val="nil"/>
              <w:bottom w:val="nil"/>
              <w:right w:val="nil"/>
            </w:tcBorders>
          </w:tcPr>
          <w:p w14:paraId="6467817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1.81</w:t>
            </w:r>
          </w:p>
        </w:tc>
        <w:tc>
          <w:tcPr>
            <w:tcW w:w="1395" w:type="dxa"/>
            <w:tcBorders>
              <w:top w:val="nil"/>
              <w:left w:val="nil"/>
              <w:bottom w:val="nil"/>
              <w:right w:val="nil"/>
            </w:tcBorders>
          </w:tcPr>
          <w:p w14:paraId="71DFC6B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3.71</w:t>
            </w:r>
          </w:p>
        </w:tc>
        <w:tc>
          <w:tcPr>
            <w:tcW w:w="1050" w:type="dxa"/>
            <w:tcBorders>
              <w:top w:val="nil"/>
              <w:left w:val="nil"/>
              <w:bottom w:val="nil"/>
              <w:right w:val="nil"/>
            </w:tcBorders>
          </w:tcPr>
          <w:p w14:paraId="30D6612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-40.20</w:t>
            </w:r>
          </w:p>
        </w:tc>
        <w:tc>
          <w:tcPr>
            <w:tcW w:w="1099" w:type="dxa"/>
            <w:tcBorders>
              <w:top w:val="nil"/>
              <w:left w:val="nil"/>
              <w:bottom w:val="nil"/>
              <w:right w:val="nil"/>
            </w:tcBorders>
          </w:tcPr>
          <w:p w14:paraId="2B5AABF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49.89</w:t>
            </w:r>
          </w:p>
        </w:tc>
        <w:tc>
          <w:tcPr>
            <w:tcW w:w="963" w:type="dxa"/>
            <w:tcBorders>
              <w:top w:val="nil"/>
              <w:left w:val="nil"/>
              <w:bottom w:val="nil"/>
              <w:right w:val="nil"/>
            </w:tcBorders>
          </w:tcPr>
          <w:p w14:paraId="50846B3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0.37</w:t>
            </w:r>
          </w:p>
        </w:tc>
        <w:tc>
          <w:tcPr>
            <w:tcW w:w="1186" w:type="dxa"/>
            <w:tcBorders>
              <w:top w:val="nil"/>
              <w:left w:val="nil"/>
              <w:bottom w:val="nil"/>
              <w:right w:val="nil"/>
            </w:tcBorders>
          </w:tcPr>
          <w:p w14:paraId="0312DFB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1.01</w:t>
            </w:r>
          </w:p>
        </w:tc>
        <w:tc>
          <w:tcPr>
            <w:tcW w:w="1013" w:type="dxa"/>
            <w:tcBorders>
              <w:top w:val="nil"/>
              <w:left w:val="nil"/>
              <w:bottom w:val="nil"/>
              <w:right w:val="nil"/>
            </w:tcBorders>
          </w:tcPr>
          <w:p w14:paraId="061C960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2.18</w:t>
            </w:r>
          </w:p>
        </w:tc>
        <w:tc>
          <w:tcPr>
            <w:tcW w:w="1325" w:type="dxa"/>
            <w:tcBorders>
              <w:top w:val="nil"/>
              <w:left w:val="nil"/>
              <w:bottom w:val="nil"/>
              <w:right w:val="nil"/>
            </w:tcBorders>
          </w:tcPr>
          <w:p w14:paraId="11B3F5F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1454.00</w:t>
            </w:r>
          </w:p>
        </w:tc>
      </w:tr>
      <w:tr w:rsidR="00003E25" w:rsidRPr="00BA0E8D" w14:paraId="2E770415" w14:textId="77777777" w:rsidTr="00BA0E8D">
        <w:trPr>
          <w:trHeight w:val="325"/>
        </w:trPr>
        <w:tc>
          <w:tcPr>
            <w:tcW w:w="1408" w:type="dxa"/>
            <w:gridSpan w:val="2"/>
            <w:tcBorders>
              <w:top w:val="nil"/>
              <w:left w:val="nil"/>
              <w:bottom w:val="nil"/>
              <w:right w:val="nil"/>
            </w:tcBorders>
          </w:tcPr>
          <w:p w14:paraId="4BB6214E"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Lending</w:t>
            </w:r>
          </w:p>
        </w:tc>
        <w:tc>
          <w:tcPr>
            <w:tcW w:w="685" w:type="dxa"/>
            <w:tcBorders>
              <w:top w:val="nil"/>
              <w:left w:val="nil"/>
              <w:bottom w:val="nil"/>
              <w:right w:val="nil"/>
            </w:tcBorders>
          </w:tcPr>
          <w:p w14:paraId="252881D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52.95</w:t>
            </w:r>
          </w:p>
        </w:tc>
        <w:tc>
          <w:tcPr>
            <w:tcW w:w="1395" w:type="dxa"/>
            <w:tcBorders>
              <w:top w:val="nil"/>
              <w:left w:val="nil"/>
              <w:bottom w:val="nil"/>
              <w:right w:val="nil"/>
            </w:tcBorders>
          </w:tcPr>
          <w:p w14:paraId="1E0A843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17.49</w:t>
            </w:r>
          </w:p>
        </w:tc>
        <w:tc>
          <w:tcPr>
            <w:tcW w:w="1050" w:type="dxa"/>
            <w:tcBorders>
              <w:top w:val="nil"/>
              <w:left w:val="nil"/>
              <w:bottom w:val="nil"/>
              <w:right w:val="nil"/>
            </w:tcBorders>
          </w:tcPr>
          <w:p w14:paraId="147E89F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10.25</w:t>
            </w:r>
          </w:p>
        </w:tc>
        <w:tc>
          <w:tcPr>
            <w:tcW w:w="1099" w:type="dxa"/>
            <w:tcBorders>
              <w:top w:val="nil"/>
              <w:left w:val="nil"/>
              <w:bottom w:val="nil"/>
              <w:right w:val="nil"/>
            </w:tcBorders>
          </w:tcPr>
          <w:p w14:paraId="557FC91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96.26</w:t>
            </w:r>
          </w:p>
        </w:tc>
        <w:tc>
          <w:tcPr>
            <w:tcW w:w="963" w:type="dxa"/>
            <w:tcBorders>
              <w:top w:val="nil"/>
              <w:left w:val="nil"/>
              <w:bottom w:val="nil"/>
              <w:right w:val="nil"/>
            </w:tcBorders>
          </w:tcPr>
          <w:p w14:paraId="22520A3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41.23</w:t>
            </w:r>
          </w:p>
        </w:tc>
        <w:tc>
          <w:tcPr>
            <w:tcW w:w="1186" w:type="dxa"/>
            <w:tcBorders>
              <w:top w:val="nil"/>
              <w:left w:val="nil"/>
              <w:bottom w:val="nil"/>
              <w:right w:val="nil"/>
            </w:tcBorders>
          </w:tcPr>
          <w:p w14:paraId="405F974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53.68</w:t>
            </w:r>
          </w:p>
        </w:tc>
        <w:tc>
          <w:tcPr>
            <w:tcW w:w="1013" w:type="dxa"/>
            <w:tcBorders>
              <w:top w:val="nil"/>
              <w:left w:val="nil"/>
              <w:bottom w:val="nil"/>
              <w:right w:val="nil"/>
            </w:tcBorders>
          </w:tcPr>
          <w:p w14:paraId="2E3C80A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63.95</w:t>
            </w:r>
          </w:p>
        </w:tc>
        <w:tc>
          <w:tcPr>
            <w:tcW w:w="1325" w:type="dxa"/>
            <w:tcBorders>
              <w:top w:val="nil"/>
              <w:left w:val="nil"/>
              <w:bottom w:val="nil"/>
              <w:right w:val="nil"/>
            </w:tcBorders>
          </w:tcPr>
          <w:p w14:paraId="6221318E"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7F4E4D99" w14:textId="77777777" w:rsidTr="00BA0E8D">
        <w:trPr>
          <w:trHeight w:val="342"/>
        </w:trPr>
        <w:tc>
          <w:tcPr>
            <w:tcW w:w="1408" w:type="dxa"/>
            <w:gridSpan w:val="2"/>
            <w:tcBorders>
              <w:top w:val="nil"/>
              <w:left w:val="nil"/>
              <w:bottom w:val="nil"/>
              <w:right w:val="nil"/>
            </w:tcBorders>
          </w:tcPr>
          <w:p w14:paraId="26E457E5"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Deposits</w:t>
            </w:r>
          </w:p>
        </w:tc>
        <w:tc>
          <w:tcPr>
            <w:tcW w:w="685" w:type="dxa"/>
            <w:tcBorders>
              <w:top w:val="nil"/>
              <w:left w:val="nil"/>
              <w:bottom w:val="nil"/>
              <w:right w:val="nil"/>
            </w:tcBorders>
          </w:tcPr>
          <w:p w14:paraId="210CC3D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89.91</w:t>
            </w:r>
          </w:p>
        </w:tc>
        <w:tc>
          <w:tcPr>
            <w:tcW w:w="1395" w:type="dxa"/>
            <w:tcBorders>
              <w:top w:val="nil"/>
              <w:left w:val="nil"/>
              <w:bottom w:val="nil"/>
              <w:right w:val="nil"/>
            </w:tcBorders>
          </w:tcPr>
          <w:p w14:paraId="01C2965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13.73</w:t>
            </w:r>
          </w:p>
        </w:tc>
        <w:tc>
          <w:tcPr>
            <w:tcW w:w="1050" w:type="dxa"/>
            <w:tcBorders>
              <w:top w:val="nil"/>
              <w:left w:val="nil"/>
              <w:bottom w:val="nil"/>
              <w:right w:val="nil"/>
            </w:tcBorders>
          </w:tcPr>
          <w:p w14:paraId="210DF25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11.34</w:t>
            </w:r>
          </w:p>
        </w:tc>
        <w:tc>
          <w:tcPr>
            <w:tcW w:w="1099" w:type="dxa"/>
            <w:tcBorders>
              <w:top w:val="nil"/>
              <w:left w:val="nil"/>
              <w:bottom w:val="nil"/>
              <w:right w:val="nil"/>
            </w:tcBorders>
          </w:tcPr>
          <w:p w14:paraId="2F1643E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99.33</w:t>
            </w:r>
          </w:p>
        </w:tc>
        <w:tc>
          <w:tcPr>
            <w:tcW w:w="963" w:type="dxa"/>
            <w:tcBorders>
              <w:top w:val="nil"/>
              <w:left w:val="nil"/>
              <w:bottom w:val="nil"/>
              <w:right w:val="nil"/>
            </w:tcBorders>
          </w:tcPr>
          <w:p w14:paraId="0436E48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89.50</w:t>
            </w:r>
          </w:p>
        </w:tc>
        <w:tc>
          <w:tcPr>
            <w:tcW w:w="1186" w:type="dxa"/>
            <w:tcBorders>
              <w:top w:val="nil"/>
              <w:left w:val="nil"/>
              <w:bottom w:val="nil"/>
              <w:right w:val="nil"/>
            </w:tcBorders>
          </w:tcPr>
          <w:p w14:paraId="48EA0E6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93.99</w:t>
            </w:r>
          </w:p>
        </w:tc>
        <w:tc>
          <w:tcPr>
            <w:tcW w:w="1013" w:type="dxa"/>
            <w:tcBorders>
              <w:top w:val="nil"/>
              <w:left w:val="nil"/>
              <w:bottom w:val="nil"/>
              <w:right w:val="nil"/>
            </w:tcBorders>
          </w:tcPr>
          <w:p w14:paraId="563816F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96.34</w:t>
            </w:r>
          </w:p>
        </w:tc>
        <w:tc>
          <w:tcPr>
            <w:tcW w:w="1325" w:type="dxa"/>
            <w:tcBorders>
              <w:top w:val="nil"/>
              <w:left w:val="nil"/>
              <w:bottom w:val="nil"/>
              <w:right w:val="nil"/>
            </w:tcBorders>
          </w:tcPr>
          <w:p w14:paraId="40D67B8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1537.00</w:t>
            </w:r>
          </w:p>
        </w:tc>
      </w:tr>
      <w:tr w:rsidR="00003E25" w:rsidRPr="00BA0E8D" w14:paraId="437EDB6E" w14:textId="77777777" w:rsidTr="00BA0E8D">
        <w:trPr>
          <w:trHeight w:val="325"/>
        </w:trPr>
        <w:tc>
          <w:tcPr>
            <w:tcW w:w="1408" w:type="dxa"/>
            <w:gridSpan w:val="2"/>
            <w:tcBorders>
              <w:top w:val="nil"/>
              <w:left w:val="nil"/>
              <w:bottom w:val="nil"/>
              <w:right w:val="nil"/>
            </w:tcBorders>
          </w:tcPr>
          <w:p w14:paraId="7A03D912"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Equity</w:t>
            </w:r>
          </w:p>
        </w:tc>
        <w:tc>
          <w:tcPr>
            <w:tcW w:w="685" w:type="dxa"/>
            <w:tcBorders>
              <w:top w:val="nil"/>
              <w:left w:val="nil"/>
              <w:bottom w:val="nil"/>
              <w:right w:val="nil"/>
            </w:tcBorders>
          </w:tcPr>
          <w:p w14:paraId="00AB765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12.80</w:t>
            </w:r>
          </w:p>
        </w:tc>
        <w:tc>
          <w:tcPr>
            <w:tcW w:w="1395" w:type="dxa"/>
            <w:tcBorders>
              <w:top w:val="nil"/>
              <w:left w:val="nil"/>
              <w:bottom w:val="nil"/>
              <w:right w:val="nil"/>
            </w:tcBorders>
          </w:tcPr>
          <w:p w14:paraId="4CE873C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8.28</w:t>
            </w:r>
          </w:p>
        </w:tc>
        <w:tc>
          <w:tcPr>
            <w:tcW w:w="1050" w:type="dxa"/>
            <w:tcBorders>
              <w:top w:val="nil"/>
              <w:left w:val="nil"/>
              <w:bottom w:val="nil"/>
              <w:right w:val="nil"/>
            </w:tcBorders>
          </w:tcPr>
          <w:p w14:paraId="0CAE504C"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2.13</w:t>
            </w:r>
          </w:p>
        </w:tc>
        <w:tc>
          <w:tcPr>
            <w:tcW w:w="1099" w:type="dxa"/>
            <w:tcBorders>
              <w:top w:val="nil"/>
              <w:left w:val="nil"/>
              <w:bottom w:val="nil"/>
              <w:right w:val="nil"/>
            </w:tcBorders>
          </w:tcPr>
          <w:p w14:paraId="164B18A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55.83</w:t>
            </w:r>
          </w:p>
        </w:tc>
        <w:tc>
          <w:tcPr>
            <w:tcW w:w="963" w:type="dxa"/>
            <w:tcBorders>
              <w:top w:val="nil"/>
              <w:left w:val="nil"/>
              <w:bottom w:val="nil"/>
              <w:right w:val="nil"/>
            </w:tcBorders>
          </w:tcPr>
          <w:p w14:paraId="59FC819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7.89</w:t>
            </w:r>
          </w:p>
        </w:tc>
        <w:tc>
          <w:tcPr>
            <w:tcW w:w="1186" w:type="dxa"/>
            <w:tcBorders>
              <w:top w:val="nil"/>
              <w:left w:val="nil"/>
              <w:bottom w:val="nil"/>
              <w:right w:val="nil"/>
            </w:tcBorders>
          </w:tcPr>
          <w:p w14:paraId="4705A64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10.73</w:t>
            </w:r>
          </w:p>
        </w:tc>
        <w:tc>
          <w:tcPr>
            <w:tcW w:w="1013" w:type="dxa"/>
            <w:tcBorders>
              <w:top w:val="nil"/>
              <w:left w:val="nil"/>
              <w:bottom w:val="nil"/>
              <w:right w:val="nil"/>
            </w:tcBorders>
          </w:tcPr>
          <w:p w14:paraId="3EC7B7E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14.89</w:t>
            </w:r>
          </w:p>
        </w:tc>
        <w:tc>
          <w:tcPr>
            <w:tcW w:w="1325" w:type="dxa"/>
            <w:tcBorders>
              <w:top w:val="nil"/>
              <w:left w:val="nil"/>
              <w:bottom w:val="nil"/>
              <w:right w:val="nil"/>
            </w:tcBorders>
          </w:tcPr>
          <w:p w14:paraId="0EE6B372"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364F3339" w14:textId="77777777" w:rsidTr="00BA0E8D">
        <w:trPr>
          <w:trHeight w:val="325"/>
        </w:trPr>
        <w:tc>
          <w:tcPr>
            <w:tcW w:w="1408" w:type="dxa"/>
            <w:gridSpan w:val="2"/>
            <w:tcBorders>
              <w:top w:val="nil"/>
              <w:left w:val="nil"/>
              <w:bottom w:val="nil"/>
              <w:right w:val="nil"/>
            </w:tcBorders>
          </w:tcPr>
          <w:p w14:paraId="74B4DB95"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Fees</w:t>
            </w:r>
          </w:p>
        </w:tc>
        <w:tc>
          <w:tcPr>
            <w:tcW w:w="685" w:type="dxa"/>
            <w:tcBorders>
              <w:top w:val="nil"/>
              <w:left w:val="nil"/>
              <w:bottom w:val="nil"/>
              <w:right w:val="nil"/>
            </w:tcBorders>
          </w:tcPr>
          <w:p w14:paraId="5958CE0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21.56</w:t>
            </w:r>
          </w:p>
        </w:tc>
        <w:tc>
          <w:tcPr>
            <w:tcW w:w="1395" w:type="dxa"/>
            <w:tcBorders>
              <w:top w:val="nil"/>
              <w:left w:val="nil"/>
              <w:bottom w:val="nil"/>
              <w:right w:val="nil"/>
            </w:tcBorders>
          </w:tcPr>
          <w:p w14:paraId="3EE5AA5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17.34</w:t>
            </w:r>
          </w:p>
        </w:tc>
        <w:tc>
          <w:tcPr>
            <w:tcW w:w="1050" w:type="dxa"/>
            <w:tcBorders>
              <w:top w:val="nil"/>
              <w:left w:val="nil"/>
              <w:bottom w:val="nil"/>
              <w:right w:val="nil"/>
            </w:tcBorders>
          </w:tcPr>
          <w:p w14:paraId="0BC5328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w:t>
            </w:r>
          </w:p>
        </w:tc>
        <w:tc>
          <w:tcPr>
            <w:tcW w:w="1099" w:type="dxa"/>
            <w:tcBorders>
              <w:top w:val="nil"/>
              <w:left w:val="nil"/>
              <w:bottom w:val="nil"/>
              <w:right w:val="nil"/>
            </w:tcBorders>
          </w:tcPr>
          <w:p w14:paraId="2730849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109.70</w:t>
            </w:r>
          </w:p>
        </w:tc>
        <w:tc>
          <w:tcPr>
            <w:tcW w:w="963" w:type="dxa"/>
            <w:tcBorders>
              <w:top w:val="nil"/>
              <w:left w:val="nil"/>
              <w:bottom w:val="nil"/>
              <w:right w:val="nil"/>
            </w:tcBorders>
          </w:tcPr>
          <w:p w14:paraId="0B5A7D8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11.07</w:t>
            </w:r>
          </w:p>
        </w:tc>
        <w:tc>
          <w:tcPr>
            <w:tcW w:w="1186" w:type="dxa"/>
            <w:tcBorders>
              <w:top w:val="nil"/>
              <w:left w:val="nil"/>
              <w:bottom w:val="nil"/>
              <w:right w:val="nil"/>
            </w:tcBorders>
          </w:tcPr>
          <w:p w14:paraId="298D74A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18.08</w:t>
            </w:r>
          </w:p>
        </w:tc>
        <w:tc>
          <w:tcPr>
            <w:tcW w:w="1013" w:type="dxa"/>
            <w:tcBorders>
              <w:top w:val="nil"/>
              <w:left w:val="nil"/>
              <w:bottom w:val="nil"/>
              <w:right w:val="nil"/>
            </w:tcBorders>
          </w:tcPr>
          <w:p w14:paraId="32C06297"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26.97</w:t>
            </w:r>
          </w:p>
        </w:tc>
        <w:tc>
          <w:tcPr>
            <w:tcW w:w="1325" w:type="dxa"/>
            <w:tcBorders>
              <w:top w:val="nil"/>
              <w:left w:val="nil"/>
              <w:bottom w:val="nil"/>
              <w:right w:val="nil"/>
            </w:tcBorders>
          </w:tcPr>
          <w:p w14:paraId="1992F86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1498.00</w:t>
            </w:r>
          </w:p>
        </w:tc>
      </w:tr>
      <w:tr w:rsidR="00003E25" w:rsidRPr="00BA0E8D" w14:paraId="1B965527" w14:textId="77777777" w:rsidTr="00BA0E8D">
        <w:trPr>
          <w:trHeight w:val="342"/>
        </w:trPr>
        <w:tc>
          <w:tcPr>
            <w:tcW w:w="1408" w:type="dxa"/>
            <w:gridSpan w:val="2"/>
            <w:tcBorders>
              <w:top w:val="nil"/>
              <w:left w:val="nil"/>
              <w:bottom w:val="nil"/>
              <w:right w:val="nil"/>
            </w:tcBorders>
          </w:tcPr>
          <w:p w14:paraId="176CDBF7"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Inefficiency</w:t>
            </w:r>
          </w:p>
        </w:tc>
        <w:tc>
          <w:tcPr>
            <w:tcW w:w="685" w:type="dxa"/>
            <w:tcBorders>
              <w:top w:val="nil"/>
              <w:left w:val="nil"/>
              <w:bottom w:val="nil"/>
              <w:right w:val="nil"/>
            </w:tcBorders>
          </w:tcPr>
          <w:p w14:paraId="463F466E"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5.39</w:t>
            </w:r>
          </w:p>
        </w:tc>
        <w:tc>
          <w:tcPr>
            <w:tcW w:w="1395" w:type="dxa"/>
            <w:tcBorders>
              <w:top w:val="nil"/>
              <w:left w:val="nil"/>
              <w:bottom w:val="nil"/>
              <w:right w:val="nil"/>
            </w:tcBorders>
          </w:tcPr>
          <w:p w14:paraId="047DD08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3.52</w:t>
            </w:r>
          </w:p>
        </w:tc>
        <w:tc>
          <w:tcPr>
            <w:tcW w:w="1050" w:type="dxa"/>
            <w:tcBorders>
              <w:top w:val="nil"/>
              <w:left w:val="nil"/>
              <w:bottom w:val="nil"/>
              <w:right w:val="nil"/>
            </w:tcBorders>
          </w:tcPr>
          <w:p w14:paraId="69B60B28"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0.59</w:t>
            </w:r>
          </w:p>
        </w:tc>
        <w:tc>
          <w:tcPr>
            <w:tcW w:w="1099" w:type="dxa"/>
            <w:tcBorders>
              <w:top w:val="nil"/>
              <w:left w:val="nil"/>
              <w:bottom w:val="nil"/>
              <w:right w:val="nil"/>
            </w:tcBorders>
          </w:tcPr>
          <w:p w14:paraId="07D6F33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20.58</w:t>
            </w:r>
          </w:p>
        </w:tc>
        <w:tc>
          <w:tcPr>
            <w:tcW w:w="963" w:type="dxa"/>
            <w:tcBorders>
              <w:top w:val="nil"/>
              <w:left w:val="nil"/>
              <w:bottom w:val="nil"/>
              <w:right w:val="nil"/>
            </w:tcBorders>
          </w:tcPr>
          <w:p w14:paraId="5C3E791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2.93</w:t>
            </w:r>
          </w:p>
        </w:tc>
        <w:tc>
          <w:tcPr>
            <w:tcW w:w="1186" w:type="dxa"/>
            <w:tcBorders>
              <w:top w:val="nil"/>
              <w:left w:val="nil"/>
              <w:bottom w:val="nil"/>
              <w:right w:val="nil"/>
            </w:tcBorders>
          </w:tcPr>
          <w:p w14:paraId="63B7A8C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4.69</w:t>
            </w:r>
          </w:p>
        </w:tc>
        <w:tc>
          <w:tcPr>
            <w:tcW w:w="1013" w:type="dxa"/>
            <w:tcBorders>
              <w:top w:val="nil"/>
              <w:left w:val="nil"/>
              <w:bottom w:val="nil"/>
              <w:right w:val="nil"/>
            </w:tcBorders>
          </w:tcPr>
          <w:p w14:paraId="17D333E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6.94</w:t>
            </w:r>
          </w:p>
        </w:tc>
        <w:tc>
          <w:tcPr>
            <w:tcW w:w="1325" w:type="dxa"/>
            <w:tcBorders>
              <w:top w:val="nil"/>
              <w:left w:val="nil"/>
              <w:bottom w:val="nil"/>
              <w:right w:val="nil"/>
            </w:tcBorders>
          </w:tcPr>
          <w:p w14:paraId="1C7A518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4C1985F1" w14:textId="77777777" w:rsidTr="00BA0E8D">
        <w:trPr>
          <w:trHeight w:val="325"/>
        </w:trPr>
        <w:tc>
          <w:tcPr>
            <w:tcW w:w="1408" w:type="dxa"/>
            <w:gridSpan w:val="2"/>
            <w:tcBorders>
              <w:top w:val="nil"/>
              <w:left w:val="nil"/>
              <w:bottom w:val="nil"/>
              <w:right w:val="nil"/>
            </w:tcBorders>
          </w:tcPr>
          <w:p w14:paraId="714D79FA"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w:t>
            </w:r>
          </w:p>
        </w:tc>
        <w:tc>
          <w:tcPr>
            <w:tcW w:w="685" w:type="dxa"/>
            <w:tcBorders>
              <w:top w:val="nil"/>
              <w:left w:val="nil"/>
              <w:bottom w:val="nil"/>
              <w:right w:val="nil"/>
            </w:tcBorders>
          </w:tcPr>
          <w:p w14:paraId="444D7098"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0.62</w:t>
            </w:r>
          </w:p>
        </w:tc>
        <w:tc>
          <w:tcPr>
            <w:tcW w:w="1395" w:type="dxa"/>
            <w:tcBorders>
              <w:top w:val="nil"/>
              <w:left w:val="nil"/>
              <w:bottom w:val="nil"/>
              <w:right w:val="nil"/>
            </w:tcBorders>
          </w:tcPr>
          <w:p w14:paraId="69E54BF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0.16</w:t>
            </w:r>
          </w:p>
        </w:tc>
        <w:tc>
          <w:tcPr>
            <w:tcW w:w="1050" w:type="dxa"/>
            <w:tcBorders>
              <w:top w:val="nil"/>
              <w:left w:val="nil"/>
              <w:bottom w:val="nil"/>
              <w:right w:val="nil"/>
            </w:tcBorders>
          </w:tcPr>
          <w:p w14:paraId="1CA006E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0.35</w:t>
            </w:r>
          </w:p>
        </w:tc>
        <w:tc>
          <w:tcPr>
            <w:tcW w:w="1099" w:type="dxa"/>
            <w:tcBorders>
              <w:top w:val="nil"/>
              <w:left w:val="nil"/>
              <w:bottom w:val="nil"/>
              <w:right w:val="nil"/>
            </w:tcBorders>
          </w:tcPr>
          <w:p w14:paraId="4236241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1.00</w:t>
            </w:r>
          </w:p>
        </w:tc>
        <w:tc>
          <w:tcPr>
            <w:tcW w:w="963" w:type="dxa"/>
            <w:tcBorders>
              <w:top w:val="nil"/>
              <w:left w:val="nil"/>
              <w:bottom w:val="nil"/>
              <w:right w:val="nil"/>
            </w:tcBorders>
          </w:tcPr>
          <w:p w14:paraId="32133B1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0.51</w:t>
            </w:r>
          </w:p>
        </w:tc>
        <w:tc>
          <w:tcPr>
            <w:tcW w:w="1186" w:type="dxa"/>
            <w:tcBorders>
              <w:top w:val="nil"/>
              <w:left w:val="nil"/>
              <w:bottom w:val="nil"/>
              <w:right w:val="nil"/>
            </w:tcBorders>
          </w:tcPr>
          <w:p w14:paraId="26CF4FD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0.60</w:t>
            </w:r>
          </w:p>
        </w:tc>
        <w:tc>
          <w:tcPr>
            <w:tcW w:w="1013" w:type="dxa"/>
            <w:tcBorders>
              <w:top w:val="nil"/>
              <w:left w:val="nil"/>
              <w:bottom w:val="nil"/>
              <w:right w:val="nil"/>
            </w:tcBorders>
          </w:tcPr>
          <w:p w14:paraId="7A373E4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0.74</w:t>
            </w:r>
          </w:p>
        </w:tc>
        <w:tc>
          <w:tcPr>
            <w:tcW w:w="1325" w:type="dxa"/>
            <w:tcBorders>
              <w:top w:val="nil"/>
              <w:left w:val="nil"/>
              <w:bottom w:val="nil"/>
              <w:right w:val="nil"/>
            </w:tcBorders>
          </w:tcPr>
          <w:p w14:paraId="345C183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1538.00</w:t>
            </w:r>
          </w:p>
        </w:tc>
      </w:tr>
      <w:tr w:rsidR="00003E25" w:rsidRPr="00BA0E8D" w14:paraId="62D510A2" w14:textId="77777777" w:rsidTr="00BA0E8D">
        <w:trPr>
          <w:trHeight w:val="325"/>
        </w:trPr>
        <w:tc>
          <w:tcPr>
            <w:tcW w:w="1408" w:type="dxa"/>
            <w:gridSpan w:val="2"/>
            <w:tcBorders>
              <w:top w:val="nil"/>
              <w:left w:val="nil"/>
              <w:bottom w:val="nil"/>
              <w:right w:val="nil"/>
            </w:tcBorders>
          </w:tcPr>
          <w:p w14:paraId="0A343C7B"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GDP Growth</w:t>
            </w:r>
          </w:p>
        </w:tc>
        <w:tc>
          <w:tcPr>
            <w:tcW w:w="685" w:type="dxa"/>
            <w:tcBorders>
              <w:top w:val="nil"/>
              <w:left w:val="nil"/>
              <w:bottom w:val="nil"/>
              <w:right w:val="nil"/>
            </w:tcBorders>
          </w:tcPr>
          <w:p w14:paraId="1100EA9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5.26</w:t>
            </w:r>
          </w:p>
        </w:tc>
        <w:tc>
          <w:tcPr>
            <w:tcW w:w="1395" w:type="dxa"/>
            <w:tcBorders>
              <w:top w:val="nil"/>
              <w:left w:val="nil"/>
              <w:bottom w:val="nil"/>
              <w:right w:val="nil"/>
            </w:tcBorders>
          </w:tcPr>
          <w:p w14:paraId="6B3372C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3.01</w:t>
            </w:r>
          </w:p>
        </w:tc>
        <w:tc>
          <w:tcPr>
            <w:tcW w:w="1050" w:type="dxa"/>
            <w:tcBorders>
              <w:top w:val="nil"/>
              <w:left w:val="nil"/>
              <w:bottom w:val="nil"/>
              <w:right w:val="nil"/>
            </w:tcBorders>
          </w:tcPr>
          <w:p w14:paraId="2FC6F55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-7.84</w:t>
            </w:r>
          </w:p>
        </w:tc>
        <w:tc>
          <w:tcPr>
            <w:tcW w:w="1099" w:type="dxa"/>
            <w:tcBorders>
              <w:top w:val="nil"/>
              <w:left w:val="nil"/>
              <w:bottom w:val="nil"/>
              <w:right w:val="nil"/>
            </w:tcBorders>
          </w:tcPr>
          <w:p w14:paraId="7EBDE0BD"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33.74</w:t>
            </w:r>
          </w:p>
        </w:tc>
        <w:tc>
          <w:tcPr>
            <w:tcW w:w="963" w:type="dxa"/>
            <w:tcBorders>
              <w:top w:val="nil"/>
              <w:left w:val="nil"/>
              <w:bottom w:val="nil"/>
              <w:right w:val="nil"/>
            </w:tcBorders>
          </w:tcPr>
          <w:p w14:paraId="5563BB5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3.41</w:t>
            </w:r>
          </w:p>
        </w:tc>
        <w:tc>
          <w:tcPr>
            <w:tcW w:w="1186" w:type="dxa"/>
            <w:tcBorders>
              <w:top w:val="nil"/>
              <w:left w:val="nil"/>
              <w:bottom w:val="nil"/>
              <w:right w:val="nil"/>
            </w:tcBorders>
          </w:tcPr>
          <w:p w14:paraId="6E166B57"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5.45</w:t>
            </w:r>
          </w:p>
        </w:tc>
        <w:tc>
          <w:tcPr>
            <w:tcW w:w="1013" w:type="dxa"/>
            <w:tcBorders>
              <w:top w:val="nil"/>
              <w:left w:val="nil"/>
              <w:bottom w:val="nil"/>
              <w:right w:val="nil"/>
            </w:tcBorders>
          </w:tcPr>
          <w:p w14:paraId="6D20E30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7.04</w:t>
            </w:r>
          </w:p>
        </w:tc>
        <w:tc>
          <w:tcPr>
            <w:tcW w:w="1325" w:type="dxa"/>
            <w:tcBorders>
              <w:top w:val="nil"/>
              <w:left w:val="nil"/>
              <w:bottom w:val="nil"/>
              <w:right w:val="nil"/>
            </w:tcBorders>
          </w:tcPr>
          <w:p w14:paraId="21B2C8F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1494.00</w:t>
            </w:r>
          </w:p>
        </w:tc>
      </w:tr>
      <w:tr w:rsidR="00003E25" w:rsidRPr="00BA0E8D" w14:paraId="018CF51F" w14:textId="77777777" w:rsidTr="00BA0E8D">
        <w:trPr>
          <w:trHeight w:val="325"/>
        </w:trPr>
        <w:tc>
          <w:tcPr>
            <w:tcW w:w="1408" w:type="dxa"/>
            <w:gridSpan w:val="2"/>
            <w:tcBorders>
              <w:top w:val="nil"/>
              <w:left w:val="nil"/>
              <w:bottom w:val="nil"/>
              <w:right w:val="nil"/>
            </w:tcBorders>
          </w:tcPr>
          <w:p w14:paraId="22EC13AF"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Inflation</w:t>
            </w:r>
          </w:p>
        </w:tc>
        <w:tc>
          <w:tcPr>
            <w:tcW w:w="685" w:type="dxa"/>
            <w:tcBorders>
              <w:top w:val="nil"/>
              <w:left w:val="nil"/>
              <w:bottom w:val="nil"/>
              <w:right w:val="nil"/>
            </w:tcBorders>
          </w:tcPr>
          <w:p w14:paraId="55BBEB9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8.00</w:t>
            </w:r>
          </w:p>
        </w:tc>
        <w:tc>
          <w:tcPr>
            <w:tcW w:w="1395" w:type="dxa"/>
            <w:tcBorders>
              <w:top w:val="nil"/>
              <w:left w:val="nil"/>
              <w:bottom w:val="nil"/>
              <w:right w:val="nil"/>
            </w:tcBorders>
          </w:tcPr>
          <w:p w14:paraId="25495FC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5.21</w:t>
            </w:r>
          </w:p>
        </w:tc>
        <w:tc>
          <w:tcPr>
            <w:tcW w:w="1050" w:type="dxa"/>
            <w:tcBorders>
              <w:top w:val="nil"/>
              <w:left w:val="nil"/>
              <w:bottom w:val="nil"/>
              <w:right w:val="nil"/>
            </w:tcBorders>
          </w:tcPr>
          <w:p w14:paraId="0AEC85C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-3.10</w:t>
            </w:r>
          </w:p>
        </w:tc>
        <w:tc>
          <w:tcPr>
            <w:tcW w:w="1099" w:type="dxa"/>
            <w:tcBorders>
              <w:top w:val="nil"/>
              <w:left w:val="nil"/>
              <w:bottom w:val="nil"/>
              <w:right w:val="nil"/>
            </w:tcBorders>
          </w:tcPr>
          <w:p w14:paraId="2ED3E78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26.24</w:t>
            </w:r>
          </w:p>
        </w:tc>
        <w:tc>
          <w:tcPr>
            <w:tcW w:w="963" w:type="dxa"/>
            <w:tcBorders>
              <w:top w:val="nil"/>
              <w:left w:val="nil"/>
              <w:bottom w:val="nil"/>
              <w:right w:val="nil"/>
            </w:tcBorders>
          </w:tcPr>
          <w:p w14:paraId="1265D22E"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3.89</w:t>
            </w:r>
          </w:p>
        </w:tc>
        <w:tc>
          <w:tcPr>
            <w:tcW w:w="1186" w:type="dxa"/>
            <w:tcBorders>
              <w:top w:val="nil"/>
              <w:left w:val="nil"/>
              <w:bottom w:val="nil"/>
              <w:right w:val="nil"/>
            </w:tcBorders>
          </w:tcPr>
          <w:p w14:paraId="673CE1A9"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7.13</w:t>
            </w:r>
          </w:p>
        </w:tc>
        <w:tc>
          <w:tcPr>
            <w:tcW w:w="1013" w:type="dxa"/>
            <w:tcBorders>
              <w:top w:val="nil"/>
              <w:left w:val="nil"/>
              <w:bottom w:val="nil"/>
              <w:right w:val="nil"/>
            </w:tcBorders>
          </w:tcPr>
          <w:p w14:paraId="25A9FE0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11.27</w:t>
            </w:r>
          </w:p>
        </w:tc>
        <w:tc>
          <w:tcPr>
            <w:tcW w:w="1325" w:type="dxa"/>
            <w:tcBorders>
              <w:top w:val="nil"/>
              <w:left w:val="nil"/>
              <w:bottom w:val="nil"/>
              <w:right w:val="nil"/>
            </w:tcBorders>
          </w:tcPr>
          <w:p w14:paraId="0582AF5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1494.00</w:t>
            </w:r>
          </w:p>
        </w:tc>
      </w:tr>
      <w:tr w:rsidR="00003E25" w:rsidRPr="00BA0E8D" w14:paraId="0B2AD803" w14:textId="77777777" w:rsidTr="00BA0E8D">
        <w:trPr>
          <w:trHeight w:val="342"/>
        </w:trPr>
        <w:tc>
          <w:tcPr>
            <w:tcW w:w="1408" w:type="dxa"/>
            <w:gridSpan w:val="2"/>
            <w:tcBorders>
              <w:top w:val="nil"/>
              <w:left w:val="nil"/>
              <w:bottom w:val="nil"/>
              <w:right w:val="nil"/>
            </w:tcBorders>
          </w:tcPr>
          <w:p w14:paraId="17A4644E"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w:t>
            </w:r>
          </w:p>
        </w:tc>
        <w:tc>
          <w:tcPr>
            <w:tcW w:w="685" w:type="dxa"/>
            <w:tcBorders>
              <w:top w:val="nil"/>
              <w:left w:val="nil"/>
              <w:bottom w:val="nil"/>
              <w:right w:val="nil"/>
            </w:tcBorders>
          </w:tcPr>
          <w:p w14:paraId="18A8C71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-0.38</w:t>
            </w:r>
          </w:p>
        </w:tc>
        <w:tc>
          <w:tcPr>
            <w:tcW w:w="1395" w:type="dxa"/>
            <w:tcBorders>
              <w:top w:val="nil"/>
              <w:left w:val="nil"/>
              <w:bottom w:val="nil"/>
              <w:right w:val="nil"/>
            </w:tcBorders>
          </w:tcPr>
          <w:p w14:paraId="1DEAE95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0.52</w:t>
            </w:r>
          </w:p>
        </w:tc>
        <w:tc>
          <w:tcPr>
            <w:tcW w:w="1050" w:type="dxa"/>
            <w:tcBorders>
              <w:top w:val="nil"/>
              <w:left w:val="nil"/>
              <w:bottom w:val="nil"/>
              <w:right w:val="nil"/>
            </w:tcBorders>
          </w:tcPr>
          <w:p w14:paraId="58070D07"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-1.50</w:t>
            </w:r>
          </w:p>
        </w:tc>
        <w:tc>
          <w:tcPr>
            <w:tcW w:w="1099" w:type="dxa"/>
            <w:tcBorders>
              <w:top w:val="nil"/>
              <w:left w:val="nil"/>
              <w:bottom w:val="nil"/>
              <w:right w:val="nil"/>
            </w:tcBorders>
          </w:tcPr>
          <w:p w14:paraId="218BBA3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1.01</w:t>
            </w:r>
          </w:p>
        </w:tc>
        <w:tc>
          <w:tcPr>
            <w:tcW w:w="963" w:type="dxa"/>
            <w:tcBorders>
              <w:top w:val="nil"/>
              <w:left w:val="nil"/>
              <w:bottom w:val="nil"/>
              <w:right w:val="nil"/>
            </w:tcBorders>
          </w:tcPr>
          <w:p w14:paraId="0874C5E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w:t>
            </w:r>
          </w:p>
        </w:tc>
        <w:tc>
          <w:tcPr>
            <w:tcW w:w="1186" w:type="dxa"/>
            <w:tcBorders>
              <w:top w:val="nil"/>
              <w:left w:val="nil"/>
              <w:bottom w:val="nil"/>
              <w:right w:val="nil"/>
            </w:tcBorders>
          </w:tcPr>
          <w:p w14:paraId="02D7E4B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-0.40</w:t>
            </w:r>
          </w:p>
        </w:tc>
        <w:tc>
          <w:tcPr>
            <w:tcW w:w="1013" w:type="dxa"/>
            <w:tcBorders>
              <w:top w:val="nil"/>
              <w:left w:val="nil"/>
              <w:bottom w:val="nil"/>
              <w:right w:val="nil"/>
            </w:tcBorders>
          </w:tcPr>
          <w:p w14:paraId="2F6D044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w:t>
            </w:r>
          </w:p>
        </w:tc>
        <w:tc>
          <w:tcPr>
            <w:tcW w:w="1325" w:type="dxa"/>
            <w:tcBorders>
              <w:top w:val="nil"/>
              <w:left w:val="nil"/>
              <w:bottom w:val="nil"/>
              <w:right w:val="nil"/>
            </w:tcBorders>
          </w:tcPr>
          <w:p w14:paraId="04494D6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1494.00</w:t>
            </w:r>
          </w:p>
        </w:tc>
      </w:tr>
      <w:tr w:rsidR="00003E25" w:rsidRPr="00BA0E8D" w14:paraId="5A349B81" w14:textId="77777777" w:rsidTr="00BA0E8D">
        <w:trPr>
          <w:trHeight w:val="325"/>
        </w:trPr>
        <w:tc>
          <w:tcPr>
            <w:tcW w:w="1408" w:type="dxa"/>
            <w:gridSpan w:val="2"/>
            <w:tcBorders>
              <w:top w:val="nil"/>
              <w:left w:val="nil"/>
              <w:bottom w:val="nil"/>
              <w:right w:val="nil"/>
            </w:tcBorders>
          </w:tcPr>
          <w:p w14:paraId="05ADA709"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w:t>
            </w:r>
          </w:p>
        </w:tc>
        <w:tc>
          <w:tcPr>
            <w:tcW w:w="685" w:type="dxa"/>
            <w:tcBorders>
              <w:top w:val="nil"/>
              <w:left w:val="nil"/>
              <w:bottom w:val="nil"/>
              <w:right w:val="nil"/>
            </w:tcBorders>
          </w:tcPr>
          <w:p w14:paraId="71EDC3BB"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w:t>
            </w:r>
          </w:p>
        </w:tc>
        <w:tc>
          <w:tcPr>
            <w:tcW w:w="1395" w:type="dxa"/>
            <w:tcBorders>
              <w:top w:val="nil"/>
              <w:left w:val="nil"/>
              <w:bottom w:val="nil"/>
              <w:right w:val="nil"/>
            </w:tcBorders>
          </w:tcPr>
          <w:p w14:paraId="497AD75E"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0.44</w:t>
            </w:r>
          </w:p>
        </w:tc>
        <w:tc>
          <w:tcPr>
            <w:tcW w:w="1050" w:type="dxa"/>
            <w:tcBorders>
              <w:top w:val="nil"/>
              <w:left w:val="nil"/>
              <w:bottom w:val="nil"/>
              <w:right w:val="nil"/>
            </w:tcBorders>
          </w:tcPr>
          <w:p w14:paraId="08A5038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-1.32</w:t>
            </w:r>
          </w:p>
        </w:tc>
        <w:tc>
          <w:tcPr>
            <w:tcW w:w="1099" w:type="dxa"/>
            <w:tcBorders>
              <w:top w:val="nil"/>
              <w:left w:val="nil"/>
              <w:bottom w:val="nil"/>
              <w:right w:val="nil"/>
            </w:tcBorders>
          </w:tcPr>
          <w:p w14:paraId="3D83EA8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0.98</w:t>
            </w:r>
          </w:p>
        </w:tc>
        <w:tc>
          <w:tcPr>
            <w:tcW w:w="963" w:type="dxa"/>
            <w:tcBorders>
              <w:top w:val="nil"/>
              <w:left w:val="nil"/>
              <w:bottom w:val="nil"/>
              <w:right w:val="nil"/>
            </w:tcBorders>
          </w:tcPr>
          <w:p w14:paraId="08C8997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-0.46</w:t>
            </w:r>
          </w:p>
        </w:tc>
        <w:tc>
          <w:tcPr>
            <w:tcW w:w="1186" w:type="dxa"/>
            <w:tcBorders>
              <w:top w:val="nil"/>
              <w:left w:val="nil"/>
              <w:bottom w:val="nil"/>
              <w:right w:val="nil"/>
            </w:tcBorders>
          </w:tcPr>
          <w:p w14:paraId="12B3C645"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w:t>
            </w:r>
          </w:p>
        </w:tc>
        <w:tc>
          <w:tcPr>
            <w:tcW w:w="1013" w:type="dxa"/>
            <w:tcBorders>
              <w:top w:val="nil"/>
              <w:left w:val="nil"/>
              <w:bottom w:val="nil"/>
              <w:right w:val="nil"/>
            </w:tcBorders>
          </w:tcPr>
          <w:p w14:paraId="15C9F15A"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w:t>
            </w:r>
          </w:p>
        </w:tc>
        <w:tc>
          <w:tcPr>
            <w:tcW w:w="1325" w:type="dxa"/>
            <w:tcBorders>
              <w:top w:val="nil"/>
              <w:left w:val="nil"/>
              <w:bottom w:val="nil"/>
              <w:right w:val="nil"/>
            </w:tcBorders>
          </w:tcPr>
          <w:p w14:paraId="7F3CCA94"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1494.00</w:t>
            </w:r>
          </w:p>
        </w:tc>
      </w:tr>
      <w:tr w:rsidR="00003E25" w:rsidRPr="00BA0E8D" w14:paraId="2B2080DE" w14:textId="77777777" w:rsidTr="00BA0E8D">
        <w:trPr>
          <w:trHeight w:val="325"/>
        </w:trPr>
        <w:tc>
          <w:tcPr>
            <w:tcW w:w="1408" w:type="dxa"/>
            <w:gridSpan w:val="2"/>
            <w:tcBorders>
              <w:top w:val="nil"/>
              <w:left w:val="nil"/>
              <w:bottom w:val="single" w:sz="4" w:space="0" w:color="auto"/>
              <w:right w:val="nil"/>
            </w:tcBorders>
          </w:tcPr>
          <w:p w14:paraId="2F3E9AED" w14:textId="77777777" w:rsidR="00003E25" w:rsidRPr="00BA0E8D" w:rsidRDefault="00003E25"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w:t>
            </w:r>
          </w:p>
        </w:tc>
        <w:tc>
          <w:tcPr>
            <w:tcW w:w="685" w:type="dxa"/>
            <w:tcBorders>
              <w:top w:val="nil"/>
              <w:left w:val="nil"/>
              <w:bottom w:val="single" w:sz="4" w:space="0" w:color="auto"/>
              <w:right w:val="nil"/>
            </w:tcBorders>
          </w:tcPr>
          <w:p w14:paraId="0FCA41A1"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-0.42</w:t>
            </w:r>
          </w:p>
        </w:tc>
        <w:tc>
          <w:tcPr>
            <w:tcW w:w="1395" w:type="dxa"/>
            <w:tcBorders>
              <w:top w:val="nil"/>
              <w:left w:val="nil"/>
              <w:bottom w:val="single" w:sz="4" w:space="0" w:color="auto"/>
              <w:right w:val="nil"/>
            </w:tcBorders>
          </w:tcPr>
          <w:p w14:paraId="5D44748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0.54</w:t>
            </w:r>
          </w:p>
        </w:tc>
        <w:tc>
          <w:tcPr>
            <w:tcW w:w="1050" w:type="dxa"/>
            <w:tcBorders>
              <w:top w:val="nil"/>
              <w:left w:val="nil"/>
              <w:bottom w:val="single" w:sz="4" w:space="0" w:color="auto"/>
              <w:right w:val="nil"/>
            </w:tcBorders>
          </w:tcPr>
          <w:p w14:paraId="26387F32"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-1.42</w:t>
            </w:r>
          </w:p>
        </w:tc>
        <w:tc>
          <w:tcPr>
            <w:tcW w:w="1099" w:type="dxa"/>
            <w:tcBorders>
              <w:top w:val="nil"/>
              <w:left w:val="nil"/>
              <w:bottom w:val="single" w:sz="4" w:space="0" w:color="auto"/>
              <w:right w:val="nil"/>
            </w:tcBorders>
          </w:tcPr>
          <w:p w14:paraId="6074748F"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1.14</w:t>
            </w:r>
          </w:p>
        </w:tc>
        <w:tc>
          <w:tcPr>
            <w:tcW w:w="963" w:type="dxa"/>
            <w:tcBorders>
              <w:top w:val="nil"/>
              <w:left w:val="nil"/>
              <w:bottom w:val="single" w:sz="4" w:space="0" w:color="auto"/>
              <w:right w:val="nil"/>
            </w:tcBorders>
          </w:tcPr>
          <w:p w14:paraId="6EA87228"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-0.83</w:t>
            </w:r>
          </w:p>
        </w:tc>
        <w:tc>
          <w:tcPr>
            <w:tcW w:w="1186" w:type="dxa"/>
            <w:tcBorders>
              <w:top w:val="nil"/>
              <w:left w:val="nil"/>
              <w:bottom w:val="single" w:sz="4" w:space="0" w:color="auto"/>
              <w:right w:val="nil"/>
            </w:tcBorders>
          </w:tcPr>
          <w:p w14:paraId="4F304B10"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-0.51</w:t>
            </w:r>
          </w:p>
        </w:tc>
        <w:tc>
          <w:tcPr>
            <w:tcW w:w="1013" w:type="dxa"/>
            <w:tcBorders>
              <w:top w:val="nil"/>
              <w:left w:val="nil"/>
              <w:bottom w:val="single" w:sz="4" w:space="0" w:color="auto"/>
              <w:right w:val="nil"/>
            </w:tcBorders>
          </w:tcPr>
          <w:p w14:paraId="0ABC7943"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w:t>
            </w:r>
          </w:p>
        </w:tc>
        <w:tc>
          <w:tcPr>
            <w:tcW w:w="1325" w:type="dxa"/>
            <w:tcBorders>
              <w:top w:val="nil"/>
              <w:left w:val="nil"/>
              <w:bottom w:val="single" w:sz="4" w:space="0" w:color="auto"/>
              <w:right w:val="nil"/>
            </w:tcBorders>
          </w:tcPr>
          <w:p w14:paraId="7B84A7A6" w14:textId="77777777" w:rsidR="00003E25" w:rsidRPr="00BA0E8D" w:rsidRDefault="00003E25"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1494.00</w:t>
            </w:r>
          </w:p>
        </w:tc>
      </w:tr>
    </w:tbl>
    <w:p w14:paraId="709B06C0" w14:textId="070D0818" w:rsidR="00CC33E1" w:rsidRPr="00BA0E8D" w:rsidRDefault="00CC33E1" w:rsidP="00CC33E1">
      <w:pPr>
        <w:spacing w:before="240" w:after="240" w:line="360" w:lineRule="auto"/>
        <w:jc w:val="both"/>
        <w:rPr>
          <w:rFonts w:ascii="Times New Roman" w:eastAsiaTheme="minorHAnsi" w:hAnsi="Times New Roman"/>
          <w:color w:val="000000"/>
          <w:sz w:val="16"/>
          <w:szCs w:val="16"/>
        </w:rPr>
      </w:pPr>
      <w:r w:rsidRPr="00BA0E8D">
        <w:rPr>
          <w:rFonts w:ascii="Times New Roman" w:eastAsiaTheme="minorHAnsi" w:hAnsi="Times New Roman"/>
          <w:sz w:val="16"/>
          <w:szCs w:val="16"/>
        </w:rPr>
        <w:t xml:space="preserve">Spread is the </w:t>
      </w:r>
      <w:r w:rsidRPr="00BA0E8D">
        <w:rPr>
          <w:rFonts w:ascii="Times New Roman" w:eastAsia="AdvEPSTIM" w:hAnsi="Times New Roman"/>
          <w:sz w:val="16"/>
          <w:szCs w:val="16"/>
          <w:lang w:eastAsia="en-GB"/>
        </w:rPr>
        <w:t>difference between loan rate and deposits rate</w:t>
      </w:r>
      <w:r w:rsidR="00F7766D" w:rsidRPr="00BA0E8D">
        <w:rPr>
          <w:rFonts w:ascii="Times New Roman" w:eastAsia="AdvEPSTIM" w:hAnsi="Times New Roman"/>
          <w:sz w:val="16"/>
          <w:szCs w:val="16"/>
          <w:lang w:eastAsia="en-GB"/>
        </w:rPr>
        <w:t>;</w:t>
      </w:r>
      <w:r w:rsidRPr="00BA0E8D">
        <w:rPr>
          <w:rFonts w:ascii="Times New Roman" w:eastAsia="AdvEPSTIM" w:hAnsi="Times New Roman"/>
          <w:sz w:val="16"/>
          <w:szCs w:val="16"/>
          <w:lang w:eastAsia="en-GB"/>
        </w:rPr>
        <w:t xml:space="preserve"> Depth</w:t>
      </w:r>
      <w:r w:rsidR="0008338F">
        <w:rPr>
          <w:rFonts w:ascii="Times New Roman" w:eastAsia="AdvEPSTIM" w:hAnsi="Times New Roman"/>
          <w:sz w:val="16"/>
          <w:szCs w:val="16"/>
          <w:lang w:eastAsia="en-GB"/>
        </w:rPr>
        <w:t xml:space="preserve"> is the depth</w:t>
      </w:r>
      <w:r w:rsidRPr="00BA0E8D">
        <w:rPr>
          <w:rFonts w:ascii="Times New Roman" w:eastAsia="AdvEPSTIM" w:hAnsi="Times New Roman"/>
          <w:sz w:val="16"/>
          <w:szCs w:val="16"/>
          <w:lang w:eastAsia="en-GB"/>
        </w:rPr>
        <w:t xml:space="preserve"> of credit information</w:t>
      </w:r>
      <w:r w:rsidR="0008338F">
        <w:rPr>
          <w:rFonts w:ascii="Times New Roman" w:eastAsia="AdvEPSTIM" w:hAnsi="Times New Roman"/>
          <w:sz w:val="16"/>
          <w:szCs w:val="16"/>
          <w:lang w:eastAsia="en-GB"/>
        </w:rPr>
        <w:t xml:space="preserve">, </w:t>
      </w:r>
      <w:r w:rsidRPr="00BA0E8D">
        <w:rPr>
          <w:rFonts w:ascii="Times New Roman" w:eastAsia="AdvEPSTIM" w:hAnsi="Times New Roman"/>
          <w:sz w:val="16"/>
          <w:szCs w:val="16"/>
          <w:lang w:eastAsia="en-GB"/>
        </w:rPr>
        <w:t xml:space="preserve">an index that captures the depth of credit information; </w:t>
      </w:r>
      <w:r w:rsidR="0008338F">
        <w:rPr>
          <w:rFonts w:ascii="Times New Roman" w:eastAsia="AdvEPSTIM" w:hAnsi="Times New Roman"/>
          <w:sz w:val="16"/>
          <w:szCs w:val="16"/>
          <w:lang w:eastAsia="en-GB"/>
        </w:rPr>
        <w:t xml:space="preserve">Registry is </w:t>
      </w:r>
      <w:r w:rsidR="00B760C9">
        <w:rPr>
          <w:rFonts w:ascii="Times New Roman" w:hAnsi="Times New Roman"/>
          <w:sz w:val="16"/>
          <w:szCs w:val="16"/>
        </w:rPr>
        <w:t>c</w:t>
      </w:r>
      <w:r w:rsidR="0008338F" w:rsidRPr="00B760C9">
        <w:rPr>
          <w:rFonts w:ascii="Times New Roman" w:hAnsi="Times New Roman"/>
          <w:sz w:val="16"/>
          <w:szCs w:val="16"/>
        </w:rPr>
        <w:t xml:space="preserve">redit registry </w:t>
      </w:r>
      <w:r w:rsidR="00B760C9" w:rsidRPr="00B760C9">
        <w:rPr>
          <w:rFonts w:ascii="Times New Roman" w:hAnsi="Times New Roman"/>
          <w:sz w:val="16"/>
          <w:szCs w:val="16"/>
        </w:rPr>
        <w:t>coverage</w:t>
      </w:r>
      <w:r w:rsidR="00B760C9">
        <w:rPr>
          <w:rFonts w:ascii="Times New Roman" w:hAnsi="Times New Roman"/>
          <w:sz w:val="16"/>
          <w:szCs w:val="16"/>
        </w:rPr>
        <w:t>,</w:t>
      </w:r>
      <w:r w:rsidR="00B760C9" w:rsidRPr="00B760C9">
        <w:rPr>
          <w:rFonts w:ascii="Times New Roman" w:hAnsi="Times New Roman"/>
          <w:bCs/>
          <w:sz w:val="16"/>
          <w:szCs w:val="16"/>
        </w:rPr>
        <w:t xml:space="preserve"> measure</w:t>
      </w:r>
      <w:r w:rsidR="00B760C9">
        <w:rPr>
          <w:rFonts w:ascii="Times New Roman" w:hAnsi="Times New Roman"/>
          <w:bCs/>
          <w:sz w:val="16"/>
          <w:szCs w:val="16"/>
        </w:rPr>
        <w:t>d as</w:t>
      </w:r>
      <w:r w:rsidR="0008338F" w:rsidRPr="00B760C9">
        <w:rPr>
          <w:rFonts w:ascii="Times New Roman" w:hAnsi="Times New Roman"/>
          <w:bCs/>
          <w:sz w:val="16"/>
          <w:szCs w:val="16"/>
        </w:rPr>
        <w:t xml:space="preserve"> the number of individuals and firms listed by a public credit registry concerning the information on their borrowing history for the past five years, expressed as a percentage of the adult population. Bureau is </w:t>
      </w:r>
      <w:r w:rsidR="0008338F" w:rsidRPr="00B760C9">
        <w:rPr>
          <w:rFonts w:ascii="Times New Roman" w:hAnsi="Times New Roman"/>
          <w:sz w:val="16"/>
          <w:szCs w:val="16"/>
        </w:rPr>
        <w:t>credit bureau coverage and</w:t>
      </w:r>
      <w:r w:rsidR="0008338F" w:rsidRPr="00B760C9">
        <w:rPr>
          <w:rFonts w:ascii="Times New Roman" w:hAnsi="Times New Roman"/>
          <w:bCs/>
          <w:sz w:val="16"/>
          <w:szCs w:val="16"/>
        </w:rPr>
        <w:t xml:space="preserve"> measures the number of individuals and firms listed in a private credit bureau concerning the information on their borrowing history for the past five years, expressed as a percentage of the adult population</w:t>
      </w:r>
      <w:r w:rsidRPr="00B760C9">
        <w:rPr>
          <w:rFonts w:ascii="Times New Roman" w:eastAsiaTheme="minorHAnsi" w:hAnsi="Times New Roman"/>
          <w:bCs/>
          <w:sz w:val="16"/>
          <w:szCs w:val="16"/>
        </w:rPr>
        <w:t>;</w:t>
      </w:r>
      <w:r w:rsidRPr="00B760C9">
        <w:rPr>
          <w:rFonts w:ascii="Times New Roman" w:eastAsia="AdvEPSTIM" w:hAnsi="Times New Roman"/>
          <w:sz w:val="16"/>
          <w:szCs w:val="16"/>
          <w:lang w:eastAsia="en-GB"/>
        </w:rPr>
        <w:t xml:space="preserve"> </w:t>
      </w:r>
      <w:r w:rsidR="0008338F">
        <w:rPr>
          <w:rFonts w:ascii="Times New Roman" w:eastAsiaTheme="minorHAnsi" w:hAnsi="Times New Roman"/>
          <w:sz w:val="16"/>
          <w:szCs w:val="16"/>
        </w:rPr>
        <w:t>Size</w:t>
      </w:r>
      <w:r w:rsidRPr="00BA0E8D">
        <w:rPr>
          <w:rFonts w:ascii="Times New Roman" w:eastAsiaTheme="minorHAnsi" w:hAnsi="Times New Roman"/>
          <w:sz w:val="16"/>
          <w:szCs w:val="16"/>
        </w:rPr>
        <w:t xml:space="preserve"> is the logarithm of the total bank assets;</w:t>
      </w:r>
      <w:r w:rsidRPr="00BA0E8D">
        <w:rPr>
          <w:rFonts w:ascii="Times New Roman" w:eastAsiaTheme="minorHAnsi" w:hAnsi="Times New Roman"/>
          <w:color w:val="000000"/>
          <w:sz w:val="16"/>
          <w:szCs w:val="16"/>
        </w:rPr>
        <w:t xml:space="preserve"> </w:t>
      </w:r>
      <w:r w:rsidR="0008338F">
        <w:rPr>
          <w:rFonts w:ascii="Times New Roman" w:eastAsiaTheme="minorHAnsi" w:hAnsi="Times New Roman"/>
          <w:color w:val="000000"/>
          <w:sz w:val="16"/>
          <w:szCs w:val="16"/>
        </w:rPr>
        <w:t>L</w:t>
      </w:r>
      <w:r w:rsidRPr="00BA0E8D">
        <w:rPr>
          <w:rFonts w:ascii="Times New Roman" w:eastAsiaTheme="minorHAnsi" w:hAnsi="Times New Roman"/>
          <w:color w:val="000000"/>
          <w:sz w:val="16"/>
          <w:szCs w:val="16"/>
        </w:rPr>
        <w:t xml:space="preserve">iquidity is the liquid assets of the bank divided by the total; </w:t>
      </w:r>
      <w:r w:rsidR="0008338F">
        <w:rPr>
          <w:rFonts w:ascii="Times New Roman" w:eastAsiaTheme="minorHAnsi" w:hAnsi="Times New Roman"/>
          <w:color w:val="000000"/>
          <w:sz w:val="16"/>
          <w:szCs w:val="16"/>
        </w:rPr>
        <w:t xml:space="preserve">Provisions is </w:t>
      </w:r>
      <w:r w:rsidR="0008338F">
        <w:rPr>
          <w:rFonts w:ascii="Times New Roman" w:eastAsiaTheme="minorHAnsi" w:hAnsi="Times New Roman"/>
          <w:sz w:val="16"/>
          <w:szCs w:val="16"/>
        </w:rPr>
        <w:t>l</w:t>
      </w:r>
      <w:r w:rsidRPr="00BA0E8D">
        <w:rPr>
          <w:rFonts w:ascii="Times New Roman" w:eastAsiaTheme="minorHAnsi" w:hAnsi="Times New Roman"/>
          <w:sz w:val="16"/>
          <w:szCs w:val="16"/>
        </w:rPr>
        <w:t>oan loss</w:t>
      </w:r>
      <w:r w:rsidRPr="00BA0E8D">
        <w:rPr>
          <w:rFonts w:ascii="Times New Roman" w:eastAsiaTheme="minorHAnsi" w:hAnsi="Times New Roman"/>
          <w:color w:val="000000"/>
          <w:sz w:val="16"/>
          <w:szCs w:val="16"/>
        </w:rPr>
        <w:t xml:space="preserve"> provisions</w:t>
      </w:r>
      <w:r w:rsidR="0008338F">
        <w:rPr>
          <w:rFonts w:ascii="Times New Roman" w:eastAsiaTheme="minorHAnsi" w:hAnsi="Times New Roman"/>
          <w:color w:val="000000"/>
          <w:sz w:val="16"/>
          <w:szCs w:val="16"/>
        </w:rPr>
        <w:t xml:space="preserve">, measured </w:t>
      </w:r>
      <w:r w:rsidR="00B03D2C">
        <w:rPr>
          <w:rFonts w:ascii="Times New Roman" w:eastAsiaTheme="minorHAnsi" w:hAnsi="Times New Roman"/>
          <w:color w:val="000000"/>
          <w:sz w:val="16"/>
          <w:szCs w:val="16"/>
        </w:rPr>
        <w:t>as</w:t>
      </w:r>
      <w:r w:rsidR="00B03D2C" w:rsidRPr="00BA0E8D">
        <w:rPr>
          <w:rFonts w:ascii="Times New Roman" w:eastAsiaTheme="minorHAnsi" w:hAnsi="Times New Roman"/>
          <w:color w:val="000000"/>
          <w:sz w:val="16"/>
          <w:szCs w:val="16"/>
        </w:rPr>
        <w:t xml:space="preserve"> the</w:t>
      </w:r>
      <w:r w:rsidRPr="00BA0E8D">
        <w:rPr>
          <w:rFonts w:ascii="Times New Roman" w:eastAsiaTheme="minorHAnsi" w:hAnsi="Times New Roman"/>
          <w:color w:val="000000"/>
          <w:sz w:val="16"/>
          <w:szCs w:val="16"/>
        </w:rPr>
        <w:t xml:space="preserve"> ratio of loan loss provisions to </w:t>
      </w:r>
      <w:r w:rsidR="0008338F">
        <w:rPr>
          <w:rFonts w:ascii="Times New Roman" w:eastAsiaTheme="minorHAnsi" w:hAnsi="Times New Roman"/>
          <w:color w:val="000000"/>
          <w:sz w:val="16"/>
          <w:szCs w:val="16"/>
        </w:rPr>
        <w:t>total</w:t>
      </w:r>
      <w:r w:rsidR="0008338F" w:rsidRPr="00BA0E8D">
        <w:rPr>
          <w:rFonts w:ascii="Times New Roman" w:eastAsiaTheme="minorHAnsi" w:hAnsi="Times New Roman"/>
          <w:color w:val="000000"/>
          <w:sz w:val="16"/>
          <w:szCs w:val="16"/>
        </w:rPr>
        <w:t xml:space="preserve"> </w:t>
      </w:r>
      <w:r w:rsidRPr="00BA0E8D">
        <w:rPr>
          <w:rFonts w:ascii="Times New Roman" w:eastAsiaTheme="minorHAnsi" w:hAnsi="Times New Roman"/>
          <w:color w:val="000000"/>
          <w:sz w:val="16"/>
          <w:szCs w:val="16"/>
        </w:rPr>
        <w:t xml:space="preserve">loans; </w:t>
      </w:r>
      <w:r w:rsidR="00BA0E8D">
        <w:rPr>
          <w:rFonts w:ascii="Times New Roman" w:eastAsiaTheme="minorHAnsi" w:hAnsi="Times New Roman"/>
          <w:sz w:val="16"/>
          <w:szCs w:val="16"/>
        </w:rPr>
        <w:t xml:space="preserve">Lending </w:t>
      </w:r>
      <w:r w:rsidR="00DD2810">
        <w:rPr>
          <w:rFonts w:ascii="Times New Roman" w:eastAsiaTheme="minorHAnsi" w:hAnsi="Times New Roman"/>
          <w:sz w:val="16"/>
          <w:szCs w:val="16"/>
        </w:rPr>
        <w:t>is</w:t>
      </w:r>
      <w:r w:rsidR="0008338F">
        <w:rPr>
          <w:rFonts w:ascii="Times New Roman" w:eastAsiaTheme="minorHAnsi" w:hAnsi="Times New Roman"/>
          <w:sz w:val="16"/>
          <w:szCs w:val="16"/>
        </w:rPr>
        <w:t xml:space="preserve"> lending </w:t>
      </w:r>
      <w:r w:rsidR="00BA0E8D">
        <w:rPr>
          <w:rFonts w:ascii="Times New Roman" w:eastAsiaTheme="minorHAnsi" w:hAnsi="Times New Roman"/>
          <w:sz w:val="16"/>
          <w:szCs w:val="16"/>
        </w:rPr>
        <w:t>specialis</w:t>
      </w:r>
      <w:r w:rsidRPr="00BA0E8D">
        <w:rPr>
          <w:rFonts w:ascii="Times New Roman" w:eastAsiaTheme="minorHAnsi" w:hAnsi="Times New Roman"/>
          <w:sz w:val="16"/>
          <w:szCs w:val="16"/>
        </w:rPr>
        <w:t>ation</w:t>
      </w:r>
      <w:r w:rsidR="0008338F">
        <w:rPr>
          <w:rFonts w:ascii="Times New Roman" w:eastAsiaTheme="minorHAnsi" w:hAnsi="Times New Roman"/>
          <w:sz w:val="16"/>
          <w:szCs w:val="16"/>
        </w:rPr>
        <w:t xml:space="preserve"> and</w:t>
      </w:r>
      <w:r w:rsidR="00DD2810">
        <w:rPr>
          <w:rFonts w:ascii="Times New Roman" w:eastAsiaTheme="minorHAnsi" w:hAnsi="Times New Roman"/>
          <w:sz w:val="16"/>
          <w:szCs w:val="16"/>
        </w:rPr>
        <w:t xml:space="preserve"> is</w:t>
      </w:r>
      <w:r w:rsidR="0008338F">
        <w:rPr>
          <w:rFonts w:ascii="Times New Roman" w:eastAsiaTheme="minorHAnsi" w:hAnsi="Times New Roman"/>
          <w:sz w:val="16"/>
          <w:szCs w:val="16"/>
        </w:rPr>
        <w:t xml:space="preserve"> measured as</w:t>
      </w:r>
      <w:r w:rsidRPr="00BA0E8D">
        <w:rPr>
          <w:rFonts w:ascii="Times New Roman" w:eastAsiaTheme="minorHAnsi" w:hAnsi="Times New Roman"/>
          <w:color w:val="000000"/>
          <w:sz w:val="16"/>
          <w:szCs w:val="16"/>
        </w:rPr>
        <w:t xml:space="preserve"> total loans as a ratio of total assets; </w:t>
      </w:r>
      <w:r w:rsidRPr="00BA0E8D">
        <w:rPr>
          <w:rFonts w:ascii="Times New Roman" w:eastAsiaTheme="minorHAnsi" w:hAnsi="Times New Roman"/>
          <w:sz w:val="16"/>
          <w:szCs w:val="16"/>
        </w:rPr>
        <w:t xml:space="preserve">Deposit </w:t>
      </w:r>
      <w:r w:rsidRPr="00BA0E8D">
        <w:rPr>
          <w:rFonts w:ascii="Times New Roman" w:eastAsiaTheme="minorHAnsi" w:hAnsi="Times New Roman"/>
          <w:color w:val="000000"/>
          <w:sz w:val="16"/>
          <w:szCs w:val="16"/>
        </w:rPr>
        <w:t xml:space="preserve">is the percentage of total deposits to total liabilities; </w:t>
      </w:r>
      <w:r w:rsidR="00B760C9">
        <w:rPr>
          <w:rFonts w:ascii="Times New Roman" w:eastAsiaTheme="minorHAnsi" w:hAnsi="Times New Roman"/>
          <w:color w:val="000000"/>
          <w:sz w:val="16"/>
          <w:szCs w:val="16"/>
        </w:rPr>
        <w:t>E</w:t>
      </w:r>
      <w:r w:rsidR="00B760C9" w:rsidRPr="00BA0E8D">
        <w:rPr>
          <w:rFonts w:ascii="Times New Roman" w:eastAsiaTheme="minorHAnsi" w:hAnsi="Times New Roman"/>
          <w:sz w:val="16"/>
          <w:szCs w:val="16"/>
        </w:rPr>
        <w:t>quity</w:t>
      </w:r>
      <w:r w:rsidRPr="00BA0E8D">
        <w:rPr>
          <w:rFonts w:ascii="Times New Roman" w:eastAsiaTheme="minorHAnsi" w:hAnsi="Times New Roman"/>
          <w:color w:val="FF0000"/>
          <w:sz w:val="16"/>
          <w:szCs w:val="16"/>
        </w:rPr>
        <w:t xml:space="preserve"> </w:t>
      </w:r>
      <w:r w:rsidRPr="00BA0E8D">
        <w:rPr>
          <w:rFonts w:ascii="Times New Roman" w:eastAsiaTheme="minorHAnsi" w:hAnsi="Times New Roman"/>
          <w:color w:val="000000"/>
          <w:sz w:val="16"/>
          <w:szCs w:val="16"/>
        </w:rPr>
        <w:t xml:space="preserve">is the ratio of book value of equity to total assets; Fee income is the ratio of net fees and commissions to total assets; </w:t>
      </w:r>
      <w:r w:rsidRPr="00BA0E8D">
        <w:rPr>
          <w:rFonts w:ascii="Times New Roman" w:eastAsiaTheme="minorHAnsi" w:hAnsi="Times New Roman"/>
          <w:sz w:val="16"/>
          <w:szCs w:val="16"/>
        </w:rPr>
        <w:t>Inefficiency</w:t>
      </w:r>
      <w:r w:rsidRPr="00BA0E8D">
        <w:rPr>
          <w:rFonts w:ascii="Times New Roman" w:eastAsiaTheme="minorHAnsi" w:hAnsi="Times New Roman"/>
          <w:color w:val="000000"/>
          <w:sz w:val="16"/>
          <w:szCs w:val="16"/>
        </w:rPr>
        <w:t xml:space="preserve"> is the ratio of overheads to total assets. </w:t>
      </w:r>
      <w:r w:rsidRPr="00BA0E8D">
        <w:rPr>
          <w:rFonts w:ascii="Times New Roman" w:eastAsia="AdvEPSTIM" w:hAnsi="Times New Roman"/>
          <w:sz w:val="16"/>
          <w:szCs w:val="16"/>
          <w:lang w:eastAsia="en-GB"/>
        </w:rPr>
        <w:t xml:space="preserve">GDP growth is the annual percentage change in real GDP; Inﬂation is the annual percentage change in the </w:t>
      </w:r>
      <w:r w:rsidR="00DD2810">
        <w:rPr>
          <w:rFonts w:ascii="Times New Roman" w:eastAsia="AdvEPSTIM" w:hAnsi="Times New Roman"/>
          <w:sz w:val="16"/>
          <w:szCs w:val="16"/>
          <w:lang w:eastAsia="en-GB"/>
        </w:rPr>
        <w:t>consumer price index</w:t>
      </w:r>
      <w:r w:rsidRPr="00BA0E8D">
        <w:rPr>
          <w:rFonts w:ascii="Times New Roman" w:eastAsia="AdvEPSTIM" w:hAnsi="Times New Roman"/>
          <w:sz w:val="16"/>
          <w:szCs w:val="16"/>
          <w:lang w:eastAsia="en-GB"/>
        </w:rPr>
        <w:t xml:space="preserve">; Concentration is the </w:t>
      </w:r>
      <w:r w:rsidR="00DD2810">
        <w:rPr>
          <w:rFonts w:ascii="Times New Roman" w:eastAsia="AdvEPSTIM" w:hAnsi="Times New Roman"/>
          <w:sz w:val="16"/>
          <w:szCs w:val="16"/>
          <w:lang w:eastAsia="en-GB"/>
        </w:rPr>
        <w:t>three</w:t>
      </w:r>
      <w:r w:rsidRPr="00BA0E8D">
        <w:rPr>
          <w:rFonts w:ascii="Times New Roman" w:eastAsia="AdvEPSTIM" w:hAnsi="Times New Roman"/>
          <w:sz w:val="16"/>
          <w:szCs w:val="16"/>
          <w:lang w:eastAsia="en-GB"/>
        </w:rPr>
        <w:t xml:space="preserve">-bank concentration ratio, measured as the share of assets of the largest </w:t>
      </w:r>
      <w:r w:rsidR="00DD2810">
        <w:rPr>
          <w:rFonts w:ascii="Times New Roman" w:eastAsia="AdvEPSTIM" w:hAnsi="Times New Roman"/>
          <w:sz w:val="16"/>
          <w:szCs w:val="16"/>
          <w:lang w:eastAsia="en-GB"/>
        </w:rPr>
        <w:t>three</w:t>
      </w:r>
      <w:r w:rsidR="00DD2810" w:rsidRPr="00BA0E8D">
        <w:rPr>
          <w:rFonts w:ascii="Times New Roman" w:eastAsia="AdvEPSTIM" w:hAnsi="Times New Roman"/>
          <w:sz w:val="16"/>
          <w:szCs w:val="16"/>
          <w:lang w:eastAsia="en-GB"/>
        </w:rPr>
        <w:t xml:space="preserve"> </w:t>
      </w:r>
      <w:r w:rsidRPr="00BA0E8D">
        <w:rPr>
          <w:rFonts w:ascii="Times New Roman" w:eastAsia="AdvEPSTIM" w:hAnsi="Times New Roman"/>
          <w:sz w:val="16"/>
          <w:szCs w:val="16"/>
          <w:lang w:eastAsia="en-GB"/>
        </w:rPr>
        <w:t xml:space="preserve">banks as a percentage of total banking assets; Rule of law, Regulatory quality and Control of corruption are indicators capturing the quality of governance deﬁned in </w:t>
      </w:r>
      <w:r w:rsidR="00B760C9" w:rsidRPr="00BA0E8D">
        <w:rPr>
          <w:rFonts w:ascii="Times New Roman" w:eastAsia="AdvEPSTIM" w:hAnsi="Times New Roman"/>
          <w:sz w:val="16"/>
          <w:szCs w:val="16"/>
          <w:lang w:eastAsia="en-GB"/>
        </w:rPr>
        <w:t>details</w:t>
      </w:r>
      <w:r w:rsidRPr="00BA0E8D">
        <w:rPr>
          <w:rFonts w:ascii="Times New Roman" w:eastAsia="AdvEPSTIM" w:hAnsi="Times New Roman"/>
          <w:sz w:val="16"/>
          <w:szCs w:val="16"/>
          <w:lang w:eastAsia="en-GB"/>
        </w:rPr>
        <w:t xml:space="preserve"> in </w:t>
      </w:r>
      <w:r w:rsidR="00ED46B1">
        <w:rPr>
          <w:rFonts w:ascii="Times New Roman" w:eastAsia="AdvEPSTIM" w:hAnsi="Times New Roman"/>
          <w:sz w:val="16"/>
          <w:szCs w:val="16"/>
          <w:lang w:eastAsia="en-GB"/>
        </w:rPr>
        <w:t>s</w:t>
      </w:r>
      <w:r w:rsidRPr="00BA0E8D">
        <w:rPr>
          <w:rFonts w:ascii="Times New Roman" w:eastAsia="AdvEPSTIM" w:hAnsi="Times New Roman"/>
          <w:sz w:val="16"/>
          <w:szCs w:val="16"/>
          <w:lang w:eastAsia="en-GB"/>
        </w:rPr>
        <w:t>ubsection 4.2.</w:t>
      </w:r>
    </w:p>
    <w:p w14:paraId="18FC9E57" w14:textId="77777777" w:rsidR="00003E25" w:rsidRPr="00BA0E8D" w:rsidRDefault="00003E25" w:rsidP="00003E25">
      <w:pPr>
        <w:spacing w:after="0" w:line="240" w:lineRule="auto"/>
        <w:jc w:val="both"/>
        <w:rPr>
          <w:rFonts w:ascii="Times New Roman" w:hAnsi="Times New Roman"/>
          <w:sz w:val="20"/>
          <w:szCs w:val="20"/>
        </w:rPr>
      </w:pPr>
    </w:p>
    <w:p w14:paraId="2E533358" w14:textId="77777777" w:rsidR="00003E25" w:rsidRPr="00BA0E8D" w:rsidRDefault="00003E25" w:rsidP="00003E25">
      <w:pPr>
        <w:spacing w:after="0" w:line="240" w:lineRule="auto"/>
        <w:jc w:val="both"/>
        <w:rPr>
          <w:rFonts w:ascii="Times New Roman" w:hAnsi="Times New Roman"/>
          <w:sz w:val="20"/>
          <w:szCs w:val="20"/>
        </w:rPr>
      </w:pPr>
    </w:p>
    <w:p w14:paraId="48E5723D" w14:textId="77777777" w:rsidR="002F462B" w:rsidRPr="00BA0E8D" w:rsidRDefault="002F462B" w:rsidP="00763F96">
      <w:pPr>
        <w:spacing w:after="0" w:line="240" w:lineRule="auto"/>
        <w:jc w:val="both"/>
        <w:rPr>
          <w:rFonts w:ascii="Times New Roman" w:hAnsi="Times New Roman"/>
          <w:sz w:val="20"/>
          <w:szCs w:val="20"/>
        </w:rPr>
      </w:pPr>
    </w:p>
    <w:p w14:paraId="255C5BA3" w14:textId="77777777" w:rsidR="002F462B" w:rsidRPr="00BA0E8D" w:rsidRDefault="002F462B" w:rsidP="00763F96">
      <w:pPr>
        <w:spacing w:after="0" w:line="240" w:lineRule="auto"/>
        <w:jc w:val="both"/>
        <w:rPr>
          <w:rFonts w:ascii="Times New Roman" w:hAnsi="Times New Roman"/>
          <w:sz w:val="20"/>
          <w:szCs w:val="20"/>
        </w:rPr>
      </w:pPr>
    </w:p>
    <w:p w14:paraId="63344F02" w14:textId="77777777" w:rsidR="002F462B" w:rsidRPr="00BA0E8D" w:rsidRDefault="002F462B" w:rsidP="00763F96">
      <w:pPr>
        <w:spacing w:after="0" w:line="240" w:lineRule="auto"/>
        <w:jc w:val="both"/>
        <w:rPr>
          <w:rFonts w:ascii="Times New Roman" w:hAnsi="Times New Roman"/>
          <w:sz w:val="20"/>
          <w:szCs w:val="20"/>
        </w:rPr>
      </w:pPr>
    </w:p>
    <w:p w14:paraId="68C7F4EA" w14:textId="77777777" w:rsidR="002F462B" w:rsidRPr="00BA0E8D" w:rsidRDefault="002F462B" w:rsidP="00763F96">
      <w:pPr>
        <w:spacing w:after="0" w:line="240" w:lineRule="auto"/>
        <w:jc w:val="both"/>
        <w:rPr>
          <w:rFonts w:ascii="Times New Roman" w:hAnsi="Times New Roman"/>
          <w:sz w:val="20"/>
          <w:szCs w:val="20"/>
        </w:rPr>
      </w:pPr>
    </w:p>
    <w:p w14:paraId="19F956C3" w14:textId="77777777" w:rsidR="002F462B" w:rsidRPr="00BA0E8D" w:rsidRDefault="002F462B" w:rsidP="00763F96">
      <w:pPr>
        <w:spacing w:after="0" w:line="240" w:lineRule="auto"/>
        <w:jc w:val="both"/>
        <w:rPr>
          <w:rFonts w:ascii="Times New Roman" w:hAnsi="Times New Roman"/>
          <w:sz w:val="20"/>
          <w:szCs w:val="20"/>
        </w:rPr>
      </w:pPr>
    </w:p>
    <w:p w14:paraId="0D824119" w14:textId="77777777" w:rsidR="002F462B" w:rsidRPr="00BA0E8D" w:rsidRDefault="002F462B" w:rsidP="00763F96">
      <w:pPr>
        <w:spacing w:after="0" w:line="240" w:lineRule="auto"/>
        <w:jc w:val="both"/>
        <w:rPr>
          <w:rFonts w:ascii="Times New Roman" w:hAnsi="Times New Roman"/>
          <w:sz w:val="20"/>
          <w:szCs w:val="20"/>
        </w:rPr>
      </w:pPr>
    </w:p>
    <w:p w14:paraId="59080FC8" w14:textId="77777777" w:rsidR="002F462B" w:rsidRPr="00BA0E8D" w:rsidRDefault="002F462B" w:rsidP="00763F96">
      <w:pPr>
        <w:spacing w:after="0" w:line="240" w:lineRule="auto"/>
        <w:jc w:val="both"/>
        <w:rPr>
          <w:rFonts w:ascii="Times New Roman" w:hAnsi="Times New Roman"/>
          <w:sz w:val="20"/>
          <w:szCs w:val="20"/>
        </w:rPr>
      </w:pPr>
    </w:p>
    <w:p w14:paraId="2552523C" w14:textId="77777777" w:rsidR="002F462B" w:rsidRPr="00BA0E8D" w:rsidRDefault="002F462B" w:rsidP="00763F96">
      <w:pPr>
        <w:spacing w:after="0" w:line="240" w:lineRule="auto"/>
        <w:jc w:val="both"/>
        <w:rPr>
          <w:rFonts w:ascii="Times New Roman" w:hAnsi="Times New Roman"/>
          <w:sz w:val="20"/>
          <w:szCs w:val="20"/>
        </w:rPr>
      </w:pPr>
    </w:p>
    <w:p w14:paraId="622994D2" w14:textId="2AF7FA3C" w:rsidR="002F462B" w:rsidRPr="00BA0E8D" w:rsidRDefault="002F462B" w:rsidP="00763F96">
      <w:pPr>
        <w:spacing w:after="0" w:line="240" w:lineRule="auto"/>
        <w:jc w:val="both"/>
        <w:rPr>
          <w:rFonts w:ascii="Times New Roman" w:hAnsi="Times New Roman"/>
          <w:sz w:val="20"/>
          <w:szCs w:val="20"/>
        </w:rPr>
      </w:pPr>
    </w:p>
    <w:p w14:paraId="70A42942" w14:textId="3BBD342D" w:rsidR="002F462B" w:rsidRPr="00BA0E8D" w:rsidRDefault="002F462B" w:rsidP="00763F96">
      <w:pPr>
        <w:spacing w:after="0" w:line="240" w:lineRule="auto"/>
        <w:jc w:val="both"/>
        <w:rPr>
          <w:rFonts w:ascii="Times New Roman" w:hAnsi="Times New Roman"/>
          <w:sz w:val="20"/>
          <w:szCs w:val="20"/>
        </w:rPr>
        <w:sectPr w:rsidR="002F462B" w:rsidRPr="00BA0E8D" w:rsidSect="00A651BC">
          <w:pgSz w:w="11906" w:h="16838" w:code="9"/>
          <w:pgMar w:top="1440" w:right="1440" w:bottom="1440" w:left="1440" w:header="709" w:footer="709" w:gutter="0"/>
          <w:cols w:space="708"/>
          <w:docGrid w:linePitch="360"/>
        </w:sectPr>
      </w:pPr>
    </w:p>
    <w:p w14:paraId="64CFBD6A" w14:textId="77777777" w:rsidR="002F462B" w:rsidRPr="00BA0E8D" w:rsidRDefault="002F462B" w:rsidP="00763F96">
      <w:pPr>
        <w:spacing w:after="0" w:line="240" w:lineRule="auto"/>
        <w:jc w:val="both"/>
        <w:rPr>
          <w:rFonts w:ascii="Times New Roman" w:hAnsi="Times New Roman"/>
          <w:sz w:val="20"/>
          <w:szCs w:val="20"/>
        </w:rPr>
      </w:pPr>
    </w:p>
    <w:p w14:paraId="10A26FD7" w14:textId="6B2F097D" w:rsidR="002F462B" w:rsidRPr="008C1E8F" w:rsidRDefault="002F462B" w:rsidP="002F462B">
      <w:pPr>
        <w:keepNext/>
        <w:widowControl w:val="0"/>
        <w:autoSpaceDE w:val="0"/>
        <w:autoSpaceDN w:val="0"/>
        <w:adjustRightInd w:val="0"/>
        <w:spacing w:after="0" w:line="240" w:lineRule="auto"/>
        <w:rPr>
          <w:rFonts w:ascii="Times New Roman" w:hAnsi="Times New Roman"/>
          <w:sz w:val="24"/>
          <w:szCs w:val="24"/>
        </w:rPr>
      </w:pPr>
      <w:r w:rsidRPr="008C1E8F">
        <w:rPr>
          <w:rFonts w:ascii="Times New Roman" w:hAnsi="Times New Roman"/>
          <w:b/>
          <w:bCs/>
          <w:sz w:val="24"/>
          <w:szCs w:val="24"/>
        </w:rPr>
        <w:t>Table 2:</w:t>
      </w:r>
      <w:r w:rsidRPr="008C1E8F">
        <w:rPr>
          <w:rFonts w:ascii="Times New Roman" w:hAnsi="Times New Roman"/>
          <w:sz w:val="24"/>
          <w:szCs w:val="24"/>
        </w:rPr>
        <w:t xml:space="preserve"> </w:t>
      </w:r>
      <w:r w:rsidR="00101EC7">
        <w:rPr>
          <w:rFonts w:ascii="Times New Roman" w:hAnsi="Times New Roman"/>
          <w:sz w:val="24"/>
          <w:szCs w:val="24"/>
        </w:rPr>
        <w:t xml:space="preserve">Pearson </w:t>
      </w:r>
      <w:r w:rsidR="00025B5C">
        <w:rPr>
          <w:rFonts w:ascii="Times New Roman" w:hAnsi="Times New Roman"/>
          <w:b/>
          <w:bCs/>
          <w:sz w:val="24"/>
          <w:szCs w:val="24"/>
        </w:rPr>
        <w:t>c</w:t>
      </w:r>
      <w:r w:rsidRPr="008C1E8F">
        <w:rPr>
          <w:rFonts w:ascii="Times New Roman" w:hAnsi="Times New Roman"/>
          <w:b/>
          <w:bCs/>
          <w:sz w:val="24"/>
          <w:szCs w:val="24"/>
        </w:rPr>
        <w:t>orrelations matrix</w:t>
      </w:r>
    </w:p>
    <w:tbl>
      <w:tblPr>
        <w:tblW w:w="14671" w:type="dxa"/>
        <w:tblInd w:w="-848" w:type="dxa"/>
        <w:tblLayout w:type="fixed"/>
        <w:tblLook w:val="0000" w:firstRow="0" w:lastRow="0" w:firstColumn="0" w:lastColumn="0" w:noHBand="0" w:noVBand="0"/>
      </w:tblPr>
      <w:tblGrid>
        <w:gridCol w:w="1561"/>
        <w:gridCol w:w="708"/>
        <w:gridCol w:w="708"/>
        <w:gridCol w:w="707"/>
        <w:gridCol w:w="708"/>
        <w:gridCol w:w="594"/>
        <w:gridCol w:w="745"/>
        <w:gridCol w:w="745"/>
        <w:gridCol w:w="745"/>
        <w:gridCol w:w="745"/>
        <w:gridCol w:w="745"/>
        <w:gridCol w:w="745"/>
        <w:gridCol w:w="745"/>
        <w:gridCol w:w="745"/>
        <w:gridCol w:w="745"/>
        <w:gridCol w:w="745"/>
        <w:gridCol w:w="745"/>
        <w:gridCol w:w="745"/>
        <w:gridCol w:w="745"/>
      </w:tblGrid>
      <w:tr w:rsidR="002F462B" w:rsidRPr="00BA0E8D" w14:paraId="72A3BD7C" w14:textId="77777777" w:rsidTr="0056122B">
        <w:trPr>
          <w:trHeight w:val="252"/>
        </w:trPr>
        <w:tc>
          <w:tcPr>
            <w:tcW w:w="1561" w:type="dxa"/>
            <w:tcBorders>
              <w:top w:val="single" w:sz="4" w:space="0" w:color="auto"/>
              <w:left w:val="nil"/>
              <w:bottom w:val="nil"/>
              <w:right w:val="nil"/>
            </w:tcBorders>
          </w:tcPr>
          <w:p w14:paraId="42A946E6"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
        </w:tc>
        <w:tc>
          <w:tcPr>
            <w:tcW w:w="708" w:type="dxa"/>
            <w:tcBorders>
              <w:top w:val="single" w:sz="4" w:space="0" w:color="auto"/>
              <w:left w:val="nil"/>
              <w:bottom w:val="nil"/>
              <w:right w:val="nil"/>
            </w:tcBorders>
          </w:tcPr>
          <w:p w14:paraId="7311BD7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8" w:type="dxa"/>
            <w:tcBorders>
              <w:top w:val="single" w:sz="4" w:space="0" w:color="auto"/>
              <w:left w:val="nil"/>
              <w:bottom w:val="nil"/>
              <w:right w:val="nil"/>
            </w:tcBorders>
          </w:tcPr>
          <w:p w14:paraId="0A9D9AB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7" w:type="dxa"/>
            <w:tcBorders>
              <w:top w:val="single" w:sz="4" w:space="0" w:color="auto"/>
              <w:left w:val="nil"/>
              <w:bottom w:val="nil"/>
              <w:right w:val="nil"/>
            </w:tcBorders>
          </w:tcPr>
          <w:p w14:paraId="5B45A30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8" w:type="dxa"/>
            <w:tcBorders>
              <w:top w:val="single" w:sz="4" w:space="0" w:color="auto"/>
              <w:left w:val="nil"/>
              <w:bottom w:val="nil"/>
              <w:right w:val="nil"/>
            </w:tcBorders>
          </w:tcPr>
          <w:p w14:paraId="198BBB4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594" w:type="dxa"/>
            <w:tcBorders>
              <w:top w:val="single" w:sz="4" w:space="0" w:color="auto"/>
              <w:left w:val="nil"/>
              <w:bottom w:val="nil"/>
              <w:right w:val="nil"/>
            </w:tcBorders>
          </w:tcPr>
          <w:p w14:paraId="209D539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4E9B85F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3F6E451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045D7BB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115F043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0530FCA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4358A01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3A02E9B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1CCC533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65A140F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76472C3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2377E89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4A229BB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2CBD3B9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4D9D08B0" w14:textId="77777777" w:rsidTr="0056122B">
        <w:trPr>
          <w:trHeight w:val="527"/>
        </w:trPr>
        <w:tc>
          <w:tcPr>
            <w:tcW w:w="1561" w:type="dxa"/>
            <w:tcBorders>
              <w:top w:val="nil"/>
              <w:left w:val="nil"/>
              <w:bottom w:val="nil"/>
              <w:right w:val="nil"/>
            </w:tcBorders>
          </w:tcPr>
          <w:p w14:paraId="0EA92FA4"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
        </w:tc>
        <w:tc>
          <w:tcPr>
            <w:tcW w:w="708" w:type="dxa"/>
            <w:tcBorders>
              <w:top w:val="nil"/>
              <w:left w:val="nil"/>
              <w:bottom w:val="nil"/>
              <w:right w:val="nil"/>
            </w:tcBorders>
          </w:tcPr>
          <w:p w14:paraId="0B95682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w:t>
            </w:r>
          </w:p>
        </w:tc>
        <w:tc>
          <w:tcPr>
            <w:tcW w:w="708" w:type="dxa"/>
            <w:tcBorders>
              <w:top w:val="nil"/>
              <w:left w:val="nil"/>
              <w:bottom w:val="nil"/>
              <w:right w:val="nil"/>
            </w:tcBorders>
          </w:tcPr>
          <w:p w14:paraId="7DC9047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2</w:t>
            </w:r>
          </w:p>
        </w:tc>
        <w:tc>
          <w:tcPr>
            <w:tcW w:w="707" w:type="dxa"/>
            <w:tcBorders>
              <w:top w:val="nil"/>
              <w:left w:val="nil"/>
              <w:bottom w:val="nil"/>
              <w:right w:val="nil"/>
            </w:tcBorders>
          </w:tcPr>
          <w:p w14:paraId="23BC5B5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3</w:t>
            </w:r>
          </w:p>
        </w:tc>
        <w:tc>
          <w:tcPr>
            <w:tcW w:w="708" w:type="dxa"/>
            <w:tcBorders>
              <w:top w:val="nil"/>
              <w:left w:val="nil"/>
              <w:bottom w:val="nil"/>
              <w:right w:val="nil"/>
            </w:tcBorders>
          </w:tcPr>
          <w:p w14:paraId="0C07D41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4</w:t>
            </w:r>
          </w:p>
        </w:tc>
        <w:tc>
          <w:tcPr>
            <w:tcW w:w="594" w:type="dxa"/>
            <w:tcBorders>
              <w:top w:val="nil"/>
              <w:left w:val="nil"/>
              <w:bottom w:val="nil"/>
              <w:right w:val="nil"/>
            </w:tcBorders>
          </w:tcPr>
          <w:p w14:paraId="235F7F5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5</w:t>
            </w:r>
          </w:p>
        </w:tc>
        <w:tc>
          <w:tcPr>
            <w:tcW w:w="745" w:type="dxa"/>
            <w:tcBorders>
              <w:top w:val="nil"/>
              <w:left w:val="nil"/>
              <w:bottom w:val="nil"/>
              <w:right w:val="nil"/>
            </w:tcBorders>
          </w:tcPr>
          <w:p w14:paraId="21A6284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6</w:t>
            </w:r>
          </w:p>
        </w:tc>
        <w:tc>
          <w:tcPr>
            <w:tcW w:w="745" w:type="dxa"/>
            <w:tcBorders>
              <w:top w:val="nil"/>
              <w:left w:val="nil"/>
              <w:bottom w:val="nil"/>
              <w:right w:val="nil"/>
            </w:tcBorders>
          </w:tcPr>
          <w:p w14:paraId="7E63A0D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7</w:t>
            </w:r>
          </w:p>
        </w:tc>
        <w:tc>
          <w:tcPr>
            <w:tcW w:w="745" w:type="dxa"/>
            <w:tcBorders>
              <w:top w:val="nil"/>
              <w:left w:val="nil"/>
              <w:bottom w:val="nil"/>
              <w:right w:val="nil"/>
            </w:tcBorders>
          </w:tcPr>
          <w:p w14:paraId="4F1EB77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8</w:t>
            </w:r>
          </w:p>
        </w:tc>
        <w:tc>
          <w:tcPr>
            <w:tcW w:w="745" w:type="dxa"/>
            <w:tcBorders>
              <w:top w:val="nil"/>
              <w:left w:val="nil"/>
              <w:bottom w:val="nil"/>
              <w:right w:val="nil"/>
            </w:tcBorders>
          </w:tcPr>
          <w:p w14:paraId="68713C3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9</w:t>
            </w:r>
          </w:p>
        </w:tc>
        <w:tc>
          <w:tcPr>
            <w:tcW w:w="745" w:type="dxa"/>
            <w:tcBorders>
              <w:top w:val="nil"/>
              <w:left w:val="nil"/>
              <w:bottom w:val="nil"/>
              <w:right w:val="nil"/>
            </w:tcBorders>
          </w:tcPr>
          <w:p w14:paraId="5B1F66E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w:t>
            </w:r>
          </w:p>
        </w:tc>
        <w:tc>
          <w:tcPr>
            <w:tcW w:w="745" w:type="dxa"/>
            <w:tcBorders>
              <w:top w:val="nil"/>
              <w:left w:val="nil"/>
              <w:bottom w:val="nil"/>
              <w:right w:val="nil"/>
            </w:tcBorders>
          </w:tcPr>
          <w:p w14:paraId="5EBBF88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11</w:t>
            </w:r>
          </w:p>
        </w:tc>
        <w:tc>
          <w:tcPr>
            <w:tcW w:w="745" w:type="dxa"/>
            <w:tcBorders>
              <w:top w:val="nil"/>
              <w:left w:val="nil"/>
              <w:bottom w:val="nil"/>
              <w:right w:val="nil"/>
            </w:tcBorders>
          </w:tcPr>
          <w:p w14:paraId="6C3AEF0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12</w:t>
            </w:r>
          </w:p>
        </w:tc>
        <w:tc>
          <w:tcPr>
            <w:tcW w:w="745" w:type="dxa"/>
            <w:tcBorders>
              <w:top w:val="nil"/>
              <w:left w:val="nil"/>
              <w:bottom w:val="nil"/>
              <w:right w:val="nil"/>
            </w:tcBorders>
          </w:tcPr>
          <w:p w14:paraId="2BF07CB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13</w:t>
            </w:r>
          </w:p>
        </w:tc>
        <w:tc>
          <w:tcPr>
            <w:tcW w:w="745" w:type="dxa"/>
            <w:tcBorders>
              <w:top w:val="nil"/>
              <w:left w:val="nil"/>
              <w:bottom w:val="nil"/>
              <w:right w:val="nil"/>
            </w:tcBorders>
          </w:tcPr>
          <w:p w14:paraId="43EC5F1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14</w:t>
            </w:r>
          </w:p>
        </w:tc>
        <w:tc>
          <w:tcPr>
            <w:tcW w:w="745" w:type="dxa"/>
            <w:tcBorders>
              <w:top w:val="nil"/>
              <w:left w:val="nil"/>
              <w:bottom w:val="nil"/>
              <w:right w:val="nil"/>
            </w:tcBorders>
          </w:tcPr>
          <w:p w14:paraId="5E09494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15</w:t>
            </w:r>
          </w:p>
        </w:tc>
        <w:tc>
          <w:tcPr>
            <w:tcW w:w="745" w:type="dxa"/>
            <w:tcBorders>
              <w:top w:val="nil"/>
              <w:left w:val="nil"/>
              <w:bottom w:val="nil"/>
              <w:right w:val="nil"/>
            </w:tcBorders>
          </w:tcPr>
          <w:p w14:paraId="254C102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16</w:t>
            </w:r>
          </w:p>
        </w:tc>
        <w:tc>
          <w:tcPr>
            <w:tcW w:w="745" w:type="dxa"/>
            <w:tcBorders>
              <w:top w:val="nil"/>
              <w:left w:val="nil"/>
              <w:bottom w:val="nil"/>
              <w:right w:val="nil"/>
            </w:tcBorders>
          </w:tcPr>
          <w:p w14:paraId="7214F50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17</w:t>
            </w:r>
          </w:p>
        </w:tc>
        <w:tc>
          <w:tcPr>
            <w:tcW w:w="745" w:type="dxa"/>
            <w:tcBorders>
              <w:top w:val="nil"/>
              <w:left w:val="nil"/>
              <w:bottom w:val="nil"/>
              <w:right w:val="nil"/>
            </w:tcBorders>
          </w:tcPr>
          <w:p w14:paraId="2908B1E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18</w:t>
            </w:r>
          </w:p>
        </w:tc>
      </w:tr>
      <w:tr w:rsidR="002F462B" w:rsidRPr="00BA0E8D" w14:paraId="3B399201" w14:textId="77777777" w:rsidTr="0056122B">
        <w:trPr>
          <w:trHeight w:val="252"/>
        </w:trPr>
        <w:tc>
          <w:tcPr>
            <w:tcW w:w="1561" w:type="dxa"/>
            <w:tcBorders>
              <w:top w:val="single" w:sz="4" w:space="0" w:color="auto"/>
              <w:left w:val="nil"/>
              <w:bottom w:val="nil"/>
              <w:right w:val="nil"/>
            </w:tcBorders>
          </w:tcPr>
          <w:p w14:paraId="1C631CC2"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1  Spread</w:t>
            </w:r>
            <w:proofErr w:type="gramEnd"/>
          </w:p>
        </w:tc>
        <w:tc>
          <w:tcPr>
            <w:tcW w:w="708" w:type="dxa"/>
            <w:tcBorders>
              <w:top w:val="single" w:sz="4" w:space="0" w:color="auto"/>
              <w:left w:val="nil"/>
              <w:bottom w:val="nil"/>
              <w:right w:val="nil"/>
            </w:tcBorders>
          </w:tcPr>
          <w:p w14:paraId="215309A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08" w:type="dxa"/>
            <w:tcBorders>
              <w:top w:val="single" w:sz="4" w:space="0" w:color="auto"/>
              <w:left w:val="nil"/>
              <w:bottom w:val="nil"/>
              <w:right w:val="nil"/>
            </w:tcBorders>
          </w:tcPr>
          <w:p w14:paraId="09A5467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7" w:type="dxa"/>
            <w:tcBorders>
              <w:top w:val="single" w:sz="4" w:space="0" w:color="auto"/>
              <w:left w:val="nil"/>
              <w:bottom w:val="nil"/>
              <w:right w:val="nil"/>
            </w:tcBorders>
          </w:tcPr>
          <w:p w14:paraId="248C5EE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8" w:type="dxa"/>
            <w:tcBorders>
              <w:top w:val="single" w:sz="4" w:space="0" w:color="auto"/>
              <w:left w:val="nil"/>
              <w:bottom w:val="nil"/>
              <w:right w:val="nil"/>
            </w:tcBorders>
          </w:tcPr>
          <w:p w14:paraId="3821957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594" w:type="dxa"/>
            <w:tcBorders>
              <w:top w:val="single" w:sz="4" w:space="0" w:color="auto"/>
              <w:left w:val="nil"/>
              <w:bottom w:val="nil"/>
              <w:right w:val="nil"/>
            </w:tcBorders>
          </w:tcPr>
          <w:p w14:paraId="7B6EDB8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66E7BA5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62E41A0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63C785D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78674AC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2DAC5F7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48D6B09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6F418DA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40E563F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3B37E7A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6ABE8FA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2B99533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341AD14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single" w:sz="4" w:space="0" w:color="auto"/>
              <w:left w:val="nil"/>
              <w:bottom w:val="nil"/>
              <w:right w:val="nil"/>
            </w:tcBorders>
          </w:tcPr>
          <w:p w14:paraId="03DC732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09B245B9" w14:textId="77777777" w:rsidTr="0056122B">
        <w:trPr>
          <w:trHeight w:val="252"/>
        </w:trPr>
        <w:tc>
          <w:tcPr>
            <w:tcW w:w="1561" w:type="dxa"/>
            <w:tcBorders>
              <w:top w:val="nil"/>
              <w:left w:val="nil"/>
              <w:bottom w:val="nil"/>
              <w:right w:val="nil"/>
            </w:tcBorders>
          </w:tcPr>
          <w:p w14:paraId="2AA3021D"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2  Depth</w:t>
            </w:r>
            <w:proofErr w:type="gramEnd"/>
          </w:p>
        </w:tc>
        <w:tc>
          <w:tcPr>
            <w:tcW w:w="708" w:type="dxa"/>
            <w:tcBorders>
              <w:top w:val="nil"/>
              <w:left w:val="nil"/>
              <w:bottom w:val="nil"/>
              <w:right w:val="nil"/>
            </w:tcBorders>
          </w:tcPr>
          <w:p w14:paraId="4A94CC8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-0.32</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4977478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07" w:type="dxa"/>
            <w:tcBorders>
              <w:top w:val="nil"/>
              <w:left w:val="nil"/>
              <w:bottom w:val="nil"/>
              <w:right w:val="nil"/>
            </w:tcBorders>
          </w:tcPr>
          <w:p w14:paraId="7FFF38B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8" w:type="dxa"/>
            <w:tcBorders>
              <w:top w:val="nil"/>
              <w:left w:val="nil"/>
              <w:bottom w:val="nil"/>
              <w:right w:val="nil"/>
            </w:tcBorders>
          </w:tcPr>
          <w:p w14:paraId="7D2FB34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594" w:type="dxa"/>
            <w:tcBorders>
              <w:top w:val="nil"/>
              <w:left w:val="nil"/>
              <w:bottom w:val="nil"/>
              <w:right w:val="nil"/>
            </w:tcBorders>
          </w:tcPr>
          <w:p w14:paraId="29FE5D5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E4F169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B2265B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1A5D70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238144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C6F63C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8539DA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AD44A7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D398A9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387FC5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2E82B6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FD62F8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6E9A2A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C1200B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4D53DF17" w14:textId="77777777" w:rsidTr="0056122B">
        <w:trPr>
          <w:trHeight w:val="252"/>
        </w:trPr>
        <w:tc>
          <w:tcPr>
            <w:tcW w:w="1561" w:type="dxa"/>
            <w:tcBorders>
              <w:top w:val="nil"/>
              <w:left w:val="nil"/>
              <w:bottom w:val="nil"/>
              <w:right w:val="nil"/>
            </w:tcBorders>
          </w:tcPr>
          <w:p w14:paraId="17298A93"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3  Registry</w:t>
            </w:r>
            <w:proofErr w:type="gramEnd"/>
          </w:p>
        </w:tc>
        <w:tc>
          <w:tcPr>
            <w:tcW w:w="708" w:type="dxa"/>
            <w:tcBorders>
              <w:top w:val="nil"/>
              <w:left w:val="nil"/>
              <w:bottom w:val="nil"/>
              <w:right w:val="nil"/>
            </w:tcBorders>
          </w:tcPr>
          <w:p w14:paraId="2FB5DE0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-0.26</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6F12937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0.24</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36B04AE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08" w:type="dxa"/>
            <w:tcBorders>
              <w:top w:val="nil"/>
              <w:left w:val="nil"/>
              <w:bottom w:val="nil"/>
              <w:right w:val="nil"/>
            </w:tcBorders>
          </w:tcPr>
          <w:p w14:paraId="2436070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594" w:type="dxa"/>
            <w:tcBorders>
              <w:top w:val="nil"/>
              <w:left w:val="nil"/>
              <w:bottom w:val="nil"/>
              <w:right w:val="nil"/>
            </w:tcBorders>
          </w:tcPr>
          <w:p w14:paraId="47B8C7E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6DA98E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B28AC8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26FDCB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872FCE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E5CC1A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77EAD3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1C7E6A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CE78B8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9E16AA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7C4642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441FDF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2B8942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E1817C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0907A2C8" w14:textId="77777777" w:rsidTr="0056122B">
        <w:trPr>
          <w:trHeight w:val="252"/>
        </w:trPr>
        <w:tc>
          <w:tcPr>
            <w:tcW w:w="1561" w:type="dxa"/>
            <w:tcBorders>
              <w:top w:val="nil"/>
              <w:left w:val="nil"/>
              <w:bottom w:val="nil"/>
              <w:right w:val="nil"/>
            </w:tcBorders>
          </w:tcPr>
          <w:p w14:paraId="25A253FE"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4  Bureau</w:t>
            </w:r>
            <w:proofErr w:type="gramEnd"/>
          </w:p>
        </w:tc>
        <w:tc>
          <w:tcPr>
            <w:tcW w:w="708" w:type="dxa"/>
            <w:tcBorders>
              <w:top w:val="nil"/>
              <w:left w:val="nil"/>
              <w:bottom w:val="nil"/>
              <w:right w:val="nil"/>
            </w:tcBorders>
          </w:tcPr>
          <w:p w14:paraId="5F7CFA8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-0.15</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58A51E2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0.70</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5181E48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-0.15</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7F29EC2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594" w:type="dxa"/>
            <w:tcBorders>
              <w:top w:val="nil"/>
              <w:left w:val="nil"/>
              <w:bottom w:val="nil"/>
              <w:right w:val="nil"/>
            </w:tcBorders>
          </w:tcPr>
          <w:p w14:paraId="0654B84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B2F6E2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5A2155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61909D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99C2EA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7B6FF4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26B561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AD2F61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A37B79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68B9AB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4BA228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3CCB2E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EF6F69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35E058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30EBE1C9" w14:textId="77777777" w:rsidTr="0056122B">
        <w:trPr>
          <w:trHeight w:val="272"/>
        </w:trPr>
        <w:tc>
          <w:tcPr>
            <w:tcW w:w="1561" w:type="dxa"/>
            <w:tcBorders>
              <w:top w:val="nil"/>
              <w:left w:val="nil"/>
              <w:bottom w:val="nil"/>
              <w:right w:val="nil"/>
            </w:tcBorders>
          </w:tcPr>
          <w:p w14:paraId="04FC7ABF"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5  Size</w:t>
            </w:r>
            <w:proofErr w:type="gramEnd"/>
          </w:p>
        </w:tc>
        <w:tc>
          <w:tcPr>
            <w:tcW w:w="708" w:type="dxa"/>
            <w:tcBorders>
              <w:top w:val="nil"/>
              <w:left w:val="nil"/>
              <w:bottom w:val="nil"/>
              <w:right w:val="nil"/>
            </w:tcBorders>
          </w:tcPr>
          <w:p w14:paraId="64FDABA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-0.24</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72B0183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0.39</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689CCB7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0.13</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62359E5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0.24</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3E0960B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08CFAA1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1BCFFE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AB15E8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1849B0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73BBBD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9A2540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37EE62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650ADA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021C13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9FD6E8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A87442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24E951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BB95B2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7187973B" w14:textId="77777777" w:rsidTr="0056122B">
        <w:trPr>
          <w:trHeight w:val="272"/>
        </w:trPr>
        <w:tc>
          <w:tcPr>
            <w:tcW w:w="1561" w:type="dxa"/>
            <w:tcBorders>
              <w:top w:val="nil"/>
              <w:left w:val="nil"/>
              <w:bottom w:val="nil"/>
              <w:right w:val="nil"/>
            </w:tcBorders>
          </w:tcPr>
          <w:p w14:paraId="64419FFA"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6  Liquidity</w:t>
            </w:r>
            <w:proofErr w:type="gramEnd"/>
          </w:p>
        </w:tc>
        <w:tc>
          <w:tcPr>
            <w:tcW w:w="708" w:type="dxa"/>
            <w:tcBorders>
              <w:top w:val="nil"/>
              <w:left w:val="nil"/>
              <w:bottom w:val="nil"/>
              <w:right w:val="nil"/>
            </w:tcBorders>
          </w:tcPr>
          <w:p w14:paraId="44A3305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0.07</w:t>
            </w:r>
          </w:p>
        </w:tc>
        <w:tc>
          <w:tcPr>
            <w:tcW w:w="708" w:type="dxa"/>
            <w:tcBorders>
              <w:top w:val="nil"/>
              <w:left w:val="nil"/>
              <w:bottom w:val="nil"/>
              <w:right w:val="nil"/>
            </w:tcBorders>
          </w:tcPr>
          <w:p w14:paraId="4382FA8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12D22DB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08" w:type="dxa"/>
            <w:tcBorders>
              <w:top w:val="nil"/>
              <w:left w:val="nil"/>
              <w:bottom w:val="nil"/>
              <w:right w:val="nil"/>
            </w:tcBorders>
          </w:tcPr>
          <w:p w14:paraId="242FA39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52A290F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-0.12</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1A15DA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6691BEE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055A6D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0ED864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345304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059FDF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770D55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EB4E73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D17BBF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292E46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850E59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2847EB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FFEEAE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678843AC" w14:textId="77777777" w:rsidTr="0056122B">
        <w:trPr>
          <w:trHeight w:val="272"/>
        </w:trPr>
        <w:tc>
          <w:tcPr>
            <w:tcW w:w="1561" w:type="dxa"/>
            <w:tcBorders>
              <w:top w:val="nil"/>
              <w:left w:val="nil"/>
              <w:bottom w:val="nil"/>
              <w:right w:val="nil"/>
            </w:tcBorders>
          </w:tcPr>
          <w:p w14:paraId="79C1AC7D"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7  Provisions</w:t>
            </w:r>
            <w:proofErr w:type="gramEnd"/>
          </w:p>
        </w:tc>
        <w:tc>
          <w:tcPr>
            <w:tcW w:w="708" w:type="dxa"/>
            <w:tcBorders>
              <w:top w:val="nil"/>
              <w:left w:val="nil"/>
              <w:bottom w:val="nil"/>
              <w:right w:val="nil"/>
            </w:tcBorders>
          </w:tcPr>
          <w:p w14:paraId="1603339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13DE1AC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-0.12</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4AB5A9E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-0.07</w:t>
            </w:r>
          </w:p>
        </w:tc>
        <w:tc>
          <w:tcPr>
            <w:tcW w:w="708" w:type="dxa"/>
            <w:tcBorders>
              <w:top w:val="nil"/>
              <w:left w:val="nil"/>
              <w:bottom w:val="nil"/>
              <w:right w:val="nil"/>
            </w:tcBorders>
          </w:tcPr>
          <w:p w14:paraId="3644789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7BD3C32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-0.04</w:t>
            </w:r>
          </w:p>
        </w:tc>
        <w:tc>
          <w:tcPr>
            <w:tcW w:w="745" w:type="dxa"/>
            <w:tcBorders>
              <w:top w:val="nil"/>
              <w:left w:val="nil"/>
              <w:bottom w:val="nil"/>
              <w:right w:val="nil"/>
            </w:tcBorders>
          </w:tcPr>
          <w:p w14:paraId="05F277C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41E9C13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3FA6567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B4FD3E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080C8A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79EFEE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9A568A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9AC200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B56E06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EEB9A0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F8194E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93A33E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8E580B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6A9AC992" w14:textId="77777777" w:rsidTr="0056122B">
        <w:trPr>
          <w:trHeight w:val="272"/>
        </w:trPr>
        <w:tc>
          <w:tcPr>
            <w:tcW w:w="1561" w:type="dxa"/>
            <w:tcBorders>
              <w:top w:val="nil"/>
              <w:left w:val="nil"/>
              <w:bottom w:val="nil"/>
              <w:right w:val="nil"/>
            </w:tcBorders>
          </w:tcPr>
          <w:p w14:paraId="71991119"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8  Lending</w:t>
            </w:r>
            <w:proofErr w:type="gramEnd"/>
          </w:p>
        </w:tc>
        <w:tc>
          <w:tcPr>
            <w:tcW w:w="708" w:type="dxa"/>
            <w:tcBorders>
              <w:top w:val="nil"/>
              <w:left w:val="nil"/>
              <w:bottom w:val="nil"/>
              <w:right w:val="nil"/>
            </w:tcBorders>
          </w:tcPr>
          <w:p w14:paraId="1831D05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-0.19</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4A124E9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0.22</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3B5D6DB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0.14</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0A46D92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0.29</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5B06691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1FF9833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-0.65</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22BF79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45" w:type="dxa"/>
            <w:tcBorders>
              <w:top w:val="nil"/>
              <w:left w:val="nil"/>
              <w:bottom w:val="nil"/>
              <w:right w:val="nil"/>
            </w:tcBorders>
          </w:tcPr>
          <w:p w14:paraId="2BC5A26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57F37D9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325EA9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0A5697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4CACB9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2F090B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1ED36F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462843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275F2D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1F204E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CB3D90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2FD8883D" w14:textId="77777777" w:rsidTr="0056122B">
        <w:trPr>
          <w:trHeight w:val="272"/>
        </w:trPr>
        <w:tc>
          <w:tcPr>
            <w:tcW w:w="1561" w:type="dxa"/>
            <w:tcBorders>
              <w:top w:val="nil"/>
              <w:left w:val="nil"/>
              <w:bottom w:val="nil"/>
              <w:right w:val="nil"/>
            </w:tcBorders>
          </w:tcPr>
          <w:p w14:paraId="4F33DDEC"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roofErr w:type="gramStart"/>
            <w:r w:rsidRPr="00BA0E8D">
              <w:rPr>
                <w:rFonts w:ascii="Times New Roman" w:hAnsi="Times New Roman"/>
                <w:sz w:val="16"/>
                <w:szCs w:val="16"/>
              </w:rPr>
              <w:t>9  Deposits</w:t>
            </w:r>
            <w:proofErr w:type="gramEnd"/>
          </w:p>
        </w:tc>
        <w:tc>
          <w:tcPr>
            <w:tcW w:w="708" w:type="dxa"/>
            <w:tcBorders>
              <w:top w:val="nil"/>
              <w:left w:val="nil"/>
              <w:bottom w:val="nil"/>
              <w:right w:val="nil"/>
            </w:tcBorders>
          </w:tcPr>
          <w:p w14:paraId="13D5988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08" w:type="dxa"/>
            <w:tcBorders>
              <w:top w:val="nil"/>
              <w:left w:val="nil"/>
              <w:bottom w:val="nil"/>
              <w:right w:val="nil"/>
            </w:tcBorders>
          </w:tcPr>
          <w:p w14:paraId="044A2FB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-0.07</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2D14644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08" w:type="dxa"/>
            <w:tcBorders>
              <w:top w:val="nil"/>
              <w:left w:val="nil"/>
              <w:bottom w:val="nil"/>
              <w:right w:val="nil"/>
            </w:tcBorders>
          </w:tcPr>
          <w:p w14:paraId="0258D75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-0.13</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254AA1C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45" w:type="dxa"/>
            <w:tcBorders>
              <w:top w:val="nil"/>
              <w:left w:val="nil"/>
              <w:bottom w:val="nil"/>
              <w:right w:val="nil"/>
            </w:tcBorders>
          </w:tcPr>
          <w:p w14:paraId="3B2D932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0.14</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E734F0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-0.04</w:t>
            </w:r>
          </w:p>
        </w:tc>
        <w:tc>
          <w:tcPr>
            <w:tcW w:w="745" w:type="dxa"/>
            <w:tcBorders>
              <w:top w:val="nil"/>
              <w:left w:val="nil"/>
              <w:bottom w:val="nil"/>
              <w:right w:val="nil"/>
            </w:tcBorders>
          </w:tcPr>
          <w:p w14:paraId="08ABB62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E77E49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188A2AD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79A186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DA6036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4DD48C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83EDE2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EDC62E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7CB9D6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963202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AD59C4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33421F1E" w14:textId="77777777" w:rsidTr="0056122B">
        <w:trPr>
          <w:trHeight w:val="272"/>
        </w:trPr>
        <w:tc>
          <w:tcPr>
            <w:tcW w:w="1561" w:type="dxa"/>
            <w:tcBorders>
              <w:top w:val="nil"/>
              <w:left w:val="nil"/>
              <w:bottom w:val="nil"/>
              <w:right w:val="nil"/>
            </w:tcBorders>
          </w:tcPr>
          <w:p w14:paraId="20EF5418"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10 Equity</w:t>
            </w:r>
          </w:p>
        </w:tc>
        <w:tc>
          <w:tcPr>
            <w:tcW w:w="708" w:type="dxa"/>
            <w:tcBorders>
              <w:top w:val="nil"/>
              <w:left w:val="nil"/>
              <w:bottom w:val="nil"/>
              <w:right w:val="nil"/>
            </w:tcBorders>
          </w:tcPr>
          <w:p w14:paraId="1879DE9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0.08</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165CC70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-0.08</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004B592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65A7838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594" w:type="dxa"/>
            <w:tcBorders>
              <w:top w:val="nil"/>
              <w:left w:val="nil"/>
              <w:bottom w:val="nil"/>
              <w:right w:val="nil"/>
            </w:tcBorders>
          </w:tcPr>
          <w:p w14:paraId="666CEC5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-0.33</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BB4A7B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5C9301F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0EBECBD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45" w:type="dxa"/>
            <w:tcBorders>
              <w:top w:val="nil"/>
              <w:left w:val="nil"/>
              <w:bottom w:val="nil"/>
              <w:right w:val="nil"/>
            </w:tcBorders>
          </w:tcPr>
          <w:p w14:paraId="489E43D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A9DF91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196A64C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1A872A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5643DE3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4AFD00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7CB4D7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D66BFC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9D89D1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610881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12F3C056" w14:textId="77777777" w:rsidTr="0056122B">
        <w:trPr>
          <w:trHeight w:val="252"/>
        </w:trPr>
        <w:tc>
          <w:tcPr>
            <w:tcW w:w="1561" w:type="dxa"/>
            <w:tcBorders>
              <w:top w:val="nil"/>
              <w:left w:val="nil"/>
              <w:bottom w:val="nil"/>
              <w:right w:val="nil"/>
            </w:tcBorders>
          </w:tcPr>
          <w:p w14:paraId="0AB09B4B"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11 Fees</w:t>
            </w:r>
          </w:p>
        </w:tc>
        <w:tc>
          <w:tcPr>
            <w:tcW w:w="708" w:type="dxa"/>
            <w:tcBorders>
              <w:top w:val="nil"/>
              <w:left w:val="nil"/>
              <w:bottom w:val="nil"/>
              <w:right w:val="nil"/>
            </w:tcBorders>
          </w:tcPr>
          <w:p w14:paraId="3442341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0.04</w:t>
            </w:r>
          </w:p>
        </w:tc>
        <w:tc>
          <w:tcPr>
            <w:tcW w:w="708" w:type="dxa"/>
            <w:tcBorders>
              <w:top w:val="nil"/>
              <w:left w:val="nil"/>
              <w:bottom w:val="nil"/>
              <w:right w:val="nil"/>
            </w:tcBorders>
          </w:tcPr>
          <w:p w14:paraId="6AD5E1E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-0.15</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2A490D1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-0.11</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4F8772E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1A511D4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4DD208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2236D9C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2D4D7A3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-0.12</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105752E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0114FCA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45" w:type="dxa"/>
            <w:tcBorders>
              <w:top w:val="nil"/>
              <w:left w:val="nil"/>
              <w:bottom w:val="nil"/>
              <w:right w:val="nil"/>
            </w:tcBorders>
          </w:tcPr>
          <w:p w14:paraId="1D2C7E9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4F02038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B4D799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63E727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4BA2C8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54BF79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E66119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CBD3DA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467C84F0" w14:textId="77777777" w:rsidTr="0056122B">
        <w:trPr>
          <w:trHeight w:val="252"/>
        </w:trPr>
        <w:tc>
          <w:tcPr>
            <w:tcW w:w="1561" w:type="dxa"/>
            <w:tcBorders>
              <w:top w:val="nil"/>
              <w:left w:val="nil"/>
              <w:bottom w:val="nil"/>
              <w:right w:val="nil"/>
            </w:tcBorders>
          </w:tcPr>
          <w:p w14:paraId="2C265658"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12 Inefficiency</w:t>
            </w:r>
          </w:p>
        </w:tc>
        <w:tc>
          <w:tcPr>
            <w:tcW w:w="708" w:type="dxa"/>
            <w:tcBorders>
              <w:top w:val="nil"/>
              <w:left w:val="nil"/>
              <w:bottom w:val="nil"/>
              <w:right w:val="nil"/>
            </w:tcBorders>
          </w:tcPr>
          <w:p w14:paraId="55CB432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0.51</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71DC69E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-0.30</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2FD71C2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-0.25</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6A60EE2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-0.14</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239CEEB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-0.47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67DA95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2DD6021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061AE88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5157310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1901876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6AB55A4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0.31</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A55556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46B9EA5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56005F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2FD19FF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17F261E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8A3BED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CDC9CE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20E14494" w14:textId="77777777" w:rsidTr="0056122B">
        <w:trPr>
          <w:trHeight w:val="249"/>
        </w:trPr>
        <w:tc>
          <w:tcPr>
            <w:tcW w:w="1561" w:type="dxa"/>
            <w:tcBorders>
              <w:top w:val="nil"/>
              <w:left w:val="nil"/>
              <w:bottom w:val="nil"/>
              <w:right w:val="nil"/>
            </w:tcBorders>
          </w:tcPr>
          <w:p w14:paraId="3204D36A"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13 Concentration</w:t>
            </w:r>
          </w:p>
        </w:tc>
        <w:tc>
          <w:tcPr>
            <w:tcW w:w="708" w:type="dxa"/>
            <w:tcBorders>
              <w:top w:val="nil"/>
              <w:left w:val="nil"/>
              <w:bottom w:val="nil"/>
              <w:right w:val="nil"/>
            </w:tcBorders>
          </w:tcPr>
          <w:p w14:paraId="7E2F566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7911D56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0.12</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3C33B3B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-0.15</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2683613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0.33</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1934F84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2025CDA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655058C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566B094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63500F6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-0.07</w:t>
            </w:r>
          </w:p>
        </w:tc>
        <w:tc>
          <w:tcPr>
            <w:tcW w:w="745" w:type="dxa"/>
            <w:tcBorders>
              <w:top w:val="nil"/>
              <w:left w:val="nil"/>
              <w:bottom w:val="nil"/>
              <w:right w:val="nil"/>
            </w:tcBorders>
          </w:tcPr>
          <w:p w14:paraId="116CEDF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1AF1F20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EDDB89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-0.00</w:t>
            </w:r>
          </w:p>
        </w:tc>
        <w:tc>
          <w:tcPr>
            <w:tcW w:w="745" w:type="dxa"/>
            <w:tcBorders>
              <w:top w:val="nil"/>
              <w:left w:val="nil"/>
              <w:bottom w:val="nil"/>
              <w:right w:val="nil"/>
            </w:tcBorders>
          </w:tcPr>
          <w:p w14:paraId="2AFFB42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2EB0001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3100086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94E80E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3B2F31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324411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0620746F" w14:textId="77777777" w:rsidTr="0056122B">
        <w:trPr>
          <w:trHeight w:val="272"/>
        </w:trPr>
        <w:tc>
          <w:tcPr>
            <w:tcW w:w="1561" w:type="dxa"/>
            <w:tcBorders>
              <w:top w:val="nil"/>
              <w:left w:val="nil"/>
              <w:bottom w:val="nil"/>
              <w:right w:val="nil"/>
            </w:tcBorders>
          </w:tcPr>
          <w:p w14:paraId="7D10B0F7" w14:textId="314A15C5"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 xml:space="preserve">14 </w:t>
            </w:r>
            <w:r w:rsidR="003834AD" w:rsidRPr="00BA0E8D">
              <w:rPr>
                <w:rFonts w:ascii="Times New Roman" w:hAnsi="Times New Roman"/>
                <w:sz w:val="16"/>
                <w:szCs w:val="16"/>
              </w:rPr>
              <w:t xml:space="preserve">GDP </w:t>
            </w:r>
            <w:r w:rsidRPr="00BA0E8D">
              <w:rPr>
                <w:rFonts w:ascii="Times New Roman" w:hAnsi="Times New Roman"/>
                <w:sz w:val="16"/>
                <w:szCs w:val="16"/>
              </w:rPr>
              <w:t>Growth</w:t>
            </w:r>
          </w:p>
        </w:tc>
        <w:tc>
          <w:tcPr>
            <w:tcW w:w="708" w:type="dxa"/>
            <w:tcBorders>
              <w:top w:val="nil"/>
              <w:left w:val="nil"/>
              <w:bottom w:val="nil"/>
              <w:right w:val="nil"/>
            </w:tcBorders>
          </w:tcPr>
          <w:p w14:paraId="0461E45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0.26</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3A82047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-0.24</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28F25D2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-0.14</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74EBF6F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-0.19</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1B6EF14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0A2AC81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264B2D5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0.04</w:t>
            </w:r>
          </w:p>
        </w:tc>
        <w:tc>
          <w:tcPr>
            <w:tcW w:w="745" w:type="dxa"/>
            <w:tcBorders>
              <w:top w:val="nil"/>
              <w:left w:val="nil"/>
              <w:bottom w:val="nil"/>
              <w:right w:val="nil"/>
            </w:tcBorders>
          </w:tcPr>
          <w:p w14:paraId="2D18312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-0.16</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1422CCB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16141B4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1C67B01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50DA28E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0.24</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C6036F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22A07D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517B6F9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0775AFF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8ECF0C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44DDA56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3E209DB2" w14:textId="77777777" w:rsidTr="0056122B">
        <w:trPr>
          <w:trHeight w:val="272"/>
        </w:trPr>
        <w:tc>
          <w:tcPr>
            <w:tcW w:w="1561" w:type="dxa"/>
            <w:tcBorders>
              <w:top w:val="nil"/>
              <w:left w:val="nil"/>
              <w:bottom w:val="nil"/>
              <w:right w:val="nil"/>
            </w:tcBorders>
          </w:tcPr>
          <w:p w14:paraId="261F8963"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15 Inflation</w:t>
            </w:r>
          </w:p>
        </w:tc>
        <w:tc>
          <w:tcPr>
            <w:tcW w:w="708" w:type="dxa"/>
            <w:tcBorders>
              <w:top w:val="nil"/>
              <w:left w:val="nil"/>
              <w:bottom w:val="nil"/>
              <w:right w:val="nil"/>
            </w:tcBorders>
          </w:tcPr>
          <w:p w14:paraId="22E6643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0.28</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7BA0911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59EAEEC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-0.22</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24D736D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-0.06</w:t>
            </w:r>
          </w:p>
        </w:tc>
        <w:tc>
          <w:tcPr>
            <w:tcW w:w="594" w:type="dxa"/>
            <w:tcBorders>
              <w:top w:val="nil"/>
              <w:left w:val="nil"/>
              <w:bottom w:val="nil"/>
              <w:right w:val="nil"/>
            </w:tcBorders>
          </w:tcPr>
          <w:p w14:paraId="6F5EA05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45" w:type="dxa"/>
            <w:tcBorders>
              <w:top w:val="nil"/>
              <w:left w:val="nil"/>
              <w:bottom w:val="nil"/>
              <w:right w:val="nil"/>
            </w:tcBorders>
          </w:tcPr>
          <w:p w14:paraId="1C399D6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0.06</w:t>
            </w:r>
          </w:p>
        </w:tc>
        <w:tc>
          <w:tcPr>
            <w:tcW w:w="745" w:type="dxa"/>
            <w:tcBorders>
              <w:top w:val="nil"/>
              <w:left w:val="nil"/>
              <w:bottom w:val="nil"/>
              <w:right w:val="nil"/>
            </w:tcBorders>
          </w:tcPr>
          <w:p w14:paraId="6957EE4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6D5DEC2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-0.19</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73A128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-0.00</w:t>
            </w:r>
          </w:p>
        </w:tc>
        <w:tc>
          <w:tcPr>
            <w:tcW w:w="745" w:type="dxa"/>
            <w:tcBorders>
              <w:top w:val="nil"/>
              <w:left w:val="nil"/>
              <w:bottom w:val="nil"/>
              <w:right w:val="nil"/>
            </w:tcBorders>
          </w:tcPr>
          <w:p w14:paraId="19E6787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9A89E3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-0.13</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14CA58C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0.16</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1BDB2D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5830AC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0.12</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1F40FC8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1B24ECD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729F8CA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DE3257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76645F88" w14:textId="77777777" w:rsidTr="0056122B">
        <w:trPr>
          <w:trHeight w:val="272"/>
        </w:trPr>
        <w:tc>
          <w:tcPr>
            <w:tcW w:w="1561" w:type="dxa"/>
            <w:tcBorders>
              <w:top w:val="nil"/>
              <w:left w:val="nil"/>
              <w:bottom w:val="nil"/>
              <w:right w:val="nil"/>
            </w:tcBorders>
          </w:tcPr>
          <w:p w14:paraId="044E8551"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16 Law</w:t>
            </w:r>
          </w:p>
        </w:tc>
        <w:tc>
          <w:tcPr>
            <w:tcW w:w="708" w:type="dxa"/>
            <w:tcBorders>
              <w:top w:val="nil"/>
              <w:left w:val="nil"/>
              <w:bottom w:val="nil"/>
              <w:right w:val="nil"/>
            </w:tcBorders>
          </w:tcPr>
          <w:p w14:paraId="535D2B1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-0.16</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384C350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0.56</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5E9B358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0.40</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0361F3D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0.46</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5FD4002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6316C6D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7BD6E47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7E06C80C"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65355E1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B6730D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0CA2A9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-0.22</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6D16F7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-0.22</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BAE55C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4A1D0DC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0.02</w:t>
            </w:r>
          </w:p>
        </w:tc>
        <w:tc>
          <w:tcPr>
            <w:tcW w:w="745" w:type="dxa"/>
            <w:tcBorders>
              <w:top w:val="nil"/>
              <w:left w:val="nil"/>
              <w:bottom w:val="nil"/>
              <w:right w:val="nil"/>
            </w:tcBorders>
          </w:tcPr>
          <w:p w14:paraId="57A57EE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-0.11</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0301487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6344F48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nil"/>
              <w:right w:val="nil"/>
            </w:tcBorders>
          </w:tcPr>
          <w:p w14:paraId="6767062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390DBADB" w14:textId="77777777" w:rsidTr="0056122B">
        <w:trPr>
          <w:trHeight w:val="252"/>
        </w:trPr>
        <w:tc>
          <w:tcPr>
            <w:tcW w:w="1561" w:type="dxa"/>
            <w:tcBorders>
              <w:top w:val="nil"/>
              <w:left w:val="nil"/>
              <w:bottom w:val="nil"/>
              <w:right w:val="nil"/>
            </w:tcBorders>
          </w:tcPr>
          <w:p w14:paraId="03B1E24A"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17 Regulation</w:t>
            </w:r>
          </w:p>
        </w:tc>
        <w:tc>
          <w:tcPr>
            <w:tcW w:w="708" w:type="dxa"/>
            <w:tcBorders>
              <w:top w:val="nil"/>
              <w:left w:val="nil"/>
              <w:bottom w:val="nil"/>
              <w:right w:val="nil"/>
            </w:tcBorders>
          </w:tcPr>
          <w:p w14:paraId="5A42EA5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-0.11</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542564B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0.57</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3996DC5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0.33</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6B90A19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0.57</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26950F5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F79D6C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031017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311C0B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B1A225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-0.10</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4A3330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43E85BF8"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-0.25</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41D122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-0.14</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2A4F6DC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-0.11</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433BA9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0F8B303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-0.01</w:t>
            </w:r>
          </w:p>
        </w:tc>
        <w:tc>
          <w:tcPr>
            <w:tcW w:w="745" w:type="dxa"/>
            <w:tcBorders>
              <w:top w:val="nil"/>
              <w:left w:val="nil"/>
              <w:bottom w:val="nil"/>
              <w:right w:val="nil"/>
            </w:tcBorders>
          </w:tcPr>
          <w:p w14:paraId="69C6832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0.83</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FA1633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c>
          <w:tcPr>
            <w:tcW w:w="745" w:type="dxa"/>
            <w:tcBorders>
              <w:top w:val="nil"/>
              <w:left w:val="nil"/>
              <w:bottom w:val="nil"/>
              <w:right w:val="nil"/>
            </w:tcBorders>
          </w:tcPr>
          <w:p w14:paraId="6D67900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r w:rsidR="002F462B" w:rsidRPr="00BA0E8D" w14:paraId="42806D8F" w14:textId="77777777" w:rsidTr="0056122B">
        <w:trPr>
          <w:trHeight w:val="252"/>
        </w:trPr>
        <w:tc>
          <w:tcPr>
            <w:tcW w:w="1561" w:type="dxa"/>
            <w:tcBorders>
              <w:top w:val="nil"/>
              <w:left w:val="nil"/>
              <w:bottom w:val="nil"/>
              <w:right w:val="nil"/>
            </w:tcBorders>
          </w:tcPr>
          <w:p w14:paraId="5EC63AB3"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18 Corruption</w:t>
            </w:r>
          </w:p>
        </w:tc>
        <w:tc>
          <w:tcPr>
            <w:tcW w:w="708" w:type="dxa"/>
            <w:tcBorders>
              <w:top w:val="nil"/>
              <w:left w:val="nil"/>
              <w:bottom w:val="nil"/>
              <w:right w:val="nil"/>
            </w:tcBorders>
          </w:tcPr>
          <w:p w14:paraId="75C6C86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-0.09</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66022BE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0.53</w:t>
            </w:r>
            <w:r w:rsidRPr="00BA0E8D">
              <w:rPr>
                <w:rFonts w:ascii="Times New Roman" w:hAnsi="Times New Roman"/>
                <w:sz w:val="16"/>
                <w:szCs w:val="16"/>
                <w:vertAlign w:val="superscript"/>
              </w:rPr>
              <w:t>a</w:t>
            </w:r>
          </w:p>
        </w:tc>
        <w:tc>
          <w:tcPr>
            <w:tcW w:w="707" w:type="dxa"/>
            <w:tcBorders>
              <w:top w:val="nil"/>
              <w:left w:val="nil"/>
              <w:bottom w:val="nil"/>
              <w:right w:val="nil"/>
            </w:tcBorders>
          </w:tcPr>
          <w:p w14:paraId="7C5AD75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0.26</w:t>
            </w:r>
            <w:r w:rsidRPr="00BA0E8D">
              <w:rPr>
                <w:rFonts w:ascii="Times New Roman" w:hAnsi="Times New Roman"/>
                <w:sz w:val="16"/>
                <w:szCs w:val="16"/>
                <w:vertAlign w:val="superscript"/>
              </w:rPr>
              <w:t>a</w:t>
            </w:r>
          </w:p>
        </w:tc>
        <w:tc>
          <w:tcPr>
            <w:tcW w:w="708" w:type="dxa"/>
            <w:tcBorders>
              <w:top w:val="nil"/>
              <w:left w:val="nil"/>
              <w:bottom w:val="nil"/>
              <w:right w:val="nil"/>
            </w:tcBorders>
          </w:tcPr>
          <w:p w14:paraId="44050F8F"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0.57</w:t>
            </w:r>
            <w:r w:rsidRPr="00BA0E8D">
              <w:rPr>
                <w:rFonts w:ascii="Times New Roman" w:hAnsi="Times New Roman"/>
                <w:sz w:val="16"/>
                <w:szCs w:val="16"/>
                <w:vertAlign w:val="superscript"/>
              </w:rPr>
              <w:t>a</w:t>
            </w:r>
          </w:p>
        </w:tc>
        <w:tc>
          <w:tcPr>
            <w:tcW w:w="594" w:type="dxa"/>
            <w:tcBorders>
              <w:top w:val="nil"/>
              <w:left w:val="nil"/>
              <w:bottom w:val="nil"/>
              <w:right w:val="nil"/>
            </w:tcBorders>
          </w:tcPr>
          <w:p w14:paraId="1132B5B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0.06</w:t>
            </w:r>
          </w:p>
        </w:tc>
        <w:tc>
          <w:tcPr>
            <w:tcW w:w="745" w:type="dxa"/>
            <w:tcBorders>
              <w:top w:val="nil"/>
              <w:left w:val="nil"/>
              <w:bottom w:val="nil"/>
              <w:right w:val="nil"/>
            </w:tcBorders>
          </w:tcPr>
          <w:p w14:paraId="617131D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-0.06</w:t>
            </w:r>
          </w:p>
        </w:tc>
        <w:tc>
          <w:tcPr>
            <w:tcW w:w="745" w:type="dxa"/>
            <w:tcBorders>
              <w:top w:val="nil"/>
              <w:left w:val="nil"/>
              <w:bottom w:val="nil"/>
              <w:right w:val="nil"/>
            </w:tcBorders>
          </w:tcPr>
          <w:p w14:paraId="4E9236E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5A5163C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0.21</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F6CDE8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-0.16</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0EA1746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-0.05</w:t>
            </w:r>
          </w:p>
        </w:tc>
        <w:tc>
          <w:tcPr>
            <w:tcW w:w="745" w:type="dxa"/>
            <w:tcBorders>
              <w:top w:val="nil"/>
              <w:left w:val="nil"/>
              <w:bottom w:val="nil"/>
              <w:right w:val="nil"/>
            </w:tcBorders>
          </w:tcPr>
          <w:p w14:paraId="62FA5B9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-0.16</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3999A6F2"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-0.14</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6A676F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0.13</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4B2FC96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0.03</w:t>
            </w:r>
          </w:p>
        </w:tc>
        <w:tc>
          <w:tcPr>
            <w:tcW w:w="745" w:type="dxa"/>
            <w:tcBorders>
              <w:top w:val="nil"/>
              <w:left w:val="nil"/>
              <w:bottom w:val="nil"/>
              <w:right w:val="nil"/>
            </w:tcBorders>
          </w:tcPr>
          <w:p w14:paraId="034DB00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-0.17</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56661CC9"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0.88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266B1F9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0.78</w:t>
            </w:r>
            <w:r w:rsidRPr="00BA0E8D">
              <w:rPr>
                <w:rFonts w:ascii="Times New Roman" w:hAnsi="Times New Roman"/>
                <w:sz w:val="16"/>
                <w:szCs w:val="16"/>
                <w:vertAlign w:val="superscript"/>
              </w:rPr>
              <w:t>a</w:t>
            </w:r>
          </w:p>
        </w:tc>
        <w:tc>
          <w:tcPr>
            <w:tcW w:w="745" w:type="dxa"/>
            <w:tcBorders>
              <w:top w:val="nil"/>
              <w:left w:val="nil"/>
              <w:bottom w:val="nil"/>
              <w:right w:val="nil"/>
            </w:tcBorders>
          </w:tcPr>
          <w:p w14:paraId="76A8BDA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r w:rsidRPr="00BA0E8D">
              <w:rPr>
                <w:rFonts w:ascii="Times New Roman" w:hAnsi="Times New Roman"/>
                <w:sz w:val="16"/>
                <w:szCs w:val="16"/>
              </w:rPr>
              <w:t>1.00</w:t>
            </w:r>
          </w:p>
        </w:tc>
      </w:tr>
      <w:tr w:rsidR="002F462B" w:rsidRPr="00BA0E8D" w14:paraId="1962BADE" w14:textId="77777777" w:rsidTr="0056122B">
        <w:trPr>
          <w:trHeight w:val="272"/>
        </w:trPr>
        <w:tc>
          <w:tcPr>
            <w:tcW w:w="1561" w:type="dxa"/>
            <w:tcBorders>
              <w:top w:val="nil"/>
              <w:left w:val="nil"/>
              <w:bottom w:val="single" w:sz="4" w:space="0" w:color="auto"/>
              <w:right w:val="nil"/>
            </w:tcBorders>
          </w:tcPr>
          <w:p w14:paraId="53F7E249" w14:textId="77777777" w:rsidR="002F462B" w:rsidRPr="00BA0E8D" w:rsidRDefault="002F462B" w:rsidP="0056122B">
            <w:pPr>
              <w:widowControl w:val="0"/>
              <w:autoSpaceDE w:val="0"/>
              <w:autoSpaceDN w:val="0"/>
              <w:adjustRightInd w:val="0"/>
              <w:spacing w:after="0" w:line="240" w:lineRule="auto"/>
              <w:rPr>
                <w:rFonts w:ascii="Times New Roman" w:hAnsi="Times New Roman"/>
                <w:sz w:val="16"/>
                <w:szCs w:val="16"/>
              </w:rPr>
            </w:pPr>
          </w:p>
        </w:tc>
        <w:tc>
          <w:tcPr>
            <w:tcW w:w="708" w:type="dxa"/>
            <w:tcBorders>
              <w:top w:val="nil"/>
              <w:left w:val="nil"/>
              <w:bottom w:val="single" w:sz="4" w:space="0" w:color="auto"/>
              <w:right w:val="nil"/>
            </w:tcBorders>
          </w:tcPr>
          <w:p w14:paraId="67B0F477"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8" w:type="dxa"/>
            <w:tcBorders>
              <w:top w:val="nil"/>
              <w:left w:val="nil"/>
              <w:bottom w:val="single" w:sz="4" w:space="0" w:color="auto"/>
              <w:right w:val="nil"/>
            </w:tcBorders>
          </w:tcPr>
          <w:p w14:paraId="0A9F734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7" w:type="dxa"/>
            <w:tcBorders>
              <w:top w:val="nil"/>
              <w:left w:val="nil"/>
              <w:bottom w:val="single" w:sz="4" w:space="0" w:color="auto"/>
              <w:right w:val="nil"/>
            </w:tcBorders>
          </w:tcPr>
          <w:p w14:paraId="2216B39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08" w:type="dxa"/>
            <w:tcBorders>
              <w:top w:val="nil"/>
              <w:left w:val="nil"/>
              <w:bottom w:val="single" w:sz="4" w:space="0" w:color="auto"/>
              <w:right w:val="nil"/>
            </w:tcBorders>
          </w:tcPr>
          <w:p w14:paraId="5BF4ECFE"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594" w:type="dxa"/>
            <w:tcBorders>
              <w:top w:val="nil"/>
              <w:left w:val="nil"/>
              <w:bottom w:val="single" w:sz="4" w:space="0" w:color="auto"/>
              <w:right w:val="nil"/>
            </w:tcBorders>
          </w:tcPr>
          <w:p w14:paraId="5E34A224"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243D1F1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57DD767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6615876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62F900D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05A12FD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13B408E5"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7CC5F3DB"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51292160"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31F253CA"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38854626"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6BE0EA81"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2E915ABD"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c>
          <w:tcPr>
            <w:tcW w:w="745" w:type="dxa"/>
            <w:tcBorders>
              <w:top w:val="nil"/>
              <w:left w:val="nil"/>
              <w:bottom w:val="single" w:sz="4" w:space="0" w:color="auto"/>
              <w:right w:val="nil"/>
            </w:tcBorders>
          </w:tcPr>
          <w:p w14:paraId="1952D283" w14:textId="77777777" w:rsidR="002F462B" w:rsidRPr="00BA0E8D" w:rsidRDefault="002F462B" w:rsidP="0056122B">
            <w:pPr>
              <w:widowControl w:val="0"/>
              <w:autoSpaceDE w:val="0"/>
              <w:autoSpaceDN w:val="0"/>
              <w:adjustRightInd w:val="0"/>
              <w:spacing w:after="0" w:line="240" w:lineRule="auto"/>
              <w:jc w:val="center"/>
              <w:rPr>
                <w:rFonts w:ascii="Times New Roman" w:hAnsi="Times New Roman"/>
                <w:sz w:val="16"/>
                <w:szCs w:val="16"/>
              </w:rPr>
            </w:pPr>
          </w:p>
        </w:tc>
      </w:tr>
    </w:tbl>
    <w:p w14:paraId="7BA790DD" w14:textId="52197CC6" w:rsidR="002F462B" w:rsidRPr="00BA0E8D" w:rsidRDefault="002F462B" w:rsidP="002F462B">
      <w:pPr>
        <w:widowControl w:val="0"/>
        <w:autoSpaceDE w:val="0"/>
        <w:autoSpaceDN w:val="0"/>
        <w:adjustRightInd w:val="0"/>
        <w:spacing w:after="0" w:line="240" w:lineRule="auto"/>
        <w:rPr>
          <w:rFonts w:ascii="Times New Roman" w:hAnsi="Times New Roman"/>
          <w:sz w:val="16"/>
          <w:szCs w:val="16"/>
        </w:rPr>
      </w:pPr>
      <w:r w:rsidRPr="00BA0E8D">
        <w:rPr>
          <w:rFonts w:ascii="Times New Roman" w:hAnsi="Times New Roman"/>
          <w:sz w:val="16"/>
          <w:szCs w:val="16"/>
        </w:rPr>
        <w:t>Note: Variable are as describe</w:t>
      </w:r>
      <w:r w:rsidR="00BA0E8D">
        <w:rPr>
          <w:rFonts w:ascii="Times New Roman" w:hAnsi="Times New Roman"/>
          <w:sz w:val="16"/>
          <w:szCs w:val="16"/>
        </w:rPr>
        <w:t>d</w:t>
      </w:r>
      <w:r w:rsidRPr="00BA0E8D">
        <w:rPr>
          <w:rFonts w:ascii="Times New Roman" w:hAnsi="Times New Roman"/>
          <w:sz w:val="16"/>
          <w:szCs w:val="16"/>
        </w:rPr>
        <w:t xml:space="preserve"> in Table 1. </w:t>
      </w:r>
      <w:proofErr w:type="spellStart"/>
      <w:r w:rsidRPr="00BA0E8D">
        <w:rPr>
          <w:rFonts w:ascii="Times New Roman" w:hAnsi="Times New Roman"/>
          <w:sz w:val="16"/>
          <w:szCs w:val="16"/>
          <w:vertAlign w:val="superscript"/>
        </w:rPr>
        <w:t>a</w:t>
      </w:r>
      <w:proofErr w:type="spellEnd"/>
      <w:r w:rsidRPr="00BA0E8D">
        <w:rPr>
          <w:rFonts w:ascii="Times New Roman" w:hAnsi="Times New Roman"/>
          <w:sz w:val="16"/>
          <w:szCs w:val="16"/>
        </w:rPr>
        <w:t xml:space="preserve"> indicates significance at 1% or better</w:t>
      </w:r>
      <w:r w:rsidR="00025B5C">
        <w:rPr>
          <w:rFonts w:ascii="Times New Roman" w:hAnsi="Times New Roman"/>
          <w:sz w:val="16"/>
          <w:szCs w:val="16"/>
        </w:rPr>
        <w:t>.</w:t>
      </w:r>
    </w:p>
    <w:p w14:paraId="666D73A8" w14:textId="77777777" w:rsidR="002F462B" w:rsidRPr="00BA0E8D" w:rsidRDefault="002F462B" w:rsidP="00763F96">
      <w:pPr>
        <w:spacing w:after="0" w:line="240" w:lineRule="auto"/>
        <w:jc w:val="both"/>
        <w:rPr>
          <w:rFonts w:ascii="Times New Roman" w:hAnsi="Times New Roman"/>
          <w:sz w:val="20"/>
          <w:szCs w:val="20"/>
        </w:rPr>
      </w:pPr>
    </w:p>
    <w:p w14:paraId="0FFADA29" w14:textId="7FFF852C" w:rsidR="000F76BB" w:rsidRPr="0031463E" w:rsidRDefault="002F462B" w:rsidP="000F76BB">
      <w:pPr>
        <w:keepNext/>
        <w:widowControl w:val="0"/>
        <w:autoSpaceDE w:val="0"/>
        <w:autoSpaceDN w:val="0"/>
        <w:adjustRightInd w:val="0"/>
        <w:spacing w:after="0" w:line="240" w:lineRule="auto"/>
        <w:rPr>
          <w:rFonts w:ascii="Times New Roman" w:hAnsi="Times New Roman"/>
          <w:b/>
          <w:sz w:val="24"/>
          <w:szCs w:val="24"/>
        </w:rPr>
      </w:pPr>
      <w:r w:rsidRPr="00BA0E8D">
        <w:rPr>
          <w:rFonts w:ascii="Times New Roman" w:hAnsi="Times New Roman"/>
          <w:sz w:val="20"/>
          <w:szCs w:val="20"/>
        </w:rPr>
        <w:br w:type="page"/>
      </w:r>
      <w:r w:rsidR="000F76BB" w:rsidRPr="008C1E8F">
        <w:rPr>
          <w:rFonts w:ascii="Times New Roman" w:hAnsi="Times New Roman"/>
          <w:b/>
          <w:sz w:val="24"/>
          <w:szCs w:val="24"/>
        </w:rPr>
        <w:lastRenderedPageBreak/>
        <w:t xml:space="preserve">Table 3: </w:t>
      </w:r>
      <w:r w:rsidR="00356F44" w:rsidRPr="0031463E">
        <w:rPr>
          <w:rFonts w:ascii="Times New Roman" w:hAnsi="Times New Roman"/>
          <w:b/>
          <w:sz w:val="24"/>
          <w:szCs w:val="24"/>
        </w:rPr>
        <w:t>Regression results of information sharing and credit intermediation cost</w:t>
      </w:r>
    </w:p>
    <w:tbl>
      <w:tblPr>
        <w:tblW w:w="0" w:type="auto"/>
        <w:tblLayout w:type="fixed"/>
        <w:tblLook w:val="0000" w:firstRow="0" w:lastRow="0" w:firstColumn="0" w:lastColumn="0" w:noHBand="0" w:noVBand="0"/>
      </w:tblPr>
      <w:tblGrid>
        <w:gridCol w:w="1824"/>
        <w:gridCol w:w="1251"/>
        <w:gridCol w:w="1338"/>
        <w:gridCol w:w="1338"/>
        <w:gridCol w:w="1338"/>
        <w:gridCol w:w="1338"/>
        <w:gridCol w:w="1338"/>
        <w:gridCol w:w="1338"/>
        <w:gridCol w:w="1338"/>
        <w:gridCol w:w="1338"/>
      </w:tblGrid>
      <w:tr w:rsidR="000F76BB" w:rsidRPr="00BA0E8D" w14:paraId="3C23499D" w14:textId="77777777" w:rsidTr="00894076">
        <w:trPr>
          <w:trHeight w:val="280"/>
        </w:trPr>
        <w:tc>
          <w:tcPr>
            <w:tcW w:w="1824" w:type="dxa"/>
            <w:tcBorders>
              <w:top w:val="single" w:sz="4" w:space="0" w:color="auto"/>
              <w:left w:val="nil"/>
              <w:bottom w:val="nil"/>
              <w:right w:val="nil"/>
            </w:tcBorders>
          </w:tcPr>
          <w:p w14:paraId="2590207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single" w:sz="4" w:space="0" w:color="auto"/>
              <w:left w:val="nil"/>
              <w:bottom w:val="nil"/>
              <w:right w:val="nil"/>
            </w:tcBorders>
          </w:tcPr>
          <w:p w14:paraId="253AAA0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w:t>
            </w:r>
          </w:p>
        </w:tc>
        <w:tc>
          <w:tcPr>
            <w:tcW w:w="1338" w:type="dxa"/>
            <w:tcBorders>
              <w:top w:val="single" w:sz="4" w:space="0" w:color="auto"/>
              <w:left w:val="nil"/>
              <w:bottom w:val="nil"/>
              <w:right w:val="nil"/>
            </w:tcBorders>
          </w:tcPr>
          <w:p w14:paraId="5699DA3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w:t>
            </w:r>
          </w:p>
        </w:tc>
        <w:tc>
          <w:tcPr>
            <w:tcW w:w="1338" w:type="dxa"/>
            <w:tcBorders>
              <w:top w:val="single" w:sz="4" w:space="0" w:color="auto"/>
              <w:left w:val="nil"/>
              <w:bottom w:val="nil"/>
              <w:right w:val="nil"/>
            </w:tcBorders>
          </w:tcPr>
          <w:p w14:paraId="6755134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w:t>
            </w:r>
          </w:p>
        </w:tc>
        <w:tc>
          <w:tcPr>
            <w:tcW w:w="1338" w:type="dxa"/>
            <w:tcBorders>
              <w:top w:val="single" w:sz="4" w:space="0" w:color="auto"/>
              <w:left w:val="nil"/>
              <w:bottom w:val="nil"/>
              <w:right w:val="nil"/>
            </w:tcBorders>
          </w:tcPr>
          <w:p w14:paraId="45D12D1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w:t>
            </w:r>
          </w:p>
        </w:tc>
        <w:tc>
          <w:tcPr>
            <w:tcW w:w="1338" w:type="dxa"/>
            <w:tcBorders>
              <w:top w:val="single" w:sz="4" w:space="0" w:color="auto"/>
              <w:left w:val="nil"/>
              <w:bottom w:val="nil"/>
              <w:right w:val="nil"/>
            </w:tcBorders>
          </w:tcPr>
          <w:p w14:paraId="04BC6C5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w:t>
            </w:r>
          </w:p>
        </w:tc>
        <w:tc>
          <w:tcPr>
            <w:tcW w:w="1338" w:type="dxa"/>
            <w:tcBorders>
              <w:top w:val="single" w:sz="4" w:space="0" w:color="auto"/>
              <w:left w:val="nil"/>
              <w:bottom w:val="nil"/>
              <w:right w:val="nil"/>
            </w:tcBorders>
          </w:tcPr>
          <w:p w14:paraId="4B95A91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w:t>
            </w:r>
          </w:p>
        </w:tc>
        <w:tc>
          <w:tcPr>
            <w:tcW w:w="1338" w:type="dxa"/>
            <w:tcBorders>
              <w:top w:val="single" w:sz="4" w:space="0" w:color="auto"/>
              <w:left w:val="nil"/>
              <w:bottom w:val="nil"/>
              <w:right w:val="nil"/>
            </w:tcBorders>
          </w:tcPr>
          <w:p w14:paraId="47849C8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w:t>
            </w:r>
          </w:p>
        </w:tc>
        <w:tc>
          <w:tcPr>
            <w:tcW w:w="1338" w:type="dxa"/>
            <w:tcBorders>
              <w:top w:val="single" w:sz="4" w:space="0" w:color="auto"/>
              <w:left w:val="nil"/>
              <w:bottom w:val="nil"/>
              <w:right w:val="nil"/>
            </w:tcBorders>
          </w:tcPr>
          <w:p w14:paraId="4575408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w:t>
            </w:r>
          </w:p>
        </w:tc>
        <w:tc>
          <w:tcPr>
            <w:tcW w:w="1338" w:type="dxa"/>
            <w:tcBorders>
              <w:top w:val="single" w:sz="4" w:space="0" w:color="auto"/>
              <w:left w:val="nil"/>
              <w:bottom w:val="nil"/>
              <w:right w:val="nil"/>
            </w:tcBorders>
          </w:tcPr>
          <w:p w14:paraId="3E396D4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w:t>
            </w:r>
          </w:p>
        </w:tc>
      </w:tr>
      <w:tr w:rsidR="000F76BB" w:rsidRPr="00BA0E8D" w14:paraId="1542A39E" w14:textId="77777777" w:rsidTr="00894076">
        <w:trPr>
          <w:trHeight w:val="280"/>
        </w:trPr>
        <w:tc>
          <w:tcPr>
            <w:tcW w:w="1824" w:type="dxa"/>
            <w:tcBorders>
              <w:top w:val="single" w:sz="4" w:space="0" w:color="auto"/>
              <w:left w:val="nil"/>
              <w:bottom w:val="nil"/>
              <w:right w:val="nil"/>
            </w:tcBorders>
          </w:tcPr>
          <w:p w14:paraId="30CBE4AD"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Spread</w:t>
            </w:r>
          </w:p>
        </w:tc>
        <w:tc>
          <w:tcPr>
            <w:tcW w:w="1251" w:type="dxa"/>
            <w:tcBorders>
              <w:top w:val="single" w:sz="4" w:space="0" w:color="auto"/>
              <w:left w:val="nil"/>
              <w:bottom w:val="nil"/>
              <w:right w:val="nil"/>
            </w:tcBorders>
          </w:tcPr>
          <w:p w14:paraId="1910961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0.198</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2C5BCB8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0.219</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589AB5B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0.217</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423AA4A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0.229</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5ECC16E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0.230</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569678A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0.240</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659F5A0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0.211</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2D4CF98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0.224</w:t>
            </w:r>
            <w:r w:rsidRPr="00BA0E8D">
              <w:rPr>
                <w:rFonts w:ascii="Times New Roman" w:hAnsi="Times New Roman"/>
                <w:sz w:val="20"/>
                <w:szCs w:val="20"/>
                <w:vertAlign w:val="superscript"/>
              </w:rPr>
              <w:t>***</w:t>
            </w:r>
          </w:p>
        </w:tc>
        <w:tc>
          <w:tcPr>
            <w:tcW w:w="1338" w:type="dxa"/>
            <w:tcBorders>
              <w:top w:val="single" w:sz="4" w:space="0" w:color="auto"/>
              <w:left w:val="nil"/>
              <w:bottom w:val="nil"/>
              <w:right w:val="nil"/>
            </w:tcBorders>
          </w:tcPr>
          <w:p w14:paraId="7D0DCB7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0.229</w:t>
            </w:r>
            <w:r w:rsidRPr="00BA0E8D">
              <w:rPr>
                <w:rFonts w:ascii="Times New Roman" w:hAnsi="Times New Roman"/>
                <w:sz w:val="20"/>
                <w:szCs w:val="20"/>
                <w:vertAlign w:val="superscript"/>
              </w:rPr>
              <w:t>***</w:t>
            </w:r>
          </w:p>
        </w:tc>
      </w:tr>
      <w:tr w:rsidR="000F76BB" w:rsidRPr="00BA0E8D" w14:paraId="0DA783B4" w14:textId="77777777" w:rsidTr="00894076">
        <w:trPr>
          <w:trHeight w:val="300"/>
        </w:trPr>
        <w:tc>
          <w:tcPr>
            <w:tcW w:w="1824" w:type="dxa"/>
            <w:tcBorders>
              <w:top w:val="nil"/>
              <w:left w:val="nil"/>
              <w:bottom w:val="nil"/>
              <w:right w:val="nil"/>
            </w:tcBorders>
          </w:tcPr>
          <w:p w14:paraId="388B97B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5E487E4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p>
        </w:tc>
        <w:tc>
          <w:tcPr>
            <w:tcW w:w="1338" w:type="dxa"/>
            <w:tcBorders>
              <w:top w:val="nil"/>
              <w:left w:val="nil"/>
              <w:bottom w:val="nil"/>
              <w:right w:val="nil"/>
            </w:tcBorders>
          </w:tcPr>
          <w:p w14:paraId="1E2257F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38" w:type="dxa"/>
            <w:tcBorders>
              <w:top w:val="nil"/>
              <w:left w:val="nil"/>
              <w:bottom w:val="nil"/>
              <w:right w:val="nil"/>
            </w:tcBorders>
          </w:tcPr>
          <w:p w14:paraId="2695929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38" w:type="dxa"/>
            <w:tcBorders>
              <w:top w:val="nil"/>
              <w:left w:val="nil"/>
              <w:bottom w:val="nil"/>
              <w:right w:val="nil"/>
            </w:tcBorders>
          </w:tcPr>
          <w:p w14:paraId="5324BDD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p>
        </w:tc>
        <w:tc>
          <w:tcPr>
            <w:tcW w:w="1338" w:type="dxa"/>
            <w:tcBorders>
              <w:top w:val="nil"/>
              <w:left w:val="nil"/>
              <w:bottom w:val="nil"/>
              <w:right w:val="nil"/>
            </w:tcBorders>
          </w:tcPr>
          <w:p w14:paraId="4393899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p>
        </w:tc>
        <w:tc>
          <w:tcPr>
            <w:tcW w:w="1338" w:type="dxa"/>
            <w:tcBorders>
              <w:top w:val="nil"/>
              <w:left w:val="nil"/>
              <w:bottom w:val="nil"/>
              <w:right w:val="nil"/>
            </w:tcBorders>
          </w:tcPr>
          <w:p w14:paraId="0E115CD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p>
        </w:tc>
        <w:tc>
          <w:tcPr>
            <w:tcW w:w="1338" w:type="dxa"/>
            <w:tcBorders>
              <w:top w:val="nil"/>
              <w:left w:val="nil"/>
              <w:bottom w:val="nil"/>
              <w:right w:val="nil"/>
            </w:tcBorders>
          </w:tcPr>
          <w:p w14:paraId="4B2268E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p>
        </w:tc>
        <w:tc>
          <w:tcPr>
            <w:tcW w:w="1338" w:type="dxa"/>
            <w:tcBorders>
              <w:top w:val="nil"/>
              <w:left w:val="nil"/>
              <w:bottom w:val="nil"/>
              <w:right w:val="nil"/>
            </w:tcBorders>
          </w:tcPr>
          <w:p w14:paraId="02207CB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p>
        </w:tc>
        <w:tc>
          <w:tcPr>
            <w:tcW w:w="1338" w:type="dxa"/>
            <w:tcBorders>
              <w:top w:val="nil"/>
              <w:left w:val="nil"/>
              <w:bottom w:val="nil"/>
              <w:right w:val="nil"/>
            </w:tcBorders>
          </w:tcPr>
          <w:p w14:paraId="335CE41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p>
        </w:tc>
      </w:tr>
      <w:tr w:rsidR="000F76BB" w:rsidRPr="00BA0E8D" w14:paraId="1D01DD57" w14:textId="77777777" w:rsidTr="00894076">
        <w:trPr>
          <w:trHeight w:val="300"/>
        </w:trPr>
        <w:tc>
          <w:tcPr>
            <w:tcW w:w="1824" w:type="dxa"/>
            <w:tcBorders>
              <w:top w:val="nil"/>
              <w:left w:val="nil"/>
              <w:bottom w:val="nil"/>
              <w:right w:val="nil"/>
            </w:tcBorders>
          </w:tcPr>
          <w:p w14:paraId="481F6DE5"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Depth</w:t>
            </w:r>
          </w:p>
        </w:tc>
        <w:tc>
          <w:tcPr>
            <w:tcW w:w="1251" w:type="dxa"/>
            <w:tcBorders>
              <w:top w:val="nil"/>
              <w:left w:val="nil"/>
              <w:bottom w:val="nil"/>
              <w:right w:val="nil"/>
            </w:tcBorders>
          </w:tcPr>
          <w:p w14:paraId="78C7CB8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-0.310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3D7ABA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-0.329</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3E0BC6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-0.370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FA763C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3AB85E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63D138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0234B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0504361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0D9B61C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7A5AED03" w14:textId="77777777" w:rsidTr="00894076">
        <w:trPr>
          <w:trHeight w:val="280"/>
        </w:trPr>
        <w:tc>
          <w:tcPr>
            <w:tcW w:w="1824" w:type="dxa"/>
            <w:tcBorders>
              <w:top w:val="nil"/>
              <w:left w:val="nil"/>
              <w:bottom w:val="nil"/>
              <w:right w:val="nil"/>
            </w:tcBorders>
          </w:tcPr>
          <w:p w14:paraId="6B951D3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528F5D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(0.069)</w:t>
            </w:r>
          </w:p>
        </w:tc>
        <w:tc>
          <w:tcPr>
            <w:tcW w:w="1338" w:type="dxa"/>
            <w:tcBorders>
              <w:top w:val="nil"/>
              <w:left w:val="nil"/>
              <w:bottom w:val="nil"/>
              <w:right w:val="nil"/>
            </w:tcBorders>
          </w:tcPr>
          <w:p w14:paraId="60FCA4A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(0.066)</w:t>
            </w:r>
          </w:p>
        </w:tc>
        <w:tc>
          <w:tcPr>
            <w:tcW w:w="1338" w:type="dxa"/>
            <w:tcBorders>
              <w:top w:val="nil"/>
              <w:left w:val="nil"/>
              <w:bottom w:val="nil"/>
              <w:right w:val="nil"/>
            </w:tcBorders>
          </w:tcPr>
          <w:p w14:paraId="5745708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38" w:type="dxa"/>
            <w:tcBorders>
              <w:top w:val="nil"/>
              <w:left w:val="nil"/>
              <w:bottom w:val="nil"/>
              <w:right w:val="nil"/>
            </w:tcBorders>
          </w:tcPr>
          <w:p w14:paraId="1DFB17C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4CB14B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DE7776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3DC244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F686F5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48340D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20301069" w14:textId="77777777" w:rsidTr="00894076">
        <w:trPr>
          <w:trHeight w:val="300"/>
        </w:trPr>
        <w:tc>
          <w:tcPr>
            <w:tcW w:w="1824" w:type="dxa"/>
            <w:tcBorders>
              <w:top w:val="nil"/>
              <w:left w:val="nil"/>
              <w:bottom w:val="nil"/>
              <w:right w:val="nil"/>
            </w:tcBorders>
          </w:tcPr>
          <w:p w14:paraId="792645F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Registry</w:t>
            </w:r>
          </w:p>
        </w:tc>
        <w:tc>
          <w:tcPr>
            <w:tcW w:w="1251" w:type="dxa"/>
            <w:tcBorders>
              <w:top w:val="nil"/>
              <w:left w:val="nil"/>
              <w:bottom w:val="nil"/>
              <w:right w:val="nil"/>
            </w:tcBorders>
          </w:tcPr>
          <w:p w14:paraId="4C567AF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CB7D04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2BD6A3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7A08B9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517B78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9E8C58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1EEC62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035890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10D6EC3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0A89143B" w14:textId="77777777" w:rsidTr="00894076">
        <w:trPr>
          <w:trHeight w:val="300"/>
        </w:trPr>
        <w:tc>
          <w:tcPr>
            <w:tcW w:w="1824" w:type="dxa"/>
            <w:tcBorders>
              <w:top w:val="nil"/>
              <w:left w:val="nil"/>
              <w:bottom w:val="nil"/>
              <w:right w:val="nil"/>
            </w:tcBorders>
          </w:tcPr>
          <w:p w14:paraId="6EF2423D"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5EE423E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1425DF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1A1B88A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D57145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00B3152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713E8B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077C5DA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922260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E1A1AF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62A92873" w14:textId="77777777" w:rsidTr="00894076">
        <w:trPr>
          <w:trHeight w:val="300"/>
        </w:trPr>
        <w:tc>
          <w:tcPr>
            <w:tcW w:w="1824" w:type="dxa"/>
            <w:tcBorders>
              <w:top w:val="nil"/>
              <w:left w:val="nil"/>
              <w:bottom w:val="nil"/>
              <w:right w:val="nil"/>
            </w:tcBorders>
          </w:tcPr>
          <w:p w14:paraId="375E754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Bureau</w:t>
            </w:r>
          </w:p>
        </w:tc>
        <w:tc>
          <w:tcPr>
            <w:tcW w:w="1251" w:type="dxa"/>
            <w:tcBorders>
              <w:top w:val="nil"/>
              <w:left w:val="nil"/>
              <w:bottom w:val="nil"/>
              <w:right w:val="nil"/>
            </w:tcBorders>
          </w:tcPr>
          <w:p w14:paraId="3DC662A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EC3D1D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957481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6476037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1E6F7C9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60A91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E6C944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0.006</w:t>
            </w:r>
          </w:p>
        </w:tc>
        <w:tc>
          <w:tcPr>
            <w:tcW w:w="1338" w:type="dxa"/>
            <w:tcBorders>
              <w:top w:val="nil"/>
              <w:left w:val="nil"/>
              <w:bottom w:val="nil"/>
              <w:right w:val="nil"/>
            </w:tcBorders>
          </w:tcPr>
          <w:p w14:paraId="3680D30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0.008</w:t>
            </w:r>
          </w:p>
        </w:tc>
        <w:tc>
          <w:tcPr>
            <w:tcW w:w="1338" w:type="dxa"/>
            <w:tcBorders>
              <w:top w:val="nil"/>
              <w:left w:val="nil"/>
              <w:bottom w:val="nil"/>
              <w:right w:val="nil"/>
            </w:tcBorders>
          </w:tcPr>
          <w:p w14:paraId="072CF46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r>
      <w:tr w:rsidR="000F76BB" w:rsidRPr="00BA0E8D" w14:paraId="144F5489" w14:textId="77777777" w:rsidTr="00894076">
        <w:trPr>
          <w:trHeight w:val="300"/>
        </w:trPr>
        <w:tc>
          <w:tcPr>
            <w:tcW w:w="1824" w:type="dxa"/>
            <w:tcBorders>
              <w:top w:val="nil"/>
              <w:left w:val="nil"/>
              <w:bottom w:val="nil"/>
              <w:right w:val="nil"/>
            </w:tcBorders>
          </w:tcPr>
          <w:p w14:paraId="0E81A87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1F29555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0FBAEE1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114C2D1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26A8B3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C6ACDB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6862A31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B16CF3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(0.008)</w:t>
            </w:r>
          </w:p>
        </w:tc>
        <w:tc>
          <w:tcPr>
            <w:tcW w:w="1338" w:type="dxa"/>
            <w:tcBorders>
              <w:top w:val="nil"/>
              <w:left w:val="nil"/>
              <w:bottom w:val="nil"/>
              <w:right w:val="nil"/>
            </w:tcBorders>
          </w:tcPr>
          <w:p w14:paraId="25185D7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(0.007)</w:t>
            </w:r>
          </w:p>
        </w:tc>
        <w:tc>
          <w:tcPr>
            <w:tcW w:w="1338" w:type="dxa"/>
            <w:tcBorders>
              <w:top w:val="nil"/>
              <w:left w:val="nil"/>
              <w:bottom w:val="nil"/>
              <w:right w:val="nil"/>
            </w:tcBorders>
          </w:tcPr>
          <w:p w14:paraId="32C6EBC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(0.008)</w:t>
            </w:r>
          </w:p>
        </w:tc>
      </w:tr>
      <w:tr w:rsidR="000F76BB" w:rsidRPr="00BA0E8D" w14:paraId="4CFC1BC1" w14:textId="77777777" w:rsidTr="00894076">
        <w:trPr>
          <w:trHeight w:val="300"/>
        </w:trPr>
        <w:tc>
          <w:tcPr>
            <w:tcW w:w="1824" w:type="dxa"/>
            <w:tcBorders>
              <w:top w:val="nil"/>
              <w:left w:val="nil"/>
              <w:bottom w:val="nil"/>
              <w:right w:val="nil"/>
            </w:tcBorders>
          </w:tcPr>
          <w:p w14:paraId="218EAE89"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Size</w:t>
            </w:r>
          </w:p>
        </w:tc>
        <w:tc>
          <w:tcPr>
            <w:tcW w:w="1251" w:type="dxa"/>
            <w:tcBorders>
              <w:top w:val="nil"/>
              <w:left w:val="nil"/>
              <w:bottom w:val="nil"/>
              <w:right w:val="nil"/>
            </w:tcBorders>
          </w:tcPr>
          <w:p w14:paraId="79CA759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0.245</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70E080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0.270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057F80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0.287</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9D1D59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0.120</w:t>
            </w:r>
          </w:p>
        </w:tc>
        <w:tc>
          <w:tcPr>
            <w:tcW w:w="1338" w:type="dxa"/>
            <w:tcBorders>
              <w:top w:val="nil"/>
              <w:left w:val="nil"/>
              <w:bottom w:val="nil"/>
              <w:right w:val="nil"/>
            </w:tcBorders>
          </w:tcPr>
          <w:p w14:paraId="31FBE78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0.120</w:t>
            </w:r>
          </w:p>
        </w:tc>
        <w:tc>
          <w:tcPr>
            <w:tcW w:w="1338" w:type="dxa"/>
            <w:tcBorders>
              <w:top w:val="nil"/>
              <w:left w:val="nil"/>
              <w:bottom w:val="nil"/>
              <w:right w:val="nil"/>
            </w:tcBorders>
          </w:tcPr>
          <w:p w14:paraId="27EE38E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0.144</w:t>
            </w:r>
          </w:p>
        </w:tc>
        <w:tc>
          <w:tcPr>
            <w:tcW w:w="1338" w:type="dxa"/>
            <w:tcBorders>
              <w:top w:val="nil"/>
              <w:left w:val="nil"/>
              <w:bottom w:val="nil"/>
              <w:right w:val="nil"/>
            </w:tcBorders>
          </w:tcPr>
          <w:p w14:paraId="7909D05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0.116</w:t>
            </w:r>
          </w:p>
        </w:tc>
        <w:tc>
          <w:tcPr>
            <w:tcW w:w="1338" w:type="dxa"/>
            <w:tcBorders>
              <w:top w:val="nil"/>
              <w:left w:val="nil"/>
              <w:bottom w:val="nil"/>
              <w:right w:val="nil"/>
            </w:tcBorders>
          </w:tcPr>
          <w:p w14:paraId="088B161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0.130</w:t>
            </w:r>
          </w:p>
        </w:tc>
        <w:tc>
          <w:tcPr>
            <w:tcW w:w="1338" w:type="dxa"/>
            <w:tcBorders>
              <w:top w:val="nil"/>
              <w:left w:val="nil"/>
              <w:bottom w:val="nil"/>
              <w:right w:val="nil"/>
            </w:tcBorders>
          </w:tcPr>
          <w:p w14:paraId="5ADC357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0.150</w:t>
            </w:r>
            <w:r w:rsidRPr="00BA0E8D">
              <w:rPr>
                <w:rFonts w:ascii="Times New Roman" w:hAnsi="Times New Roman"/>
                <w:sz w:val="20"/>
                <w:szCs w:val="20"/>
                <w:vertAlign w:val="superscript"/>
              </w:rPr>
              <w:t>*</w:t>
            </w:r>
          </w:p>
        </w:tc>
      </w:tr>
      <w:tr w:rsidR="000F76BB" w:rsidRPr="00BA0E8D" w14:paraId="28CEABEC" w14:textId="77777777" w:rsidTr="00894076">
        <w:trPr>
          <w:trHeight w:val="300"/>
        </w:trPr>
        <w:tc>
          <w:tcPr>
            <w:tcW w:w="1824" w:type="dxa"/>
            <w:tcBorders>
              <w:top w:val="nil"/>
              <w:left w:val="nil"/>
              <w:bottom w:val="nil"/>
              <w:right w:val="nil"/>
            </w:tcBorders>
          </w:tcPr>
          <w:p w14:paraId="7EC188CF"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61AA7B4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38" w:type="dxa"/>
            <w:tcBorders>
              <w:top w:val="nil"/>
              <w:left w:val="nil"/>
              <w:bottom w:val="nil"/>
              <w:right w:val="nil"/>
            </w:tcBorders>
          </w:tcPr>
          <w:p w14:paraId="6447A22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38" w:type="dxa"/>
            <w:tcBorders>
              <w:top w:val="nil"/>
              <w:left w:val="nil"/>
              <w:bottom w:val="nil"/>
              <w:right w:val="nil"/>
            </w:tcBorders>
          </w:tcPr>
          <w:p w14:paraId="2B25038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338" w:type="dxa"/>
            <w:tcBorders>
              <w:top w:val="nil"/>
              <w:left w:val="nil"/>
              <w:bottom w:val="nil"/>
              <w:right w:val="nil"/>
            </w:tcBorders>
          </w:tcPr>
          <w:p w14:paraId="4604CC2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338" w:type="dxa"/>
            <w:tcBorders>
              <w:top w:val="nil"/>
              <w:left w:val="nil"/>
              <w:bottom w:val="nil"/>
              <w:right w:val="nil"/>
            </w:tcBorders>
          </w:tcPr>
          <w:p w14:paraId="4117B40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(0.088)</w:t>
            </w:r>
          </w:p>
        </w:tc>
        <w:tc>
          <w:tcPr>
            <w:tcW w:w="1338" w:type="dxa"/>
            <w:tcBorders>
              <w:top w:val="nil"/>
              <w:left w:val="nil"/>
              <w:bottom w:val="nil"/>
              <w:right w:val="nil"/>
            </w:tcBorders>
          </w:tcPr>
          <w:p w14:paraId="45633B0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338" w:type="dxa"/>
            <w:tcBorders>
              <w:top w:val="nil"/>
              <w:left w:val="nil"/>
              <w:bottom w:val="nil"/>
              <w:right w:val="nil"/>
            </w:tcBorders>
          </w:tcPr>
          <w:p w14:paraId="0ADD43E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38" w:type="dxa"/>
            <w:tcBorders>
              <w:top w:val="nil"/>
              <w:left w:val="nil"/>
              <w:bottom w:val="nil"/>
              <w:right w:val="nil"/>
            </w:tcBorders>
          </w:tcPr>
          <w:p w14:paraId="6581E6A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38" w:type="dxa"/>
            <w:tcBorders>
              <w:top w:val="nil"/>
              <w:left w:val="nil"/>
              <w:bottom w:val="nil"/>
              <w:right w:val="nil"/>
            </w:tcBorders>
          </w:tcPr>
          <w:p w14:paraId="43798AC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r>
      <w:tr w:rsidR="000F76BB" w:rsidRPr="00BA0E8D" w14:paraId="3CD45288" w14:textId="77777777" w:rsidTr="00894076">
        <w:trPr>
          <w:trHeight w:val="300"/>
        </w:trPr>
        <w:tc>
          <w:tcPr>
            <w:tcW w:w="1824" w:type="dxa"/>
            <w:tcBorders>
              <w:top w:val="nil"/>
              <w:left w:val="nil"/>
              <w:bottom w:val="nil"/>
              <w:right w:val="nil"/>
            </w:tcBorders>
          </w:tcPr>
          <w:p w14:paraId="5317280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Liquidity</w:t>
            </w:r>
          </w:p>
        </w:tc>
        <w:tc>
          <w:tcPr>
            <w:tcW w:w="1251" w:type="dxa"/>
            <w:tcBorders>
              <w:top w:val="nil"/>
              <w:left w:val="nil"/>
              <w:bottom w:val="nil"/>
              <w:right w:val="nil"/>
            </w:tcBorders>
          </w:tcPr>
          <w:p w14:paraId="3A68253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8683B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1C7D70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A91624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673970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B76D1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84DE8B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FE4A5D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1BA22C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r>
      <w:tr w:rsidR="000F76BB" w:rsidRPr="00BA0E8D" w14:paraId="5ACD796B" w14:textId="77777777" w:rsidTr="00894076">
        <w:trPr>
          <w:trHeight w:val="300"/>
        </w:trPr>
        <w:tc>
          <w:tcPr>
            <w:tcW w:w="1824" w:type="dxa"/>
            <w:tcBorders>
              <w:top w:val="nil"/>
              <w:left w:val="nil"/>
              <w:bottom w:val="nil"/>
              <w:right w:val="nil"/>
            </w:tcBorders>
          </w:tcPr>
          <w:p w14:paraId="386EEE05"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12ADFBA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379BF43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74F56EF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06AF23B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07FB0F6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458AEB6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7D75104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0EFF43E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38" w:type="dxa"/>
            <w:tcBorders>
              <w:top w:val="nil"/>
              <w:left w:val="nil"/>
              <w:bottom w:val="nil"/>
              <w:right w:val="nil"/>
            </w:tcBorders>
          </w:tcPr>
          <w:p w14:paraId="71DD889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r>
      <w:tr w:rsidR="000F76BB" w:rsidRPr="00BA0E8D" w14:paraId="33167330" w14:textId="77777777" w:rsidTr="00894076">
        <w:trPr>
          <w:trHeight w:val="300"/>
        </w:trPr>
        <w:tc>
          <w:tcPr>
            <w:tcW w:w="1824" w:type="dxa"/>
            <w:tcBorders>
              <w:top w:val="nil"/>
              <w:left w:val="nil"/>
              <w:bottom w:val="nil"/>
              <w:right w:val="nil"/>
            </w:tcBorders>
          </w:tcPr>
          <w:p w14:paraId="487223C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Provisions</w:t>
            </w:r>
          </w:p>
        </w:tc>
        <w:tc>
          <w:tcPr>
            <w:tcW w:w="1251" w:type="dxa"/>
            <w:tcBorders>
              <w:top w:val="nil"/>
              <w:left w:val="nil"/>
              <w:bottom w:val="nil"/>
              <w:right w:val="nil"/>
            </w:tcBorders>
          </w:tcPr>
          <w:p w14:paraId="5DD41F6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0.057</w:t>
            </w:r>
          </w:p>
        </w:tc>
        <w:tc>
          <w:tcPr>
            <w:tcW w:w="1338" w:type="dxa"/>
            <w:tcBorders>
              <w:top w:val="nil"/>
              <w:left w:val="nil"/>
              <w:bottom w:val="nil"/>
              <w:right w:val="nil"/>
            </w:tcBorders>
          </w:tcPr>
          <w:p w14:paraId="2DC67C0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0.065</w:t>
            </w:r>
          </w:p>
        </w:tc>
        <w:tc>
          <w:tcPr>
            <w:tcW w:w="1338" w:type="dxa"/>
            <w:tcBorders>
              <w:top w:val="nil"/>
              <w:left w:val="nil"/>
              <w:bottom w:val="nil"/>
              <w:right w:val="nil"/>
            </w:tcBorders>
          </w:tcPr>
          <w:p w14:paraId="3290F3C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0.066</w:t>
            </w:r>
          </w:p>
        </w:tc>
        <w:tc>
          <w:tcPr>
            <w:tcW w:w="1338" w:type="dxa"/>
            <w:tcBorders>
              <w:top w:val="nil"/>
              <w:left w:val="nil"/>
              <w:bottom w:val="nil"/>
              <w:right w:val="nil"/>
            </w:tcBorders>
          </w:tcPr>
          <w:p w14:paraId="7DE608D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CED11B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0.079</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DCE7B5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55F9AC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FC228D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6A500A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r w:rsidRPr="00BA0E8D">
              <w:rPr>
                <w:rFonts w:ascii="Times New Roman" w:hAnsi="Times New Roman"/>
                <w:sz w:val="20"/>
                <w:szCs w:val="20"/>
                <w:vertAlign w:val="superscript"/>
              </w:rPr>
              <w:t>*</w:t>
            </w:r>
          </w:p>
        </w:tc>
      </w:tr>
      <w:tr w:rsidR="000F76BB" w:rsidRPr="00BA0E8D" w14:paraId="5752399F" w14:textId="77777777" w:rsidTr="00894076">
        <w:trPr>
          <w:trHeight w:val="300"/>
        </w:trPr>
        <w:tc>
          <w:tcPr>
            <w:tcW w:w="1824" w:type="dxa"/>
            <w:tcBorders>
              <w:top w:val="nil"/>
              <w:left w:val="nil"/>
              <w:bottom w:val="nil"/>
              <w:right w:val="nil"/>
            </w:tcBorders>
          </w:tcPr>
          <w:p w14:paraId="7F4DC995"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663B4E7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p>
        </w:tc>
        <w:tc>
          <w:tcPr>
            <w:tcW w:w="1338" w:type="dxa"/>
            <w:tcBorders>
              <w:top w:val="nil"/>
              <w:left w:val="nil"/>
              <w:bottom w:val="nil"/>
              <w:right w:val="nil"/>
            </w:tcBorders>
          </w:tcPr>
          <w:p w14:paraId="0C3E167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38" w:type="dxa"/>
            <w:tcBorders>
              <w:top w:val="nil"/>
              <w:left w:val="nil"/>
              <w:bottom w:val="nil"/>
              <w:right w:val="nil"/>
            </w:tcBorders>
          </w:tcPr>
          <w:p w14:paraId="44F0373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38" w:type="dxa"/>
            <w:tcBorders>
              <w:top w:val="nil"/>
              <w:left w:val="nil"/>
              <w:bottom w:val="nil"/>
              <w:right w:val="nil"/>
            </w:tcBorders>
          </w:tcPr>
          <w:p w14:paraId="4E82C8A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38" w:type="dxa"/>
            <w:tcBorders>
              <w:top w:val="nil"/>
              <w:left w:val="nil"/>
              <w:bottom w:val="nil"/>
              <w:right w:val="nil"/>
            </w:tcBorders>
          </w:tcPr>
          <w:p w14:paraId="0A5813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38" w:type="dxa"/>
            <w:tcBorders>
              <w:top w:val="nil"/>
              <w:left w:val="nil"/>
              <w:bottom w:val="nil"/>
              <w:right w:val="nil"/>
            </w:tcBorders>
          </w:tcPr>
          <w:p w14:paraId="7003DD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38" w:type="dxa"/>
            <w:tcBorders>
              <w:top w:val="nil"/>
              <w:left w:val="nil"/>
              <w:bottom w:val="nil"/>
              <w:right w:val="nil"/>
            </w:tcBorders>
          </w:tcPr>
          <w:p w14:paraId="5F6880F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c>
          <w:tcPr>
            <w:tcW w:w="1338" w:type="dxa"/>
            <w:tcBorders>
              <w:top w:val="nil"/>
              <w:left w:val="nil"/>
              <w:bottom w:val="nil"/>
              <w:right w:val="nil"/>
            </w:tcBorders>
          </w:tcPr>
          <w:p w14:paraId="47284AF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38" w:type="dxa"/>
            <w:tcBorders>
              <w:top w:val="nil"/>
              <w:left w:val="nil"/>
              <w:bottom w:val="nil"/>
              <w:right w:val="nil"/>
            </w:tcBorders>
          </w:tcPr>
          <w:p w14:paraId="6FD19BC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r>
      <w:tr w:rsidR="000F76BB" w:rsidRPr="00BA0E8D" w14:paraId="2CA5AADE" w14:textId="77777777" w:rsidTr="00894076">
        <w:trPr>
          <w:trHeight w:val="280"/>
        </w:trPr>
        <w:tc>
          <w:tcPr>
            <w:tcW w:w="1824" w:type="dxa"/>
            <w:tcBorders>
              <w:top w:val="nil"/>
              <w:left w:val="nil"/>
              <w:bottom w:val="nil"/>
              <w:right w:val="nil"/>
            </w:tcBorders>
          </w:tcPr>
          <w:p w14:paraId="13287CA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Lending</w:t>
            </w:r>
          </w:p>
        </w:tc>
        <w:tc>
          <w:tcPr>
            <w:tcW w:w="1251" w:type="dxa"/>
            <w:tcBorders>
              <w:top w:val="nil"/>
              <w:left w:val="nil"/>
              <w:bottom w:val="nil"/>
              <w:right w:val="nil"/>
            </w:tcBorders>
          </w:tcPr>
          <w:p w14:paraId="13433DB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5A3FCB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F229A6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D8B05E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96FA6D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B5FB00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0F0483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D10549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68A8F3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r>
      <w:tr w:rsidR="000F76BB" w:rsidRPr="00BA0E8D" w14:paraId="6843178A" w14:textId="77777777" w:rsidTr="00894076">
        <w:trPr>
          <w:trHeight w:val="300"/>
        </w:trPr>
        <w:tc>
          <w:tcPr>
            <w:tcW w:w="1824" w:type="dxa"/>
            <w:tcBorders>
              <w:top w:val="nil"/>
              <w:left w:val="nil"/>
              <w:bottom w:val="nil"/>
              <w:right w:val="nil"/>
            </w:tcBorders>
          </w:tcPr>
          <w:p w14:paraId="6A98D7B8"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04989C3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6DADB2C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3BB19E5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281371A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0CFBE0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35E21C4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3E6372D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083A3C1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38" w:type="dxa"/>
            <w:tcBorders>
              <w:top w:val="nil"/>
              <w:left w:val="nil"/>
              <w:bottom w:val="nil"/>
              <w:right w:val="nil"/>
            </w:tcBorders>
          </w:tcPr>
          <w:p w14:paraId="3D1EF8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r>
      <w:tr w:rsidR="000F76BB" w:rsidRPr="00BA0E8D" w14:paraId="56AA30A3" w14:textId="77777777" w:rsidTr="00894076">
        <w:trPr>
          <w:trHeight w:val="300"/>
        </w:trPr>
        <w:tc>
          <w:tcPr>
            <w:tcW w:w="1824" w:type="dxa"/>
            <w:tcBorders>
              <w:top w:val="nil"/>
              <w:left w:val="nil"/>
              <w:bottom w:val="nil"/>
              <w:right w:val="nil"/>
            </w:tcBorders>
          </w:tcPr>
          <w:p w14:paraId="4F66D9F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Deposits</w:t>
            </w:r>
          </w:p>
        </w:tc>
        <w:tc>
          <w:tcPr>
            <w:tcW w:w="1251" w:type="dxa"/>
            <w:tcBorders>
              <w:top w:val="nil"/>
              <w:left w:val="nil"/>
              <w:bottom w:val="nil"/>
              <w:right w:val="nil"/>
            </w:tcBorders>
          </w:tcPr>
          <w:p w14:paraId="37C54D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38" w:type="dxa"/>
            <w:tcBorders>
              <w:top w:val="nil"/>
              <w:left w:val="nil"/>
              <w:bottom w:val="nil"/>
              <w:right w:val="nil"/>
            </w:tcBorders>
          </w:tcPr>
          <w:p w14:paraId="2738F16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E91878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0085B9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BADC59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482B5C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58497C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ABF197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03FB25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r w:rsidRPr="00BA0E8D">
              <w:rPr>
                <w:rFonts w:ascii="Times New Roman" w:hAnsi="Times New Roman"/>
                <w:sz w:val="20"/>
                <w:szCs w:val="20"/>
                <w:vertAlign w:val="superscript"/>
              </w:rPr>
              <w:t>**</w:t>
            </w:r>
          </w:p>
        </w:tc>
      </w:tr>
      <w:tr w:rsidR="000F76BB" w:rsidRPr="00BA0E8D" w14:paraId="042A48D9" w14:textId="77777777" w:rsidTr="00894076">
        <w:trPr>
          <w:trHeight w:val="280"/>
        </w:trPr>
        <w:tc>
          <w:tcPr>
            <w:tcW w:w="1824" w:type="dxa"/>
            <w:tcBorders>
              <w:top w:val="nil"/>
              <w:left w:val="nil"/>
              <w:bottom w:val="nil"/>
              <w:right w:val="nil"/>
            </w:tcBorders>
          </w:tcPr>
          <w:p w14:paraId="5A18C67D"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03838B1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338" w:type="dxa"/>
            <w:tcBorders>
              <w:top w:val="nil"/>
              <w:left w:val="nil"/>
              <w:bottom w:val="nil"/>
              <w:right w:val="nil"/>
            </w:tcBorders>
          </w:tcPr>
          <w:p w14:paraId="687CD2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338" w:type="dxa"/>
            <w:tcBorders>
              <w:top w:val="nil"/>
              <w:left w:val="nil"/>
              <w:bottom w:val="nil"/>
              <w:right w:val="nil"/>
            </w:tcBorders>
          </w:tcPr>
          <w:p w14:paraId="179E48A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338" w:type="dxa"/>
            <w:tcBorders>
              <w:top w:val="nil"/>
              <w:left w:val="nil"/>
              <w:bottom w:val="nil"/>
              <w:right w:val="nil"/>
            </w:tcBorders>
          </w:tcPr>
          <w:p w14:paraId="2E55B12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38" w:type="dxa"/>
            <w:tcBorders>
              <w:top w:val="nil"/>
              <w:left w:val="nil"/>
              <w:bottom w:val="nil"/>
              <w:right w:val="nil"/>
            </w:tcBorders>
          </w:tcPr>
          <w:p w14:paraId="28798BB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38" w:type="dxa"/>
            <w:tcBorders>
              <w:top w:val="nil"/>
              <w:left w:val="nil"/>
              <w:bottom w:val="nil"/>
              <w:right w:val="nil"/>
            </w:tcBorders>
          </w:tcPr>
          <w:p w14:paraId="59F0E86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38" w:type="dxa"/>
            <w:tcBorders>
              <w:top w:val="nil"/>
              <w:left w:val="nil"/>
              <w:bottom w:val="nil"/>
              <w:right w:val="nil"/>
            </w:tcBorders>
          </w:tcPr>
          <w:p w14:paraId="0A11A9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338" w:type="dxa"/>
            <w:tcBorders>
              <w:top w:val="nil"/>
              <w:left w:val="nil"/>
              <w:bottom w:val="nil"/>
              <w:right w:val="nil"/>
            </w:tcBorders>
          </w:tcPr>
          <w:p w14:paraId="62A89E9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38" w:type="dxa"/>
            <w:tcBorders>
              <w:top w:val="nil"/>
              <w:left w:val="nil"/>
              <w:bottom w:val="nil"/>
              <w:right w:val="nil"/>
            </w:tcBorders>
          </w:tcPr>
          <w:p w14:paraId="79D8907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r>
      <w:tr w:rsidR="000F76BB" w:rsidRPr="00BA0E8D" w14:paraId="7B204CBB" w14:textId="77777777" w:rsidTr="00894076">
        <w:trPr>
          <w:trHeight w:val="300"/>
        </w:trPr>
        <w:tc>
          <w:tcPr>
            <w:tcW w:w="1824" w:type="dxa"/>
            <w:tcBorders>
              <w:top w:val="nil"/>
              <w:left w:val="nil"/>
              <w:bottom w:val="nil"/>
              <w:right w:val="nil"/>
            </w:tcBorders>
          </w:tcPr>
          <w:p w14:paraId="30E5731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Equity</w:t>
            </w:r>
          </w:p>
        </w:tc>
        <w:tc>
          <w:tcPr>
            <w:tcW w:w="1251" w:type="dxa"/>
            <w:tcBorders>
              <w:top w:val="nil"/>
              <w:left w:val="nil"/>
              <w:bottom w:val="nil"/>
              <w:right w:val="nil"/>
            </w:tcBorders>
          </w:tcPr>
          <w:p w14:paraId="6D7C24D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c>
          <w:tcPr>
            <w:tcW w:w="1338" w:type="dxa"/>
            <w:tcBorders>
              <w:top w:val="nil"/>
              <w:left w:val="nil"/>
              <w:bottom w:val="nil"/>
              <w:right w:val="nil"/>
            </w:tcBorders>
          </w:tcPr>
          <w:p w14:paraId="4E9E723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c>
          <w:tcPr>
            <w:tcW w:w="1338" w:type="dxa"/>
            <w:tcBorders>
              <w:top w:val="nil"/>
              <w:left w:val="nil"/>
              <w:bottom w:val="nil"/>
              <w:right w:val="nil"/>
            </w:tcBorders>
          </w:tcPr>
          <w:p w14:paraId="2F90C30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38" w:type="dxa"/>
            <w:tcBorders>
              <w:top w:val="nil"/>
              <w:left w:val="nil"/>
              <w:bottom w:val="nil"/>
              <w:right w:val="nil"/>
            </w:tcBorders>
          </w:tcPr>
          <w:p w14:paraId="5F95F6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-0.007</w:t>
            </w:r>
          </w:p>
        </w:tc>
        <w:tc>
          <w:tcPr>
            <w:tcW w:w="1338" w:type="dxa"/>
            <w:tcBorders>
              <w:top w:val="nil"/>
              <w:left w:val="nil"/>
              <w:bottom w:val="nil"/>
              <w:right w:val="nil"/>
            </w:tcBorders>
          </w:tcPr>
          <w:p w14:paraId="171C61A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-0.007</w:t>
            </w:r>
          </w:p>
        </w:tc>
        <w:tc>
          <w:tcPr>
            <w:tcW w:w="1338" w:type="dxa"/>
            <w:tcBorders>
              <w:top w:val="nil"/>
              <w:left w:val="nil"/>
              <w:bottom w:val="nil"/>
              <w:right w:val="nil"/>
            </w:tcBorders>
          </w:tcPr>
          <w:p w14:paraId="36DA651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c>
          <w:tcPr>
            <w:tcW w:w="1338" w:type="dxa"/>
            <w:tcBorders>
              <w:top w:val="nil"/>
              <w:left w:val="nil"/>
              <w:bottom w:val="nil"/>
              <w:right w:val="nil"/>
            </w:tcBorders>
          </w:tcPr>
          <w:p w14:paraId="7365B42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-0.005</w:t>
            </w:r>
          </w:p>
        </w:tc>
        <w:tc>
          <w:tcPr>
            <w:tcW w:w="1338" w:type="dxa"/>
            <w:tcBorders>
              <w:top w:val="nil"/>
              <w:left w:val="nil"/>
              <w:bottom w:val="nil"/>
              <w:right w:val="nil"/>
            </w:tcBorders>
          </w:tcPr>
          <w:p w14:paraId="1FBDBD0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38" w:type="dxa"/>
            <w:tcBorders>
              <w:top w:val="nil"/>
              <w:left w:val="nil"/>
              <w:bottom w:val="nil"/>
              <w:right w:val="nil"/>
            </w:tcBorders>
          </w:tcPr>
          <w:p w14:paraId="4D095C2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r>
      <w:tr w:rsidR="000F76BB" w:rsidRPr="00BA0E8D" w14:paraId="4CE89D57" w14:textId="77777777" w:rsidTr="00894076">
        <w:trPr>
          <w:trHeight w:val="300"/>
        </w:trPr>
        <w:tc>
          <w:tcPr>
            <w:tcW w:w="1824" w:type="dxa"/>
            <w:tcBorders>
              <w:top w:val="nil"/>
              <w:left w:val="nil"/>
              <w:bottom w:val="nil"/>
              <w:right w:val="nil"/>
            </w:tcBorders>
          </w:tcPr>
          <w:p w14:paraId="212C8D9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45414DE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38" w:type="dxa"/>
            <w:tcBorders>
              <w:top w:val="nil"/>
              <w:left w:val="nil"/>
              <w:bottom w:val="nil"/>
              <w:right w:val="nil"/>
            </w:tcBorders>
          </w:tcPr>
          <w:p w14:paraId="75563B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38" w:type="dxa"/>
            <w:tcBorders>
              <w:top w:val="nil"/>
              <w:left w:val="nil"/>
              <w:bottom w:val="nil"/>
              <w:right w:val="nil"/>
            </w:tcBorders>
          </w:tcPr>
          <w:p w14:paraId="0829509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38" w:type="dxa"/>
            <w:tcBorders>
              <w:top w:val="nil"/>
              <w:left w:val="nil"/>
              <w:bottom w:val="nil"/>
              <w:right w:val="nil"/>
            </w:tcBorders>
          </w:tcPr>
          <w:p w14:paraId="34068F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38" w:type="dxa"/>
            <w:tcBorders>
              <w:top w:val="nil"/>
              <w:left w:val="nil"/>
              <w:bottom w:val="nil"/>
              <w:right w:val="nil"/>
            </w:tcBorders>
          </w:tcPr>
          <w:p w14:paraId="7AB9DE4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38" w:type="dxa"/>
            <w:tcBorders>
              <w:top w:val="nil"/>
              <w:left w:val="nil"/>
              <w:bottom w:val="nil"/>
              <w:right w:val="nil"/>
            </w:tcBorders>
          </w:tcPr>
          <w:p w14:paraId="4791502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38" w:type="dxa"/>
            <w:tcBorders>
              <w:top w:val="nil"/>
              <w:left w:val="nil"/>
              <w:bottom w:val="nil"/>
              <w:right w:val="nil"/>
            </w:tcBorders>
          </w:tcPr>
          <w:p w14:paraId="2CBC42C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38" w:type="dxa"/>
            <w:tcBorders>
              <w:top w:val="nil"/>
              <w:left w:val="nil"/>
              <w:bottom w:val="nil"/>
              <w:right w:val="nil"/>
            </w:tcBorders>
          </w:tcPr>
          <w:p w14:paraId="4D5AB3F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38" w:type="dxa"/>
            <w:tcBorders>
              <w:top w:val="nil"/>
              <w:left w:val="nil"/>
              <w:bottom w:val="nil"/>
              <w:right w:val="nil"/>
            </w:tcBorders>
          </w:tcPr>
          <w:p w14:paraId="2BB8001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r>
      <w:tr w:rsidR="000F76BB" w:rsidRPr="00BA0E8D" w14:paraId="1D05B775" w14:textId="77777777" w:rsidTr="00894076">
        <w:trPr>
          <w:trHeight w:val="300"/>
        </w:trPr>
        <w:tc>
          <w:tcPr>
            <w:tcW w:w="1824" w:type="dxa"/>
            <w:tcBorders>
              <w:top w:val="nil"/>
              <w:left w:val="nil"/>
              <w:bottom w:val="nil"/>
              <w:right w:val="nil"/>
            </w:tcBorders>
          </w:tcPr>
          <w:p w14:paraId="75AD133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Fees</w:t>
            </w:r>
          </w:p>
        </w:tc>
        <w:tc>
          <w:tcPr>
            <w:tcW w:w="1251" w:type="dxa"/>
            <w:tcBorders>
              <w:top w:val="nil"/>
              <w:left w:val="nil"/>
              <w:bottom w:val="nil"/>
              <w:right w:val="nil"/>
            </w:tcBorders>
          </w:tcPr>
          <w:p w14:paraId="0BC7A99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5C1896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CC0165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025179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A06C09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01643C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1341A7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6E81EE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1F632C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r>
      <w:tr w:rsidR="000F76BB" w:rsidRPr="00BA0E8D" w14:paraId="30360E38" w14:textId="77777777" w:rsidTr="00894076">
        <w:trPr>
          <w:trHeight w:val="300"/>
        </w:trPr>
        <w:tc>
          <w:tcPr>
            <w:tcW w:w="1824" w:type="dxa"/>
            <w:tcBorders>
              <w:top w:val="nil"/>
              <w:left w:val="nil"/>
              <w:bottom w:val="nil"/>
              <w:right w:val="nil"/>
            </w:tcBorders>
          </w:tcPr>
          <w:p w14:paraId="7F5BD6D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014D35E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0A19528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0880EC8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54FFAFD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70094EF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30272DF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6A1AA36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1AFBCEB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38" w:type="dxa"/>
            <w:tcBorders>
              <w:top w:val="nil"/>
              <w:left w:val="nil"/>
              <w:bottom w:val="nil"/>
              <w:right w:val="nil"/>
            </w:tcBorders>
          </w:tcPr>
          <w:p w14:paraId="4935CE3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r>
      <w:tr w:rsidR="000F76BB" w:rsidRPr="00BA0E8D" w14:paraId="1011F4B9" w14:textId="77777777" w:rsidTr="00894076">
        <w:trPr>
          <w:trHeight w:val="280"/>
        </w:trPr>
        <w:tc>
          <w:tcPr>
            <w:tcW w:w="1824" w:type="dxa"/>
            <w:tcBorders>
              <w:top w:val="nil"/>
              <w:left w:val="nil"/>
              <w:bottom w:val="nil"/>
              <w:right w:val="nil"/>
            </w:tcBorders>
          </w:tcPr>
          <w:p w14:paraId="760ED67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Inefficiency</w:t>
            </w:r>
          </w:p>
        </w:tc>
        <w:tc>
          <w:tcPr>
            <w:tcW w:w="1251" w:type="dxa"/>
            <w:tcBorders>
              <w:top w:val="nil"/>
              <w:left w:val="nil"/>
              <w:bottom w:val="nil"/>
              <w:right w:val="nil"/>
            </w:tcBorders>
          </w:tcPr>
          <w:p w14:paraId="3245F7E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143678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1E86CE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CA5D9B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0.695</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19E237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0.696</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AC43C5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54CA0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7AFFA4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5224DD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0.727</w:t>
            </w:r>
            <w:r w:rsidRPr="00BA0E8D">
              <w:rPr>
                <w:rFonts w:ascii="Times New Roman" w:hAnsi="Times New Roman"/>
                <w:sz w:val="20"/>
                <w:szCs w:val="20"/>
                <w:vertAlign w:val="superscript"/>
              </w:rPr>
              <w:t>***</w:t>
            </w:r>
          </w:p>
        </w:tc>
      </w:tr>
      <w:tr w:rsidR="000F76BB" w:rsidRPr="00BA0E8D" w14:paraId="2AC52E1C" w14:textId="77777777" w:rsidTr="00894076">
        <w:trPr>
          <w:trHeight w:val="300"/>
        </w:trPr>
        <w:tc>
          <w:tcPr>
            <w:tcW w:w="1824" w:type="dxa"/>
            <w:tcBorders>
              <w:top w:val="nil"/>
              <w:left w:val="nil"/>
              <w:bottom w:val="nil"/>
              <w:right w:val="nil"/>
            </w:tcBorders>
          </w:tcPr>
          <w:p w14:paraId="1BE62417"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670359C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338" w:type="dxa"/>
            <w:tcBorders>
              <w:top w:val="nil"/>
              <w:left w:val="nil"/>
              <w:bottom w:val="nil"/>
              <w:right w:val="nil"/>
            </w:tcBorders>
          </w:tcPr>
          <w:p w14:paraId="0696FAF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338" w:type="dxa"/>
            <w:tcBorders>
              <w:top w:val="nil"/>
              <w:left w:val="nil"/>
              <w:bottom w:val="nil"/>
              <w:right w:val="nil"/>
            </w:tcBorders>
          </w:tcPr>
          <w:p w14:paraId="69266B8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(0.093)</w:t>
            </w:r>
          </w:p>
        </w:tc>
        <w:tc>
          <w:tcPr>
            <w:tcW w:w="1338" w:type="dxa"/>
            <w:tcBorders>
              <w:top w:val="nil"/>
              <w:left w:val="nil"/>
              <w:bottom w:val="nil"/>
              <w:right w:val="nil"/>
            </w:tcBorders>
          </w:tcPr>
          <w:p w14:paraId="01F83B2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338" w:type="dxa"/>
            <w:tcBorders>
              <w:top w:val="nil"/>
              <w:left w:val="nil"/>
              <w:bottom w:val="nil"/>
              <w:right w:val="nil"/>
            </w:tcBorders>
          </w:tcPr>
          <w:p w14:paraId="2B019BC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338" w:type="dxa"/>
            <w:tcBorders>
              <w:top w:val="nil"/>
              <w:left w:val="nil"/>
              <w:bottom w:val="nil"/>
              <w:right w:val="nil"/>
            </w:tcBorders>
          </w:tcPr>
          <w:p w14:paraId="77C241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38" w:type="dxa"/>
            <w:tcBorders>
              <w:top w:val="nil"/>
              <w:left w:val="nil"/>
              <w:bottom w:val="nil"/>
              <w:right w:val="nil"/>
            </w:tcBorders>
          </w:tcPr>
          <w:p w14:paraId="725196D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(0.088)</w:t>
            </w:r>
          </w:p>
        </w:tc>
        <w:tc>
          <w:tcPr>
            <w:tcW w:w="1338" w:type="dxa"/>
            <w:tcBorders>
              <w:top w:val="nil"/>
              <w:left w:val="nil"/>
              <w:bottom w:val="nil"/>
              <w:right w:val="nil"/>
            </w:tcBorders>
          </w:tcPr>
          <w:p w14:paraId="3F14E09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38" w:type="dxa"/>
            <w:tcBorders>
              <w:top w:val="nil"/>
              <w:left w:val="nil"/>
              <w:bottom w:val="nil"/>
              <w:right w:val="nil"/>
            </w:tcBorders>
          </w:tcPr>
          <w:p w14:paraId="1EF7FD8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r>
      <w:tr w:rsidR="000F76BB" w:rsidRPr="00BA0E8D" w14:paraId="0B6B6774" w14:textId="77777777" w:rsidTr="00894076">
        <w:trPr>
          <w:trHeight w:val="280"/>
        </w:trPr>
        <w:tc>
          <w:tcPr>
            <w:tcW w:w="1824" w:type="dxa"/>
            <w:tcBorders>
              <w:top w:val="nil"/>
              <w:left w:val="nil"/>
              <w:bottom w:val="nil"/>
              <w:right w:val="nil"/>
            </w:tcBorders>
          </w:tcPr>
          <w:p w14:paraId="41CE608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GDP Growth</w:t>
            </w:r>
          </w:p>
        </w:tc>
        <w:tc>
          <w:tcPr>
            <w:tcW w:w="1251" w:type="dxa"/>
            <w:tcBorders>
              <w:top w:val="nil"/>
              <w:left w:val="nil"/>
              <w:bottom w:val="nil"/>
              <w:right w:val="nil"/>
            </w:tcBorders>
          </w:tcPr>
          <w:p w14:paraId="2558DE4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D54F49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F38C6D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p>
        </w:tc>
        <w:tc>
          <w:tcPr>
            <w:tcW w:w="1338" w:type="dxa"/>
            <w:tcBorders>
              <w:top w:val="nil"/>
              <w:left w:val="nil"/>
              <w:bottom w:val="nil"/>
              <w:right w:val="nil"/>
            </w:tcBorders>
          </w:tcPr>
          <w:p w14:paraId="6030C22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994434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0.076</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7E5EC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A9ED40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A3991D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D9D023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r w:rsidRPr="00BA0E8D">
              <w:rPr>
                <w:rFonts w:ascii="Times New Roman" w:hAnsi="Times New Roman"/>
                <w:sz w:val="20"/>
                <w:szCs w:val="20"/>
                <w:vertAlign w:val="superscript"/>
              </w:rPr>
              <w:t>**</w:t>
            </w:r>
          </w:p>
        </w:tc>
      </w:tr>
      <w:tr w:rsidR="000F76BB" w:rsidRPr="00BA0E8D" w14:paraId="2B317632" w14:textId="77777777" w:rsidTr="00894076">
        <w:trPr>
          <w:trHeight w:val="300"/>
        </w:trPr>
        <w:tc>
          <w:tcPr>
            <w:tcW w:w="1824" w:type="dxa"/>
            <w:tcBorders>
              <w:top w:val="nil"/>
              <w:left w:val="nil"/>
              <w:bottom w:val="nil"/>
              <w:right w:val="nil"/>
            </w:tcBorders>
          </w:tcPr>
          <w:p w14:paraId="326C94B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0A915C6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38" w:type="dxa"/>
            <w:tcBorders>
              <w:top w:val="nil"/>
              <w:left w:val="nil"/>
              <w:bottom w:val="nil"/>
              <w:right w:val="nil"/>
            </w:tcBorders>
          </w:tcPr>
          <w:p w14:paraId="059309A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38" w:type="dxa"/>
            <w:tcBorders>
              <w:top w:val="nil"/>
              <w:left w:val="nil"/>
              <w:bottom w:val="nil"/>
              <w:right w:val="nil"/>
            </w:tcBorders>
          </w:tcPr>
          <w:p w14:paraId="74E5250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38" w:type="dxa"/>
            <w:tcBorders>
              <w:top w:val="nil"/>
              <w:left w:val="nil"/>
              <w:bottom w:val="nil"/>
              <w:right w:val="nil"/>
            </w:tcBorders>
          </w:tcPr>
          <w:p w14:paraId="15CA589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38" w:type="dxa"/>
            <w:tcBorders>
              <w:top w:val="nil"/>
              <w:left w:val="nil"/>
              <w:bottom w:val="nil"/>
              <w:right w:val="nil"/>
            </w:tcBorders>
          </w:tcPr>
          <w:p w14:paraId="0EB51A4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38" w:type="dxa"/>
            <w:tcBorders>
              <w:top w:val="nil"/>
              <w:left w:val="nil"/>
              <w:bottom w:val="nil"/>
              <w:right w:val="nil"/>
            </w:tcBorders>
          </w:tcPr>
          <w:p w14:paraId="54BE00F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38" w:type="dxa"/>
            <w:tcBorders>
              <w:top w:val="nil"/>
              <w:left w:val="nil"/>
              <w:bottom w:val="nil"/>
              <w:right w:val="nil"/>
            </w:tcBorders>
          </w:tcPr>
          <w:p w14:paraId="1836EDA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38" w:type="dxa"/>
            <w:tcBorders>
              <w:top w:val="nil"/>
              <w:left w:val="nil"/>
              <w:bottom w:val="nil"/>
              <w:right w:val="nil"/>
            </w:tcBorders>
          </w:tcPr>
          <w:p w14:paraId="0E47D9D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38" w:type="dxa"/>
            <w:tcBorders>
              <w:top w:val="nil"/>
              <w:left w:val="nil"/>
              <w:bottom w:val="nil"/>
              <w:right w:val="nil"/>
            </w:tcBorders>
          </w:tcPr>
          <w:p w14:paraId="757BD89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r>
      <w:tr w:rsidR="000F76BB" w:rsidRPr="00BA0E8D" w14:paraId="0DE45D03" w14:textId="77777777" w:rsidTr="00894076">
        <w:trPr>
          <w:trHeight w:val="300"/>
        </w:trPr>
        <w:tc>
          <w:tcPr>
            <w:tcW w:w="1824" w:type="dxa"/>
            <w:tcBorders>
              <w:top w:val="nil"/>
              <w:left w:val="nil"/>
              <w:bottom w:val="nil"/>
              <w:right w:val="nil"/>
            </w:tcBorders>
          </w:tcPr>
          <w:p w14:paraId="109AA87F"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Inflation</w:t>
            </w:r>
          </w:p>
        </w:tc>
        <w:tc>
          <w:tcPr>
            <w:tcW w:w="1251" w:type="dxa"/>
            <w:tcBorders>
              <w:top w:val="nil"/>
              <w:left w:val="nil"/>
              <w:bottom w:val="nil"/>
              <w:right w:val="nil"/>
            </w:tcBorders>
          </w:tcPr>
          <w:p w14:paraId="183ED56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0.103</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D8C710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FDA143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C46F5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94D8F5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F804A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7AA972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676C31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0.095</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526004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0.100</w:t>
            </w:r>
            <w:r w:rsidRPr="00BA0E8D">
              <w:rPr>
                <w:rFonts w:ascii="Times New Roman" w:hAnsi="Times New Roman"/>
                <w:sz w:val="20"/>
                <w:szCs w:val="20"/>
                <w:vertAlign w:val="superscript"/>
              </w:rPr>
              <w:t>***</w:t>
            </w:r>
          </w:p>
        </w:tc>
      </w:tr>
      <w:tr w:rsidR="000F76BB" w:rsidRPr="00BA0E8D" w14:paraId="42DC66A6" w14:textId="77777777" w:rsidTr="00894076">
        <w:trPr>
          <w:trHeight w:val="280"/>
        </w:trPr>
        <w:tc>
          <w:tcPr>
            <w:tcW w:w="1824" w:type="dxa"/>
            <w:tcBorders>
              <w:top w:val="nil"/>
              <w:left w:val="nil"/>
              <w:bottom w:val="nil"/>
              <w:right w:val="nil"/>
            </w:tcBorders>
          </w:tcPr>
          <w:p w14:paraId="0CD0F3B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4721783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6A0E72B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47536C9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6679805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5E3E9A1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22AA85E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02DFBA1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5BF2257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38" w:type="dxa"/>
            <w:tcBorders>
              <w:top w:val="nil"/>
              <w:left w:val="nil"/>
              <w:bottom w:val="nil"/>
              <w:right w:val="nil"/>
            </w:tcBorders>
          </w:tcPr>
          <w:p w14:paraId="739554A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r>
      <w:tr w:rsidR="000F76BB" w:rsidRPr="00BA0E8D" w14:paraId="05587E67" w14:textId="77777777" w:rsidTr="00894076">
        <w:trPr>
          <w:trHeight w:val="280"/>
        </w:trPr>
        <w:tc>
          <w:tcPr>
            <w:tcW w:w="1824" w:type="dxa"/>
            <w:tcBorders>
              <w:top w:val="nil"/>
              <w:left w:val="nil"/>
              <w:bottom w:val="nil"/>
              <w:right w:val="nil"/>
            </w:tcBorders>
          </w:tcPr>
          <w:p w14:paraId="1DCB76E5"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w:t>
            </w:r>
          </w:p>
        </w:tc>
        <w:tc>
          <w:tcPr>
            <w:tcW w:w="1251" w:type="dxa"/>
            <w:tcBorders>
              <w:top w:val="nil"/>
              <w:left w:val="nil"/>
              <w:bottom w:val="nil"/>
              <w:right w:val="nil"/>
            </w:tcBorders>
          </w:tcPr>
          <w:p w14:paraId="219CFD7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-0.706</w:t>
            </w:r>
          </w:p>
        </w:tc>
        <w:tc>
          <w:tcPr>
            <w:tcW w:w="1338" w:type="dxa"/>
            <w:tcBorders>
              <w:top w:val="nil"/>
              <w:left w:val="nil"/>
              <w:bottom w:val="nil"/>
              <w:right w:val="nil"/>
            </w:tcBorders>
          </w:tcPr>
          <w:p w14:paraId="1EB59D7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-0.393</w:t>
            </w:r>
          </w:p>
        </w:tc>
        <w:tc>
          <w:tcPr>
            <w:tcW w:w="1338" w:type="dxa"/>
            <w:tcBorders>
              <w:top w:val="nil"/>
              <w:left w:val="nil"/>
              <w:bottom w:val="nil"/>
              <w:right w:val="nil"/>
            </w:tcBorders>
          </w:tcPr>
          <w:p w14:paraId="3867D8F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-0.938</w:t>
            </w:r>
          </w:p>
        </w:tc>
        <w:tc>
          <w:tcPr>
            <w:tcW w:w="1338" w:type="dxa"/>
            <w:tcBorders>
              <w:top w:val="nil"/>
              <w:left w:val="nil"/>
              <w:bottom w:val="nil"/>
              <w:right w:val="nil"/>
            </w:tcBorders>
          </w:tcPr>
          <w:p w14:paraId="02FC698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-1.403</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2869576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-1.411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6C4AF1D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-1.440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22BE93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-1.432</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99FD55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-1.521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3C8B1C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-1.176</w:t>
            </w:r>
          </w:p>
        </w:tc>
      </w:tr>
      <w:tr w:rsidR="000F76BB" w:rsidRPr="00BA0E8D" w14:paraId="591577E0" w14:textId="77777777" w:rsidTr="00894076">
        <w:trPr>
          <w:trHeight w:val="300"/>
        </w:trPr>
        <w:tc>
          <w:tcPr>
            <w:tcW w:w="1824" w:type="dxa"/>
            <w:tcBorders>
              <w:top w:val="nil"/>
              <w:left w:val="nil"/>
              <w:bottom w:val="nil"/>
              <w:right w:val="nil"/>
            </w:tcBorders>
          </w:tcPr>
          <w:p w14:paraId="2EF5F2D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2C72B9A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(0.695)</w:t>
            </w:r>
          </w:p>
        </w:tc>
        <w:tc>
          <w:tcPr>
            <w:tcW w:w="1338" w:type="dxa"/>
            <w:tcBorders>
              <w:top w:val="nil"/>
              <w:left w:val="nil"/>
              <w:bottom w:val="nil"/>
              <w:right w:val="nil"/>
            </w:tcBorders>
          </w:tcPr>
          <w:p w14:paraId="48497D2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(0.737)</w:t>
            </w:r>
          </w:p>
        </w:tc>
        <w:tc>
          <w:tcPr>
            <w:tcW w:w="1338" w:type="dxa"/>
            <w:tcBorders>
              <w:top w:val="nil"/>
              <w:left w:val="nil"/>
              <w:bottom w:val="nil"/>
              <w:right w:val="nil"/>
            </w:tcBorders>
          </w:tcPr>
          <w:p w14:paraId="46525B0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(0.698)</w:t>
            </w:r>
          </w:p>
        </w:tc>
        <w:tc>
          <w:tcPr>
            <w:tcW w:w="1338" w:type="dxa"/>
            <w:tcBorders>
              <w:top w:val="nil"/>
              <w:left w:val="nil"/>
              <w:bottom w:val="nil"/>
              <w:right w:val="nil"/>
            </w:tcBorders>
          </w:tcPr>
          <w:p w14:paraId="607B78B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(0.698)</w:t>
            </w:r>
          </w:p>
        </w:tc>
        <w:tc>
          <w:tcPr>
            <w:tcW w:w="1338" w:type="dxa"/>
            <w:tcBorders>
              <w:top w:val="nil"/>
              <w:left w:val="nil"/>
              <w:bottom w:val="nil"/>
              <w:right w:val="nil"/>
            </w:tcBorders>
          </w:tcPr>
          <w:p w14:paraId="7BD37F9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(0.704)</w:t>
            </w:r>
          </w:p>
        </w:tc>
        <w:tc>
          <w:tcPr>
            <w:tcW w:w="1338" w:type="dxa"/>
            <w:tcBorders>
              <w:top w:val="nil"/>
              <w:left w:val="nil"/>
              <w:bottom w:val="nil"/>
              <w:right w:val="nil"/>
            </w:tcBorders>
          </w:tcPr>
          <w:p w14:paraId="7BD1AB2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(0.712)</w:t>
            </w:r>
          </w:p>
        </w:tc>
        <w:tc>
          <w:tcPr>
            <w:tcW w:w="1338" w:type="dxa"/>
            <w:tcBorders>
              <w:top w:val="nil"/>
              <w:left w:val="nil"/>
              <w:bottom w:val="nil"/>
              <w:right w:val="nil"/>
            </w:tcBorders>
          </w:tcPr>
          <w:p w14:paraId="359FCA1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(0.704)</w:t>
            </w:r>
          </w:p>
        </w:tc>
        <w:tc>
          <w:tcPr>
            <w:tcW w:w="1338" w:type="dxa"/>
            <w:tcBorders>
              <w:top w:val="nil"/>
              <w:left w:val="nil"/>
              <w:bottom w:val="nil"/>
              <w:right w:val="nil"/>
            </w:tcBorders>
          </w:tcPr>
          <w:p w14:paraId="4E19975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(0.735)</w:t>
            </w:r>
          </w:p>
        </w:tc>
        <w:tc>
          <w:tcPr>
            <w:tcW w:w="1338" w:type="dxa"/>
            <w:tcBorders>
              <w:top w:val="nil"/>
              <w:left w:val="nil"/>
              <w:bottom w:val="nil"/>
              <w:right w:val="nil"/>
            </w:tcBorders>
          </w:tcPr>
          <w:p w14:paraId="46D0F36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(0.720)</w:t>
            </w:r>
          </w:p>
        </w:tc>
      </w:tr>
      <w:tr w:rsidR="000F76BB" w:rsidRPr="00BA0E8D" w14:paraId="4492C4E2" w14:textId="77777777" w:rsidTr="00894076">
        <w:trPr>
          <w:trHeight w:val="300"/>
        </w:trPr>
        <w:tc>
          <w:tcPr>
            <w:tcW w:w="1824" w:type="dxa"/>
            <w:tcBorders>
              <w:top w:val="nil"/>
              <w:left w:val="nil"/>
              <w:bottom w:val="nil"/>
              <w:right w:val="nil"/>
            </w:tcBorders>
          </w:tcPr>
          <w:p w14:paraId="7887161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w:t>
            </w:r>
          </w:p>
        </w:tc>
        <w:tc>
          <w:tcPr>
            <w:tcW w:w="1251" w:type="dxa"/>
            <w:tcBorders>
              <w:top w:val="nil"/>
              <w:left w:val="nil"/>
              <w:bottom w:val="nil"/>
              <w:right w:val="nil"/>
            </w:tcBorders>
          </w:tcPr>
          <w:p w14:paraId="7167D06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0.540</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36B26A5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5A74A1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DD38D6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-0.059</w:t>
            </w:r>
          </w:p>
        </w:tc>
        <w:tc>
          <w:tcPr>
            <w:tcW w:w="1338" w:type="dxa"/>
            <w:tcBorders>
              <w:top w:val="nil"/>
              <w:left w:val="nil"/>
              <w:bottom w:val="nil"/>
              <w:right w:val="nil"/>
            </w:tcBorders>
          </w:tcPr>
          <w:p w14:paraId="27E3C7D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6876316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19526CB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-0.300</w:t>
            </w:r>
          </w:p>
        </w:tc>
        <w:tc>
          <w:tcPr>
            <w:tcW w:w="1338" w:type="dxa"/>
            <w:tcBorders>
              <w:top w:val="nil"/>
              <w:left w:val="nil"/>
              <w:bottom w:val="nil"/>
              <w:right w:val="nil"/>
            </w:tcBorders>
          </w:tcPr>
          <w:p w14:paraId="0A21DE6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05E168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2E1D5FD1" w14:textId="77777777" w:rsidTr="00894076">
        <w:trPr>
          <w:trHeight w:val="300"/>
        </w:trPr>
        <w:tc>
          <w:tcPr>
            <w:tcW w:w="1824" w:type="dxa"/>
            <w:tcBorders>
              <w:top w:val="nil"/>
              <w:left w:val="nil"/>
              <w:bottom w:val="nil"/>
              <w:right w:val="nil"/>
            </w:tcBorders>
          </w:tcPr>
          <w:p w14:paraId="4D97E067"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5688A22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(0.281)</w:t>
            </w:r>
          </w:p>
        </w:tc>
        <w:tc>
          <w:tcPr>
            <w:tcW w:w="1338" w:type="dxa"/>
            <w:tcBorders>
              <w:top w:val="nil"/>
              <w:left w:val="nil"/>
              <w:bottom w:val="nil"/>
              <w:right w:val="nil"/>
            </w:tcBorders>
          </w:tcPr>
          <w:p w14:paraId="52C106E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233E0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B2856A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(0.271)</w:t>
            </w:r>
          </w:p>
        </w:tc>
        <w:tc>
          <w:tcPr>
            <w:tcW w:w="1338" w:type="dxa"/>
            <w:tcBorders>
              <w:top w:val="nil"/>
              <w:left w:val="nil"/>
              <w:bottom w:val="nil"/>
              <w:right w:val="nil"/>
            </w:tcBorders>
          </w:tcPr>
          <w:p w14:paraId="45901F8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5164A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0347E10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(0.236)</w:t>
            </w:r>
          </w:p>
        </w:tc>
        <w:tc>
          <w:tcPr>
            <w:tcW w:w="1338" w:type="dxa"/>
            <w:tcBorders>
              <w:top w:val="nil"/>
              <w:left w:val="nil"/>
              <w:bottom w:val="nil"/>
              <w:right w:val="nil"/>
            </w:tcBorders>
          </w:tcPr>
          <w:p w14:paraId="7790421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445A02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5790E2B9" w14:textId="77777777" w:rsidTr="00894076">
        <w:trPr>
          <w:trHeight w:val="300"/>
        </w:trPr>
        <w:tc>
          <w:tcPr>
            <w:tcW w:w="1824" w:type="dxa"/>
            <w:tcBorders>
              <w:top w:val="nil"/>
              <w:left w:val="nil"/>
              <w:bottom w:val="nil"/>
              <w:right w:val="nil"/>
            </w:tcBorders>
          </w:tcPr>
          <w:p w14:paraId="38E45838"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w:t>
            </w:r>
          </w:p>
        </w:tc>
        <w:tc>
          <w:tcPr>
            <w:tcW w:w="1251" w:type="dxa"/>
            <w:tcBorders>
              <w:top w:val="nil"/>
              <w:left w:val="nil"/>
              <w:bottom w:val="nil"/>
              <w:right w:val="nil"/>
            </w:tcBorders>
          </w:tcPr>
          <w:p w14:paraId="2B191F0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DC842B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0.847</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6B3FA9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1A033D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9F27F0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38" w:type="dxa"/>
            <w:tcBorders>
              <w:top w:val="nil"/>
              <w:left w:val="nil"/>
              <w:bottom w:val="nil"/>
              <w:right w:val="nil"/>
            </w:tcBorders>
          </w:tcPr>
          <w:p w14:paraId="2700E06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67AE931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F4E670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-0.315</w:t>
            </w:r>
          </w:p>
        </w:tc>
        <w:tc>
          <w:tcPr>
            <w:tcW w:w="1338" w:type="dxa"/>
            <w:tcBorders>
              <w:top w:val="nil"/>
              <w:left w:val="nil"/>
              <w:bottom w:val="nil"/>
              <w:right w:val="nil"/>
            </w:tcBorders>
          </w:tcPr>
          <w:p w14:paraId="6DD3207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1D9FDF23" w14:textId="77777777" w:rsidTr="00894076">
        <w:trPr>
          <w:trHeight w:val="280"/>
        </w:trPr>
        <w:tc>
          <w:tcPr>
            <w:tcW w:w="1824" w:type="dxa"/>
            <w:tcBorders>
              <w:top w:val="nil"/>
              <w:left w:val="nil"/>
              <w:bottom w:val="nil"/>
              <w:right w:val="nil"/>
            </w:tcBorders>
          </w:tcPr>
          <w:p w14:paraId="6C56B24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5502ADF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62D93BA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(0.343)</w:t>
            </w:r>
          </w:p>
        </w:tc>
        <w:tc>
          <w:tcPr>
            <w:tcW w:w="1338" w:type="dxa"/>
            <w:tcBorders>
              <w:top w:val="nil"/>
              <w:left w:val="nil"/>
              <w:bottom w:val="nil"/>
              <w:right w:val="nil"/>
            </w:tcBorders>
          </w:tcPr>
          <w:p w14:paraId="42D1EB0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0A324D5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6CD449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(0.328)</w:t>
            </w:r>
          </w:p>
        </w:tc>
        <w:tc>
          <w:tcPr>
            <w:tcW w:w="1338" w:type="dxa"/>
            <w:tcBorders>
              <w:top w:val="nil"/>
              <w:left w:val="nil"/>
              <w:bottom w:val="nil"/>
              <w:right w:val="nil"/>
            </w:tcBorders>
          </w:tcPr>
          <w:p w14:paraId="4BCC393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4BC5C0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9228ED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(0.284)</w:t>
            </w:r>
          </w:p>
        </w:tc>
        <w:tc>
          <w:tcPr>
            <w:tcW w:w="1338" w:type="dxa"/>
            <w:tcBorders>
              <w:top w:val="nil"/>
              <w:left w:val="nil"/>
              <w:bottom w:val="nil"/>
              <w:right w:val="nil"/>
            </w:tcBorders>
          </w:tcPr>
          <w:p w14:paraId="3DCDDCE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0F76BB" w:rsidRPr="00BA0E8D" w14:paraId="23424450" w14:textId="77777777" w:rsidTr="00894076">
        <w:trPr>
          <w:trHeight w:val="300"/>
        </w:trPr>
        <w:tc>
          <w:tcPr>
            <w:tcW w:w="1824" w:type="dxa"/>
            <w:tcBorders>
              <w:top w:val="nil"/>
              <w:left w:val="nil"/>
              <w:bottom w:val="nil"/>
              <w:right w:val="nil"/>
            </w:tcBorders>
          </w:tcPr>
          <w:p w14:paraId="012A257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w:t>
            </w:r>
          </w:p>
        </w:tc>
        <w:tc>
          <w:tcPr>
            <w:tcW w:w="1251" w:type="dxa"/>
            <w:tcBorders>
              <w:top w:val="nil"/>
              <w:left w:val="nil"/>
              <w:bottom w:val="nil"/>
              <w:right w:val="nil"/>
            </w:tcBorders>
          </w:tcPr>
          <w:p w14:paraId="48EB0AE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C0E629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4EE906E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1.058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CBADA3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0751FAA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6F0877A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0.260</w:t>
            </w:r>
          </w:p>
        </w:tc>
        <w:tc>
          <w:tcPr>
            <w:tcW w:w="1338" w:type="dxa"/>
            <w:tcBorders>
              <w:top w:val="nil"/>
              <w:left w:val="nil"/>
              <w:bottom w:val="nil"/>
              <w:right w:val="nil"/>
            </w:tcBorders>
          </w:tcPr>
          <w:p w14:paraId="32E3565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673966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2B5CD41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0.194</w:t>
            </w:r>
          </w:p>
        </w:tc>
      </w:tr>
      <w:tr w:rsidR="000F76BB" w:rsidRPr="00BA0E8D" w14:paraId="7AEBCE70" w14:textId="77777777" w:rsidTr="00894076">
        <w:trPr>
          <w:trHeight w:val="300"/>
        </w:trPr>
        <w:tc>
          <w:tcPr>
            <w:tcW w:w="1824" w:type="dxa"/>
            <w:tcBorders>
              <w:top w:val="nil"/>
              <w:left w:val="nil"/>
              <w:bottom w:val="nil"/>
              <w:right w:val="nil"/>
            </w:tcBorders>
          </w:tcPr>
          <w:p w14:paraId="40437A7E"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nil"/>
              <w:right w:val="nil"/>
            </w:tcBorders>
          </w:tcPr>
          <w:p w14:paraId="77BF0DE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785913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A1FCDD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(0.277)</w:t>
            </w:r>
          </w:p>
        </w:tc>
        <w:tc>
          <w:tcPr>
            <w:tcW w:w="1338" w:type="dxa"/>
            <w:tcBorders>
              <w:top w:val="nil"/>
              <w:left w:val="nil"/>
              <w:bottom w:val="nil"/>
              <w:right w:val="nil"/>
            </w:tcBorders>
          </w:tcPr>
          <w:p w14:paraId="1129284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72FBA80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B68F14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(0.249)</w:t>
            </w:r>
          </w:p>
        </w:tc>
        <w:tc>
          <w:tcPr>
            <w:tcW w:w="1338" w:type="dxa"/>
            <w:tcBorders>
              <w:top w:val="nil"/>
              <w:left w:val="nil"/>
              <w:bottom w:val="nil"/>
              <w:right w:val="nil"/>
            </w:tcBorders>
          </w:tcPr>
          <w:p w14:paraId="43FCEC3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58FEAF0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38" w:type="dxa"/>
            <w:tcBorders>
              <w:top w:val="nil"/>
              <w:left w:val="nil"/>
              <w:bottom w:val="nil"/>
              <w:right w:val="nil"/>
            </w:tcBorders>
          </w:tcPr>
          <w:p w14:paraId="3D8D907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(0.261)</w:t>
            </w:r>
          </w:p>
        </w:tc>
      </w:tr>
      <w:tr w:rsidR="000F76BB" w:rsidRPr="00BA0E8D" w14:paraId="3247C55A" w14:textId="77777777" w:rsidTr="00894076">
        <w:trPr>
          <w:trHeight w:val="280"/>
        </w:trPr>
        <w:tc>
          <w:tcPr>
            <w:tcW w:w="1824" w:type="dxa"/>
            <w:tcBorders>
              <w:top w:val="nil"/>
              <w:left w:val="nil"/>
              <w:bottom w:val="nil"/>
              <w:right w:val="nil"/>
            </w:tcBorders>
          </w:tcPr>
          <w:p w14:paraId="019A211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Constant</w:t>
            </w:r>
          </w:p>
        </w:tc>
        <w:tc>
          <w:tcPr>
            <w:tcW w:w="1251" w:type="dxa"/>
            <w:tcBorders>
              <w:top w:val="nil"/>
              <w:left w:val="nil"/>
              <w:bottom w:val="nil"/>
              <w:right w:val="nil"/>
            </w:tcBorders>
          </w:tcPr>
          <w:p w14:paraId="10F49E7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3.817</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37001A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3.875</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AFCB23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3.914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5B4D7C7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5.868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6AD0E9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5.898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7816830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4.898</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12ACEC1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5.554</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0EEA450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5.531</w:t>
            </w:r>
            <w:r w:rsidRPr="00BA0E8D">
              <w:rPr>
                <w:rFonts w:ascii="Times New Roman" w:hAnsi="Times New Roman"/>
                <w:sz w:val="20"/>
                <w:szCs w:val="20"/>
                <w:vertAlign w:val="superscript"/>
              </w:rPr>
              <w:t>***</w:t>
            </w:r>
          </w:p>
        </w:tc>
        <w:tc>
          <w:tcPr>
            <w:tcW w:w="1338" w:type="dxa"/>
            <w:tcBorders>
              <w:top w:val="nil"/>
              <w:left w:val="nil"/>
              <w:bottom w:val="nil"/>
              <w:right w:val="nil"/>
            </w:tcBorders>
          </w:tcPr>
          <w:p w14:paraId="4C674ED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5.183</w:t>
            </w:r>
            <w:r w:rsidRPr="00BA0E8D">
              <w:rPr>
                <w:rFonts w:ascii="Times New Roman" w:hAnsi="Times New Roman"/>
                <w:sz w:val="20"/>
                <w:szCs w:val="20"/>
                <w:vertAlign w:val="superscript"/>
              </w:rPr>
              <w:t>**</w:t>
            </w:r>
          </w:p>
        </w:tc>
      </w:tr>
      <w:tr w:rsidR="000F76BB" w:rsidRPr="00BA0E8D" w14:paraId="1FACF537" w14:textId="77777777" w:rsidTr="00894076">
        <w:trPr>
          <w:trHeight w:val="300"/>
        </w:trPr>
        <w:tc>
          <w:tcPr>
            <w:tcW w:w="1824" w:type="dxa"/>
            <w:tcBorders>
              <w:top w:val="nil"/>
              <w:left w:val="nil"/>
              <w:bottom w:val="single" w:sz="4" w:space="0" w:color="auto"/>
              <w:right w:val="nil"/>
            </w:tcBorders>
          </w:tcPr>
          <w:p w14:paraId="066AD93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251" w:type="dxa"/>
            <w:tcBorders>
              <w:top w:val="nil"/>
              <w:left w:val="nil"/>
              <w:bottom w:val="single" w:sz="4" w:space="0" w:color="auto"/>
              <w:right w:val="nil"/>
            </w:tcBorders>
          </w:tcPr>
          <w:p w14:paraId="4C1C3D2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(1.996)</w:t>
            </w:r>
          </w:p>
        </w:tc>
        <w:tc>
          <w:tcPr>
            <w:tcW w:w="1338" w:type="dxa"/>
            <w:tcBorders>
              <w:top w:val="nil"/>
              <w:left w:val="nil"/>
              <w:bottom w:val="single" w:sz="4" w:space="0" w:color="auto"/>
              <w:right w:val="nil"/>
            </w:tcBorders>
          </w:tcPr>
          <w:p w14:paraId="72627B5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(2.028)</w:t>
            </w:r>
          </w:p>
        </w:tc>
        <w:tc>
          <w:tcPr>
            <w:tcW w:w="1338" w:type="dxa"/>
            <w:tcBorders>
              <w:top w:val="nil"/>
              <w:left w:val="nil"/>
              <w:bottom w:val="single" w:sz="4" w:space="0" w:color="auto"/>
              <w:right w:val="nil"/>
            </w:tcBorders>
          </w:tcPr>
          <w:p w14:paraId="4721F2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(2.025)</w:t>
            </w:r>
          </w:p>
        </w:tc>
        <w:tc>
          <w:tcPr>
            <w:tcW w:w="1338" w:type="dxa"/>
            <w:tcBorders>
              <w:top w:val="nil"/>
              <w:left w:val="nil"/>
              <w:bottom w:val="single" w:sz="4" w:space="0" w:color="auto"/>
              <w:right w:val="nil"/>
            </w:tcBorders>
          </w:tcPr>
          <w:p w14:paraId="7C62C52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(1.939)</w:t>
            </w:r>
          </w:p>
        </w:tc>
        <w:tc>
          <w:tcPr>
            <w:tcW w:w="1338" w:type="dxa"/>
            <w:tcBorders>
              <w:top w:val="nil"/>
              <w:left w:val="nil"/>
              <w:bottom w:val="single" w:sz="4" w:space="0" w:color="auto"/>
              <w:right w:val="nil"/>
            </w:tcBorders>
          </w:tcPr>
          <w:p w14:paraId="7431DF9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(1.940)</w:t>
            </w:r>
          </w:p>
        </w:tc>
        <w:tc>
          <w:tcPr>
            <w:tcW w:w="1338" w:type="dxa"/>
            <w:tcBorders>
              <w:top w:val="nil"/>
              <w:left w:val="nil"/>
              <w:bottom w:val="single" w:sz="4" w:space="0" w:color="auto"/>
              <w:right w:val="nil"/>
            </w:tcBorders>
          </w:tcPr>
          <w:p w14:paraId="385B010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(1.969)</w:t>
            </w:r>
          </w:p>
        </w:tc>
        <w:tc>
          <w:tcPr>
            <w:tcW w:w="1338" w:type="dxa"/>
            <w:tcBorders>
              <w:top w:val="nil"/>
              <w:left w:val="nil"/>
              <w:bottom w:val="single" w:sz="4" w:space="0" w:color="auto"/>
              <w:right w:val="nil"/>
            </w:tcBorders>
          </w:tcPr>
          <w:p w14:paraId="1642BE9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(2.036)</w:t>
            </w:r>
          </w:p>
        </w:tc>
        <w:tc>
          <w:tcPr>
            <w:tcW w:w="1338" w:type="dxa"/>
            <w:tcBorders>
              <w:top w:val="nil"/>
              <w:left w:val="nil"/>
              <w:bottom w:val="single" w:sz="4" w:space="0" w:color="auto"/>
              <w:right w:val="nil"/>
            </w:tcBorders>
          </w:tcPr>
          <w:p w14:paraId="19973D7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(2.058)</w:t>
            </w:r>
          </w:p>
        </w:tc>
        <w:tc>
          <w:tcPr>
            <w:tcW w:w="1338" w:type="dxa"/>
            <w:tcBorders>
              <w:top w:val="nil"/>
              <w:left w:val="nil"/>
              <w:bottom w:val="single" w:sz="4" w:space="0" w:color="auto"/>
              <w:right w:val="nil"/>
            </w:tcBorders>
          </w:tcPr>
          <w:p w14:paraId="5A1CD89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(2.100)</w:t>
            </w:r>
          </w:p>
        </w:tc>
      </w:tr>
      <w:tr w:rsidR="00155FC8" w:rsidRPr="00BA0E8D" w14:paraId="153FA4C3" w14:textId="77777777" w:rsidTr="00894076">
        <w:trPr>
          <w:trHeight w:val="300"/>
        </w:trPr>
        <w:tc>
          <w:tcPr>
            <w:tcW w:w="1824" w:type="dxa"/>
            <w:tcBorders>
              <w:top w:val="single" w:sz="4" w:space="0" w:color="auto"/>
              <w:left w:val="nil"/>
              <w:bottom w:val="nil"/>
              <w:right w:val="nil"/>
            </w:tcBorders>
          </w:tcPr>
          <w:p w14:paraId="4947FDD8" w14:textId="6E304AB1" w:rsidR="00155FC8" w:rsidRPr="00BA0E8D" w:rsidRDefault="00155FC8" w:rsidP="00155FC8">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18"/>
                <w:szCs w:val="18"/>
              </w:rPr>
              <w:t>No. of observations</w:t>
            </w:r>
          </w:p>
        </w:tc>
        <w:tc>
          <w:tcPr>
            <w:tcW w:w="1251" w:type="dxa"/>
            <w:tcBorders>
              <w:top w:val="single" w:sz="4" w:space="0" w:color="auto"/>
              <w:left w:val="nil"/>
              <w:bottom w:val="nil"/>
              <w:right w:val="nil"/>
            </w:tcBorders>
          </w:tcPr>
          <w:p w14:paraId="69E23084"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256C2B1F"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41BEFEB5"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573E334E"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0843111B"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0FF3DD27"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1977D851"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25B26947"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38" w:type="dxa"/>
            <w:tcBorders>
              <w:top w:val="single" w:sz="4" w:space="0" w:color="auto"/>
              <w:left w:val="nil"/>
              <w:bottom w:val="nil"/>
              <w:right w:val="nil"/>
            </w:tcBorders>
          </w:tcPr>
          <w:p w14:paraId="487D9811"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r>
      <w:tr w:rsidR="00155FC8" w:rsidRPr="00BA0E8D" w14:paraId="73D22CA1" w14:textId="77777777" w:rsidTr="00894076">
        <w:trPr>
          <w:trHeight w:val="300"/>
        </w:trPr>
        <w:tc>
          <w:tcPr>
            <w:tcW w:w="1824" w:type="dxa"/>
            <w:tcBorders>
              <w:top w:val="nil"/>
              <w:left w:val="nil"/>
              <w:bottom w:val="nil"/>
              <w:right w:val="nil"/>
            </w:tcBorders>
          </w:tcPr>
          <w:p w14:paraId="45A0857C" w14:textId="4DAE625C" w:rsidR="00155FC8" w:rsidRPr="00BA0E8D" w:rsidRDefault="00155FC8" w:rsidP="00155FC8">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18"/>
                <w:szCs w:val="18"/>
              </w:rPr>
              <w:t>Hansen test p-value</w:t>
            </w:r>
          </w:p>
        </w:tc>
        <w:tc>
          <w:tcPr>
            <w:tcW w:w="1251" w:type="dxa"/>
            <w:tcBorders>
              <w:top w:val="nil"/>
              <w:left w:val="nil"/>
              <w:bottom w:val="nil"/>
              <w:right w:val="nil"/>
            </w:tcBorders>
          </w:tcPr>
          <w:p w14:paraId="3A2DCC2D"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0.591</w:t>
            </w:r>
          </w:p>
        </w:tc>
        <w:tc>
          <w:tcPr>
            <w:tcW w:w="1338" w:type="dxa"/>
            <w:tcBorders>
              <w:top w:val="nil"/>
              <w:left w:val="nil"/>
              <w:bottom w:val="nil"/>
              <w:right w:val="nil"/>
            </w:tcBorders>
          </w:tcPr>
          <w:p w14:paraId="09FEA3EE"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0.305</w:t>
            </w:r>
          </w:p>
        </w:tc>
        <w:tc>
          <w:tcPr>
            <w:tcW w:w="1338" w:type="dxa"/>
            <w:tcBorders>
              <w:top w:val="nil"/>
              <w:left w:val="nil"/>
              <w:bottom w:val="nil"/>
              <w:right w:val="nil"/>
            </w:tcBorders>
          </w:tcPr>
          <w:p w14:paraId="08E3A32D"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0.291</w:t>
            </w:r>
          </w:p>
        </w:tc>
        <w:tc>
          <w:tcPr>
            <w:tcW w:w="1338" w:type="dxa"/>
            <w:tcBorders>
              <w:top w:val="nil"/>
              <w:left w:val="nil"/>
              <w:bottom w:val="nil"/>
              <w:right w:val="nil"/>
            </w:tcBorders>
          </w:tcPr>
          <w:p w14:paraId="1FF7B44A"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0.960</w:t>
            </w:r>
          </w:p>
        </w:tc>
        <w:tc>
          <w:tcPr>
            <w:tcW w:w="1338" w:type="dxa"/>
            <w:tcBorders>
              <w:top w:val="nil"/>
              <w:left w:val="nil"/>
              <w:bottom w:val="nil"/>
              <w:right w:val="nil"/>
            </w:tcBorders>
          </w:tcPr>
          <w:p w14:paraId="7CCC4489"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0.964</w:t>
            </w:r>
          </w:p>
        </w:tc>
        <w:tc>
          <w:tcPr>
            <w:tcW w:w="1338" w:type="dxa"/>
            <w:tcBorders>
              <w:top w:val="nil"/>
              <w:left w:val="nil"/>
              <w:bottom w:val="nil"/>
              <w:right w:val="nil"/>
            </w:tcBorders>
          </w:tcPr>
          <w:p w14:paraId="436E2AD0"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0.569</w:t>
            </w:r>
          </w:p>
        </w:tc>
        <w:tc>
          <w:tcPr>
            <w:tcW w:w="1338" w:type="dxa"/>
            <w:tcBorders>
              <w:top w:val="nil"/>
              <w:left w:val="nil"/>
              <w:bottom w:val="nil"/>
              <w:right w:val="nil"/>
            </w:tcBorders>
          </w:tcPr>
          <w:p w14:paraId="746D4EE4"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0.616</w:t>
            </w:r>
          </w:p>
        </w:tc>
        <w:tc>
          <w:tcPr>
            <w:tcW w:w="1338" w:type="dxa"/>
            <w:tcBorders>
              <w:top w:val="nil"/>
              <w:left w:val="nil"/>
              <w:bottom w:val="nil"/>
              <w:right w:val="nil"/>
            </w:tcBorders>
          </w:tcPr>
          <w:p w14:paraId="20787F29"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0.572</w:t>
            </w:r>
          </w:p>
        </w:tc>
        <w:tc>
          <w:tcPr>
            <w:tcW w:w="1338" w:type="dxa"/>
            <w:tcBorders>
              <w:top w:val="nil"/>
              <w:left w:val="nil"/>
              <w:bottom w:val="nil"/>
              <w:right w:val="nil"/>
            </w:tcBorders>
          </w:tcPr>
          <w:p w14:paraId="49B304F6"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0.543</w:t>
            </w:r>
          </w:p>
        </w:tc>
      </w:tr>
      <w:tr w:rsidR="00155FC8" w:rsidRPr="00BA0E8D" w14:paraId="64844683" w14:textId="77777777" w:rsidTr="00894076">
        <w:trPr>
          <w:trHeight w:val="300"/>
        </w:trPr>
        <w:tc>
          <w:tcPr>
            <w:tcW w:w="1824" w:type="dxa"/>
            <w:tcBorders>
              <w:top w:val="nil"/>
              <w:left w:val="nil"/>
              <w:right w:val="nil"/>
            </w:tcBorders>
          </w:tcPr>
          <w:p w14:paraId="6106FF78" w14:textId="36003937" w:rsidR="00155FC8" w:rsidRPr="00BA0E8D" w:rsidRDefault="00155FC8" w:rsidP="00155FC8">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1) test p-value</w:t>
            </w:r>
          </w:p>
        </w:tc>
        <w:tc>
          <w:tcPr>
            <w:tcW w:w="1251" w:type="dxa"/>
            <w:tcBorders>
              <w:top w:val="nil"/>
              <w:left w:val="nil"/>
              <w:right w:val="nil"/>
            </w:tcBorders>
          </w:tcPr>
          <w:p w14:paraId="6483767C"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38" w:type="dxa"/>
            <w:tcBorders>
              <w:top w:val="nil"/>
              <w:left w:val="nil"/>
              <w:right w:val="nil"/>
            </w:tcBorders>
          </w:tcPr>
          <w:p w14:paraId="22654F5C"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38" w:type="dxa"/>
            <w:tcBorders>
              <w:top w:val="nil"/>
              <w:left w:val="nil"/>
              <w:right w:val="nil"/>
            </w:tcBorders>
          </w:tcPr>
          <w:p w14:paraId="23A24DDF"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38" w:type="dxa"/>
            <w:tcBorders>
              <w:top w:val="nil"/>
              <w:left w:val="nil"/>
              <w:right w:val="nil"/>
            </w:tcBorders>
          </w:tcPr>
          <w:p w14:paraId="24922880"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38" w:type="dxa"/>
            <w:tcBorders>
              <w:top w:val="nil"/>
              <w:left w:val="nil"/>
              <w:right w:val="nil"/>
            </w:tcBorders>
          </w:tcPr>
          <w:p w14:paraId="16286ABA"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38" w:type="dxa"/>
            <w:tcBorders>
              <w:top w:val="nil"/>
              <w:left w:val="nil"/>
              <w:right w:val="nil"/>
            </w:tcBorders>
          </w:tcPr>
          <w:p w14:paraId="27932C33"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38" w:type="dxa"/>
            <w:tcBorders>
              <w:top w:val="nil"/>
              <w:left w:val="nil"/>
              <w:right w:val="nil"/>
            </w:tcBorders>
          </w:tcPr>
          <w:p w14:paraId="54137712"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38" w:type="dxa"/>
            <w:tcBorders>
              <w:top w:val="nil"/>
              <w:left w:val="nil"/>
              <w:right w:val="nil"/>
            </w:tcBorders>
          </w:tcPr>
          <w:p w14:paraId="09CBBF84"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38" w:type="dxa"/>
            <w:tcBorders>
              <w:top w:val="nil"/>
              <w:left w:val="nil"/>
              <w:right w:val="nil"/>
            </w:tcBorders>
          </w:tcPr>
          <w:p w14:paraId="687ED37D"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r>
      <w:tr w:rsidR="00155FC8" w:rsidRPr="00BA0E8D" w14:paraId="14306F76" w14:textId="77777777" w:rsidTr="00894076">
        <w:trPr>
          <w:trHeight w:val="300"/>
        </w:trPr>
        <w:tc>
          <w:tcPr>
            <w:tcW w:w="1824" w:type="dxa"/>
            <w:tcBorders>
              <w:top w:val="nil"/>
              <w:left w:val="nil"/>
              <w:bottom w:val="single" w:sz="4" w:space="0" w:color="auto"/>
              <w:right w:val="nil"/>
            </w:tcBorders>
          </w:tcPr>
          <w:p w14:paraId="41920334" w14:textId="419FCBFF" w:rsidR="00155FC8" w:rsidRPr="00BA0E8D" w:rsidRDefault="00155FC8" w:rsidP="00155FC8">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2) test p-value</w:t>
            </w:r>
          </w:p>
        </w:tc>
        <w:tc>
          <w:tcPr>
            <w:tcW w:w="1251" w:type="dxa"/>
            <w:tcBorders>
              <w:top w:val="nil"/>
              <w:left w:val="nil"/>
              <w:bottom w:val="single" w:sz="4" w:space="0" w:color="auto"/>
              <w:right w:val="nil"/>
            </w:tcBorders>
          </w:tcPr>
          <w:p w14:paraId="1991C626"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0.915</w:t>
            </w:r>
          </w:p>
        </w:tc>
        <w:tc>
          <w:tcPr>
            <w:tcW w:w="1338" w:type="dxa"/>
            <w:tcBorders>
              <w:top w:val="nil"/>
              <w:left w:val="nil"/>
              <w:bottom w:val="single" w:sz="4" w:space="0" w:color="auto"/>
              <w:right w:val="nil"/>
            </w:tcBorders>
          </w:tcPr>
          <w:p w14:paraId="086B54A2"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0.888</w:t>
            </w:r>
          </w:p>
        </w:tc>
        <w:tc>
          <w:tcPr>
            <w:tcW w:w="1338" w:type="dxa"/>
            <w:tcBorders>
              <w:top w:val="nil"/>
              <w:left w:val="nil"/>
              <w:bottom w:val="single" w:sz="4" w:space="0" w:color="auto"/>
              <w:right w:val="nil"/>
            </w:tcBorders>
          </w:tcPr>
          <w:p w14:paraId="189A8081"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0.897</w:t>
            </w:r>
          </w:p>
        </w:tc>
        <w:tc>
          <w:tcPr>
            <w:tcW w:w="1338" w:type="dxa"/>
            <w:tcBorders>
              <w:top w:val="nil"/>
              <w:left w:val="nil"/>
              <w:bottom w:val="single" w:sz="4" w:space="0" w:color="auto"/>
              <w:right w:val="nil"/>
            </w:tcBorders>
          </w:tcPr>
          <w:p w14:paraId="7A408A6F"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0.865</w:t>
            </w:r>
          </w:p>
        </w:tc>
        <w:tc>
          <w:tcPr>
            <w:tcW w:w="1338" w:type="dxa"/>
            <w:tcBorders>
              <w:top w:val="nil"/>
              <w:left w:val="nil"/>
              <w:bottom w:val="single" w:sz="4" w:space="0" w:color="auto"/>
              <w:right w:val="nil"/>
            </w:tcBorders>
          </w:tcPr>
          <w:p w14:paraId="190BBFA9"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0.862</w:t>
            </w:r>
          </w:p>
        </w:tc>
        <w:tc>
          <w:tcPr>
            <w:tcW w:w="1338" w:type="dxa"/>
            <w:tcBorders>
              <w:top w:val="nil"/>
              <w:left w:val="nil"/>
              <w:bottom w:val="single" w:sz="4" w:space="0" w:color="auto"/>
              <w:right w:val="nil"/>
            </w:tcBorders>
          </w:tcPr>
          <w:p w14:paraId="72C46945"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0.857</w:t>
            </w:r>
          </w:p>
        </w:tc>
        <w:tc>
          <w:tcPr>
            <w:tcW w:w="1338" w:type="dxa"/>
            <w:tcBorders>
              <w:top w:val="nil"/>
              <w:left w:val="nil"/>
              <w:bottom w:val="single" w:sz="4" w:space="0" w:color="auto"/>
              <w:right w:val="nil"/>
            </w:tcBorders>
          </w:tcPr>
          <w:p w14:paraId="740762B7"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0.914</w:t>
            </w:r>
          </w:p>
        </w:tc>
        <w:tc>
          <w:tcPr>
            <w:tcW w:w="1338" w:type="dxa"/>
            <w:tcBorders>
              <w:top w:val="nil"/>
              <w:left w:val="nil"/>
              <w:bottom w:val="single" w:sz="4" w:space="0" w:color="auto"/>
              <w:right w:val="nil"/>
            </w:tcBorders>
          </w:tcPr>
          <w:p w14:paraId="5A6300FD"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0.892</w:t>
            </w:r>
          </w:p>
        </w:tc>
        <w:tc>
          <w:tcPr>
            <w:tcW w:w="1338" w:type="dxa"/>
            <w:tcBorders>
              <w:top w:val="nil"/>
              <w:left w:val="nil"/>
              <w:bottom w:val="single" w:sz="4" w:space="0" w:color="auto"/>
              <w:right w:val="nil"/>
            </w:tcBorders>
          </w:tcPr>
          <w:p w14:paraId="2329C327" w14:textId="77777777" w:rsidR="00155FC8" w:rsidRPr="00BA0E8D" w:rsidRDefault="00155FC8" w:rsidP="00155FC8">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0.887</w:t>
            </w:r>
          </w:p>
        </w:tc>
      </w:tr>
    </w:tbl>
    <w:p w14:paraId="0E16A50E" w14:textId="068BFF1E" w:rsidR="00221EF9" w:rsidRPr="00BA0E8D" w:rsidRDefault="00221EF9" w:rsidP="000F76B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This table shows the dynamic system GMM estimation results for the effect of credit information on bank credit intermediation cost. Time</w:t>
      </w:r>
      <w:r w:rsidR="0031463E">
        <w:rPr>
          <w:rFonts w:ascii="Times New Roman" w:hAnsi="Times New Roman"/>
          <w:sz w:val="20"/>
          <w:szCs w:val="20"/>
        </w:rPr>
        <w:t xml:space="preserve"> </w:t>
      </w:r>
      <w:r w:rsidRPr="00BA0E8D">
        <w:rPr>
          <w:rFonts w:ascii="Times New Roman" w:hAnsi="Times New Roman"/>
          <w:sz w:val="20"/>
          <w:szCs w:val="20"/>
        </w:rPr>
        <w:t>ﬁxed</w:t>
      </w:r>
      <w:r w:rsidR="00025B5C">
        <w:rPr>
          <w:rFonts w:ascii="Times New Roman" w:hAnsi="Times New Roman"/>
          <w:sz w:val="20"/>
          <w:szCs w:val="20"/>
        </w:rPr>
        <w:t>-</w:t>
      </w:r>
      <w:r w:rsidR="0031463E">
        <w:rPr>
          <w:rFonts w:ascii="Times New Roman" w:hAnsi="Times New Roman"/>
          <w:sz w:val="20"/>
          <w:szCs w:val="20"/>
        </w:rPr>
        <w:t>effects</w:t>
      </w:r>
      <w:r w:rsidR="0031463E" w:rsidRPr="00BA0E8D">
        <w:rPr>
          <w:rFonts w:ascii="Times New Roman" w:hAnsi="Times New Roman"/>
          <w:sz w:val="20"/>
          <w:szCs w:val="20"/>
        </w:rPr>
        <w:t xml:space="preserve"> </w:t>
      </w:r>
      <w:r w:rsidRPr="00BA0E8D">
        <w:rPr>
          <w:rFonts w:ascii="Times New Roman" w:hAnsi="Times New Roman"/>
          <w:sz w:val="20"/>
          <w:szCs w:val="20"/>
        </w:rPr>
        <w:t xml:space="preserve">are included in all estimations. All variables are as described in Table 1. Robust </w:t>
      </w:r>
      <w:proofErr w:type="spellStart"/>
      <w:r w:rsidRPr="00BA0E8D">
        <w:rPr>
          <w:rFonts w:ascii="Times New Roman" w:hAnsi="Times New Roman"/>
          <w:sz w:val="20"/>
          <w:szCs w:val="20"/>
        </w:rPr>
        <w:t>Windmeijer</w:t>
      </w:r>
      <w:proofErr w:type="spellEnd"/>
      <w:r w:rsidRPr="00BA0E8D">
        <w:rPr>
          <w:rFonts w:ascii="Times New Roman" w:hAnsi="Times New Roman"/>
          <w:sz w:val="20"/>
          <w:szCs w:val="20"/>
        </w:rPr>
        <w:t xml:space="preserve"> (2005) ﬁnite-sample corrected standard errors are in parentheses.</w:t>
      </w:r>
    </w:p>
    <w:p w14:paraId="6BF3E65F" w14:textId="4B76CBFE" w:rsidR="00221EF9" w:rsidRPr="00BA0E8D" w:rsidRDefault="000F76BB" w:rsidP="000F76B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w:t>
      </w:r>
      <w:r w:rsidR="00221EF9" w:rsidRPr="00BA0E8D">
        <w:rPr>
          <w:rFonts w:ascii="Times New Roman" w:hAnsi="Times New Roman"/>
          <w:sz w:val="20"/>
          <w:szCs w:val="20"/>
        </w:rPr>
        <w:t xml:space="preserve">   Indicates signiﬁcance at 10%</w:t>
      </w:r>
    </w:p>
    <w:p w14:paraId="439A3CB9" w14:textId="650DEB72" w:rsidR="00221EF9" w:rsidRPr="00BA0E8D" w:rsidRDefault="000F76BB" w:rsidP="000F76B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00221EF9" w:rsidRPr="00BA0E8D">
        <w:rPr>
          <w:rFonts w:ascii="Times New Roman" w:hAnsi="Times New Roman"/>
          <w:sz w:val="20"/>
          <w:szCs w:val="20"/>
          <w:vertAlign w:val="superscript"/>
        </w:rPr>
        <w:t xml:space="preserve">    </w:t>
      </w:r>
      <w:r w:rsidR="00221EF9" w:rsidRPr="00BA0E8D">
        <w:rPr>
          <w:rFonts w:ascii="Times New Roman" w:hAnsi="Times New Roman"/>
          <w:iCs/>
          <w:sz w:val="20"/>
          <w:szCs w:val="20"/>
        </w:rPr>
        <w:t>Indicates signiﬁcance at 5%</w:t>
      </w:r>
      <w:r w:rsidRPr="00BA0E8D">
        <w:rPr>
          <w:rFonts w:ascii="Times New Roman" w:hAnsi="Times New Roman"/>
          <w:sz w:val="20"/>
          <w:szCs w:val="20"/>
        </w:rPr>
        <w:t xml:space="preserve"> </w:t>
      </w:r>
    </w:p>
    <w:p w14:paraId="63C98CBA" w14:textId="3CD63DFC" w:rsidR="000F76BB" w:rsidRPr="00BA0E8D" w:rsidRDefault="000F76BB" w:rsidP="000F76B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00221EF9" w:rsidRPr="00BA0E8D">
        <w:rPr>
          <w:rFonts w:ascii="Times New Roman" w:hAnsi="Times New Roman"/>
          <w:sz w:val="20"/>
          <w:szCs w:val="20"/>
        </w:rPr>
        <w:t xml:space="preserve"> Indicates signiﬁcance at 1%</w:t>
      </w:r>
    </w:p>
    <w:p w14:paraId="4628A37F" w14:textId="77777777" w:rsidR="000F76BB" w:rsidRPr="00BA0E8D" w:rsidRDefault="000F76BB" w:rsidP="000F76BB">
      <w:pPr>
        <w:widowControl w:val="0"/>
        <w:autoSpaceDE w:val="0"/>
        <w:autoSpaceDN w:val="0"/>
        <w:adjustRightInd w:val="0"/>
        <w:spacing w:after="0" w:line="240" w:lineRule="auto"/>
        <w:rPr>
          <w:rFonts w:ascii="Times New Roman" w:hAnsi="Times New Roman"/>
          <w:sz w:val="20"/>
          <w:szCs w:val="20"/>
        </w:rPr>
      </w:pPr>
    </w:p>
    <w:p w14:paraId="4CB3DDE8"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550E3D8E"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372462A4"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1533A7DD"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79BB7664"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38EFD808"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65DC14DC"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4719166F"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6D318CBA"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3B40BE89"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3DDA697B"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3708F4F7" w14:textId="77777777" w:rsidR="00B826E0" w:rsidRPr="00BA0E8D" w:rsidRDefault="00B826E0" w:rsidP="000F76BB">
      <w:pPr>
        <w:widowControl w:val="0"/>
        <w:autoSpaceDE w:val="0"/>
        <w:autoSpaceDN w:val="0"/>
        <w:adjustRightInd w:val="0"/>
        <w:spacing w:after="0" w:line="240" w:lineRule="auto"/>
        <w:rPr>
          <w:rFonts w:ascii="Times New Roman" w:hAnsi="Times New Roman"/>
          <w:sz w:val="20"/>
          <w:szCs w:val="20"/>
        </w:rPr>
      </w:pPr>
    </w:p>
    <w:p w14:paraId="20151681" w14:textId="43C6DB5E" w:rsidR="000F76BB" w:rsidRPr="0031463E" w:rsidRDefault="000F76BB" w:rsidP="00471C7E">
      <w:pPr>
        <w:keepNext/>
        <w:widowControl w:val="0"/>
        <w:jc w:val="both"/>
        <w:rPr>
          <w:rFonts w:ascii="Times New Roman" w:hAnsi="Times New Roman"/>
          <w:b/>
          <w:sz w:val="24"/>
          <w:szCs w:val="24"/>
        </w:rPr>
      </w:pPr>
      <w:r w:rsidRPr="0031463E">
        <w:rPr>
          <w:rFonts w:ascii="Times New Roman" w:hAnsi="Times New Roman"/>
          <w:b/>
          <w:sz w:val="24"/>
          <w:szCs w:val="24"/>
        </w:rPr>
        <w:lastRenderedPageBreak/>
        <w:t xml:space="preserve">Table 4: </w:t>
      </w:r>
      <w:r w:rsidR="002F599E" w:rsidRPr="0031463E">
        <w:rPr>
          <w:rFonts w:ascii="Times New Roman" w:hAnsi="Times New Roman"/>
          <w:b/>
          <w:sz w:val="24"/>
          <w:szCs w:val="24"/>
        </w:rPr>
        <w:t xml:space="preserve">Regression results of information sharing and credit </w:t>
      </w:r>
      <w:r w:rsidR="00BA0E8D" w:rsidRPr="0031463E">
        <w:rPr>
          <w:rFonts w:ascii="Times New Roman" w:hAnsi="Times New Roman"/>
          <w:b/>
          <w:sz w:val="24"/>
          <w:szCs w:val="24"/>
        </w:rPr>
        <w:t>i</w:t>
      </w:r>
      <w:r w:rsidR="002F599E" w:rsidRPr="0031463E">
        <w:rPr>
          <w:rFonts w:ascii="Times New Roman" w:hAnsi="Times New Roman"/>
          <w:b/>
          <w:sz w:val="24"/>
          <w:szCs w:val="24"/>
        </w:rPr>
        <w:t xml:space="preserve">ntermediation </w:t>
      </w:r>
      <w:r w:rsidR="00BA0E8D" w:rsidRPr="0031463E">
        <w:rPr>
          <w:rFonts w:ascii="Times New Roman" w:hAnsi="Times New Roman"/>
          <w:b/>
          <w:sz w:val="24"/>
          <w:szCs w:val="24"/>
        </w:rPr>
        <w:t>c</w:t>
      </w:r>
      <w:r w:rsidR="002F599E" w:rsidRPr="0031463E">
        <w:rPr>
          <w:rFonts w:ascii="Times New Roman" w:hAnsi="Times New Roman"/>
          <w:b/>
          <w:sz w:val="24"/>
          <w:szCs w:val="24"/>
        </w:rPr>
        <w:t xml:space="preserve">ost: </w:t>
      </w:r>
      <w:r w:rsidR="00025B5C">
        <w:rPr>
          <w:rFonts w:ascii="Times New Roman" w:hAnsi="Times New Roman"/>
          <w:b/>
          <w:sz w:val="24"/>
          <w:szCs w:val="24"/>
        </w:rPr>
        <w:t>I</w:t>
      </w:r>
      <w:r w:rsidR="002F599E" w:rsidRPr="0031463E">
        <w:rPr>
          <w:rFonts w:ascii="Times New Roman" w:hAnsi="Times New Roman"/>
          <w:b/>
          <w:sz w:val="24"/>
          <w:szCs w:val="24"/>
        </w:rPr>
        <w:t>nteractions with concentration</w:t>
      </w:r>
    </w:p>
    <w:tbl>
      <w:tblPr>
        <w:tblW w:w="14160" w:type="dxa"/>
        <w:tblLayout w:type="fixed"/>
        <w:tblLook w:val="0000" w:firstRow="0" w:lastRow="0" w:firstColumn="0" w:lastColumn="0" w:noHBand="0" w:noVBand="0"/>
      </w:tblPr>
      <w:tblGrid>
        <w:gridCol w:w="1785"/>
        <w:gridCol w:w="1375"/>
        <w:gridCol w:w="1375"/>
        <w:gridCol w:w="1375"/>
        <w:gridCol w:w="1375"/>
        <w:gridCol w:w="1375"/>
        <w:gridCol w:w="1375"/>
        <w:gridCol w:w="1375"/>
        <w:gridCol w:w="1375"/>
        <w:gridCol w:w="1375"/>
      </w:tblGrid>
      <w:tr w:rsidR="00113846" w:rsidRPr="00BA0E8D" w14:paraId="5BB828DC" w14:textId="77777777" w:rsidTr="00894076">
        <w:trPr>
          <w:trHeight w:val="301"/>
        </w:trPr>
        <w:tc>
          <w:tcPr>
            <w:tcW w:w="1785" w:type="dxa"/>
            <w:tcBorders>
              <w:top w:val="single" w:sz="4" w:space="0" w:color="auto"/>
              <w:left w:val="nil"/>
              <w:bottom w:val="nil"/>
              <w:right w:val="nil"/>
            </w:tcBorders>
          </w:tcPr>
          <w:p w14:paraId="640D24C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single" w:sz="4" w:space="0" w:color="auto"/>
              <w:left w:val="nil"/>
              <w:bottom w:val="nil"/>
              <w:right w:val="nil"/>
            </w:tcBorders>
          </w:tcPr>
          <w:p w14:paraId="674814C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w:t>
            </w:r>
          </w:p>
        </w:tc>
        <w:tc>
          <w:tcPr>
            <w:tcW w:w="1375" w:type="dxa"/>
            <w:tcBorders>
              <w:top w:val="single" w:sz="4" w:space="0" w:color="auto"/>
              <w:left w:val="nil"/>
              <w:bottom w:val="nil"/>
              <w:right w:val="nil"/>
            </w:tcBorders>
          </w:tcPr>
          <w:p w14:paraId="5351B1C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w:t>
            </w:r>
          </w:p>
        </w:tc>
        <w:tc>
          <w:tcPr>
            <w:tcW w:w="1375" w:type="dxa"/>
            <w:tcBorders>
              <w:top w:val="single" w:sz="4" w:space="0" w:color="auto"/>
              <w:left w:val="nil"/>
              <w:bottom w:val="nil"/>
              <w:right w:val="nil"/>
            </w:tcBorders>
          </w:tcPr>
          <w:p w14:paraId="001E85A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w:t>
            </w:r>
          </w:p>
        </w:tc>
        <w:tc>
          <w:tcPr>
            <w:tcW w:w="1375" w:type="dxa"/>
            <w:tcBorders>
              <w:top w:val="single" w:sz="4" w:space="0" w:color="auto"/>
              <w:left w:val="nil"/>
              <w:bottom w:val="nil"/>
              <w:right w:val="nil"/>
            </w:tcBorders>
          </w:tcPr>
          <w:p w14:paraId="2DF90C8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w:t>
            </w:r>
          </w:p>
        </w:tc>
        <w:tc>
          <w:tcPr>
            <w:tcW w:w="1375" w:type="dxa"/>
            <w:tcBorders>
              <w:top w:val="single" w:sz="4" w:space="0" w:color="auto"/>
              <w:left w:val="nil"/>
              <w:bottom w:val="nil"/>
              <w:right w:val="nil"/>
            </w:tcBorders>
          </w:tcPr>
          <w:p w14:paraId="4662D39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w:t>
            </w:r>
          </w:p>
        </w:tc>
        <w:tc>
          <w:tcPr>
            <w:tcW w:w="1375" w:type="dxa"/>
            <w:tcBorders>
              <w:top w:val="single" w:sz="4" w:space="0" w:color="auto"/>
              <w:left w:val="nil"/>
              <w:bottom w:val="nil"/>
              <w:right w:val="nil"/>
            </w:tcBorders>
          </w:tcPr>
          <w:p w14:paraId="585B23D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w:t>
            </w:r>
          </w:p>
        </w:tc>
        <w:tc>
          <w:tcPr>
            <w:tcW w:w="1375" w:type="dxa"/>
            <w:tcBorders>
              <w:top w:val="single" w:sz="4" w:space="0" w:color="auto"/>
              <w:left w:val="nil"/>
              <w:bottom w:val="nil"/>
              <w:right w:val="nil"/>
            </w:tcBorders>
          </w:tcPr>
          <w:p w14:paraId="3B7AB17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w:t>
            </w:r>
          </w:p>
        </w:tc>
        <w:tc>
          <w:tcPr>
            <w:tcW w:w="1375" w:type="dxa"/>
            <w:tcBorders>
              <w:top w:val="single" w:sz="4" w:space="0" w:color="auto"/>
              <w:left w:val="nil"/>
              <w:bottom w:val="nil"/>
              <w:right w:val="nil"/>
            </w:tcBorders>
          </w:tcPr>
          <w:p w14:paraId="6CF8061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w:t>
            </w:r>
          </w:p>
        </w:tc>
        <w:tc>
          <w:tcPr>
            <w:tcW w:w="1375" w:type="dxa"/>
            <w:tcBorders>
              <w:top w:val="single" w:sz="4" w:space="0" w:color="auto"/>
              <w:left w:val="nil"/>
              <w:bottom w:val="nil"/>
              <w:right w:val="nil"/>
            </w:tcBorders>
          </w:tcPr>
          <w:p w14:paraId="020D851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w:t>
            </w:r>
          </w:p>
        </w:tc>
      </w:tr>
      <w:tr w:rsidR="00113846" w:rsidRPr="00BA0E8D" w14:paraId="27C10B58" w14:textId="77777777" w:rsidTr="00894076">
        <w:trPr>
          <w:trHeight w:val="301"/>
        </w:trPr>
        <w:tc>
          <w:tcPr>
            <w:tcW w:w="1785" w:type="dxa"/>
            <w:tcBorders>
              <w:top w:val="single" w:sz="4" w:space="0" w:color="auto"/>
              <w:left w:val="nil"/>
              <w:bottom w:val="nil"/>
              <w:right w:val="nil"/>
            </w:tcBorders>
          </w:tcPr>
          <w:p w14:paraId="430467C6"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Spread</w:t>
            </w:r>
          </w:p>
        </w:tc>
        <w:tc>
          <w:tcPr>
            <w:tcW w:w="1375" w:type="dxa"/>
            <w:tcBorders>
              <w:top w:val="single" w:sz="4" w:space="0" w:color="auto"/>
              <w:left w:val="nil"/>
              <w:bottom w:val="nil"/>
              <w:right w:val="nil"/>
            </w:tcBorders>
          </w:tcPr>
          <w:p w14:paraId="1B0DFE5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0.209</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02E2CFD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0.213</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524BE6C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0.211</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44E08C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0.240</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756D7F5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0.241</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04BA4DC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0.245</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7A45740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0.225</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5580E9A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0.224</w:t>
            </w:r>
            <w:r w:rsidRPr="00BA0E8D">
              <w:rPr>
                <w:rFonts w:ascii="Times New Roman" w:hAnsi="Times New Roman"/>
                <w:sz w:val="20"/>
                <w:szCs w:val="20"/>
                <w:vertAlign w:val="superscript"/>
              </w:rPr>
              <w:t>***</w:t>
            </w:r>
          </w:p>
        </w:tc>
        <w:tc>
          <w:tcPr>
            <w:tcW w:w="1375" w:type="dxa"/>
            <w:tcBorders>
              <w:top w:val="single" w:sz="4" w:space="0" w:color="auto"/>
              <w:left w:val="nil"/>
              <w:bottom w:val="nil"/>
              <w:right w:val="nil"/>
            </w:tcBorders>
          </w:tcPr>
          <w:p w14:paraId="4D8FFBF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0.230</w:t>
            </w:r>
            <w:r w:rsidRPr="00BA0E8D">
              <w:rPr>
                <w:rFonts w:ascii="Times New Roman" w:hAnsi="Times New Roman"/>
                <w:sz w:val="20"/>
                <w:szCs w:val="20"/>
                <w:vertAlign w:val="superscript"/>
              </w:rPr>
              <w:t>***</w:t>
            </w:r>
          </w:p>
        </w:tc>
      </w:tr>
      <w:tr w:rsidR="00113846" w:rsidRPr="00BA0E8D" w14:paraId="16EEABBD" w14:textId="77777777" w:rsidTr="00894076">
        <w:trPr>
          <w:trHeight w:val="322"/>
        </w:trPr>
        <w:tc>
          <w:tcPr>
            <w:tcW w:w="1785" w:type="dxa"/>
            <w:tcBorders>
              <w:top w:val="nil"/>
              <w:left w:val="nil"/>
              <w:bottom w:val="nil"/>
              <w:right w:val="nil"/>
            </w:tcBorders>
          </w:tcPr>
          <w:p w14:paraId="33DCEAB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3D2432D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75" w:type="dxa"/>
            <w:tcBorders>
              <w:top w:val="nil"/>
              <w:left w:val="nil"/>
              <w:bottom w:val="nil"/>
              <w:right w:val="nil"/>
            </w:tcBorders>
          </w:tcPr>
          <w:p w14:paraId="30C0025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75" w:type="dxa"/>
            <w:tcBorders>
              <w:top w:val="nil"/>
              <w:left w:val="nil"/>
              <w:bottom w:val="nil"/>
              <w:right w:val="nil"/>
            </w:tcBorders>
          </w:tcPr>
          <w:p w14:paraId="51272E2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75" w:type="dxa"/>
            <w:tcBorders>
              <w:top w:val="nil"/>
              <w:left w:val="nil"/>
              <w:bottom w:val="nil"/>
              <w:right w:val="nil"/>
            </w:tcBorders>
          </w:tcPr>
          <w:p w14:paraId="6721965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75" w:type="dxa"/>
            <w:tcBorders>
              <w:top w:val="nil"/>
              <w:left w:val="nil"/>
              <w:bottom w:val="nil"/>
              <w:right w:val="nil"/>
            </w:tcBorders>
          </w:tcPr>
          <w:p w14:paraId="0E92104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75" w:type="dxa"/>
            <w:tcBorders>
              <w:top w:val="nil"/>
              <w:left w:val="nil"/>
              <w:bottom w:val="nil"/>
              <w:right w:val="nil"/>
            </w:tcBorders>
          </w:tcPr>
          <w:p w14:paraId="1486565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375" w:type="dxa"/>
            <w:tcBorders>
              <w:top w:val="nil"/>
              <w:left w:val="nil"/>
              <w:bottom w:val="nil"/>
              <w:right w:val="nil"/>
            </w:tcBorders>
          </w:tcPr>
          <w:p w14:paraId="00AC3C4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p>
        </w:tc>
        <w:tc>
          <w:tcPr>
            <w:tcW w:w="1375" w:type="dxa"/>
            <w:tcBorders>
              <w:top w:val="nil"/>
              <w:left w:val="nil"/>
              <w:bottom w:val="nil"/>
              <w:right w:val="nil"/>
            </w:tcBorders>
          </w:tcPr>
          <w:p w14:paraId="6A921BE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p>
        </w:tc>
        <w:tc>
          <w:tcPr>
            <w:tcW w:w="1375" w:type="dxa"/>
            <w:tcBorders>
              <w:top w:val="nil"/>
              <w:left w:val="nil"/>
              <w:bottom w:val="nil"/>
              <w:right w:val="nil"/>
            </w:tcBorders>
          </w:tcPr>
          <w:p w14:paraId="024472A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p>
        </w:tc>
      </w:tr>
      <w:tr w:rsidR="00113846" w:rsidRPr="00BA0E8D" w14:paraId="61E2B768" w14:textId="77777777" w:rsidTr="00894076">
        <w:trPr>
          <w:trHeight w:val="322"/>
        </w:trPr>
        <w:tc>
          <w:tcPr>
            <w:tcW w:w="1785" w:type="dxa"/>
            <w:tcBorders>
              <w:top w:val="nil"/>
              <w:left w:val="nil"/>
              <w:bottom w:val="nil"/>
              <w:right w:val="nil"/>
            </w:tcBorders>
          </w:tcPr>
          <w:p w14:paraId="788C3A7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Depth</w:t>
            </w:r>
          </w:p>
        </w:tc>
        <w:tc>
          <w:tcPr>
            <w:tcW w:w="1375" w:type="dxa"/>
            <w:tcBorders>
              <w:top w:val="nil"/>
              <w:left w:val="nil"/>
              <w:bottom w:val="nil"/>
              <w:right w:val="nil"/>
            </w:tcBorders>
          </w:tcPr>
          <w:p w14:paraId="36AB378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-0.811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17D0EB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5AADE9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72B469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23EE31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19BE9D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565AA5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844233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907F8D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4A9D47B3" w14:textId="77777777" w:rsidTr="00894076">
        <w:trPr>
          <w:trHeight w:val="301"/>
        </w:trPr>
        <w:tc>
          <w:tcPr>
            <w:tcW w:w="1785" w:type="dxa"/>
            <w:tcBorders>
              <w:top w:val="nil"/>
              <w:left w:val="nil"/>
              <w:bottom w:val="nil"/>
              <w:right w:val="nil"/>
            </w:tcBorders>
          </w:tcPr>
          <w:p w14:paraId="51A3066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763A177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(0.239)</w:t>
            </w:r>
          </w:p>
        </w:tc>
        <w:tc>
          <w:tcPr>
            <w:tcW w:w="1375" w:type="dxa"/>
            <w:tcBorders>
              <w:top w:val="nil"/>
              <w:left w:val="nil"/>
              <w:bottom w:val="nil"/>
              <w:right w:val="nil"/>
            </w:tcBorders>
          </w:tcPr>
          <w:p w14:paraId="2DA29C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(0.237)</w:t>
            </w:r>
          </w:p>
        </w:tc>
        <w:tc>
          <w:tcPr>
            <w:tcW w:w="1375" w:type="dxa"/>
            <w:tcBorders>
              <w:top w:val="nil"/>
              <w:left w:val="nil"/>
              <w:bottom w:val="nil"/>
              <w:right w:val="nil"/>
            </w:tcBorders>
          </w:tcPr>
          <w:p w14:paraId="524D43E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(0.236)</w:t>
            </w:r>
          </w:p>
        </w:tc>
        <w:tc>
          <w:tcPr>
            <w:tcW w:w="1375" w:type="dxa"/>
            <w:tcBorders>
              <w:top w:val="nil"/>
              <w:left w:val="nil"/>
              <w:bottom w:val="nil"/>
              <w:right w:val="nil"/>
            </w:tcBorders>
          </w:tcPr>
          <w:p w14:paraId="7933F16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8C0E47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B0A9B2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0EEF7C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AA4EB4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3E3F0E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48891905" w14:textId="77777777" w:rsidTr="00894076">
        <w:trPr>
          <w:trHeight w:val="301"/>
        </w:trPr>
        <w:tc>
          <w:tcPr>
            <w:tcW w:w="1785" w:type="dxa"/>
            <w:tcBorders>
              <w:top w:val="nil"/>
              <w:left w:val="nil"/>
              <w:bottom w:val="nil"/>
              <w:right w:val="nil"/>
            </w:tcBorders>
          </w:tcPr>
          <w:p w14:paraId="1739B757" w14:textId="77777777" w:rsidR="000F76BB" w:rsidRPr="00BA0E8D" w:rsidRDefault="000F76BB" w:rsidP="0056122B">
            <w:pPr>
              <w:widowControl w:val="0"/>
              <w:tabs>
                <w:tab w:val="left" w:pos="1105"/>
              </w:tabs>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Registry</w:t>
            </w:r>
            <w:r w:rsidRPr="00BA0E8D">
              <w:rPr>
                <w:rFonts w:ascii="Times New Roman" w:hAnsi="Times New Roman"/>
                <w:sz w:val="20"/>
                <w:szCs w:val="20"/>
              </w:rPr>
              <w:tab/>
            </w:r>
          </w:p>
        </w:tc>
        <w:tc>
          <w:tcPr>
            <w:tcW w:w="1375" w:type="dxa"/>
            <w:tcBorders>
              <w:top w:val="nil"/>
              <w:left w:val="nil"/>
              <w:bottom w:val="nil"/>
              <w:right w:val="nil"/>
            </w:tcBorders>
          </w:tcPr>
          <w:p w14:paraId="1C3B52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AC8C26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2D79E6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4E5725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16177F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343DCD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D7C71C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A2602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F2D50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5BCA4B69" w14:textId="77777777" w:rsidTr="00894076">
        <w:trPr>
          <w:trHeight w:val="322"/>
        </w:trPr>
        <w:tc>
          <w:tcPr>
            <w:tcW w:w="1785" w:type="dxa"/>
            <w:tcBorders>
              <w:top w:val="nil"/>
              <w:left w:val="nil"/>
              <w:bottom w:val="nil"/>
              <w:right w:val="nil"/>
            </w:tcBorders>
          </w:tcPr>
          <w:p w14:paraId="4E91B6D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471F869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F7BCCD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B6F0AF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E05311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p>
        </w:tc>
        <w:tc>
          <w:tcPr>
            <w:tcW w:w="1375" w:type="dxa"/>
            <w:tcBorders>
              <w:top w:val="nil"/>
              <w:left w:val="nil"/>
              <w:bottom w:val="nil"/>
              <w:right w:val="nil"/>
            </w:tcBorders>
          </w:tcPr>
          <w:p w14:paraId="4838835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p>
        </w:tc>
        <w:tc>
          <w:tcPr>
            <w:tcW w:w="1375" w:type="dxa"/>
            <w:tcBorders>
              <w:top w:val="nil"/>
              <w:left w:val="nil"/>
              <w:bottom w:val="nil"/>
              <w:right w:val="nil"/>
            </w:tcBorders>
          </w:tcPr>
          <w:p w14:paraId="3B13677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p>
        </w:tc>
        <w:tc>
          <w:tcPr>
            <w:tcW w:w="1375" w:type="dxa"/>
            <w:tcBorders>
              <w:top w:val="nil"/>
              <w:left w:val="nil"/>
              <w:bottom w:val="nil"/>
              <w:right w:val="nil"/>
            </w:tcBorders>
          </w:tcPr>
          <w:p w14:paraId="7275F9C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2FD340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6C26C8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1FD7CED8" w14:textId="77777777" w:rsidTr="00894076">
        <w:trPr>
          <w:trHeight w:val="322"/>
        </w:trPr>
        <w:tc>
          <w:tcPr>
            <w:tcW w:w="1785" w:type="dxa"/>
            <w:tcBorders>
              <w:top w:val="nil"/>
              <w:left w:val="nil"/>
              <w:bottom w:val="nil"/>
              <w:right w:val="nil"/>
            </w:tcBorders>
          </w:tcPr>
          <w:p w14:paraId="7AE942DA" w14:textId="77777777" w:rsidR="000F76BB" w:rsidRPr="00BA0E8D" w:rsidRDefault="000F76BB" w:rsidP="0056122B">
            <w:pPr>
              <w:widowControl w:val="0"/>
              <w:tabs>
                <w:tab w:val="left" w:pos="1038"/>
              </w:tabs>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Bureau</w:t>
            </w:r>
            <w:r w:rsidRPr="00BA0E8D">
              <w:rPr>
                <w:rFonts w:ascii="Times New Roman" w:hAnsi="Times New Roman"/>
                <w:sz w:val="20"/>
                <w:szCs w:val="20"/>
              </w:rPr>
              <w:tab/>
            </w:r>
          </w:p>
        </w:tc>
        <w:tc>
          <w:tcPr>
            <w:tcW w:w="1375" w:type="dxa"/>
            <w:tcBorders>
              <w:top w:val="nil"/>
              <w:left w:val="nil"/>
              <w:bottom w:val="nil"/>
              <w:right w:val="nil"/>
            </w:tcBorders>
          </w:tcPr>
          <w:p w14:paraId="61B6907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3D20FC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CB5507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2DCBE0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972A90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ECB118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F6CA41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75E0C33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p>
        </w:tc>
        <w:tc>
          <w:tcPr>
            <w:tcW w:w="1375" w:type="dxa"/>
            <w:tcBorders>
              <w:top w:val="nil"/>
              <w:left w:val="nil"/>
              <w:bottom w:val="nil"/>
              <w:right w:val="nil"/>
            </w:tcBorders>
          </w:tcPr>
          <w:p w14:paraId="4AAE67F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-0.015</w:t>
            </w:r>
          </w:p>
        </w:tc>
      </w:tr>
      <w:tr w:rsidR="00113846" w:rsidRPr="00BA0E8D" w14:paraId="3E35A8E3" w14:textId="77777777" w:rsidTr="00894076">
        <w:trPr>
          <w:trHeight w:val="301"/>
        </w:trPr>
        <w:tc>
          <w:tcPr>
            <w:tcW w:w="1785" w:type="dxa"/>
            <w:tcBorders>
              <w:top w:val="nil"/>
              <w:left w:val="nil"/>
              <w:bottom w:val="nil"/>
              <w:right w:val="nil"/>
            </w:tcBorders>
          </w:tcPr>
          <w:p w14:paraId="3526F2F6"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32438D9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49B21C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E6CE12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205B48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FEAD34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EB8A59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CB52DF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(0.033)</w:t>
            </w:r>
          </w:p>
        </w:tc>
        <w:tc>
          <w:tcPr>
            <w:tcW w:w="1375" w:type="dxa"/>
            <w:tcBorders>
              <w:top w:val="nil"/>
              <w:left w:val="nil"/>
              <w:bottom w:val="nil"/>
              <w:right w:val="nil"/>
            </w:tcBorders>
          </w:tcPr>
          <w:p w14:paraId="1DB0C7F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(0.035)</w:t>
            </w:r>
          </w:p>
        </w:tc>
        <w:tc>
          <w:tcPr>
            <w:tcW w:w="1375" w:type="dxa"/>
            <w:tcBorders>
              <w:top w:val="nil"/>
              <w:left w:val="nil"/>
              <w:bottom w:val="nil"/>
              <w:right w:val="nil"/>
            </w:tcBorders>
          </w:tcPr>
          <w:p w14:paraId="21F48F9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(0.032)</w:t>
            </w:r>
          </w:p>
        </w:tc>
      </w:tr>
      <w:tr w:rsidR="00113846" w:rsidRPr="00BA0E8D" w14:paraId="7020FB07" w14:textId="77777777" w:rsidTr="00894076">
        <w:trPr>
          <w:trHeight w:val="322"/>
        </w:trPr>
        <w:tc>
          <w:tcPr>
            <w:tcW w:w="1785" w:type="dxa"/>
            <w:tcBorders>
              <w:top w:val="nil"/>
              <w:left w:val="nil"/>
              <w:bottom w:val="nil"/>
              <w:right w:val="nil"/>
            </w:tcBorders>
          </w:tcPr>
          <w:p w14:paraId="7A551E46"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Size</w:t>
            </w:r>
          </w:p>
        </w:tc>
        <w:tc>
          <w:tcPr>
            <w:tcW w:w="1375" w:type="dxa"/>
            <w:tcBorders>
              <w:top w:val="nil"/>
              <w:left w:val="nil"/>
              <w:bottom w:val="nil"/>
              <w:right w:val="nil"/>
            </w:tcBorders>
          </w:tcPr>
          <w:p w14:paraId="2E77664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59AAB2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0.246</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9A49AF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0.268</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ADA88A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CB8E64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C66FE7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63C2E5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0.127</w:t>
            </w:r>
          </w:p>
        </w:tc>
        <w:tc>
          <w:tcPr>
            <w:tcW w:w="1375" w:type="dxa"/>
            <w:tcBorders>
              <w:top w:val="nil"/>
              <w:left w:val="nil"/>
              <w:bottom w:val="nil"/>
              <w:right w:val="nil"/>
            </w:tcBorders>
          </w:tcPr>
          <w:p w14:paraId="7DCB5C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0.123</w:t>
            </w:r>
          </w:p>
        </w:tc>
        <w:tc>
          <w:tcPr>
            <w:tcW w:w="1375" w:type="dxa"/>
            <w:tcBorders>
              <w:top w:val="nil"/>
              <w:left w:val="nil"/>
              <w:bottom w:val="nil"/>
              <w:right w:val="nil"/>
            </w:tcBorders>
          </w:tcPr>
          <w:p w14:paraId="7D9C4C1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0.148</w:t>
            </w:r>
          </w:p>
        </w:tc>
      </w:tr>
      <w:tr w:rsidR="00113846" w:rsidRPr="00BA0E8D" w14:paraId="4CE80CB1" w14:textId="77777777" w:rsidTr="00894076">
        <w:trPr>
          <w:trHeight w:val="322"/>
        </w:trPr>
        <w:tc>
          <w:tcPr>
            <w:tcW w:w="1785" w:type="dxa"/>
            <w:tcBorders>
              <w:top w:val="nil"/>
              <w:left w:val="nil"/>
              <w:bottom w:val="nil"/>
              <w:right w:val="nil"/>
            </w:tcBorders>
          </w:tcPr>
          <w:p w14:paraId="3C4B3D8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2D84DD0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75" w:type="dxa"/>
            <w:tcBorders>
              <w:top w:val="nil"/>
              <w:left w:val="nil"/>
              <w:bottom w:val="nil"/>
              <w:right w:val="nil"/>
            </w:tcBorders>
          </w:tcPr>
          <w:p w14:paraId="5D2046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75" w:type="dxa"/>
            <w:tcBorders>
              <w:top w:val="nil"/>
              <w:left w:val="nil"/>
              <w:bottom w:val="nil"/>
              <w:right w:val="nil"/>
            </w:tcBorders>
          </w:tcPr>
          <w:p w14:paraId="3A2D8D1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5" w:type="dxa"/>
            <w:tcBorders>
              <w:top w:val="nil"/>
              <w:left w:val="nil"/>
              <w:bottom w:val="nil"/>
              <w:right w:val="nil"/>
            </w:tcBorders>
          </w:tcPr>
          <w:p w14:paraId="008A6FB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(0.086)</w:t>
            </w:r>
          </w:p>
        </w:tc>
        <w:tc>
          <w:tcPr>
            <w:tcW w:w="1375" w:type="dxa"/>
            <w:tcBorders>
              <w:top w:val="nil"/>
              <w:left w:val="nil"/>
              <w:bottom w:val="nil"/>
              <w:right w:val="nil"/>
            </w:tcBorders>
          </w:tcPr>
          <w:p w14:paraId="59EBA5F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(0.086)</w:t>
            </w:r>
          </w:p>
        </w:tc>
        <w:tc>
          <w:tcPr>
            <w:tcW w:w="1375" w:type="dxa"/>
            <w:tcBorders>
              <w:top w:val="nil"/>
              <w:left w:val="nil"/>
              <w:bottom w:val="nil"/>
              <w:right w:val="nil"/>
            </w:tcBorders>
          </w:tcPr>
          <w:p w14:paraId="404A548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375" w:type="dxa"/>
            <w:tcBorders>
              <w:top w:val="nil"/>
              <w:left w:val="nil"/>
              <w:bottom w:val="nil"/>
              <w:right w:val="nil"/>
            </w:tcBorders>
          </w:tcPr>
          <w:p w14:paraId="7E9906D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375" w:type="dxa"/>
            <w:tcBorders>
              <w:top w:val="nil"/>
              <w:left w:val="nil"/>
              <w:bottom w:val="nil"/>
              <w:right w:val="nil"/>
            </w:tcBorders>
          </w:tcPr>
          <w:p w14:paraId="4FA883D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375" w:type="dxa"/>
            <w:tcBorders>
              <w:top w:val="nil"/>
              <w:left w:val="nil"/>
              <w:bottom w:val="nil"/>
              <w:right w:val="nil"/>
            </w:tcBorders>
          </w:tcPr>
          <w:p w14:paraId="0ED6437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r>
      <w:tr w:rsidR="00113846" w:rsidRPr="00BA0E8D" w14:paraId="34176B37" w14:textId="77777777" w:rsidTr="00894076">
        <w:trPr>
          <w:trHeight w:val="322"/>
        </w:trPr>
        <w:tc>
          <w:tcPr>
            <w:tcW w:w="1785" w:type="dxa"/>
            <w:tcBorders>
              <w:top w:val="nil"/>
              <w:left w:val="nil"/>
              <w:bottom w:val="nil"/>
              <w:right w:val="nil"/>
            </w:tcBorders>
          </w:tcPr>
          <w:p w14:paraId="174FF65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Liquidity</w:t>
            </w:r>
          </w:p>
        </w:tc>
        <w:tc>
          <w:tcPr>
            <w:tcW w:w="1375" w:type="dxa"/>
            <w:tcBorders>
              <w:top w:val="nil"/>
              <w:left w:val="nil"/>
              <w:bottom w:val="nil"/>
              <w:right w:val="nil"/>
            </w:tcBorders>
          </w:tcPr>
          <w:p w14:paraId="71A958F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8C5F56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D6396B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09A4D8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A9C82A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14D991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8F5C47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77EF84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D07821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r w:rsidRPr="00BA0E8D">
              <w:rPr>
                <w:rFonts w:ascii="Times New Roman" w:hAnsi="Times New Roman"/>
                <w:sz w:val="20"/>
                <w:szCs w:val="20"/>
                <w:vertAlign w:val="superscript"/>
              </w:rPr>
              <w:t>*</w:t>
            </w:r>
          </w:p>
        </w:tc>
      </w:tr>
      <w:tr w:rsidR="00113846" w:rsidRPr="00BA0E8D" w14:paraId="7AF00B72" w14:textId="77777777" w:rsidTr="00894076">
        <w:trPr>
          <w:trHeight w:val="322"/>
        </w:trPr>
        <w:tc>
          <w:tcPr>
            <w:tcW w:w="1785" w:type="dxa"/>
            <w:tcBorders>
              <w:top w:val="nil"/>
              <w:left w:val="nil"/>
              <w:bottom w:val="nil"/>
              <w:right w:val="nil"/>
            </w:tcBorders>
          </w:tcPr>
          <w:p w14:paraId="0178E285"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1596AB0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502B496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27AB424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70198D5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1F4FC7E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52B5A50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1D89579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38F1DE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5" w:type="dxa"/>
            <w:tcBorders>
              <w:top w:val="nil"/>
              <w:left w:val="nil"/>
              <w:bottom w:val="nil"/>
              <w:right w:val="nil"/>
            </w:tcBorders>
          </w:tcPr>
          <w:p w14:paraId="3204BDB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r>
      <w:tr w:rsidR="00113846" w:rsidRPr="00BA0E8D" w14:paraId="50C772BB" w14:textId="77777777" w:rsidTr="00894076">
        <w:trPr>
          <w:trHeight w:val="322"/>
        </w:trPr>
        <w:tc>
          <w:tcPr>
            <w:tcW w:w="1785" w:type="dxa"/>
            <w:tcBorders>
              <w:top w:val="nil"/>
              <w:left w:val="nil"/>
              <w:bottom w:val="nil"/>
              <w:right w:val="nil"/>
            </w:tcBorders>
          </w:tcPr>
          <w:p w14:paraId="04FBE716"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Provisions</w:t>
            </w:r>
          </w:p>
        </w:tc>
        <w:tc>
          <w:tcPr>
            <w:tcW w:w="1375" w:type="dxa"/>
            <w:tcBorders>
              <w:top w:val="nil"/>
              <w:left w:val="nil"/>
              <w:bottom w:val="nil"/>
              <w:right w:val="nil"/>
            </w:tcBorders>
          </w:tcPr>
          <w:p w14:paraId="4EDCF00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0.067</w:t>
            </w:r>
          </w:p>
        </w:tc>
        <w:tc>
          <w:tcPr>
            <w:tcW w:w="1375" w:type="dxa"/>
            <w:tcBorders>
              <w:top w:val="nil"/>
              <w:left w:val="nil"/>
              <w:bottom w:val="nil"/>
              <w:right w:val="nil"/>
            </w:tcBorders>
          </w:tcPr>
          <w:p w14:paraId="0CF085B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0.067</w:t>
            </w:r>
          </w:p>
        </w:tc>
        <w:tc>
          <w:tcPr>
            <w:tcW w:w="1375" w:type="dxa"/>
            <w:tcBorders>
              <w:top w:val="nil"/>
              <w:left w:val="nil"/>
              <w:bottom w:val="nil"/>
              <w:right w:val="nil"/>
            </w:tcBorders>
          </w:tcPr>
          <w:p w14:paraId="0245D90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CA2BEF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A8443F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F30942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5B171B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0.076</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36369F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7E615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r w:rsidRPr="00BA0E8D">
              <w:rPr>
                <w:rFonts w:ascii="Times New Roman" w:hAnsi="Times New Roman"/>
                <w:sz w:val="20"/>
                <w:szCs w:val="20"/>
                <w:vertAlign w:val="superscript"/>
              </w:rPr>
              <w:t>*</w:t>
            </w:r>
          </w:p>
        </w:tc>
      </w:tr>
      <w:tr w:rsidR="00113846" w:rsidRPr="00BA0E8D" w14:paraId="2538F3F5" w14:textId="77777777" w:rsidTr="00894076">
        <w:trPr>
          <w:trHeight w:val="322"/>
        </w:trPr>
        <w:tc>
          <w:tcPr>
            <w:tcW w:w="1785" w:type="dxa"/>
            <w:tcBorders>
              <w:top w:val="nil"/>
              <w:left w:val="nil"/>
              <w:bottom w:val="nil"/>
              <w:right w:val="nil"/>
            </w:tcBorders>
          </w:tcPr>
          <w:p w14:paraId="0E8954DE"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45896F7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4485DF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5ECEBA7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3BD4B5F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c>
          <w:tcPr>
            <w:tcW w:w="1375" w:type="dxa"/>
            <w:tcBorders>
              <w:top w:val="nil"/>
              <w:left w:val="nil"/>
              <w:bottom w:val="nil"/>
              <w:right w:val="nil"/>
            </w:tcBorders>
          </w:tcPr>
          <w:p w14:paraId="6A55577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6709337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67074D4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1E2C140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5" w:type="dxa"/>
            <w:tcBorders>
              <w:top w:val="nil"/>
              <w:left w:val="nil"/>
              <w:bottom w:val="nil"/>
              <w:right w:val="nil"/>
            </w:tcBorders>
          </w:tcPr>
          <w:p w14:paraId="1C0920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r>
      <w:tr w:rsidR="00113846" w:rsidRPr="00BA0E8D" w14:paraId="36966C09" w14:textId="77777777" w:rsidTr="00894076">
        <w:trPr>
          <w:trHeight w:val="301"/>
        </w:trPr>
        <w:tc>
          <w:tcPr>
            <w:tcW w:w="1785" w:type="dxa"/>
            <w:tcBorders>
              <w:top w:val="nil"/>
              <w:left w:val="nil"/>
              <w:bottom w:val="nil"/>
              <w:right w:val="nil"/>
            </w:tcBorders>
          </w:tcPr>
          <w:p w14:paraId="2676F86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Lending</w:t>
            </w:r>
          </w:p>
        </w:tc>
        <w:tc>
          <w:tcPr>
            <w:tcW w:w="1375" w:type="dxa"/>
            <w:tcBorders>
              <w:top w:val="nil"/>
              <w:left w:val="nil"/>
              <w:bottom w:val="nil"/>
              <w:right w:val="nil"/>
            </w:tcBorders>
          </w:tcPr>
          <w:p w14:paraId="3D24BCD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56C949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18E1A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38B89A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B2D50A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47B969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44D181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CA200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DEC8AD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r>
      <w:tr w:rsidR="00113846" w:rsidRPr="00BA0E8D" w14:paraId="4C551AE5" w14:textId="77777777" w:rsidTr="00894076">
        <w:trPr>
          <w:trHeight w:val="322"/>
        </w:trPr>
        <w:tc>
          <w:tcPr>
            <w:tcW w:w="1785" w:type="dxa"/>
            <w:tcBorders>
              <w:top w:val="nil"/>
              <w:left w:val="nil"/>
              <w:bottom w:val="nil"/>
              <w:right w:val="nil"/>
            </w:tcBorders>
          </w:tcPr>
          <w:p w14:paraId="43BB75A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099C6B9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50D8725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1AA788C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283779A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73431EC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7100EF6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4BEDB30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78F95D8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5" w:type="dxa"/>
            <w:tcBorders>
              <w:top w:val="nil"/>
              <w:left w:val="nil"/>
              <w:bottom w:val="nil"/>
              <w:right w:val="nil"/>
            </w:tcBorders>
          </w:tcPr>
          <w:p w14:paraId="1185929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r>
      <w:tr w:rsidR="00113846" w:rsidRPr="00BA0E8D" w14:paraId="0F8F0565" w14:textId="77777777" w:rsidTr="00894076">
        <w:trPr>
          <w:trHeight w:val="322"/>
        </w:trPr>
        <w:tc>
          <w:tcPr>
            <w:tcW w:w="1785" w:type="dxa"/>
            <w:tcBorders>
              <w:top w:val="nil"/>
              <w:left w:val="nil"/>
              <w:bottom w:val="nil"/>
              <w:right w:val="nil"/>
            </w:tcBorders>
          </w:tcPr>
          <w:p w14:paraId="67DAAB8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Deposits</w:t>
            </w:r>
          </w:p>
        </w:tc>
        <w:tc>
          <w:tcPr>
            <w:tcW w:w="1375" w:type="dxa"/>
            <w:tcBorders>
              <w:top w:val="nil"/>
              <w:left w:val="nil"/>
              <w:bottom w:val="nil"/>
              <w:right w:val="nil"/>
            </w:tcBorders>
          </w:tcPr>
          <w:p w14:paraId="4AF2443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B2EB47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-0.028</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9CEEB1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21D965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41E52C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A5AE38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BD78B4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7072FC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9C1EC3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r w:rsidRPr="00BA0E8D">
              <w:rPr>
                <w:rFonts w:ascii="Times New Roman" w:hAnsi="Times New Roman"/>
                <w:sz w:val="20"/>
                <w:szCs w:val="20"/>
                <w:vertAlign w:val="superscript"/>
              </w:rPr>
              <w:t>**</w:t>
            </w:r>
          </w:p>
        </w:tc>
      </w:tr>
      <w:tr w:rsidR="00113846" w:rsidRPr="00BA0E8D" w14:paraId="6D9A9870" w14:textId="77777777" w:rsidTr="00894076">
        <w:trPr>
          <w:trHeight w:val="301"/>
        </w:trPr>
        <w:tc>
          <w:tcPr>
            <w:tcW w:w="1785" w:type="dxa"/>
            <w:tcBorders>
              <w:top w:val="nil"/>
              <w:left w:val="nil"/>
              <w:bottom w:val="nil"/>
              <w:right w:val="nil"/>
            </w:tcBorders>
          </w:tcPr>
          <w:p w14:paraId="7CCEB54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210C55F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375" w:type="dxa"/>
            <w:tcBorders>
              <w:top w:val="nil"/>
              <w:left w:val="nil"/>
              <w:bottom w:val="nil"/>
              <w:right w:val="nil"/>
            </w:tcBorders>
          </w:tcPr>
          <w:p w14:paraId="714B503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375" w:type="dxa"/>
            <w:tcBorders>
              <w:top w:val="nil"/>
              <w:left w:val="nil"/>
              <w:bottom w:val="nil"/>
              <w:right w:val="nil"/>
            </w:tcBorders>
          </w:tcPr>
          <w:p w14:paraId="7151BD4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375" w:type="dxa"/>
            <w:tcBorders>
              <w:top w:val="nil"/>
              <w:left w:val="nil"/>
              <w:bottom w:val="nil"/>
              <w:right w:val="nil"/>
            </w:tcBorders>
          </w:tcPr>
          <w:p w14:paraId="67D8131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5" w:type="dxa"/>
            <w:tcBorders>
              <w:top w:val="nil"/>
              <w:left w:val="nil"/>
              <w:bottom w:val="nil"/>
              <w:right w:val="nil"/>
            </w:tcBorders>
          </w:tcPr>
          <w:p w14:paraId="6761CE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5" w:type="dxa"/>
            <w:tcBorders>
              <w:top w:val="nil"/>
              <w:left w:val="nil"/>
              <w:bottom w:val="nil"/>
              <w:right w:val="nil"/>
            </w:tcBorders>
          </w:tcPr>
          <w:p w14:paraId="2E39CAE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5" w:type="dxa"/>
            <w:tcBorders>
              <w:top w:val="nil"/>
              <w:left w:val="nil"/>
              <w:bottom w:val="nil"/>
              <w:right w:val="nil"/>
            </w:tcBorders>
          </w:tcPr>
          <w:p w14:paraId="7A28B69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5" w:type="dxa"/>
            <w:tcBorders>
              <w:top w:val="nil"/>
              <w:left w:val="nil"/>
              <w:bottom w:val="nil"/>
              <w:right w:val="nil"/>
            </w:tcBorders>
          </w:tcPr>
          <w:p w14:paraId="06F16FB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5" w:type="dxa"/>
            <w:tcBorders>
              <w:top w:val="nil"/>
              <w:left w:val="nil"/>
              <w:bottom w:val="nil"/>
              <w:right w:val="nil"/>
            </w:tcBorders>
          </w:tcPr>
          <w:p w14:paraId="77575D1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r>
      <w:tr w:rsidR="00113846" w:rsidRPr="00BA0E8D" w14:paraId="6BD04907" w14:textId="77777777" w:rsidTr="00894076">
        <w:trPr>
          <w:trHeight w:val="322"/>
        </w:trPr>
        <w:tc>
          <w:tcPr>
            <w:tcW w:w="1785" w:type="dxa"/>
            <w:tcBorders>
              <w:top w:val="nil"/>
              <w:left w:val="nil"/>
              <w:bottom w:val="nil"/>
              <w:right w:val="nil"/>
            </w:tcBorders>
          </w:tcPr>
          <w:p w14:paraId="7F05DB3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Equity</w:t>
            </w:r>
          </w:p>
        </w:tc>
        <w:tc>
          <w:tcPr>
            <w:tcW w:w="1375" w:type="dxa"/>
            <w:tcBorders>
              <w:top w:val="nil"/>
              <w:left w:val="nil"/>
              <w:bottom w:val="nil"/>
              <w:right w:val="nil"/>
            </w:tcBorders>
          </w:tcPr>
          <w:p w14:paraId="1EB7031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-0.002</w:t>
            </w:r>
          </w:p>
        </w:tc>
        <w:tc>
          <w:tcPr>
            <w:tcW w:w="1375" w:type="dxa"/>
            <w:tcBorders>
              <w:top w:val="nil"/>
              <w:left w:val="nil"/>
              <w:bottom w:val="nil"/>
              <w:right w:val="nil"/>
            </w:tcBorders>
          </w:tcPr>
          <w:p w14:paraId="6DFED2A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-0.005</w:t>
            </w:r>
          </w:p>
        </w:tc>
        <w:tc>
          <w:tcPr>
            <w:tcW w:w="1375" w:type="dxa"/>
            <w:tcBorders>
              <w:top w:val="nil"/>
              <w:left w:val="nil"/>
              <w:bottom w:val="nil"/>
              <w:right w:val="nil"/>
            </w:tcBorders>
          </w:tcPr>
          <w:p w14:paraId="63E5866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75" w:type="dxa"/>
            <w:tcBorders>
              <w:top w:val="nil"/>
              <w:left w:val="nil"/>
              <w:bottom w:val="nil"/>
              <w:right w:val="nil"/>
            </w:tcBorders>
          </w:tcPr>
          <w:p w14:paraId="7761D69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75" w:type="dxa"/>
            <w:tcBorders>
              <w:top w:val="nil"/>
              <w:left w:val="nil"/>
              <w:bottom w:val="nil"/>
              <w:right w:val="nil"/>
            </w:tcBorders>
          </w:tcPr>
          <w:p w14:paraId="7F72290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75" w:type="dxa"/>
            <w:tcBorders>
              <w:top w:val="nil"/>
              <w:left w:val="nil"/>
              <w:bottom w:val="nil"/>
              <w:right w:val="nil"/>
            </w:tcBorders>
          </w:tcPr>
          <w:p w14:paraId="599D118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c>
          <w:tcPr>
            <w:tcW w:w="1375" w:type="dxa"/>
            <w:tcBorders>
              <w:top w:val="nil"/>
              <w:left w:val="nil"/>
              <w:bottom w:val="nil"/>
              <w:right w:val="nil"/>
            </w:tcBorders>
          </w:tcPr>
          <w:p w14:paraId="79B5C74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-0.005</w:t>
            </w:r>
          </w:p>
        </w:tc>
        <w:tc>
          <w:tcPr>
            <w:tcW w:w="1375" w:type="dxa"/>
            <w:tcBorders>
              <w:top w:val="nil"/>
              <w:left w:val="nil"/>
              <w:bottom w:val="nil"/>
              <w:right w:val="nil"/>
            </w:tcBorders>
          </w:tcPr>
          <w:p w14:paraId="4DABA05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75" w:type="dxa"/>
            <w:tcBorders>
              <w:top w:val="nil"/>
              <w:left w:val="nil"/>
              <w:bottom w:val="nil"/>
              <w:right w:val="nil"/>
            </w:tcBorders>
          </w:tcPr>
          <w:p w14:paraId="4C336C5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r>
      <w:tr w:rsidR="00113846" w:rsidRPr="00BA0E8D" w14:paraId="417C4C8B" w14:textId="77777777" w:rsidTr="00894076">
        <w:trPr>
          <w:trHeight w:val="322"/>
        </w:trPr>
        <w:tc>
          <w:tcPr>
            <w:tcW w:w="1785" w:type="dxa"/>
            <w:tcBorders>
              <w:top w:val="nil"/>
              <w:left w:val="nil"/>
              <w:bottom w:val="nil"/>
              <w:right w:val="nil"/>
            </w:tcBorders>
          </w:tcPr>
          <w:p w14:paraId="308E825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6629F8C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5" w:type="dxa"/>
            <w:tcBorders>
              <w:top w:val="nil"/>
              <w:left w:val="nil"/>
              <w:bottom w:val="nil"/>
              <w:right w:val="nil"/>
            </w:tcBorders>
          </w:tcPr>
          <w:p w14:paraId="7339A93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5" w:type="dxa"/>
            <w:tcBorders>
              <w:top w:val="nil"/>
              <w:left w:val="nil"/>
              <w:bottom w:val="nil"/>
              <w:right w:val="nil"/>
            </w:tcBorders>
          </w:tcPr>
          <w:p w14:paraId="061E2C7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5" w:type="dxa"/>
            <w:tcBorders>
              <w:top w:val="nil"/>
              <w:left w:val="nil"/>
              <w:bottom w:val="nil"/>
              <w:right w:val="nil"/>
            </w:tcBorders>
          </w:tcPr>
          <w:p w14:paraId="4E9C26E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5" w:type="dxa"/>
            <w:tcBorders>
              <w:top w:val="nil"/>
              <w:left w:val="nil"/>
              <w:bottom w:val="nil"/>
              <w:right w:val="nil"/>
            </w:tcBorders>
          </w:tcPr>
          <w:p w14:paraId="578D07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5" w:type="dxa"/>
            <w:tcBorders>
              <w:top w:val="nil"/>
              <w:left w:val="nil"/>
              <w:bottom w:val="nil"/>
              <w:right w:val="nil"/>
            </w:tcBorders>
          </w:tcPr>
          <w:p w14:paraId="585F80E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5" w:type="dxa"/>
            <w:tcBorders>
              <w:top w:val="nil"/>
              <w:left w:val="nil"/>
              <w:bottom w:val="nil"/>
              <w:right w:val="nil"/>
            </w:tcBorders>
          </w:tcPr>
          <w:p w14:paraId="62DFFD4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5" w:type="dxa"/>
            <w:tcBorders>
              <w:top w:val="nil"/>
              <w:left w:val="nil"/>
              <w:bottom w:val="nil"/>
              <w:right w:val="nil"/>
            </w:tcBorders>
          </w:tcPr>
          <w:p w14:paraId="46042F7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5" w:type="dxa"/>
            <w:tcBorders>
              <w:top w:val="nil"/>
              <w:left w:val="nil"/>
              <w:bottom w:val="nil"/>
              <w:right w:val="nil"/>
            </w:tcBorders>
          </w:tcPr>
          <w:p w14:paraId="299E85B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r>
      <w:tr w:rsidR="00113846" w:rsidRPr="00BA0E8D" w14:paraId="270DA536" w14:textId="77777777" w:rsidTr="00894076">
        <w:trPr>
          <w:trHeight w:val="322"/>
        </w:trPr>
        <w:tc>
          <w:tcPr>
            <w:tcW w:w="1785" w:type="dxa"/>
            <w:tcBorders>
              <w:top w:val="nil"/>
              <w:left w:val="nil"/>
              <w:bottom w:val="nil"/>
              <w:right w:val="nil"/>
            </w:tcBorders>
          </w:tcPr>
          <w:p w14:paraId="7429C7E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Fees</w:t>
            </w:r>
          </w:p>
        </w:tc>
        <w:tc>
          <w:tcPr>
            <w:tcW w:w="1375" w:type="dxa"/>
            <w:tcBorders>
              <w:top w:val="nil"/>
              <w:left w:val="nil"/>
              <w:bottom w:val="nil"/>
              <w:right w:val="nil"/>
            </w:tcBorders>
          </w:tcPr>
          <w:p w14:paraId="01E60E8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-0.043</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1C9355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-0.043</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F0FA5E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65C0C9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45C0B3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A2741A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F0F7DF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0611B3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85DF1A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r>
      <w:tr w:rsidR="00113846" w:rsidRPr="00BA0E8D" w14:paraId="4A6C94FA" w14:textId="77777777" w:rsidTr="00894076">
        <w:trPr>
          <w:trHeight w:val="322"/>
        </w:trPr>
        <w:tc>
          <w:tcPr>
            <w:tcW w:w="1785" w:type="dxa"/>
            <w:tcBorders>
              <w:top w:val="nil"/>
              <w:left w:val="nil"/>
              <w:bottom w:val="nil"/>
              <w:right w:val="nil"/>
            </w:tcBorders>
          </w:tcPr>
          <w:p w14:paraId="5187CBE7"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61A63B1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41363AA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5874C2D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126409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22BFDC7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357A47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2F098A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1C05B6D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5" w:type="dxa"/>
            <w:tcBorders>
              <w:top w:val="nil"/>
              <w:left w:val="nil"/>
              <w:bottom w:val="nil"/>
              <w:right w:val="nil"/>
            </w:tcBorders>
          </w:tcPr>
          <w:p w14:paraId="2244F4B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r>
      <w:tr w:rsidR="00113846" w:rsidRPr="00BA0E8D" w14:paraId="7E484874" w14:textId="77777777" w:rsidTr="00894076">
        <w:trPr>
          <w:trHeight w:val="301"/>
        </w:trPr>
        <w:tc>
          <w:tcPr>
            <w:tcW w:w="1785" w:type="dxa"/>
            <w:tcBorders>
              <w:top w:val="nil"/>
              <w:left w:val="nil"/>
              <w:bottom w:val="nil"/>
              <w:right w:val="nil"/>
            </w:tcBorders>
          </w:tcPr>
          <w:p w14:paraId="63280BF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Inefficiency</w:t>
            </w:r>
          </w:p>
        </w:tc>
        <w:tc>
          <w:tcPr>
            <w:tcW w:w="1375" w:type="dxa"/>
            <w:tcBorders>
              <w:top w:val="nil"/>
              <w:left w:val="nil"/>
              <w:bottom w:val="nil"/>
              <w:right w:val="nil"/>
            </w:tcBorders>
          </w:tcPr>
          <w:p w14:paraId="125F2D6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85D0D1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0.718</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4CB712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BC0206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4A7332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0.703</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D6354E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6BD496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0.718</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6B50D2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AC6F8E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0.726</w:t>
            </w:r>
            <w:r w:rsidRPr="00BA0E8D">
              <w:rPr>
                <w:rFonts w:ascii="Times New Roman" w:hAnsi="Times New Roman"/>
                <w:sz w:val="20"/>
                <w:szCs w:val="20"/>
                <w:vertAlign w:val="superscript"/>
              </w:rPr>
              <w:t>***</w:t>
            </w:r>
          </w:p>
        </w:tc>
      </w:tr>
      <w:tr w:rsidR="00113846" w:rsidRPr="00BA0E8D" w14:paraId="3356C34D" w14:textId="77777777" w:rsidTr="00894076">
        <w:trPr>
          <w:trHeight w:val="322"/>
        </w:trPr>
        <w:tc>
          <w:tcPr>
            <w:tcW w:w="1785" w:type="dxa"/>
            <w:tcBorders>
              <w:top w:val="nil"/>
              <w:left w:val="nil"/>
              <w:bottom w:val="nil"/>
              <w:right w:val="nil"/>
            </w:tcBorders>
          </w:tcPr>
          <w:p w14:paraId="3610785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30E642C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(0.093)</w:t>
            </w:r>
          </w:p>
        </w:tc>
        <w:tc>
          <w:tcPr>
            <w:tcW w:w="1375" w:type="dxa"/>
            <w:tcBorders>
              <w:top w:val="nil"/>
              <w:left w:val="nil"/>
              <w:bottom w:val="nil"/>
              <w:right w:val="nil"/>
            </w:tcBorders>
          </w:tcPr>
          <w:p w14:paraId="0C9BBE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375" w:type="dxa"/>
            <w:tcBorders>
              <w:top w:val="nil"/>
              <w:left w:val="nil"/>
              <w:bottom w:val="nil"/>
              <w:right w:val="nil"/>
            </w:tcBorders>
          </w:tcPr>
          <w:p w14:paraId="4DD7E8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(0.093)</w:t>
            </w:r>
          </w:p>
        </w:tc>
        <w:tc>
          <w:tcPr>
            <w:tcW w:w="1375" w:type="dxa"/>
            <w:tcBorders>
              <w:top w:val="nil"/>
              <w:left w:val="nil"/>
              <w:bottom w:val="nil"/>
              <w:right w:val="nil"/>
            </w:tcBorders>
          </w:tcPr>
          <w:p w14:paraId="6F01102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5" w:type="dxa"/>
            <w:tcBorders>
              <w:top w:val="nil"/>
              <w:left w:val="nil"/>
              <w:bottom w:val="nil"/>
              <w:right w:val="nil"/>
            </w:tcBorders>
          </w:tcPr>
          <w:p w14:paraId="16D6C64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5" w:type="dxa"/>
            <w:tcBorders>
              <w:top w:val="nil"/>
              <w:left w:val="nil"/>
              <w:bottom w:val="nil"/>
              <w:right w:val="nil"/>
            </w:tcBorders>
          </w:tcPr>
          <w:p w14:paraId="488228C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5" w:type="dxa"/>
            <w:tcBorders>
              <w:top w:val="nil"/>
              <w:left w:val="nil"/>
              <w:bottom w:val="nil"/>
              <w:right w:val="nil"/>
            </w:tcBorders>
          </w:tcPr>
          <w:p w14:paraId="4462311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75" w:type="dxa"/>
            <w:tcBorders>
              <w:top w:val="nil"/>
              <w:left w:val="nil"/>
              <w:bottom w:val="nil"/>
              <w:right w:val="nil"/>
            </w:tcBorders>
          </w:tcPr>
          <w:p w14:paraId="0602AD1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75" w:type="dxa"/>
            <w:tcBorders>
              <w:top w:val="nil"/>
              <w:left w:val="nil"/>
              <w:bottom w:val="nil"/>
              <w:right w:val="nil"/>
            </w:tcBorders>
          </w:tcPr>
          <w:p w14:paraId="2FB7A5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r>
      <w:tr w:rsidR="00113846" w:rsidRPr="00BA0E8D" w14:paraId="5CB39130" w14:textId="77777777" w:rsidTr="00894076">
        <w:trPr>
          <w:trHeight w:val="301"/>
        </w:trPr>
        <w:tc>
          <w:tcPr>
            <w:tcW w:w="1785" w:type="dxa"/>
            <w:tcBorders>
              <w:top w:val="nil"/>
              <w:left w:val="nil"/>
              <w:bottom w:val="nil"/>
              <w:right w:val="nil"/>
            </w:tcBorders>
          </w:tcPr>
          <w:p w14:paraId="460DB844"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GDP Growth</w:t>
            </w:r>
          </w:p>
        </w:tc>
        <w:tc>
          <w:tcPr>
            <w:tcW w:w="1375" w:type="dxa"/>
            <w:tcBorders>
              <w:top w:val="nil"/>
              <w:left w:val="nil"/>
              <w:bottom w:val="nil"/>
              <w:right w:val="nil"/>
            </w:tcBorders>
          </w:tcPr>
          <w:p w14:paraId="1762E1B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77A219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3677E3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p>
        </w:tc>
        <w:tc>
          <w:tcPr>
            <w:tcW w:w="1375" w:type="dxa"/>
            <w:tcBorders>
              <w:top w:val="nil"/>
              <w:left w:val="nil"/>
              <w:bottom w:val="nil"/>
              <w:right w:val="nil"/>
            </w:tcBorders>
          </w:tcPr>
          <w:p w14:paraId="2461CE1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72BEE1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B5AE3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8DED61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7C939A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DB5A62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r w:rsidRPr="00BA0E8D">
              <w:rPr>
                <w:rFonts w:ascii="Times New Roman" w:hAnsi="Times New Roman"/>
                <w:sz w:val="20"/>
                <w:szCs w:val="20"/>
                <w:vertAlign w:val="superscript"/>
              </w:rPr>
              <w:t>**</w:t>
            </w:r>
          </w:p>
        </w:tc>
      </w:tr>
      <w:tr w:rsidR="00113846" w:rsidRPr="00BA0E8D" w14:paraId="5086ED7D" w14:textId="77777777" w:rsidTr="00894076">
        <w:trPr>
          <w:trHeight w:val="322"/>
        </w:trPr>
        <w:tc>
          <w:tcPr>
            <w:tcW w:w="1785" w:type="dxa"/>
            <w:tcBorders>
              <w:top w:val="nil"/>
              <w:left w:val="nil"/>
              <w:bottom w:val="nil"/>
              <w:right w:val="nil"/>
            </w:tcBorders>
          </w:tcPr>
          <w:p w14:paraId="6FD5BDA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75DA44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51756FE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21529B6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792097E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726F8E4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(0.035)</w:t>
            </w:r>
          </w:p>
        </w:tc>
        <w:tc>
          <w:tcPr>
            <w:tcW w:w="1375" w:type="dxa"/>
            <w:tcBorders>
              <w:top w:val="nil"/>
              <w:left w:val="nil"/>
              <w:bottom w:val="nil"/>
              <w:right w:val="nil"/>
            </w:tcBorders>
          </w:tcPr>
          <w:p w14:paraId="3CB2C15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(0.035)</w:t>
            </w:r>
          </w:p>
        </w:tc>
        <w:tc>
          <w:tcPr>
            <w:tcW w:w="1375" w:type="dxa"/>
            <w:tcBorders>
              <w:top w:val="nil"/>
              <w:left w:val="nil"/>
              <w:bottom w:val="nil"/>
              <w:right w:val="nil"/>
            </w:tcBorders>
          </w:tcPr>
          <w:p w14:paraId="30AF13D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47983F7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36C8CDA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r>
      <w:tr w:rsidR="00113846" w:rsidRPr="00BA0E8D" w14:paraId="061447C3" w14:textId="77777777" w:rsidTr="00894076">
        <w:trPr>
          <w:trHeight w:val="322"/>
        </w:trPr>
        <w:tc>
          <w:tcPr>
            <w:tcW w:w="1785" w:type="dxa"/>
            <w:tcBorders>
              <w:top w:val="nil"/>
              <w:left w:val="nil"/>
              <w:bottom w:val="nil"/>
              <w:right w:val="nil"/>
            </w:tcBorders>
          </w:tcPr>
          <w:p w14:paraId="69830656"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 xml:space="preserve">Inflation </w:t>
            </w:r>
          </w:p>
        </w:tc>
        <w:tc>
          <w:tcPr>
            <w:tcW w:w="1375" w:type="dxa"/>
            <w:tcBorders>
              <w:top w:val="nil"/>
              <w:left w:val="nil"/>
              <w:bottom w:val="nil"/>
              <w:right w:val="nil"/>
            </w:tcBorders>
          </w:tcPr>
          <w:p w14:paraId="6296FFF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5E7523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0.083</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64A08D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0.093</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142A39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48A65C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C6FEE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D17840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A2FF2B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C7EC33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0.099</w:t>
            </w:r>
            <w:r w:rsidRPr="00BA0E8D">
              <w:rPr>
                <w:rFonts w:ascii="Times New Roman" w:hAnsi="Times New Roman"/>
                <w:sz w:val="20"/>
                <w:szCs w:val="20"/>
                <w:vertAlign w:val="superscript"/>
              </w:rPr>
              <w:t>***</w:t>
            </w:r>
          </w:p>
        </w:tc>
      </w:tr>
      <w:tr w:rsidR="00113846" w:rsidRPr="00BA0E8D" w14:paraId="24337A3A" w14:textId="77777777" w:rsidTr="00894076">
        <w:trPr>
          <w:trHeight w:val="301"/>
        </w:trPr>
        <w:tc>
          <w:tcPr>
            <w:tcW w:w="1785" w:type="dxa"/>
            <w:tcBorders>
              <w:top w:val="nil"/>
              <w:left w:val="nil"/>
              <w:bottom w:val="nil"/>
              <w:right w:val="nil"/>
            </w:tcBorders>
          </w:tcPr>
          <w:p w14:paraId="5311C67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6BF715F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0112D66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4AB7613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78195F3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0067677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19F87AE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6C9088E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7FE0CD9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5" w:type="dxa"/>
            <w:tcBorders>
              <w:top w:val="nil"/>
              <w:left w:val="nil"/>
              <w:bottom w:val="nil"/>
              <w:right w:val="nil"/>
            </w:tcBorders>
          </w:tcPr>
          <w:p w14:paraId="6E3C8E7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r>
      <w:tr w:rsidR="00113846" w:rsidRPr="00BA0E8D" w14:paraId="36856D42" w14:textId="77777777" w:rsidTr="00894076">
        <w:trPr>
          <w:trHeight w:val="301"/>
        </w:trPr>
        <w:tc>
          <w:tcPr>
            <w:tcW w:w="1785" w:type="dxa"/>
            <w:tcBorders>
              <w:top w:val="nil"/>
              <w:left w:val="nil"/>
              <w:bottom w:val="nil"/>
              <w:right w:val="nil"/>
            </w:tcBorders>
          </w:tcPr>
          <w:p w14:paraId="1D0D16BA"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w:t>
            </w:r>
          </w:p>
        </w:tc>
        <w:tc>
          <w:tcPr>
            <w:tcW w:w="1375" w:type="dxa"/>
            <w:tcBorders>
              <w:top w:val="nil"/>
              <w:left w:val="nil"/>
              <w:bottom w:val="nil"/>
              <w:right w:val="nil"/>
            </w:tcBorders>
          </w:tcPr>
          <w:p w14:paraId="1A2DABC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-1.817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5247CD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-1.372</w:t>
            </w:r>
          </w:p>
        </w:tc>
        <w:tc>
          <w:tcPr>
            <w:tcW w:w="1375" w:type="dxa"/>
            <w:tcBorders>
              <w:top w:val="nil"/>
              <w:left w:val="nil"/>
              <w:bottom w:val="nil"/>
              <w:right w:val="nil"/>
            </w:tcBorders>
          </w:tcPr>
          <w:p w14:paraId="43D6F64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-1.824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8B2493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-1.675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5AAFE43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-1.684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8D35AB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-1.935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4F4BE98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-1.527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E4BECF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-1.776</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1CD92C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-1.276</w:t>
            </w:r>
            <w:r w:rsidRPr="00BA0E8D">
              <w:rPr>
                <w:rFonts w:ascii="Times New Roman" w:hAnsi="Times New Roman"/>
                <w:sz w:val="20"/>
                <w:szCs w:val="20"/>
                <w:vertAlign w:val="superscript"/>
              </w:rPr>
              <w:t>*</w:t>
            </w:r>
          </w:p>
        </w:tc>
      </w:tr>
      <w:tr w:rsidR="00113846" w:rsidRPr="00BA0E8D" w14:paraId="31B6DFBF" w14:textId="77777777" w:rsidTr="00894076">
        <w:trPr>
          <w:trHeight w:val="322"/>
        </w:trPr>
        <w:tc>
          <w:tcPr>
            <w:tcW w:w="1785" w:type="dxa"/>
            <w:tcBorders>
              <w:top w:val="nil"/>
              <w:left w:val="nil"/>
              <w:bottom w:val="nil"/>
              <w:right w:val="nil"/>
            </w:tcBorders>
          </w:tcPr>
          <w:p w14:paraId="37BD4BF4"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7417945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(0.778)</w:t>
            </w:r>
          </w:p>
        </w:tc>
        <w:tc>
          <w:tcPr>
            <w:tcW w:w="1375" w:type="dxa"/>
            <w:tcBorders>
              <w:top w:val="nil"/>
              <w:left w:val="nil"/>
              <w:bottom w:val="nil"/>
              <w:right w:val="nil"/>
            </w:tcBorders>
          </w:tcPr>
          <w:p w14:paraId="47A309D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(0.838)</w:t>
            </w:r>
          </w:p>
        </w:tc>
        <w:tc>
          <w:tcPr>
            <w:tcW w:w="1375" w:type="dxa"/>
            <w:tcBorders>
              <w:top w:val="nil"/>
              <w:left w:val="nil"/>
              <w:bottom w:val="nil"/>
              <w:right w:val="nil"/>
            </w:tcBorders>
          </w:tcPr>
          <w:p w14:paraId="54BCC84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(0.784)</w:t>
            </w:r>
          </w:p>
        </w:tc>
        <w:tc>
          <w:tcPr>
            <w:tcW w:w="1375" w:type="dxa"/>
            <w:tcBorders>
              <w:top w:val="nil"/>
              <w:left w:val="nil"/>
              <w:bottom w:val="nil"/>
              <w:right w:val="nil"/>
            </w:tcBorders>
          </w:tcPr>
          <w:p w14:paraId="695C49D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(0.725)</w:t>
            </w:r>
          </w:p>
        </w:tc>
        <w:tc>
          <w:tcPr>
            <w:tcW w:w="1375" w:type="dxa"/>
            <w:tcBorders>
              <w:top w:val="nil"/>
              <w:left w:val="nil"/>
              <w:bottom w:val="nil"/>
              <w:right w:val="nil"/>
            </w:tcBorders>
          </w:tcPr>
          <w:p w14:paraId="1488EB1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(0.722)</w:t>
            </w:r>
          </w:p>
        </w:tc>
        <w:tc>
          <w:tcPr>
            <w:tcW w:w="1375" w:type="dxa"/>
            <w:tcBorders>
              <w:top w:val="nil"/>
              <w:left w:val="nil"/>
              <w:bottom w:val="nil"/>
              <w:right w:val="nil"/>
            </w:tcBorders>
          </w:tcPr>
          <w:p w14:paraId="63AE7C4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(0.730)</w:t>
            </w:r>
          </w:p>
        </w:tc>
        <w:tc>
          <w:tcPr>
            <w:tcW w:w="1375" w:type="dxa"/>
            <w:tcBorders>
              <w:top w:val="nil"/>
              <w:left w:val="nil"/>
              <w:bottom w:val="nil"/>
              <w:right w:val="nil"/>
            </w:tcBorders>
          </w:tcPr>
          <w:p w14:paraId="37E1D9B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(0.766)</w:t>
            </w:r>
          </w:p>
        </w:tc>
        <w:tc>
          <w:tcPr>
            <w:tcW w:w="1375" w:type="dxa"/>
            <w:tcBorders>
              <w:top w:val="nil"/>
              <w:left w:val="nil"/>
              <w:bottom w:val="nil"/>
              <w:right w:val="nil"/>
            </w:tcBorders>
          </w:tcPr>
          <w:p w14:paraId="6E698D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(0.825)</w:t>
            </w:r>
          </w:p>
        </w:tc>
        <w:tc>
          <w:tcPr>
            <w:tcW w:w="1375" w:type="dxa"/>
            <w:tcBorders>
              <w:top w:val="nil"/>
              <w:left w:val="nil"/>
              <w:bottom w:val="nil"/>
              <w:right w:val="nil"/>
            </w:tcBorders>
          </w:tcPr>
          <w:p w14:paraId="6259FFC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(0.769)</w:t>
            </w:r>
          </w:p>
        </w:tc>
      </w:tr>
      <w:tr w:rsidR="00113846" w:rsidRPr="00BA0E8D" w14:paraId="09916D88" w14:textId="77777777" w:rsidTr="00894076">
        <w:trPr>
          <w:trHeight w:val="322"/>
        </w:trPr>
        <w:tc>
          <w:tcPr>
            <w:tcW w:w="1785" w:type="dxa"/>
            <w:tcBorders>
              <w:top w:val="nil"/>
              <w:left w:val="nil"/>
              <w:bottom w:val="nil"/>
              <w:right w:val="nil"/>
            </w:tcBorders>
          </w:tcPr>
          <w:p w14:paraId="438684EC"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w:t>
            </w:r>
          </w:p>
        </w:tc>
        <w:tc>
          <w:tcPr>
            <w:tcW w:w="1375" w:type="dxa"/>
            <w:tcBorders>
              <w:top w:val="nil"/>
              <w:left w:val="nil"/>
              <w:bottom w:val="nil"/>
              <w:right w:val="nil"/>
            </w:tcBorders>
          </w:tcPr>
          <w:p w14:paraId="1AA6311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0.542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4B72E8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27FE63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FAF1C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c>
          <w:tcPr>
            <w:tcW w:w="1375" w:type="dxa"/>
            <w:tcBorders>
              <w:top w:val="nil"/>
              <w:left w:val="nil"/>
              <w:bottom w:val="nil"/>
              <w:right w:val="nil"/>
            </w:tcBorders>
          </w:tcPr>
          <w:p w14:paraId="2BE727E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DF2013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82554F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-0.307</w:t>
            </w:r>
          </w:p>
        </w:tc>
        <w:tc>
          <w:tcPr>
            <w:tcW w:w="1375" w:type="dxa"/>
            <w:tcBorders>
              <w:top w:val="nil"/>
              <w:left w:val="nil"/>
              <w:bottom w:val="nil"/>
              <w:right w:val="nil"/>
            </w:tcBorders>
          </w:tcPr>
          <w:p w14:paraId="3B39C4E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244843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013AF42A" w14:textId="77777777" w:rsidTr="00894076">
        <w:trPr>
          <w:trHeight w:val="322"/>
        </w:trPr>
        <w:tc>
          <w:tcPr>
            <w:tcW w:w="1785" w:type="dxa"/>
            <w:tcBorders>
              <w:top w:val="nil"/>
              <w:left w:val="nil"/>
              <w:bottom w:val="nil"/>
              <w:right w:val="nil"/>
            </w:tcBorders>
          </w:tcPr>
          <w:p w14:paraId="2B23A05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10CA402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(0.276)</w:t>
            </w:r>
          </w:p>
        </w:tc>
        <w:tc>
          <w:tcPr>
            <w:tcW w:w="1375" w:type="dxa"/>
            <w:tcBorders>
              <w:top w:val="nil"/>
              <w:left w:val="nil"/>
              <w:bottom w:val="nil"/>
              <w:right w:val="nil"/>
            </w:tcBorders>
          </w:tcPr>
          <w:p w14:paraId="3A0D0F1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2097C5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0F2EC6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(0.265)</w:t>
            </w:r>
          </w:p>
        </w:tc>
        <w:tc>
          <w:tcPr>
            <w:tcW w:w="1375" w:type="dxa"/>
            <w:tcBorders>
              <w:top w:val="nil"/>
              <w:left w:val="nil"/>
              <w:bottom w:val="nil"/>
              <w:right w:val="nil"/>
            </w:tcBorders>
          </w:tcPr>
          <w:p w14:paraId="6264992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854C75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770EBD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(0.239)</w:t>
            </w:r>
          </w:p>
        </w:tc>
        <w:tc>
          <w:tcPr>
            <w:tcW w:w="1375" w:type="dxa"/>
            <w:tcBorders>
              <w:top w:val="nil"/>
              <w:left w:val="nil"/>
              <w:bottom w:val="nil"/>
              <w:right w:val="nil"/>
            </w:tcBorders>
          </w:tcPr>
          <w:p w14:paraId="4215562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796DA2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5C489AB9" w14:textId="77777777" w:rsidTr="00894076">
        <w:trPr>
          <w:trHeight w:val="322"/>
        </w:trPr>
        <w:tc>
          <w:tcPr>
            <w:tcW w:w="1785" w:type="dxa"/>
            <w:tcBorders>
              <w:top w:val="nil"/>
              <w:left w:val="nil"/>
              <w:bottom w:val="nil"/>
              <w:right w:val="nil"/>
            </w:tcBorders>
          </w:tcPr>
          <w:p w14:paraId="2FEE957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w:t>
            </w:r>
          </w:p>
        </w:tc>
        <w:tc>
          <w:tcPr>
            <w:tcW w:w="1375" w:type="dxa"/>
            <w:tcBorders>
              <w:top w:val="nil"/>
              <w:left w:val="nil"/>
              <w:bottom w:val="nil"/>
              <w:right w:val="nil"/>
            </w:tcBorders>
          </w:tcPr>
          <w:p w14:paraId="6EE80EA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788020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0.610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7C19D4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9BBA07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E0879E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0.062</w:t>
            </w:r>
          </w:p>
        </w:tc>
        <w:tc>
          <w:tcPr>
            <w:tcW w:w="1375" w:type="dxa"/>
            <w:tcBorders>
              <w:top w:val="nil"/>
              <w:left w:val="nil"/>
              <w:bottom w:val="nil"/>
              <w:right w:val="nil"/>
            </w:tcBorders>
          </w:tcPr>
          <w:p w14:paraId="1639906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966629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7E10F2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-0.390</w:t>
            </w:r>
          </w:p>
        </w:tc>
        <w:tc>
          <w:tcPr>
            <w:tcW w:w="1375" w:type="dxa"/>
            <w:tcBorders>
              <w:top w:val="nil"/>
              <w:left w:val="nil"/>
              <w:bottom w:val="nil"/>
              <w:right w:val="nil"/>
            </w:tcBorders>
          </w:tcPr>
          <w:p w14:paraId="000F0BE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3D243434" w14:textId="77777777" w:rsidTr="00894076">
        <w:trPr>
          <w:trHeight w:val="322"/>
        </w:trPr>
        <w:tc>
          <w:tcPr>
            <w:tcW w:w="1785" w:type="dxa"/>
            <w:tcBorders>
              <w:top w:val="nil"/>
              <w:left w:val="nil"/>
              <w:bottom w:val="nil"/>
              <w:right w:val="nil"/>
            </w:tcBorders>
          </w:tcPr>
          <w:p w14:paraId="68648412"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732B9E5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B66A72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(0.346)</w:t>
            </w:r>
          </w:p>
        </w:tc>
        <w:tc>
          <w:tcPr>
            <w:tcW w:w="1375" w:type="dxa"/>
            <w:tcBorders>
              <w:top w:val="nil"/>
              <w:left w:val="nil"/>
              <w:bottom w:val="nil"/>
              <w:right w:val="nil"/>
            </w:tcBorders>
          </w:tcPr>
          <w:p w14:paraId="5C286A7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588966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3FF5C2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(0.323)</w:t>
            </w:r>
          </w:p>
        </w:tc>
        <w:tc>
          <w:tcPr>
            <w:tcW w:w="1375" w:type="dxa"/>
            <w:tcBorders>
              <w:top w:val="nil"/>
              <w:left w:val="nil"/>
              <w:bottom w:val="nil"/>
              <w:right w:val="nil"/>
            </w:tcBorders>
          </w:tcPr>
          <w:p w14:paraId="667E9FA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2C09E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28B32C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(0.313)</w:t>
            </w:r>
          </w:p>
        </w:tc>
        <w:tc>
          <w:tcPr>
            <w:tcW w:w="1375" w:type="dxa"/>
            <w:tcBorders>
              <w:top w:val="nil"/>
              <w:left w:val="nil"/>
              <w:bottom w:val="nil"/>
              <w:right w:val="nil"/>
            </w:tcBorders>
          </w:tcPr>
          <w:p w14:paraId="41282BC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067C2257" w14:textId="77777777" w:rsidTr="00894076">
        <w:trPr>
          <w:trHeight w:val="301"/>
        </w:trPr>
        <w:tc>
          <w:tcPr>
            <w:tcW w:w="1785" w:type="dxa"/>
            <w:tcBorders>
              <w:top w:val="nil"/>
              <w:left w:val="nil"/>
              <w:bottom w:val="nil"/>
              <w:right w:val="nil"/>
            </w:tcBorders>
          </w:tcPr>
          <w:p w14:paraId="30F39099"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0AFF1208"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76636537"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5E2EE48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4802822F"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23492F2D"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49A38C9E"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225656E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654FA22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3B0D40CF"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r>
      <w:tr w:rsidR="00113846" w:rsidRPr="00BA0E8D" w14:paraId="6AD7277F" w14:textId="77777777" w:rsidTr="00894076">
        <w:trPr>
          <w:trHeight w:val="322"/>
        </w:trPr>
        <w:tc>
          <w:tcPr>
            <w:tcW w:w="1785" w:type="dxa"/>
            <w:tcBorders>
              <w:top w:val="nil"/>
              <w:left w:val="nil"/>
              <w:bottom w:val="nil"/>
              <w:right w:val="nil"/>
            </w:tcBorders>
          </w:tcPr>
          <w:p w14:paraId="633E0E9D"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w:t>
            </w:r>
          </w:p>
        </w:tc>
        <w:tc>
          <w:tcPr>
            <w:tcW w:w="1375" w:type="dxa"/>
            <w:tcBorders>
              <w:top w:val="nil"/>
              <w:left w:val="nil"/>
              <w:bottom w:val="nil"/>
              <w:right w:val="nil"/>
            </w:tcBorders>
          </w:tcPr>
          <w:p w14:paraId="5EC380E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D356F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60BB01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0.971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96F892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6ED370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56487D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0.340</w:t>
            </w:r>
          </w:p>
        </w:tc>
        <w:tc>
          <w:tcPr>
            <w:tcW w:w="1375" w:type="dxa"/>
            <w:tcBorders>
              <w:top w:val="nil"/>
              <w:left w:val="nil"/>
              <w:bottom w:val="nil"/>
              <w:right w:val="nil"/>
            </w:tcBorders>
          </w:tcPr>
          <w:p w14:paraId="6CBC38D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BDC917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7C5D05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0.188</w:t>
            </w:r>
          </w:p>
        </w:tc>
      </w:tr>
      <w:tr w:rsidR="00113846" w:rsidRPr="00BA0E8D" w14:paraId="77D372DA" w14:textId="77777777" w:rsidTr="00894076">
        <w:trPr>
          <w:trHeight w:val="322"/>
        </w:trPr>
        <w:tc>
          <w:tcPr>
            <w:tcW w:w="1785" w:type="dxa"/>
            <w:tcBorders>
              <w:top w:val="nil"/>
              <w:left w:val="nil"/>
              <w:bottom w:val="nil"/>
              <w:right w:val="nil"/>
            </w:tcBorders>
          </w:tcPr>
          <w:p w14:paraId="5B13175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067252B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ADC43F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F27725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(0.282)</w:t>
            </w:r>
          </w:p>
        </w:tc>
        <w:tc>
          <w:tcPr>
            <w:tcW w:w="1375" w:type="dxa"/>
            <w:tcBorders>
              <w:top w:val="nil"/>
              <w:left w:val="nil"/>
              <w:bottom w:val="nil"/>
              <w:right w:val="nil"/>
            </w:tcBorders>
          </w:tcPr>
          <w:p w14:paraId="475AE60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53658C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0F8AEC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(0.252)</w:t>
            </w:r>
          </w:p>
        </w:tc>
        <w:tc>
          <w:tcPr>
            <w:tcW w:w="1375" w:type="dxa"/>
            <w:tcBorders>
              <w:top w:val="nil"/>
              <w:left w:val="nil"/>
              <w:bottom w:val="nil"/>
              <w:right w:val="nil"/>
            </w:tcBorders>
          </w:tcPr>
          <w:p w14:paraId="2F55ABA9"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4A7420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F9D7D0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(0.266)</w:t>
            </w:r>
          </w:p>
        </w:tc>
      </w:tr>
      <w:tr w:rsidR="00113846" w:rsidRPr="00BA0E8D" w14:paraId="2AB6D3D1" w14:textId="77777777" w:rsidTr="00894076">
        <w:trPr>
          <w:trHeight w:val="322"/>
        </w:trPr>
        <w:tc>
          <w:tcPr>
            <w:tcW w:w="1785" w:type="dxa"/>
            <w:tcBorders>
              <w:top w:val="nil"/>
              <w:left w:val="nil"/>
              <w:bottom w:val="nil"/>
              <w:right w:val="nil"/>
            </w:tcBorders>
          </w:tcPr>
          <w:p w14:paraId="7F34632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roofErr w:type="spellStart"/>
            <w:r w:rsidRPr="00BA0E8D">
              <w:rPr>
                <w:rFonts w:ascii="Times New Roman" w:hAnsi="Times New Roman"/>
                <w:sz w:val="20"/>
                <w:szCs w:val="20"/>
              </w:rPr>
              <w:t>Conc</w:t>
            </w:r>
            <w:proofErr w:type="spellEnd"/>
            <w:r w:rsidRPr="00BA0E8D">
              <w:rPr>
                <w:rFonts w:ascii="Times New Roman" w:hAnsi="Times New Roman"/>
                <w:sz w:val="20"/>
                <w:szCs w:val="20"/>
              </w:rPr>
              <w:t xml:space="preserve"> X Depth</w:t>
            </w:r>
          </w:p>
        </w:tc>
        <w:tc>
          <w:tcPr>
            <w:tcW w:w="1375" w:type="dxa"/>
            <w:tcBorders>
              <w:top w:val="nil"/>
              <w:left w:val="nil"/>
              <w:bottom w:val="nil"/>
              <w:right w:val="nil"/>
            </w:tcBorders>
          </w:tcPr>
          <w:p w14:paraId="17CC43A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0.796</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24B528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0.617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EA9D31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0.630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4150A1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630759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C1AD60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C92882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C7E8C3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DD54B4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1B55E635" w14:textId="77777777" w:rsidTr="00894076">
        <w:trPr>
          <w:trHeight w:val="301"/>
        </w:trPr>
        <w:tc>
          <w:tcPr>
            <w:tcW w:w="1785" w:type="dxa"/>
            <w:tcBorders>
              <w:top w:val="nil"/>
              <w:left w:val="nil"/>
              <w:bottom w:val="nil"/>
              <w:right w:val="nil"/>
            </w:tcBorders>
          </w:tcPr>
          <w:p w14:paraId="42E8C2BB"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7683568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(0.359)</w:t>
            </w:r>
          </w:p>
        </w:tc>
        <w:tc>
          <w:tcPr>
            <w:tcW w:w="1375" w:type="dxa"/>
            <w:tcBorders>
              <w:top w:val="nil"/>
              <w:left w:val="nil"/>
              <w:bottom w:val="nil"/>
              <w:right w:val="nil"/>
            </w:tcBorders>
          </w:tcPr>
          <w:p w14:paraId="279C382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(0.369)</w:t>
            </w:r>
          </w:p>
        </w:tc>
        <w:tc>
          <w:tcPr>
            <w:tcW w:w="1375" w:type="dxa"/>
            <w:tcBorders>
              <w:top w:val="nil"/>
              <w:left w:val="nil"/>
              <w:bottom w:val="nil"/>
              <w:right w:val="nil"/>
            </w:tcBorders>
          </w:tcPr>
          <w:p w14:paraId="2F236E1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(0.363)</w:t>
            </w:r>
          </w:p>
        </w:tc>
        <w:tc>
          <w:tcPr>
            <w:tcW w:w="1375" w:type="dxa"/>
            <w:tcBorders>
              <w:top w:val="nil"/>
              <w:left w:val="nil"/>
              <w:bottom w:val="nil"/>
              <w:right w:val="nil"/>
            </w:tcBorders>
          </w:tcPr>
          <w:p w14:paraId="7D44139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7B1805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F968C9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D9D1D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F7545C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101C0F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01D0A1C5" w14:textId="77777777" w:rsidTr="00894076">
        <w:trPr>
          <w:trHeight w:val="301"/>
        </w:trPr>
        <w:tc>
          <w:tcPr>
            <w:tcW w:w="1785" w:type="dxa"/>
            <w:tcBorders>
              <w:top w:val="nil"/>
              <w:left w:val="nil"/>
              <w:bottom w:val="nil"/>
              <w:right w:val="nil"/>
            </w:tcBorders>
          </w:tcPr>
          <w:p w14:paraId="324780F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roofErr w:type="spellStart"/>
            <w:r w:rsidRPr="00BA0E8D">
              <w:rPr>
                <w:rFonts w:ascii="Times New Roman" w:hAnsi="Times New Roman"/>
                <w:sz w:val="20"/>
                <w:szCs w:val="20"/>
              </w:rPr>
              <w:t>Conc</w:t>
            </w:r>
            <w:proofErr w:type="spellEnd"/>
            <w:r w:rsidRPr="00BA0E8D">
              <w:rPr>
                <w:rFonts w:ascii="Times New Roman" w:hAnsi="Times New Roman"/>
                <w:sz w:val="20"/>
                <w:szCs w:val="20"/>
              </w:rPr>
              <w:t xml:space="preserve"> X Registry</w:t>
            </w:r>
          </w:p>
        </w:tc>
        <w:tc>
          <w:tcPr>
            <w:tcW w:w="1375" w:type="dxa"/>
            <w:tcBorders>
              <w:top w:val="nil"/>
              <w:left w:val="nil"/>
              <w:bottom w:val="nil"/>
              <w:right w:val="nil"/>
            </w:tcBorders>
          </w:tcPr>
          <w:p w14:paraId="7C2AB44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D53FFD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A8B679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111454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E9B643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0.125</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A60B7B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B75117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52B7E4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097923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78CF172D" w14:textId="77777777" w:rsidTr="00894076">
        <w:trPr>
          <w:trHeight w:val="322"/>
        </w:trPr>
        <w:tc>
          <w:tcPr>
            <w:tcW w:w="1785" w:type="dxa"/>
            <w:tcBorders>
              <w:top w:val="nil"/>
              <w:left w:val="nil"/>
              <w:bottom w:val="nil"/>
              <w:right w:val="nil"/>
            </w:tcBorders>
          </w:tcPr>
          <w:p w14:paraId="3BDAC42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52A2FD5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1DE74F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5E39C03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890807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75" w:type="dxa"/>
            <w:tcBorders>
              <w:top w:val="nil"/>
              <w:left w:val="nil"/>
              <w:bottom w:val="nil"/>
              <w:right w:val="nil"/>
            </w:tcBorders>
          </w:tcPr>
          <w:p w14:paraId="0A9DE1DA"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75" w:type="dxa"/>
            <w:tcBorders>
              <w:top w:val="nil"/>
              <w:left w:val="nil"/>
              <w:bottom w:val="nil"/>
              <w:right w:val="nil"/>
            </w:tcBorders>
          </w:tcPr>
          <w:p w14:paraId="65EE22A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5" w:type="dxa"/>
            <w:tcBorders>
              <w:top w:val="nil"/>
              <w:left w:val="nil"/>
              <w:bottom w:val="nil"/>
              <w:right w:val="nil"/>
            </w:tcBorders>
          </w:tcPr>
          <w:p w14:paraId="7BB3BB2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391EBAC1"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AEF48F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r>
      <w:tr w:rsidR="00113846" w:rsidRPr="00BA0E8D" w14:paraId="479CDA7F" w14:textId="77777777" w:rsidTr="00894076">
        <w:trPr>
          <w:trHeight w:val="322"/>
        </w:trPr>
        <w:tc>
          <w:tcPr>
            <w:tcW w:w="1785" w:type="dxa"/>
            <w:tcBorders>
              <w:top w:val="nil"/>
              <w:left w:val="nil"/>
              <w:bottom w:val="nil"/>
              <w:right w:val="nil"/>
            </w:tcBorders>
          </w:tcPr>
          <w:p w14:paraId="3E5F62A6"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roofErr w:type="spellStart"/>
            <w:r w:rsidRPr="00BA0E8D">
              <w:rPr>
                <w:rFonts w:ascii="Times New Roman" w:hAnsi="Times New Roman"/>
                <w:sz w:val="20"/>
                <w:szCs w:val="20"/>
              </w:rPr>
              <w:t>Conc</w:t>
            </w:r>
            <w:proofErr w:type="spellEnd"/>
            <w:r w:rsidRPr="00BA0E8D">
              <w:rPr>
                <w:rFonts w:ascii="Times New Roman" w:hAnsi="Times New Roman"/>
                <w:sz w:val="20"/>
                <w:szCs w:val="20"/>
              </w:rPr>
              <w:t xml:space="preserve"> X Bureau</w:t>
            </w:r>
          </w:p>
        </w:tc>
        <w:tc>
          <w:tcPr>
            <w:tcW w:w="1375" w:type="dxa"/>
            <w:tcBorders>
              <w:top w:val="nil"/>
              <w:left w:val="nil"/>
              <w:bottom w:val="nil"/>
              <w:right w:val="nil"/>
            </w:tcBorders>
          </w:tcPr>
          <w:p w14:paraId="6C58555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3CEDF0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24F8D5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40ED8B4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4062D97"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C0FED2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A0A797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p>
        </w:tc>
        <w:tc>
          <w:tcPr>
            <w:tcW w:w="1375" w:type="dxa"/>
            <w:tcBorders>
              <w:top w:val="nil"/>
              <w:left w:val="nil"/>
              <w:bottom w:val="nil"/>
              <w:right w:val="nil"/>
            </w:tcBorders>
          </w:tcPr>
          <w:p w14:paraId="7EE1B05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p>
        </w:tc>
        <w:tc>
          <w:tcPr>
            <w:tcW w:w="1375" w:type="dxa"/>
            <w:tcBorders>
              <w:top w:val="nil"/>
              <w:left w:val="nil"/>
              <w:bottom w:val="nil"/>
              <w:right w:val="nil"/>
            </w:tcBorders>
          </w:tcPr>
          <w:p w14:paraId="33365D0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p>
        </w:tc>
      </w:tr>
      <w:tr w:rsidR="00113846" w:rsidRPr="00BA0E8D" w14:paraId="44541D34" w14:textId="77777777" w:rsidTr="00894076">
        <w:trPr>
          <w:trHeight w:val="322"/>
        </w:trPr>
        <w:tc>
          <w:tcPr>
            <w:tcW w:w="1785" w:type="dxa"/>
            <w:tcBorders>
              <w:top w:val="nil"/>
              <w:left w:val="nil"/>
              <w:bottom w:val="nil"/>
              <w:right w:val="nil"/>
            </w:tcBorders>
          </w:tcPr>
          <w:p w14:paraId="67771001"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nil"/>
              <w:right w:val="nil"/>
            </w:tcBorders>
          </w:tcPr>
          <w:p w14:paraId="5DADD65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7104E1F4"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635D54B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0E889D5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2A08114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28BBD5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p>
        </w:tc>
        <w:tc>
          <w:tcPr>
            <w:tcW w:w="1375" w:type="dxa"/>
            <w:tcBorders>
              <w:top w:val="nil"/>
              <w:left w:val="nil"/>
              <w:bottom w:val="nil"/>
              <w:right w:val="nil"/>
            </w:tcBorders>
          </w:tcPr>
          <w:p w14:paraId="15EC7A3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(0.046)</w:t>
            </w:r>
          </w:p>
        </w:tc>
        <w:tc>
          <w:tcPr>
            <w:tcW w:w="1375" w:type="dxa"/>
            <w:tcBorders>
              <w:top w:val="nil"/>
              <w:left w:val="nil"/>
              <w:bottom w:val="nil"/>
              <w:right w:val="nil"/>
            </w:tcBorders>
          </w:tcPr>
          <w:p w14:paraId="2C1888B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(0.049)</w:t>
            </w:r>
          </w:p>
        </w:tc>
        <w:tc>
          <w:tcPr>
            <w:tcW w:w="1375" w:type="dxa"/>
            <w:tcBorders>
              <w:top w:val="nil"/>
              <w:left w:val="nil"/>
              <w:bottom w:val="nil"/>
              <w:right w:val="nil"/>
            </w:tcBorders>
          </w:tcPr>
          <w:p w14:paraId="4442737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p>
        </w:tc>
      </w:tr>
      <w:tr w:rsidR="00113846" w:rsidRPr="00BA0E8D" w14:paraId="03E829E0" w14:textId="77777777" w:rsidTr="00894076">
        <w:trPr>
          <w:trHeight w:val="322"/>
        </w:trPr>
        <w:tc>
          <w:tcPr>
            <w:tcW w:w="1785" w:type="dxa"/>
            <w:tcBorders>
              <w:top w:val="nil"/>
              <w:left w:val="nil"/>
              <w:bottom w:val="nil"/>
              <w:right w:val="nil"/>
            </w:tcBorders>
          </w:tcPr>
          <w:p w14:paraId="1A4552D0"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Constant</w:t>
            </w:r>
          </w:p>
        </w:tc>
        <w:tc>
          <w:tcPr>
            <w:tcW w:w="1375" w:type="dxa"/>
            <w:tcBorders>
              <w:top w:val="nil"/>
              <w:left w:val="nil"/>
              <w:bottom w:val="nil"/>
              <w:right w:val="nil"/>
            </w:tcBorders>
          </w:tcPr>
          <w:p w14:paraId="7086BD6B"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5.092</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7C1D932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4.850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5A22A23"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4.860</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09374FC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4.977</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29FBDDE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4.991</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E7BEC1C"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5.159</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331DD32D"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5.624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1A3B397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5.784</w:t>
            </w:r>
            <w:r w:rsidRPr="00BA0E8D">
              <w:rPr>
                <w:rFonts w:ascii="Times New Roman" w:hAnsi="Times New Roman"/>
                <w:sz w:val="20"/>
                <w:szCs w:val="20"/>
                <w:vertAlign w:val="superscript"/>
              </w:rPr>
              <w:t>***</w:t>
            </w:r>
          </w:p>
        </w:tc>
        <w:tc>
          <w:tcPr>
            <w:tcW w:w="1375" w:type="dxa"/>
            <w:tcBorders>
              <w:top w:val="nil"/>
              <w:left w:val="nil"/>
              <w:bottom w:val="nil"/>
              <w:right w:val="nil"/>
            </w:tcBorders>
          </w:tcPr>
          <w:p w14:paraId="6D196FF0"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5.304</w:t>
            </w:r>
            <w:r w:rsidRPr="00BA0E8D">
              <w:rPr>
                <w:rFonts w:ascii="Times New Roman" w:hAnsi="Times New Roman"/>
                <w:sz w:val="20"/>
                <w:szCs w:val="20"/>
                <w:vertAlign w:val="superscript"/>
              </w:rPr>
              <w:t>**</w:t>
            </w:r>
          </w:p>
        </w:tc>
      </w:tr>
      <w:tr w:rsidR="00113846" w:rsidRPr="00BA0E8D" w14:paraId="5A6E0005" w14:textId="77777777" w:rsidTr="00894076">
        <w:trPr>
          <w:trHeight w:val="322"/>
        </w:trPr>
        <w:tc>
          <w:tcPr>
            <w:tcW w:w="1785" w:type="dxa"/>
            <w:tcBorders>
              <w:top w:val="nil"/>
              <w:left w:val="nil"/>
              <w:bottom w:val="single" w:sz="4" w:space="0" w:color="auto"/>
              <w:right w:val="nil"/>
            </w:tcBorders>
          </w:tcPr>
          <w:p w14:paraId="7C9B2833" w14:textId="77777777" w:rsidR="000F76BB" w:rsidRPr="00BA0E8D" w:rsidRDefault="000F76BB" w:rsidP="0056122B">
            <w:pPr>
              <w:widowControl w:val="0"/>
              <w:autoSpaceDE w:val="0"/>
              <w:autoSpaceDN w:val="0"/>
              <w:adjustRightInd w:val="0"/>
              <w:spacing w:after="0" w:line="240" w:lineRule="auto"/>
              <w:rPr>
                <w:rFonts w:ascii="Times New Roman" w:hAnsi="Times New Roman"/>
                <w:sz w:val="20"/>
                <w:szCs w:val="20"/>
              </w:rPr>
            </w:pPr>
          </w:p>
        </w:tc>
        <w:tc>
          <w:tcPr>
            <w:tcW w:w="1375" w:type="dxa"/>
            <w:tcBorders>
              <w:top w:val="nil"/>
              <w:left w:val="nil"/>
              <w:bottom w:val="single" w:sz="4" w:space="0" w:color="auto"/>
              <w:right w:val="nil"/>
            </w:tcBorders>
          </w:tcPr>
          <w:p w14:paraId="676224B6"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(2.118)</w:t>
            </w:r>
          </w:p>
        </w:tc>
        <w:tc>
          <w:tcPr>
            <w:tcW w:w="1375" w:type="dxa"/>
            <w:tcBorders>
              <w:top w:val="nil"/>
              <w:left w:val="nil"/>
              <w:bottom w:val="single" w:sz="4" w:space="0" w:color="auto"/>
              <w:right w:val="nil"/>
            </w:tcBorders>
          </w:tcPr>
          <w:p w14:paraId="3B27417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(2.136)</w:t>
            </w:r>
          </w:p>
        </w:tc>
        <w:tc>
          <w:tcPr>
            <w:tcW w:w="1375" w:type="dxa"/>
            <w:tcBorders>
              <w:top w:val="nil"/>
              <w:left w:val="nil"/>
              <w:bottom w:val="single" w:sz="4" w:space="0" w:color="auto"/>
              <w:right w:val="nil"/>
            </w:tcBorders>
          </w:tcPr>
          <w:p w14:paraId="6C06786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(2.123)</w:t>
            </w:r>
          </w:p>
        </w:tc>
        <w:tc>
          <w:tcPr>
            <w:tcW w:w="1375" w:type="dxa"/>
            <w:tcBorders>
              <w:top w:val="nil"/>
              <w:left w:val="nil"/>
              <w:bottom w:val="single" w:sz="4" w:space="0" w:color="auto"/>
              <w:right w:val="nil"/>
            </w:tcBorders>
          </w:tcPr>
          <w:p w14:paraId="4F45AD8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(1.946)</w:t>
            </w:r>
          </w:p>
        </w:tc>
        <w:tc>
          <w:tcPr>
            <w:tcW w:w="1375" w:type="dxa"/>
            <w:tcBorders>
              <w:top w:val="nil"/>
              <w:left w:val="nil"/>
              <w:bottom w:val="single" w:sz="4" w:space="0" w:color="auto"/>
              <w:right w:val="nil"/>
            </w:tcBorders>
          </w:tcPr>
          <w:p w14:paraId="3F200BF5"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(1.949)</w:t>
            </w:r>
          </w:p>
        </w:tc>
        <w:tc>
          <w:tcPr>
            <w:tcW w:w="1375" w:type="dxa"/>
            <w:tcBorders>
              <w:top w:val="nil"/>
              <w:left w:val="nil"/>
              <w:bottom w:val="single" w:sz="4" w:space="0" w:color="auto"/>
              <w:right w:val="nil"/>
            </w:tcBorders>
          </w:tcPr>
          <w:p w14:paraId="4B779B02"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(1.963)</w:t>
            </w:r>
          </w:p>
        </w:tc>
        <w:tc>
          <w:tcPr>
            <w:tcW w:w="1375" w:type="dxa"/>
            <w:tcBorders>
              <w:top w:val="nil"/>
              <w:left w:val="nil"/>
              <w:bottom w:val="single" w:sz="4" w:space="0" w:color="auto"/>
              <w:right w:val="nil"/>
            </w:tcBorders>
          </w:tcPr>
          <w:p w14:paraId="46826FDF"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(2.156)</w:t>
            </w:r>
          </w:p>
        </w:tc>
        <w:tc>
          <w:tcPr>
            <w:tcW w:w="1375" w:type="dxa"/>
            <w:tcBorders>
              <w:top w:val="nil"/>
              <w:left w:val="nil"/>
              <w:bottom w:val="single" w:sz="4" w:space="0" w:color="auto"/>
              <w:right w:val="nil"/>
            </w:tcBorders>
          </w:tcPr>
          <w:p w14:paraId="150A972E"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(2.170)</w:t>
            </w:r>
          </w:p>
        </w:tc>
        <w:tc>
          <w:tcPr>
            <w:tcW w:w="1375" w:type="dxa"/>
            <w:tcBorders>
              <w:top w:val="nil"/>
              <w:left w:val="nil"/>
              <w:bottom w:val="single" w:sz="4" w:space="0" w:color="auto"/>
              <w:right w:val="nil"/>
            </w:tcBorders>
          </w:tcPr>
          <w:p w14:paraId="52567908" w14:textId="77777777" w:rsidR="000F76BB" w:rsidRPr="00BA0E8D" w:rsidRDefault="000F76BB"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(2.149)</w:t>
            </w:r>
          </w:p>
        </w:tc>
      </w:tr>
      <w:tr w:rsidR="00113846" w:rsidRPr="00BA0E8D" w14:paraId="45DEFCC1" w14:textId="77777777" w:rsidTr="00894076">
        <w:trPr>
          <w:trHeight w:val="301"/>
        </w:trPr>
        <w:tc>
          <w:tcPr>
            <w:tcW w:w="1785" w:type="dxa"/>
            <w:tcBorders>
              <w:top w:val="single" w:sz="4" w:space="0" w:color="auto"/>
              <w:left w:val="nil"/>
              <w:bottom w:val="nil"/>
              <w:right w:val="nil"/>
            </w:tcBorders>
          </w:tcPr>
          <w:p w14:paraId="4903B108" w14:textId="0214CFE8" w:rsidR="00796E12" w:rsidRPr="00BA0E8D" w:rsidRDefault="00796E12" w:rsidP="00796E12">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18"/>
                <w:szCs w:val="18"/>
              </w:rPr>
              <w:t>No. of observations</w:t>
            </w:r>
          </w:p>
        </w:tc>
        <w:tc>
          <w:tcPr>
            <w:tcW w:w="1375" w:type="dxa"/>
            <w:tcBorders>
              <w:top w:val="single" w:sz="4" w:space="0" w:color="auto"/>
              <w:left w:val="nil"/>
              <w:bottom w:val="nil"/>
              <w:right w:val="nil"/>
            </w:tcBorders>
          </w:tcPr>
          <w:p w14:paraId="2DAB6B5B"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244247AB"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1DC43B26"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0C1DD3FC"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6F5A205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6F97B9D7"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2AC16046"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579717F3"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5" w:type="dxa"/>
            <w:tcBorders>
              <w:top w:val="single" w:sz="4" w:space="0" w:color="auto"/>
              <w:left w:val="nil"/>
              <w:bottom w:val="nil"/>
              <w:right w:val="nil"/>
            </w:tcBorders>
          </w:tcPr>
          <w:p w14:paraId="5A7E99CC"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r>
      <w:tr w:rsidR="00113846" w:rsidRPr="00BA0E8D" w14:paraId="59D99BCA" w14:textId="77777777" w:rsidTr="00894076">
        <w:trPr>
          <w:trHeight w:val="322"/>
        </w:trPr>
        <w:tc>
          <w:tcPr>
            <w:tcW w:w="1785" w:type="dxa"/>
            <w:tcBorders>
              <w:top w:val="nil"/>
              <w:left w:val="nil"/>
              <w:bottom w:val="nil"/>
              <w:right w:val="nil"/>
            </w:tcBorders>
          </w:tcPr>
          <w:p w14:paraId="166F87E6" w14:textId="7378A536" w:rsidR="00796E12" w:rsidRPr="00BA0E8D" w:rsidRDefault="00796E12" w:rsidP="00796E12">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18"/>
                <w:szCs w:val="18"/>
              </w:rPr>
              <w:t>Hansen test p-value</w:t>
            </w:r>
          </w:p>
        </w:tc>
        <w:tc>
          <w:tcPr>
            <w:tcW w:w="1375" w:type="dxa"/>
            <w:tcBorders>
              <w:top w:val="nil"/>
              <w:left w:val="nil"/>
              <w:bottom w:val="nil"/>
              <w:right w:val="nil"/>
            </w:tcBorders>
          </w:tcPr>
          <w:p w14:paraId="4FBD421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0.353</w:t>
            </w:r>
          </w:p>
        </w:tc>
        <w:tc>
          <w:tcPr>
            <w:tcW w:w="1375" w:type="dxa"/>
            <w:tcBorders>
              <w:top w:val="nil"/>
              <w:left w:val="nil"/>
              <w:bottom w:val="nil"/>
              <w:right w:val="nil"/>
            </w:tcBorders>
          </w:tcPr>
          <w:p w14:paraId="2A9D6DC2"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0.320</w:t>
            </w:r>
          </w:p>
        </w:tc>
        <w:tc>
          <w:tcPr>
            <w:tcW w:w="1375" w:type="dxa"/>
            <w:tcBorders>
              <w:top w:val="nil"/>
              <w:left w:val="nil"/>
              <w:bottom w:val="nil"/>
              <w:right w:val="nil"/>
            </w:tcBorders>
          </w:tcPr>
          <w:p w14:paraId="7488798D"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0.294</w:t>
            </w:r>
          </w:p>
        </w:tc>
        <w:tc>
          <w:tcPr>
            <w:tcW w:w="1375" w:type="dxa"/>
            <w:tcBorders>
              <w:top w:val="nil"/>
              <w:left w:val="nil"/>
              <w:bottom w:val="nil"/>
              <w:right w:val="nil"/>
            </w:tcBorders>
          </w:tcPr>
          <w:p w14:paraId="32ABFA67"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0.562</w:t>
            </w:r>
          </w:p>
        </w:tc>
        <w:tc>
          <w:tcPr>
            <w:tcW w:w="1375" w:type="dxa"/>
            <w:tcBorders>
              <w:top w:val="nil"/>
              <w:left w:val="nil"/>
              <w:bottom w:val="nil"/>
              <w:right w:val="nil"/>
            </w:tcBorders>
          </w:tcPr>
          <w:p w14:paraId="0AB215B7"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0.563</w:t>
            </w:r>
          </w:p>
        </w:tc>
        <w:tc>
          <w:tcPr>
            <w:tcW w:w="1375" w:type="dxa"/>
            <w:tcBorders>
              <w:top w:val="nil"/>
              <w:left w:val="nil"/>
              <w:bottom w:val="nil"/>
              <w:right w:val="nil"/>
            </w:tcBorders>
          </w:tcPr>
          <w:p w14:paraId="6CF7CE37"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0.560</w:t>
            </w:r>
          </w:p>
        </w:tc>
        <w:tc>
          <w:tcPr>
            <w:tcW w:w="1375" w:type="dxa"/>
            <w:tcBorders>
              <w:top w:val="nil"/>
              <w:left w:val="nil"/>
              <w:bottom w:val="nil"/>
              <w:right w:val="nil"/>
            </w:tcBorders>
          </w:tcPr>
          <w:p w14:paraId="79AF11C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0.557</w:t>
            </w:r>
          </w:p>
        </w:tc>
        <w:tc>
          <w:tcPr>
            <w:tcW w:w="1375" w:type="dxa"/>
            <w:tcBorders>
              <w:top w:val="nil"/>
              <w:left w:val="nil"/>
              <w:bottom w:val="nil"/>
              <w:right w:val="nil"/>
            </w:tcBorders>
          </w:tcPr>
          <w:p w14:paraId="4C4A24F6"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0.566</w:t>
            </w:r>
          </w:p>
        </w:tc>
        <w:tc>
          <w:tcPr>
            <w:tcW w:w="1375" w:type="dxa"/>
            <w:tcBorders>
              <w:top w:val="nil"/>
              <w:left w:val="nil"/>
              <w:bottom w:val="nil"/>
              <w:right w:val="nil"/>
            </w:tcBorders>
          </w:tcPr>
          <w:p w14:paraId="5378BC3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0.539</w:t>
            </w:r>
          </w:p>
        </w:tc>
      </w:tr>
      <w:tr w:rsidR="00113846" w:rsidRPr="00BA0E8D" w14:paraId="19E90EE8" w14:textId="77777777" w:rsidTr="00894076">
        <w:trPr>
          <w:trHeight w:val="301"/>
        </w:trPr>
        <w:tc>
          <w:tcPr>
            <w:tcW w:w="1785" w:type="dxa"/>
            <w:tcBorders>
              <w:top w:val="nil"/>
              <w:left w:val="nil"/>
              <w:right w:val="nil"/>
            </w:tcBorders>
          </w:tcPr>
          <w:p w14:paraId="0C3A805C" w14:textId="7666EFB8" w:rsidR="00796E12" w:rsidRPr="00BA0E8D" w:rsidRDefault="00796E12" w:rsidP="00796E12">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1) test p-value</w:t>
            </w:r>
          </w:p>
        </w:tc>
        <w:tc>
          <w:tcPr>
            <w:tcW w:w="1375" w:type="dxa"/>
            <w:tcBorders>
              <w:top w:val="nil"/>
              <w:left w:val="nil"/>
              <w:right w:val="nil"/>
            </w:tcBorders>
          </w:tcPr>
          <w:p w14:paraId="3B5AF315"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2B2C462B"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5C8CBBC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1E0CD18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6CCF1B21"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6050C130"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1510468D"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2C6F493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5" w:type="dxa"/>
            <w:tcBorders>
              <w:top w:val="nil"/>
              <w:left w:val="nil"/>
              <w:right w:val="nil"/>
            </w:tcBorders>
          </w:tcPr>
          <w:p w14:paraId="4458B373"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r>
      <w:tr w:rsidR="00113846" w:rsidRPr="00BA0E8D" w14:paraId="70FAEF46" w14:textId="77777777" w:rsidTr="00894076">
        <w:trPr>
          <w:trHeight w:val="322"/>
        </w:trPr>
        <w:tc>
          <w:tcPr>
            <w:tcW w:w="1785" w:type="dxa"/>
            <w:tcBorders>
              <w:top w:val="nil"/>
              <w:left w:val="nil"/>
              <w:bottom w:val="single" w:sz="4" w:space="0" w:color="auto"/>
              <w:right w:val="nil"/>
            </w:tcBorders>
          </w:tcPr>
          <w:p w14:paraId="1CEDA2BD" w14:textId="66075436" w:rsidR="00796E12" w:rsidRPr="00BA0E8D" w:rsidRDefault="00796E12" w:rsidP="00796E12">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2) test p-value</w:t>
            </w:r>
          </w:p>
        </w:tc>
        <w:tc>
          <w:tcPr>
            <w:tcW w:w="1375" w:type="dxa"/>
            <w:tcBorders>
              <w:top w:val="nil"/>
              <w:left w:val="nil"/>
              <w:bottom w:val="single" w:sz="4" w:space="0" w:color="auto"/>
              <w:right w:val="nil"/>
            </w:tcBorders>
          </w:tcPr>
          <w:p w14:paraId="6388F8EF"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0.944</w:t>
            </w:r>
          </w:p>
        </w:tc>
        <w:tc>
          <w:tcPr>
            <w:tcW w:w="1375" w:type="dxa"/>
            <w:tcBorders>
              <w:top w:val="nil"/>
              <w:left w:val="nil"/>
              <w:bottom w:val="single" w:sz="4" w:space="0" w:color="auto"/>
              <w:right w:val="nil"/>
            </w:tcBorders>
          </w:tcPr>
          <w:p w14:paraId="18C2E595"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0.930</w:t>
            </w:r>
          </w:p>
        </w:tc>
        <w:tc>
          <w:tcPr>
            <w:tcW w:w="1375" w:type="dxa"/>
            <w:tcBorders>
              <w:top w:val="nil"/>
              <w:left w:val="nil"/>
              <w:bottom w:val="single" w:sz="4" w:space="0" w:color="auto"/>
              <w:right w:val="nil"/>
            </w:tcBorders>
          </w:tcPr>
          <w:p w14:paraId="07EE492B"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0.936</w:t>
            </w:r>
          </w:p>
        </w:tc>
        <w:tc>
          <w:tcPr>
            <w:tcW w:w="1375" w:type="dxa"/>
            <w:tcBorders>
              <w:top w:val="nil"/>
              <w:left w:val="nil"/>
              <w:bottom w:val="single" w:sz="4" w:space="0" w:color="auto"/>
              <w:right w:val="nil"/>
            </w:tcBorders>
          </w:tcPr>
          <w:p w14:paraId="5B79A766"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0.859</w:t>
            </w:r>
          </w:p>
        </w:tc>
        <w:tc>
          <w:tcPr>
            <w:tcW w:w="1375" w:type="dxa"/>
            <w:tcBorders>
              <w:top w:val="nil"/>
              <w:left w:val="nil"/>
              <w:bottom w:val="single" w:sz="4" w:space="0" w:color="auto"/>
              <w:right w:val="nil"/>
            </w:tcBorders>
          </w:tcPr>
          <w:p w14:paraId="6517D768"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0.856</w:t>
            </w:r>
          </w:p>
        </w:tc>
        <w:tc>
          <w:tcPr>
            <w:tcW w:w="1375" w:type="dxa"/>
            <w:tcBorders>
              <w:top w:val="nil"/>
              <w:left w:val="nil"/>
              <w:bottom w:val="single" w:sz="4" w:space="0" w:color="auto"/>
              <w:right w:val="nil"/>
            </w:tcBorders>
          </w:tcPr>
          <w:p w14:paraId="5EAFAB70"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0.848</w:t>
            </w:r>
          </w:p>
        </w:tc>
        <w:tc>
          <w:tcPr>
            <w:tcW w:w="1375" w:type="dxa"/>
            <w:tcBorders>
              <w:top w:val="nil"/>
              <w:left w:val="nil"/>
              <w:bottom w:val="single" w:sz="4" w:space="0" w:color="auto"/>
              <w:right w:val="nil"/>
            </w:tcBorders>
          </w:tcPr>
          <w:p w14:paraId="1450CECB"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0.892</w:t>
            </w:r>
          </w:p>
        </w:tc>
        <w:tc>
          <w:tcPr>
            <w:tcW w:w="1375" w:type="dxa"/>
            <w:tcBorders>
              <w:top w:val="nil"/>
              <w:left w:val="nil"/>
              <w:bottom w:val="single" w:sz="4" w:space="0" w:color="auto"/>
              <w:right w:val="nil"/>
            </w:tcBorders>
          </w:tcPr>
          <w:p w14:paraId="7B19F2D2"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0.896</w:t>
            </w:r>
          </w:p>
        </w:tc>
        <w:tc>
          <w:tcPr>
            <w:tcW w:w="1375" w:type="dxa"/>
            <w:tcBorders>
              <w:top w:val="nil"/>
              <w:left w:val="nil"/>
              <w:bottom w:val="single" w:sz="4" w:space="0" w:color="auto"/>
              <w:right w:val="nil"/>
            </w:tcBorders>
          </w:tcPr>
          <w:p w14:paraId="2D856185" w14:textId="77777777" w:rsidR="00796E12" w:rsidRPr="00BA0E8D" w:rsidRDefault="00796E12" w:rsidP="00796E1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0.889</w:t>
            </w:r>
          </w:p>
        </w:tc>
      </w:tr>
    </w:tbl>
    <w:p w14:paraId="0A9FBB4D" w14:textId="3EDA8B33"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This table shows the dynamic system GMM estimation results for the effect of credit information on bank credit intermediation cost. Time</w:t>
      </w:r>
      <w:r w:rsidR="0031463E">
        <w:rPr>
          <w:rFonts w:ascii="Times New Roman" w:hAnsi="Times New Roman"/>
          <w:sz w:val="20"/>
          <w:szCs w:val="20"/>
        </w:rPr>
        <w:t xml:space="preserve"> </w:t>
      </w:r>
      <w:proofErr w:type="gramStart"/>
      <w:r w:rsidR="0031463E">
        <w:rPr>
          <w:rFonts w:ascii="Times New Roman" w:hAnsi="Times New Roman"/>
          <w:sz w:val="20"/>
          <w:szCs w:val="20"/>
        </w:rPr>
        <w:t>fixed</w:t>
      </w:r>
      <w:r w:rsidR="00025B5C">
        <w:rPr>
          <w:rFonts w:ascii="Times New Roman" w:hAnsi="Times New Roman"/>
          <w:sz w:val="20"/>
          <w:szCs w:val="20"/>
        </w:rPr>
        <w:t>-</w:t>
      </w:r>
      <w:r w:rsidR="0031463E">
        <w:rPr>
          <w:rFonts w:ascii="Times New Roman" w:hAnsi="Times New Roman"/>
          <w:sz w:val="20"/>
          <w:szCs w:val="20"/>
        </w:rPr>
        <w:t>effects</w:t>
      </w:r>
      <w:proofErr w:type="gramEnd"/>
      <w:r w:rsidR="0031463E" w:rsidRPr="00BA0E8D">
        <w:rPr>
          <w:rFonts w:ascii="Times New Roman" w:hAnsi="Times New Roman"/>
          <w:sz w:val="20"/>
          <w:szCs w:val="20"/>
        </w:rPr>
        <w:t xml:space="preserve"> </w:t>
      </w:r>
      <w:r w:rsidRPr="00BA0E8D">
        <w:rPr>
          <w:rFonts w:ascii="Times New Roman" w:hAnsi="Times New Roman"/>
          <w:sz w:val="20"/>
          <w:szCs w:val="20"/>
        </w:rPr>
        <w:t xml:space="preserve">are included in all estimations. All variables are as described in Table 1. Robust </w:t>
      </w:r>
      <w:proofErr w:type="spellStart"/>
      <w:r w:rsidRPr="00BA0E8D">
        <w:rPr>
          <w:rFonts w:ascii="Times New Roman" w:hAnsi="Times New Roman"/>
          <w:sz w:val="20"/>
          <w:szCs w:val="20"/>
        </w:rPr>
        <w:t>Windmeijer</w:t>
      </w:r>
      <w:proofErr w:type="spellEnd"/>
      <w:r w:rsidRPr="00BA0E8D">
        <w:rPr>
          <w:rFonts w:ascii="Times New Roman" w:hAnsi="Times New Roman"/>
          <w:sz w:val="20"/>
          <w:szCs w:val="20"/>
        </w:rPr>
        <w:t xml:space="preserve"> (2005) ﬁnite-sample corrected standard errors are in parentheses.</w:t>
      </w:r>
    </w:p>
    <w:p w14:paraId="2CE13584" w14:textId="77777777"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10%</w:t>
      </w:r>
    </w:p>
    <w:p w14:paraId="56CED9CD" w14:textId="77777777"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 xml:space="preserve">**    </w:t>
      </w:r>
      <w:r w:rsidRPr="00BA0E8D">
        <w:rPr>
          <w:rFonts w:ascii="Times New Roman" w:hAnsi="Times New Roman"/>
          <w:iCs/>
          <w:sz w:val="20"/>
          <w:szCs w:val="20"/>
        </w:rPr>
        <w:t>Indicates signiﬁcance at 5%</w:t>
      </w:r>
      <w:r w:rsidRPr="00BA0E8D">
        <w:rPr>
          <w:rFonts w:ascii="Times New Roman" w:hAnsi="Times New Roman"/>
          <w:sz w:val="20"/>
          <w:szCs w:val="20"/>
        </w:rPr>
        <w:t xml:space="preserve"> </w:t>
      </w:r>
    </w:p>
    <w:p w14:paraId="588666F0" w14:textId="77777777"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w:t>
      </w:r>
    </w:p>
    <w:p w14:paraId="2577988B" w14:textId="77777777" w:rsidR="000F76BB" w:rsidRPr="00BA0E8D" w:rsidRDefault="000F76BB" w:rsidP="000F76BB">
      <w:pPr>
        <w:widowControl w:val="0"/>
        <w:autoSpaceDE w:val="0"/>
        <w:autoSpaceDN w:val="0"/>
        <w:adjustRightInd w:val="0"/>
        <w:spacing w:after="0" w:line="240" w:lineRule="auto"/>
        <w:rPr>
          <w:rFonts w:ascii="Times New Roman" w:hAnsi="Times New Roman"/>
          <w:sz w:val="20"/>
          <w:szCs w:val="20"/>
        </w:rPr>
      </w:pPr>
    </w:p>
    <w:p w14:paraId="32C45780" w14:textId="4DF6BE95" w:rsidR="00864400" w:rsidRPr="0031463E" w:rsidRDefault="00864400" w:rsidP="00864400">
      <w:pPr>
        <w:jc w:val="both"/>
        <w:rPr>
          <w:rFonts w:ascii="Times New Roman" w:hAnsi="Times New Roman"/>
          <w:b/>
          <w:color w:val="000000" w:themeColor="text1"/>
          <w:sz w:val="24"/>
          <w:szCs w:val="24"/>
        </w:rPr>
      </w:pPr>
      <w:r w:rsidRPr="0031463E">
        <w:rPr>
          <w:rFonts w:ascii="Times New Roman" w:hAnsi="Times New Roman"/>
          <w:b/>
          <w:color w:val="000000" w:themeColor="text1"/>
          <w:sz w:val="24"/>
          <w:szCs w:val="24"/>
        </w:rPr>
        <w:t xml:space="preserve">Table 5: </w:t>
      </w:r>
      <w:r w:rsidR="002F599E" w:rsidRPr="0031463E">
        <w:rPr>
          <w:rFonts w:ascii="Times New Roman" w:hAnsi="Times New Roman"/>
          <w:b/>
          <w:sz w:val="24"/>
          <w:szCs w:val="24"/>
        </w:rPr>
        <w:t xml:space="preserve">Regression results of </w:t>
      </w:r>
      <w:r w:rsidR="002F599E" w:rsidRPr="0031463E">
        <w:rPr>
          <w:rFonts w:ascii="Times New Roman" w:hAnsi="Times New Roman"/>
          <w:b/>
          <w:color w:val="000000" w:themeColor="text1"/>
          <w:sz w:val="24"/>
          <w:szCs w:val="24"/>
        </w:rPr>
        <w:t>depth of credit information sharing and credit intermediation cost at specified levels of concentration</w:t>
      </w:r>
    </w:p>
    <w:tbl>
      <w:tblPr>
        <w:tblStyle w:val="LightShading-Accent1"/>
        <w:tblW w:w="5325" w:type="pct"/>
        <w:tblLayout w:type="fixed"/>
        <w:tblLook w:val="0660" w:firstRow="1" w:lastRow="1" w:firstColumn="0" w:lastColumn="0" w:noHBand="1" w:noVBand="1"/>
      </w:tblPr>
      <w:tblGrid>
        <w:gridCol w:w="2822"/>
        <w:gridCol w:w="2153"/>
        <w:gridCol w:w="2483"/>
        <w:gridCol w:w="2483"/>
        <w:gridCol w:w="2462"/>
        <w:gridCol w:w="2462"/>
      </w:tblGrid>
      <w:tr w:rsidR="00864400" w:rsidRPr="00BA0E8D" w14:paraId="6437F700" w14:textId="77777777" w:rsidTr="00894076">
        <w:trPr>
          <w:cnfStyle w:val="100000000000" w:firstRow="1" w:lastRow="0" w:firstColumn="0" w:lastColumn="0" w:oddVBand="0" w:evenVBand="0" w:oddHBand="0" w:evenHBand="0" w:firstRowFirstColumn="0" w:firstRowLastColumn="0" w:lastRowFirstColumn="0" w:lastRowLastColumn="0"/>
          <w:trHeight w:val="394"/>
        </w:trPr>
        <w:tc>
          <w:tcPr>
            <w:tcW w:w="949" w:type="pct"/>
            <w:tcBorders>
              <w:top w:val="single" w:sz="4" w:space="0" w:color="auto"/>
              <w:bottom w:val="single" w:sz="4" w:space="0" w:color="auto"/>
            </w:tcBorders>
          </w:tcPr>
          <w:p w14:paraId="6D8A1238" w14:textId="49E164CD" w:rsidR="00864400" w:rsidRPr="0031463E" w:rsidRDefault="00864400" w:rsidP="00691A3C">
            <w:pPr>
              <w:rPr>
                <w:rFonts w:ascii="Times New Roman" w:hAnsi="Times New Roman" w:cs="Times New Roman"/>
                <w:color w:val="000000" w:themeColor="text1"/>
                <w:lang w:val="en-GB"/>
              </w:rPr>
            </w:pPr>
            <w:r w:rsidRPr="0031463E">
              <w:rPr>
                <w:rFonts w:ascii="Times New Roman" w:hAnsi="Times New Roman"/>
                <w:color w:val="000000" w:themeColor="text1"/>
              </w:rPr>
              <w:t>Concentration</w:t>
            </w:r>
            <w:r w:rsidR="00691A3C" w:rsidRPr="0031463E">
              <w:rPr>
                <w:rFonts w:ascii="Times New Roman" w:hAnsi="Times New Roman"/>
                <w:color w:val="000000" w:themeColor="text1"/>
              </w:rPr>
              <w:t xml:space="preserve"> a</w:t>
            </w:r>
            <w:r w:rsidRPr="0031463E">
              <w:rPr>
                <w:rFonts w:ascii="Times New Roman" w:hAnsi="Times New Roman"/>
                <w:color w:val="000000" w:themeColor="text1"/>
              </w:rPr>
              <w:t>t:</w:t>
            </w:r>
          </w:p>
        </w:tc>
        <w:tc>
          <w:tcPr>
            <w:tcW w:w="724" w:type="pct"/>
            <w:tcBorders>
              <w:top w:val="single" w:sz="4" w:space="0" w:color="auto"/>
              <w:bottom w:val="single" w:sz="4" w:space="0" w:color="auto"/>
            </w:tcBorders>
          </w:tcPr>
          <w:p w14:paraId="64E9DC30"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25</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835" w:type="pct"/>
            <w:tcBorders>
              <w:top w:val="single" w:sz="4" w:space="0" w:color="auto"/>
              <w:bottom w:val="single" w:sz="4" w:space="0" w:color="auto"/>
            </w:tcBorders>
          </w:tcPr>
          <w:p w14:paraId="7AB1025D"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50</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835" w:type="pct"/>
            <w:tcBorders>
              <w:top w:val="single" w:sz="4" w:space="0" w:color="auto"/>
              <w:bottom w:val="single" w:sz="4" w:space="0" w:color="auto"/>
            </w:tcBorders>
          </w:tcPr>
          <w:p w14:paraId="73B49D52"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75</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828" w:type="pct"/>
            <w:tcBorders>
              <w:top w:val="single" w:sz="4" w:space="0" w:color="auto"/>
              <w:bottom w:val="single" w:sz="4" w:space="0" w:color="auto"/>
            </w:tcBorders>
          </w:tcPr>
          <w:p w14:paraId="73045696"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Change</w:t>
            </w:r>
          </w:p>
        </w:tc>
        <w:tc>
          <w:tcPr>
            <w:tcW w:w="828" w:type="pct"/>
            <w:tcBorders>
              <w:top w:val="single" w:sz="4" w:space="0" w:color="auto"/>
              <w:bottom w:val="single" w:sz="4" w:space="0" w:color="auto"/>
            </w:tcBorders>
          </w:tcPr>
          <w:p w14:paraId="087AA5D1"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Based on</w:t>
            </w:r>
          </w:p>
        </w:tc>
      </w:tr>
      <w:tr w:rsidR="00864400" w:rsidRPr="00BA0E8D" w14:paraId="628E943D" w14:textId="77777777" w:rsidTr="00161E52">
        <w:trPr>
          <w:trHeight w:val="493"/>
        </w:trPr>
        <w:tc>
          <w:tcPr>
            <w:tcW w:w="949" w:type="pct"/>
            <w:tcBorders>
              <w:top w:val="single" w:sz="4" w:space="0" w:color="auto"/>
            </w:tcBorders>
          </w:tcPr>
          <w:p w14:paraId="520B9E0E"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Governance indicator:</w:t>
            </w:r>
          </w:p>
        </w:tc>
        <w:tc>
          <w:tcPr>
            <w:tcW w:w="724" w:type="pct"/>
            <w:tcBorders>
              <w:top w:val="single" w:sz="4" w:space="0" w:color="auto"/>
            </w:tcBorders>
          </w:tcPr>
          <w:p w14:paraId="22BB5DDF"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35" w:type="pct"/>
            <w:tcBorders>
              <w:top w:val="single" w:sz="4" w:space="0" w:color="auto"/>
            </w:tcBorders>
          </w:tcPr>
          <w:p w14:paraId="090D053D"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35" w:type="pct"/>
            <w:tcBorders>
              <w:top w:val="single" w:sz="4" w:space="0" w:color="auto"/>
            </w:tcBorders>
          </w:tcPr>
          <w:p w14:paraId="538EA4BD"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28" w:type="pct"/>
            <w:tcBorders>
              <w:top w:val="single" w:sz="4" w:space="0" w:color="auto"/>
            </w:tcBorders>
          </w:tcPr>
          <w:p w14:paraId="2252CD9D"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28" w:type="pct"/>
            <w:tcBorders>
              <w:top w:val="single" w:sz="4" w:space="0" w:color="auto"/>
            </w:tcBorders>
          </w:tcPr>
          <w:p w14:paraId="5DA6C98A"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r>
      <w:tr w:rsidR="00864400" w:rsidRPr="00BA0E8D" w14:paraId="54D22E1D" w14:textId="77777777" w:rsidTr="00161E52">
        <w:trPr>
          <w:trHeight w:val="506"/>
        </w:trPr>
        <w:tc>
          <w:tcPr>
            <w:tcW w:w="949" w:type="pct"/>
            <w:tcBorders>
              <w:bottom w:val="nil"/>
            </w:tcBorders>
          </w:tcPr>
          <w:p w14:paraId="12D9D196" w14:textId="77777777" w:rsidR="00864400" w:rsidRPr="0031463E" w:rsidRDefault="00864400"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Rule of Law</w:t>
            </w:r>
            <w:r w:rsidRPr="0031463E">
              <w:rPr>
                <w:rFonts w:ascii="Times New Roman" w:hAnsi="Times New Roman"/>
                <w:color w:val="000000" w:themeColor="text1"/>
                <w:lang w:val="en-GB"/>
              </w:rPr>
              <w:tab/>
            </w:r>
          </w:p>
        </w:tc>
        <w:tc>
          <w:tcPr>
            <w:tcW w:w="724" w:type="pct"/>
            <w:tcBorders>
              <w:bottom w:val="nil"/>
            </w:tcBorders>
          </w:tcPr>
          <w:p w14:paraId="494A30C6"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-0.405***</w:t>
            </w:r>
          </w:p>
          <w:p w14:paraId="3E3DE822"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(0.083)</w:t>
            </w:r>
          </w:p>
        </w:tc>
        <w:tc>
          <w:tcPr>
            <w:tcW w:w="835" w:type="pct"/>
            <w:tcBorders>
              <w:bottom w:val="nil"/>
            </w:tcBorders>
          </w:tcPr>
          <w:p w14:paraId="67FF2FC6"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-0.337***</w:t>
            </w:r>
          </w:p>
          <w:p w14:paraId="43D8AD73"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(0.071)</w:t>
            </w:r>
          </w:p>
        </w:tc>
        <w:tc>
          <w:tcPr>
            <w:tcW w:w="835" w:type="pct"/>
            <w:tcBorders>
              <w:bottom w:val="nil"/>
            </w:tcBorders>
          </w:tcPr>
          <w:p w14:paraId="6A82EB8B"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-0.219***</w:t>
            </w:r>
          </w:p>
          <w:p w14:paraId="3B931A60"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(0.079)</w:t>
            </w:r>
          </w:p>
        </w:tc>
        <w:tc>
          <w:tcPr>
            <w:tcW w:w="828" w:type="pct"/>
            <w:tcBorders>
              <w:bottom w:val="nil"/>
            </w:tcBorders>
          </w:tcPr>
          <w:p w14:paraId="1567976A"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-0.186**</w:t>
            </w:r>
          </w:p>
          <w:p w14:paraId="42287C5F"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828" w:type="pct"/>
            <w:tcBorders>
              <w:bottom w:val="nil"/>
            </w:tcBorders>
          </w:tcPr>
          <w:p w14:paraId="26383190"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Table 4, Column 1</w:t>
            </w:r>
          </w:p>
        </w:tc>
      </w:tr>
      <w:tr w:rsidR="00864400" w:rsidRPr="00BA0E8D" w14:paraId="5007DDA3" w14:textId="77777777" w:rsidTr="00161E52">
        <w:trPr>
          <w:trHeight w:val="493"/>
        </w:trPr>
        <w:tc>
          <w:tcPr>
            <w:tcW w:w="949" w:type="pct"/>
            <w:tcBorders>
              <w:top w:val="nil"/>
              <w:bottom w:val="nil"/>
            </w:tcBorders>
          </w:tcPr>
          <w:p w14:paraId="6295AF47" w14:textId="77777777" w:rsidR="00864400" w:rsidRPr="0031463E" w:rsidRDefault="00864400"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Regulatory quality</w:t>
            </w:r>
            <w:r w:rsidRPr="0031463E">
              <w:rPr>
                <w:rFonts w:ascii="Times New Roman" w:hAnsi="Times New Roman"/>
                <w:color w:val="000000" w:themeColor="text1"/>
                <w:lang w:val="en-GB"/>
              </w:rPr>
              <w:tab/>
            </w:r>
          </w:p>
        </w:tc>
        <w:tc>
          <w:tcPr>
            <w:tcW w:w="724" w:type="pct"/>
            <w:tcBorders>
              <w:top w:val="nil"/>
              <w:bottom w:val="nil"/>
            </w:tcBorders>
          </w:tcPr>
          <w:p w14:paraId="237223D1"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-0.382***</w:t>
            </w:r>
          </w:p>
          <w:p w14:paraId="6CD4C76A"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(0.077)</w:t>
            </w:r>
          </w:p>
        </w:tc>
        <w:tc>
          <w:tcPr>
            <w:tcW w:w="835" w:type="pct"/>
            <w:tcBorders>
              <w:top w:val="nil"/>
              <w:bottom w:val="nil"/>
            </w:tcBorders>
          </w:tcPr>
          <w:p w14:paraId="39F31A14"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-0.329***</w:t>
            </w:r>
          </w:p>
          <w:p w14:paraId="3E3C52BF"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(0.067)</w:t>
            </w:r>
          </w:p>
        </w:tc>
        <w:tc>
          <w:tcPr>
            <w:tcW w:w="835" w:type="pct"/>
            <w:tcBorders>
              <w:top w:val="nil"/>
              <w:bottom w:val="nil"/>
            </w:tcBorders>
          </w:tcPr>
          <w:p w14:paraId="2B3F4F4A"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-0.237***</w:t>
            </w:r>
          </w:p>
          <w:p w14:paraId="36D1A4EC"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(0.081)</w:t>
            </w:r>
          </w:p>
        </w:tc>
        <w:tc>
          <w:tcPr>
            <w:tcW w:w="828" w:type="pct"/>
            <w:tcBorders>
              <w:top w:val="nil"/>
              <w:bottom w:val="nil"/>
            </w:tcBorders>
          </w:tcPr>
          <w:p w14:paraId="23B0BFD0"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-0.144*</w:t>
            </w:r>
          </w:p>
          <w:p w14:paraId="4EBB4C61"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(0.086)</w:t>
            </w:r>
          </w:p>
        </w:tc>
        <w:tc>
          <w:tcPr>
            <w:tcW w:w="828" w:type="pct"/>
            <w:tcBorders>
              <w:top w:val="nil"/>
              <w:bottom w:val="nil"/>
            </w:tcBorders>
          </w:tcPr>
          <w:p w14:paraId="026DF976"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Table 4, Column 2</w:t>
            </w:r>
          </w:p>
        </w:tc>
      </w:tr>
      <w:tr w:rsidR="00864400" w:rsidRPr="00BA0E8D" w14:paraId="19671A27" w14:textId="77777777" w:rsidTr="00161E52">
        <w:trPr>
          <w:cnfStyle w:val="010000000000" w:firstRow="0" w:lastRow="1" w:firstColumn="0" w:lastColumn="0" w:oddVBand="0" w:evenVBand="0" w:oddHBand="0" w:evenHBand="0" w:firstRowFirstColumn="0" w:firstRowLastColumn="0" w:lastRowFirstColumn="0" w:lastRowLastColumn="0"/>
          <w:trHeight w:val="506"/>
        </w:trPr>
        <w:tc>
          <w:tcPr>
            <w:tcW w:w="949" w:type="pct"/>
            <w:tcBorders>
              <w:top w:val="nil"/>
              <w:bottom w:val="single" w:sz="4" w:space="0" w:color="auto"/>
            </w:tcBorders>
          </w:tcPr>
          <w:p w14:paraId="7EA14933" w14:textId="77777777" w:rsidR="00864400" w:rsidRPr="0031463E" w:rsidRDefault="00864400" w:rsidP="00161E52">
            <w:pPr>
              <w:pStyle w:val="DecimalAligned"/>
              <w:tabs>
                <w:tab w:val="right" w:pos="2017"/>
              </w:tabs>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Control of corruption</w:t>
            </w:r>
            <w:r w:rsidRPr="0031463E">
              <w:rPr>
                <w:rFonts w:ascii="Times New Roman" w:hAnsi="Times New Roman"/>
                <w:color w:val="000000" w:themeColor="text1"/>
                <w:lang w:val="en-GB"/>
              </w:rPr>
              <w:tab/>
            </w:r>
          </w:p>
        </w:tc>
        <w:tc>
          <w:tcPr>
            <w:tcW w:w="724" w:type="pct"/>
            <w:tcBorders>
              <w:top w:val="nil"/>
              <w:bottom w:val="single" w:sz="4" w:space="0" w:color="auto"/>
            </w:tcBorders>
          </w:tcPr>
          <w:p w14:paraId="0C8231FA"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-0.406***</w:t>
            </w:r>
          </w:p>
          <w:p w14:paraId="79C3EE74"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(0.081)</w:t>
            </w:r>
          </w:p>
        </w:tc>
        <w:tc>
          <w:tcPr>
            <w:tcW w:w="835" w:type="pct"/>
            <w:tcBorders>
              <w:top w:val="nil"/>
              <w:bottom w:val="single" w:sz="4" w:space="0" w:color="auto"/>
            </w:tcBorders>
          </w:tcPr>
          <w:p w14:paraId="6C9FBF8A"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-0.387***</w:t>
            </w:r>
          </w:p>
          <w:p w14:paraId="47840473"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(0.071)</w:t>
            </w:r>
          </w:p>
        </w:tc>
        <w:tc>
          <w:tcPr>
            <w:tcW w:w="835" w:type="pct"/>
            <w:tcBorders>
              <w:top w:val="nil"/>
              <w:bottom w:val="single" w:sz="4" w:space="0" w:color="auto"/>
            </w:tcBorders>
          </w:tcPr>
          <w:p w14:paraId="2EAB783C"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-0.293***</w:t>
            </w:r>
          </w:p>
          <w:p w14:paraId="03306214"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(0.083)</w:t>
            </w:r>
          </w:p>
        </w:tc>
        <w:tc>
          <w:tcPr>
            <w:tcW w:w="828" w:type="pct"/>
            <w:tcBorders>
              <w:top w:val="nil"/>
              <w:bottom w:val="single" w:sz="4" w:space="0" w:color="auto"/>
            </w:tcBorders>
          </w:tcPr>
          <w:p w14:paraId="722F494B"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-0.147*</w:t>
            </w:r>
          </w:p>
          <w:p w14:paraId="1B1BACA6"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(0.085)</w:t>
            </w:r>
          </w:p>
        </w:tc>
        <w:tc>
          <w:tcPr>
            <w:tcW w:w="828" w:type="pct"/>
            <w:tcBorders>
              <w:top w:val="nil"/>
              <w:bottom w:val="single" w:sz="4" w:space="0" w:color="auto"/>
            </w:tcBorders>
          </w:tcPr>
          <w:p w14:paraId="0FBB242A"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Table 4, Column 3</w:t>
            </w:r>
          </w:p>
        </w:tc>
      </w:tr>
    </w:tbl>
    <w:p w14:paraId="7035343B"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119A0161"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5C3395AB"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269AAB80"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2FC75C35"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0E292EDB"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5CF7339D"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128406BF"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6E0398C3"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1B0866B4"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760DA1A9"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03FFC476"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0620A449"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14B28CE6"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20D40F33" w14:textId="77777777" w:rsidR="00864400" w:rsidRPr="00BA0E8D" w:rsidRDefault="00864400" w:rsidP="00216743">
      <w:pPr>
        <w:keepNext/>
        <w:widowControl w:val="0"/>
        <w:autoSpaceDE w:val="0"/>
        <w:autoSpaceDN w:val="0"/>
        <w:adjustRightInd w:val="0"/>
        <w:spacing w:after="0" w:line="240" w:lineRule="auto"/>
        <w:rPr>
          <w:rFonts w:ascii="Times New Roman" w:hAnsi="Times New Roman"/>
          <w:sz w:val="20"/>
          <w:szCs w:val="20"/>
        </w:rPr>
      </w:pPr>
    </w:p>
    <w:p w14:paraId="78A5C9EB" w14:textId="77777777" w:rsidR="00691A3C" w:rsidRPr="00BA0E8D" w:rsidRDefault="00691A3C" w:rsidP="00216743">
      <w:pPr>
        <w:keepNext/>
        <w:widowControl w:val="0"/>
        <w:autoSpaceDE w:val="0"/>
        <w:autoSpaceDN w:val="0"/>
        <w:adjustRightInd w:val="0"/>
        <w:spacing w:after="0" w:line="240" w:lineRule="auto"/>
        <w:rPr>
          <w:rFonts w:ascii="Times New Roman" w:hAnsi="Times New Roman"/>
          <w:sz w:val="20"/>
          <w:szCs w:val="20"/>
        </w:rPr>
      </w:pPr>
    </w:p>
    <w:p w14:paraId="2CE6093E" w14:textId="77777777" w:rsidR="00691A3C" w:rsidRPr="00BA0E8D" w:rsidRDefault="00691A3C" w:rsidP="00216743">
      <w:pPr>
        <w:keepNext/>
        <w:widowControl w:val="0"/>
        <w:autoSpaceDE w:val="0"/>
        <w:autoSpaceDN w:val="0"/>
        <w:adjustRightInd w:val="0"/>
        <w:spacing w:after="0" w:line="240" w:lineRule="auto"/>
        <w:rPr>
          <w:rFonts w:ascii="Times New Roman" w:hAnsi="Times New Roman"/>
          <w:sz w:val="20"/>
          <w:szCs w:val="20"/>
        </w:rPr>
      </w:pPr>
    </w:p>
    <w:p w14:paraId="6FF84176" w14:textId="77777777" w:rsidR="00691A3C" w:rsidRPr="00BA0E8D" w:rsidRDefault="00691A3C" w:rsidP="00216743">
      <w:pPr>
        <w:keepNext/>
        <w:widowControl w:val="0"/>
        <w:autoSpaceDE w:val="0"/>
        <w:autoSpaceDN w:val="0"/>
        <w:adjustRightInd w:val="0"/>
        <w:spacing w:after="0" w:line="240" w:lineRule="auto"/>
        <w:rPr>
          <w:rFonts w:ascii="Times New Roman" w:hAnsi="Times New Roman"/>
          <w:sz w:val="20"/>
          <w:szCs w:val="20"/>
        </w:rPr>
      </w:pPr>
    </w:p>
    <w:p w14:paraId="65CEF4BE" w14:textId="77777777" w:rsidR="00691A3C" w:rsidRPr="00BA0E8D" w:rsidRDefault="00691A3C" w:rsidP="00216743">
      <w:pPr>
        <w:keepNext/>
        <w:widowControl w:val="0"/>
        <w:autoSpaceDE w:val="0"/>
        <w:autoSpaceDN w:val="0"/>
        <w:adjustRightInd w:val="0"/>
        <w:spacing w:after="0" w:line="240" w:lineRule="auto"/>
        <w:rPr>
          <w:rFonts w:ascii="Times New Roman" w:hAnsi="Times New Roman"/>
          <w:sz w:val="20"/>
          <w:szCs w:val="20"/>
        </w:rPr>
      </w:pPr>
    </w:p>
    <w:p w14:paraId="4041F009" w14:textId="77777777" w:rsidR="00691A3C" w:rsidRPr="00BA0E8D" w:rsidRDefault="00691A3C" w:rsidP="00216743">
      <w:pPr>
        <w:keepNext/>
        <w:widowControl w:val="0"/>
        <w:autoSpaceDE w:val="0"/>
        <w:autoSpaceDN w:val="0"/>
        <w:adjustRightInd w:val="0"/>
        <w:spacing w:after="0" w:line="240" w:lineRule="auto"/>
        <w:rPr>
          <w:rFonts w:ascii="Times New Roman" w:hAnsi="Times New Roman"/>
          <w:sz w:val="20"/>
          <w:szCs w:val="20"/>
        </w:rPr>
      </w:pPr>
    </w:p>
    <w:p w14:paraId="77C8680D" w14:textId="77777777" w:rsidR="00691A3C" w:rsidRPr="00BA0E8D" w:rsidRDefault="00691A3C" w:rsidP="00216743">
      <w:pPr>
        <w:keepNext/>
        <w:widowControl w:val="0"/>
        <w:autoSpaceDE w:val="0"/>
        <w:autoSpaceDN w:val="0"/>
        <w:adjustRightInd w:val="0"/>
        <w:spacing w:after="0" w:line="240" w:lineRule="auto"/>
        <w:rPr>
          <w:rFonts w:ascii="Times New Roman" w:hAnsi="Times New Roman"/>
          <w:sz w:val="20"/>
          <w:szCs w:val="20"/>
        </w:rPr>
      </w:pPr>
    </w:p>
    <w:p w14:paraId="2CC74153" w14:textId="77777777" w:rsidR="00864400" w:rsidRPr="00BA0E8D" w:rsidRDefault="00864400" w:rsidP="00763F96">
      <w:pPr>
        <w:spacing w:after="0" w:line="240" w:lineRule="auto"/>
        <w:jc w:val="both"/>
        <w:rPr>
          <w:rFonts w:ascii="Times New Roman" w:hAnsi="Times New Roman"/>
          <w:sz w:val="20"/>
          <w:szCs w:val="20"/>
        </w:rPr>
      </w:pPr>
    </w:p>
    <w:p w14:paraId="0A04E12A" w14:textId="611B0C80" w:rsidR="00216743" w:rsidRPr="0031463E" w:rsidRDefault="00216743" w:rsidP="00057728">
      <w:pPr>
        <w:keepNext/>
        <w:widowControl w:val="0"/>
        <w:jc w:val="both"/>
        <w:rPr>
          <w:rFonts w:ascii="Times New Roman" w:hAnsi="Times New Roman"/>
          <w:b/>
          <w:sz w:val="24"/>
          <w:szCs w:val="24"/>
        </w:rPr>
      </w:pPr>
      <w:r w:rsidRPr="0031463E">
        <w:rPr>
          <w:rFonts w:ascii="Times New Roman" w:hAnsi="Times New Roman"/>
          <w:b/>
          <w:sz w:val="24"/>
          <w:szCs w:val="24"/>
        </w:rPr>
        <w:lastRenderedPageBreak/>
        <w:t xml:space="preserve">Table </w:t>
      </w:r>
      <w:r w:rsidR="00864400" w:rsidRPr="0031463E">
        <w:rPr>
          <w:rFonts w:ascii="Times New Roman" w:hAnsi="Times New Roman"/>
          <w:b/>
          <w:sz w:val="24"/>
          <w:szCs w:val="24"/>
        </w:rPr>
        <w:t>6</w:t>
      </w:r>
      <w:r w:rsidRPr="0031463E">
        <w:rPr>
          <w:rFonts w:ascii="Times New Roman" w:hAnsi="Times New Roman"/>
          <w:b/>
          <w:sz w:val="24"/>
          <w:szCs w:val="24"/>
        </w:rPr>
        <w:t xml:space="preserve">: </w:t>
      </w:r>
      <w:r w:rsidR="002F599E" w:rsidRPr="0031463E">
        <w:rPr>
          <w:rFonts w:ascii="Times New Roman" w:hAnsi="Times New Roman"/>
          <w:b/>
          <w:sz w:val="24"/>
          <w:szCs w:val="24"/>
        </w:rPr>
        <w:t xml:space="preserve">Regression results of information sharing and credit intermediation cost: </w:t>
      </w:r>
      <w:r w:rsidR="00025B5C">
        <w:rPr>
          <w:rFonts w:ascii="Times New Roman" w:hAnsi="Times New Roman"/>
          <w:b/>
          <w:sz w:val="24"/>
          <w:szCs w:val="24"/>
        </w:rPr>
        <w:t>I</w:t>
      </w:r>
      <w:r w:rsidR="002F599E" w:rsidRPr="0031463E">
        <w:rPr>
          <w:rFonts w:ascii="Times New Roman" w:hAnsi="Times New Roman"/>
          <w:b/>
          <w:sz w:val="24"/>
          <w:szCs w:val="24"/>
        </w:rPr>
        <w:t>nteraction with governance</w:t>
      </w:r>
    </w:p>
    <w:tbl>
      <w:tblPr>
        <w:tblW w:w="14085" w:type="dxa"/>
        <w:tblLayout w:type="fixed"/>
        <w:tblLook w:val="0000" w:firstRow="0" w:lastRow="0" w:firstColumn="0" w:lastColumn="0" w:noHBand="0" w:noVBand="0"/>
      </w:tblPr>
      <w:tblGrid>
        <w:gridCol w:w="2290"/>
        <w:gridCol w:w="1184"/>
        <w:gridCol w:w="1373"/>
        <w:gridCol w:w="1372"/>
        <w:gridCol w:w="1220"/>
        <w:gridCol w:w="1373"/>
        <w:gridCol w:w="1373"/>
        <w:gridCol w:w="1373"/>
        <w:gridCol w:w="1372"/>
        <w:gridCol w:w="1155"/>
      </w:tblGrid>
      <w:tr w:rsidR="00216743" w:rsidRPr="00BA0E8D" w14:paraId="6985B069" w14:textId="77777777" w:rsidTr="00894076">
        <w:trPr>
          <w:trHeight w:val="265"/>
        </w:trPr>
        <w:tc>
          <w:tcPr>
            <w:tcW w:w="2290" w:type="dxa"/>
            <w:tcBorders>
              <w:top w:val="single" w:sz="4" w:space="0" w:color="auto"/>
              <w:left w:val="nil"/>
              <w:bottom w:val="nil"/>
              <w:right w:val="nil"/>
            </w:tcBorders>
          </w:tcPr>
          <w:p w14:paraId="783ED13C"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single" w:sz="4" w:space="0" w:color="auto"/>
              <w:left w:val="nil"/>
              <w:bottom w:val="nil"/>
              <w:right w:val="nil"/>
            </w:tcBorders>
          </w:tcPr>
          <w:p w14:paraId="1CEDE7D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w:t>
            </w:r>
          </w:p>
        </w:tc>
        <w:tc>
          <w:tcPr>
            <w:tcW w:w="1373" w:type="dxa"/>
            <w:tcBorders>
              <w:top w:val="single" w:sz="4" w:space="0" w:color="auto"/>
              <w:left w:val="nil"/>
              <w:bottom w:val="nil"/>
              <w:right w:val="nil"/>
            </w:tcBorders>
          </w:tcPr>
          <w:p w14:paraId="6DE4762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w:t>
            </w:r>
          </w:p>
        </w:tc>
        <w:tc>
          <w:tcPr>
            <w:tcW w:w="1372" w:type="dxa"/>
            <w:tcBorders>
              <w:top w:val="single" w:sz="4" w:space="0" w:color="auto"/>
              <w:left w:val="nil"/>
              <w:bottom w:val="nil"/>
              <w:right w:val="nil"/>
            </w:tcBorders>
          </w:tcPr>
          <w:p w14:paraId="7096905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w:t>
            </w:r>
          </w:p>
        </w:tc>
        <w:tc>
          <w:tcPr>
            <w:tcW w:w="1220" w:type="dxa"/>
            <w:tcBorders>
              <w:top w:val="single" w:sz="4" w:space="0" w:color="auto"/>
              <w:left w:val="nil"/>
              <w:bottom w:val="nil"/>
              <w:right w:val="nil"/>
            </w:tcBorders>
          </w:tcPr>
          <w:p w14:paraId="5B2C13F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w:t>
            </w:r>
          </w:p>
        </w:tc>
        <w:tc>
          <w:tcPr>
            <w:tcW w:w="1373" w:type="dxa"/>
            <w:tcBorders>
              <w:top w:val="single" w:sz="4" w:space="0" w:color="auto"/>
              <w:left w:val="nil"/>
              <w:bottom w:val="nil"/>
              <w:right w:val="nil"/>
            </w:tcBorders>
          </w:tcPr>
          <w:p w14:paraId="4507247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w:t>
            </w:r>
          </w:p>
        </w:tc>
        <w:tc>
          <w:tcPr>
            <w:tcW w:w="1373" w:type="dxa"/>
            <w:tcBorders>
              <w:top w:val="single" w:sz="4" w:space="0" w:color="auto"/>
              <w:left w:val="nil"/>
              <w:bottom w:val="nil"/>
              <w:right w:val="nil"/>
            </w:tcBorders>
          </w:tcPr>
          <w:p w14:paraId="3E0F412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w:t>
            </w:r>
          </w:p>
        </w:tc>
        <w:tc>
          <w:tcPr>
            <w:tcW w:w="1373" w:type="dxa"/>
            <w:tcBorders>
              <w:top w:val="single" w:sz="4" w:space="0" w:color="auto"/>
              <w:left w:val="nil"/>
              <w:bottom w:val="nil"/>
              <w:right w:val="nil"/>
            </w:tcBorders>
          </w:tcPr>
          <w:p w14:paraId="6A44218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w:t>
            </w:r>
          </w:p>
        </w:tc>
        <w:tc>
          <w:tcPr>
            <w:tcW w:w="1372" w:type="dxa"/>
            <w:tcBorders>
              <w:top w:val="single" w:sz="4" w:space="0" w:color="auto"/>
              <w:left w:val="nil"/>
              <w:bottom w:val="nil"/>
              <w:right w:val="nil"/>
            </w:tcBorders>
          </w:tcPr>
          <w:p w14:paraId="52C825F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w:t>
            </w:r>
          </w:p>
        </w:tc>
        <w:tc>
          <w:tcPr>
            <w:tcW w:w="1155" w:type="dxa"/>
            <w:tcBorders>
              <w:top w:val="single" w:sz="4" w:space="0" w:color="auto"/>
              <w:left w:val="nil"/>
              <w:bottom w:val="nil"/>
              <w:right w:val="nil"/>
            </w:tcBorders>
          </w:tcPr>
          <w:p w14:paraId="636660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w:t>
            </w:r>
          </w:p>
        </w:tc>
      </w:tr>
      <w:tr w:rsidR="00216743" w:rsidRPr="00BA0E8D" w14:paraId="757DF720" w14:textId="77777777" w:rsidTr="00894076">
        <w:trPr>
          <w:trHeight w:val="249"/>
        </w:trPr>
        <w:tc>
          <w:tcPr>
            <w:tcW w:w="2290" w:type="dxa"/>
            <w:tcBorders>
              <w:top w:val="single" w:sz="4" w:space="0" w:color="auto"/>
              <w:left w:val="nil"/>
              <w:bottom w:val="nil"/>
              <w:right w:val="nil"/>
            </w:tcBorders>
          </w:tcPr>
          <w:p w14:paraId="48CDA035"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Spread</w:t>
            </w:r>
          </w:p>
        </w:tc>
        <w:tc>
          <w:tcPr>
            <w:tcW w:w="1184" w:type="dxa"/>
            <w:tcBorders>
              <w:top w:val="single" w:sz="4" w:space="0" w:color="auto"/>
              <w:left w:val="nil"/>
              <w:bottom w:val="nil"/>
              <w:right w:val="nil"/>
            </w:tcBorders>
          </w:tcPr>
          <w:p w14:paraId="1387F8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0.201</w:t>
            </w:r>
            <w:r w:rsidRPr="00BA0E8D">
              <w:rPr>
                <w:rFonts w:ascii="Times New Roman" w:hAnsi="Times New Roman"/>
                <w:sz w:val="20"/>
                <w:szCs w:val="20"/>
                <w:vertAlign w:val="superscript"/>
              </w:rPr>
              <w:t>**</w:t>
            </w:r>
          </w:p>
        </w:tc>
        <w:tc>
          <w:tcPr>
            <w:tcW w:w="1373" w:type="dxa"/>
            <w:tcBorders>
              <w:top w:val="single" w:sz="4" w:space="0" w:color="auto"/>
              <w:left w:val="nil"/>
              <w:bottom w:val="nil"/>
              <w:right w:val="nil"/>
            </w:tcBorders>
          </w:tcPr>
          <w:p w14:paraId="6266917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0.203</w:t>
            </w:r>
            <w:r w:rsidRPr="00BA0E8D">
              <w:rPr>
                <w:rFonts w:ascii="Times New Roman" w:hAnsi="Times New Roman"/>
                <w:sz w:val="20"/>
                <w:szCs w:val="20"/>
                <w:vertAlign w:val="superscript"/>
              </w:rPr>
              <w:t>**</w:t>
            </w:r>
          </w:p>
        </w:tc>
        <w:tc>
          <w:tcPr>
            <w:tcW w:w="1372" w:type="dxa"/>
            <w:tcBorders>
              <w:top w:val="single" w:sz="4" w:space="0" w:color="auto"/>
              <w:left w:val="nil"/>
              <w:bottom w:val="nil"/>
              <w:right w:val="nil"/>
            </w:tcBorders>
          </w:tcPr>
          <w:p w14:paraId="13E7607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0.207</w:t>
            </w:r>
            <w:r w:rsidRPr="00BA0E8D">
              <w:rPr>
                <w:rFonts w:ascii="Times New Roman" w:hAnsi="Times New Roman"/>
                <w:sz w:val="20"/>
                <w:szCs w:val="20"/>
                <w:vertAlign w:val="superscript"/>
              </w:rPr>
              <w:t>**</w:t>
            </w:r>
          </w:p>
        </w:tc>
        <w:tc>
          <w:tcPr>
            <w:tcW w:w="1220" w:type="dxa"/>
            <w:tcBorders>
              <w:top w:val="single" w:sz="4" w:space="0" w:color="auto"/>
              <w:left w:val="nil"/>
              <w:bottom w:val="nil"/>
              <w:right w:val="nil"/>
            </w:tcBorders>
          </w:tcPr>
          <w:p w14:paraId="2E6D889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0.236</w:t>
            </w:r>
            <w:r w:rsidRPr="00BA0E8D">
              <w:rPr>
                <w:rFonts w:ascii="Times New Roman" w:hAnsi="Times New Roman"/>
                <w:sz w:val="20"/>
                <w:szCs w:val="20"/>
                <w:vertAlign w:val="superscript"/>
              </w:rPr>
              <w:t>***</w:t>
            </w:r>
          </w:p>
        </w:tc>
        <w:tc>
          <w:tcPr>
            <w:tcW w:w="1373" w:type="dxa"/>
            <w:tcBorders>
              <w:top w:val="single" w:sz="4" w:space="0" w:color="auto"/>
              <w:left w:val="nil"/>
              <w:bottom w:val="nil"/>
              <w:right w:val="nil"/>
            </w:tcBorders>
          </w:tcPr>
          <w:p w14:paraId="3B1D888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0.238</w:t>
            </w:r>
            <w:r w:rsidRPr="00BA0E8D">
              <w:rPr>
                <w:rFonts w:ascii="Times New Roman" w:hAnsi="Times New Roman"/>
                <w:sz w:val="20"/>
                <w:szCs w:val="20"/>
                <w:vertAlign w:val="superscript"/>
              </w:rPr>
              <w:t>***</w:t>
            </w:r>
          </w:p>
        </w:tc>
        <w:tc>
          <w:tcPr>
            <w:tcW w:w="1373" w:type="dxa"/>
            <w:tcBorders>
              <w:top w:val="single" w:sz="4" w:space="0" w:color="auto"/>
              <w:left w:val="nil"/>
              <w:bottom w:val="nil"/>
              <w:right w:val="nil"/>
            </w:tcBorders>
          </w:tcPr>
          <w:p w14:paraId="770C93E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0.205</w:t>
            </w:r>
            <w:r w:rsidRPr="00BA0E8D">
              <w:rPr>
                <w:rFonts w:ascii="Times New Roman" w:hAnsi="Times New Roman"/>
                <w:sz w:val="20"/>
                <w:szCs w:val="20"/>
                <w:vertAlign w:val="superscript"/>
              </w:rPr>
              <w:t>***</w:t>
            </w:r>
          </w:p>
        </w:tc>
        <w:tc>
          <w:tcPr>
            <w:tcW w:w="1373" w:type="dxa"/>
            <w:tcBorders>
              <w:top w:val="single" w:sz="4" w:space="0" w:color="auto"/>
              <w:left w:val="nil"/>
              <w:bottom w:val="nil"/>
              <w:right w:val="nil"/>
            </w:tcBorders>
          </w:tcPr>
          <w:p w14:paraId="38935A2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0.211</w:t>
            </w:r>
            <w:r w:rsidRPr="00BA0E8D">
              <w:rPr>
                <w:rFonts w:ascii="Times New Roman" w:hAnsi="Times New Roman"/>
                <w:sz w:val="20"/>
                <w:szCs w:val="20"/>
                <w:vertAlign w:val="superscript"/>
              </w:rPr>
              <w:t>***</w:t>
            </w:r>
          </w:p>
        </w:tc>
        <w:tc>
          <w:tcPr>
            <w:tcW w:w="1372" w:type="dxa"/>
            <w:tcBorders>
              <w:top w:val="single" w:sz="4" w:space="0" w:color="auto"/>
              <w:left w:val="nil"/>
              <w:bottom w:val="nil"/>
              <w:right w:val="nil"/>
            </w:tcBorders>
          </w:tcPr>
          <w:p w14:paraId="07F6D54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0.226</w:t>
            </w:r>
            <w:r w:rsidRPr="00BA0E8D">
              <w:rPr>
                <w:rFonts w:ascii="Times New Roman" w:hAnsi="Times New Roman"/>
                <w:sz w:val="20"/>
                <w:szCs w:val="20"/>
                <w:vertAlign w:val="superscript"/>
              </w:rPr>
              <w:t>***</w:t>
            </w:r>
          </w:p>
        </w:tc>
        <w:tc>
          <w:tcPr>
            <w:tcW w:w="1155" w:type="dxa"/>
            <w:tcBorders>
              <w:top w:val="single" w:sz="4" w:space="0" w:color="auto"/>
              <w:left w:val="nil"/>
              <w:bottom w:val="nil"/>
              <w:right w:val="nil"/>
            </w:tcBorders>
          </w:tcPr>
          <w:p w14:paraId="2361AED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0.216</w:t>
            </w:r>
            <w:r w:rsidRPr="00BA0E8D">
              <w:rPr>
                <w:rFonts w:ascii="Times New Roman" w:hAnsi="Times New Roman"/>
                <w:sz w:val="20"/>
                <w:szCs w:val="20"/>
                <w:vertAlign w:val="superscript"/>
              </w:rPr>
              <w:t>***</w:t>
            </w:r>
          </w:p>
        </w:tc>
      </w:tr>
      <w:tr w:rsidR="00216743" w:rsidRPr="00BA0E8D" w14:paraId="7924F0AD" w14:textId="77777777" w:rsidTr="00894076">
        <w:trPr>
          <w:trHeight w:val="249"/>
        </w:trPr>
        <w:tc>
          <w:tcPr>
            <w:tcW w:w="2290" w:type="dxa"/>
            <w:tcBorders>
              <w:top w:val="nil"/>
              <w:left w:val="nil"/>
              <w:bottom w:val="nil"/>
              <w:right w:val="nil"/>
            </w:tcBorders>
          </w:tcPr>
          <w:p w14:paraId="7C7E723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19F0C84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p>
        </w:tc>
        <w:tc>
          <w:tcPr>
            <w:tcW w:w="1373" w:type="dxa"/>
            <w:tcBorders>
              <w:top w:val="nil"/>
              <w:left w:val="nil"/>
              <w:bottom w:val="nil"/>
              <w:right w:val="nil"/>
            </w:tcBorders>
          </w:tcPr>
          <w:p w14:paraId="453F2D7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p>
        </w:tc>
        <w:tc>
          <w:tcPr>
            <w:tcW w:w="1372" w:type="dxa"/>
            <w:tcBorders>
              <w:top w:val="nil"/>
              <w:left w:val="nil"/>
              <w:bottom w:val="nil"/>
              <w:right w:val="nil"/>
            </w:tcBorders>
          </w:tcPr>
          <w:p w14:paraId="23C035D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p>
        </w:tc>
        <w:tc>
          <w:tcPr>
            <w:tcW w:w="1220" w:type="dxa"/>
            <w:tcBorders>
              <w:top w:val="nil"/>
              <w:left w:val="nil"/>
              <w:bottom w:val="nil"/>
              <w:right w:val="nil"/>
            </w:tcBorders>
          </w:tcPr>
          <w:p w14:paraId="1FDEBD3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(0.073)</w:t>
            </w:r>
          </w:p>
        </w:tc>
        <w:tc>
          <w:tcPr>
            <w:tcW w:w="1373" w:type="dxa"/>
            <w:tcBorders>
              <w:top w:val="nil"/>
              <w:left w:val="nil"/>
              <w:bottom w:val="nil"/>
              <w:right w:val="nil"/>
            </w:tcBorders>
          </w:tcPr>
          <w:p w14:paraId="3F0CE83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p>
        </w:tc>
        <w:tc>
          <w:tcPr>
            <w:tcW w:w="1373" w:type="dxa"/>
            <w:tcBorders>
              <w:top w:val="nil"/>
              <w:left w:val="nil"/>
              <w:bottom w:val="nil"/>
              <w:right w:val="nil"/>
            </w:tcBorders>
          </w:tcPr>
          <w:p w14:paraId="6D34DFD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p>
        </w:tc>
        <w:tc>
          <w:tcPr>
            <w:tcW w:w="1373" w:type="dxa"/>
            <w:tcBorders>
              <w:top w:val="nil"/>
              <w:left w:val="nil"/>
              <w:bottom w:val="nil"/>
              <w:right w:val="nil"/>
            </w:tcBorders>
          </w:tcPr>
          <w:p w14:paraId="207C29D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p>
        </w:tc>
        <w:tc>
          <w:tcPr>
            <w:tcW w:w="1372" w:type="dxa"/>
            <w:tcBorders>
              <w:top w:val="nil"/>
              <w:left w:val="nil"/>
              <w:bottom w:val="nil"/>
              <w:right w:val="nil"/>
            </w:tcBorders>
          </w:tcPr>
          <w:p w14:paraId="565E55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(0.076)</w:t>
            </w:r>
          </w:p>
        </w:tc>
        <w:tc>
          <w:tcPr>
            <w:tcW w:w="1155" w:type="dxa"/>
            <w:tcBorders>
              <w:top w:val="nil"/>
              <w:left w:val="nil"/>
              <w:bottom w:val="nil"/>
              <w:right w:val="nil"/>
            </w:tcBorders>
          </w:tcPr>
          <w:p w14:paraId="7C08D01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p>
        </w:tc>
      </w:tr>
      <w:tr w:rsidR="00216743" w:rsidRPr="00BA0E8D" w14:paraId="5D9AD11C" w14:textId="77777777" w:rsidTr="00894076">
        <w:trPr>
          <w:trHeight w:val="249"/>
        </w:trPr>
        <w:tc>
          <w:tcPr>
            <w:tcW w:w="2290" w:type="dxa"/>
            <w:tcBorders>
              <w:top w:val="nil"/>
              <w:left w:val="nil"/>
              <w:bottom w:val="nil"/>
              <w:right w:val="nil"/>
            </w:tcBorders>
          </w:tcPr>
          <w:p w14:paraId="19E4D70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Depth</w:t>
            </w:r>
          </w:p>
        </w:tc>
        <w:tc>
          <w:tcPr>
            <w:tcW w:w="1184" w:type="dxa"/>
            <w:tcBorders>
              <w:top w:val="nil"/>
              <w:left w:val="nil"/>
              <w:bottom w:val="nil"/>
              <w:right w:val="nil"/>
            </w:tcBorders>
          </w:tcPr>
          <w:p w14:paraId="7B18D6F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-0.256</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02FAC16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-0.296</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68D97A6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-0.284</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7A38DAC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22D87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7C304E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F9EF77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08968C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72846EC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216743" w:rsidRPr="00BA0E8D" w14:paraId="5F705B35" w14:textId="77777777" w:rsidTr="00894076">
        <w:trPr>
          <w:trHeight w:val="249"/>
        </w:trPr>
        <w:tc>
          <w:tcPr>
            <w:tcW w:w="2290" w:type="dxa"/>
            <w:tcBorders>
              <w:top w:val="nil"/>
              <w:left w:val="nil"/>
              <w:bottom w:val="nil"/>
              <w:right w:val="nil"/>
            </w:tcBorders>
          </w:tcPr>
          <w:p w14:paraId="17551317"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35CA0CC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(0.079)</w:t>
            </w:r>
          </w:p>
        </w:tc>
        <w:tc>
          <w:tcPr>
            <w:tcW w:w="1373" w:type="dxa"/>
            <w:tcBorders>
              <w:top w:val="nil"/>
              <w:left w:val="nil"/>
              <w:bottom w:val="nil"/>
              <w:right w:val="nil"/>
            </w:tcBorders>
          </w:tcPr>
          <w:p w14:paraId="2358392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(0.078)</w:t>
            </w:r>
          </w:p>
        </w:tc>
        <w:tc>
          <w:tcPr>
            <w:tcW w:w="1372" w:type="dxa"/>
            <w:tcBorders>
              <w:top w:val="nil"/>
              <w:left w:val="nil"/>
              <w:bottom w:val="nil"/>
              <w:right w:val="nil"/>
            </w:tcBorders>
          </w:tcPr>
          <w:p w14:paraId="0A96773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(0.084)</w:t>
            </w:r>
          </w:p>
        </w:tc>
        <w:tc>
          <w:tcPr>
            <w:tcW w:w="1220" w:type="dxa"/>
            <w:tcBorders>
              <w:top w:val="nil"/>
              <w:left w:val="nil"/>
              <w:bottom w:val="nil"/>
              <w:right w:val="nil"/>
            </w:tcBorders>
          </w:tcPr>
          <w:p w14:paraId="4968938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BF1A43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035FF4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28F98E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59E948F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65A0A89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216743" w:rsidRPr="00BA0E8D" w14:paraId="11835777" w14:textId="77777777" w:rsidTr="00894076">
        <w:trPr>
          <w:trHeight w:val="249"/>
        </w:trPr>
        <w:tc>
          <w:tcPr>
            <w:tcW w:w="2290" w:type="dxa"/>
            <w:tcBorders>
              <w:top w:val="nil"/>
              <w:left w:val="nil"/>
              <w:bottom w:val="nil"/>
              <w:right w:val="nil"/>
            </w:tcBorders>
          </w:tcPr>
          <w:p w14:paraId="222563ED"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Registry</w:t>
            </w:r>
          </w:p>
        </w:tc>
        <w:tc>
          <w:tcPr>
            <w:tcW w:w="1184" w:type="dxa"/>
            <w:tcBorders>
              <w:top w:val="nil"/>
              <w:left w:val="nil"/>
              <w:bottom w:val="nil"/>
              <w:right w:val="nil"/>
            </w:tcBorders>
          </w:tcPr>
          <w:p w14:paraId="0F77382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BB27E8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39AC974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2D35168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-0.015</w:t>
            </w:r>
          </w:p>
        </w:tc>
        <w:tc>
          <w:tcPr>
            <w:tcW w:w="1373" w:type="dxa"/>
            <w:tcBorders>
              <w:top w:val="nil"/>
              <w:left w:val="nil"/>
              <w:bottom w:val="nil"/>
              <w:right w:val="nil"/>
            </w:tcBorders>
          </w:tcPr>
          <w:p w14:paraId="68AD08C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-0.016</w:t>
            </w:r>
          </w:p>
        </w:tc>
        <w:tc>
          <w:tcPr>
            <w:tcW w:w="1373" w:type="dxa"/>
            <w:tcBorders>
              <w:top w:val="nil"/>
              <w:left w:val="nil"/>
              <w:bottom w:val="nil"/>
              <w:right w:val="nil"/>
            </w:tcBorders>
          </w:tcPr>
          <w:p w14:paraId="5137E50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6859689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90DA9F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2C3F3FE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216743" w:rsidRPr="00BA0E8D" w14:paraId="27F4D1F8" w14:textId="77777777" w:rsidTr="00894076">
        <w:trPr>
          <w:trHeight w:val="249"/>
        </w:trPr>
        <w:tc>
          <w:tcPr>
            <w:tcW w:w="2290" w:type="dxa"/>
            <w:tcBorders>
              <w:top w:val="nil"/>
              <w:left w:val="nil"/>
              <w:bottom w:val="nil"/>
              <w:right w:val="nil"/>
            </w:tcBorders>
          </w:tcPr>
          <w:p w14:paraId="76BF1BD6"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1C9BD60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16DC88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0BB350B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792C5C9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(0.016)</w:t>
            </w:r>
          </w:p>
        </w:tc>
        <w:tc>
          <w:tcPr>
            <w:tcW w:w="1373" w:type="dxa"/>
            <w:tcBorders>
              <w:top w:val="nil"/>
              <w:left w:val="nil"/>
              <w:bottom w:val="nil"/>
              <w:right w:val="nil"/>
            </w:tcBorders>
          </w:tcPr>
          <w:p w14:paraId="35E9CE9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(0.015)</w:t>
            </w:r>
          </w:p>
        </w:tc>
        <w:tc>
          <w:tcPr>
            <w:tcW w:w="1373" w:type="dxa"/>
            <w:tcBorders>
              <w:top w:val="nil"/>
              <w:left w:val="nil"/>
              <w:bottom w:val="nil"/>
              <w:right w:val="nil"/>
            </w:tcBorders>
          </w:tcPr>
          <w:p w14:paraId="65A79C3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373" w:type="dxa"/>
            <w:tcBorders>
              <w:top w:val="nil"/>
              <w:left w:val="nil"/>
              <w:bottom w:val="nil"/>
              <w:right w:val="nil"/>
            </w:tcBorders>
          </w:tcPr>
          <w:p w14:paraId="6A210BF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0D5446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60AEAB7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216743" w:rsidRPr="00BA0E8D" w14:paraId="3A74A275" w14:textId="77777777" w:rsidTr="00894076">
        <w:trPr>
          <w:trHeight w:val="249"/>
        </w:trPr>
        <w:tc>
          <w:tcPr>
            <w:tcW w:w="2290" w:type="dxa"/>
            <w:tcBorders>
              <w:top w:val="nil"/>
              <w:left w:val="nil"/>
              <w:bottom w:val="nil"/>
              <w:right w:val="nil"/>
            </w:tcBorders>
          </w:tcPr>
          <w:p w14:paraId="77561AFB" w14:textId="77777777" w:rsidR="00216743" w:rsidRPr="00BA0E8D" w:rsidRDefault="00216743" w:rsidP="0056122B">
            <w:pPr>
              <w:widowControl w:val="0"/>
              <w:autoSpaceDE w:val="0"/>
              <w:autoSpaceDN w:val="0"/>
              <w:adjustRightInd w:val="0"/>
              <w:spacing w:after="0" w:line="240" w:lineRule="auto"/>
              <w:rPr>
                <w:rFonts w:ascii="Times New Roman" w:hAnsi="Times New Roman"/>
                <w:color w:val="000000"/>
                <w:sz w:val="20"/>
                <w:szCs w:val="20"/>
              </w:rPr>
            </w:pPr>
            <w:r w:rsidRPr="00BA0E8D">
              <w:rPr>
                <w:rFonts w:ascii="Times New Roman" w:hAnsi="Times New Roman"/>
                <w:color w:val="000000"/>
                <w:sz w:val="20"/>
                <w:szCs w:val="20"/>
              </w:rPr>
              <w:t>Credit Bureau</w:t>
            </w:r>
          </w:p>
        </w:tc>
        <w:tc>
          <w:tcPr>
            <w:tcW w:w="1184" w:type="dxa"/>
            <w:tcBorders>
              <w:top w:val="nil"/>
              <w:left w:val="nil"/>
              <w:bottom w:val="nil"/>
              <w:right w:val="nil"/>
            </w:tcBorders>
          </w:tcPr>
          <w:p w14:paraId="3D55F72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25F8A46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2" w:type="dxa"/>
            <w:tcBorders>
              <w:top w:val="nil"/>
              <w:left w:val="nil"/>
              <w:bottom w:val="nil"/>
              <w:right w:val="nil"/>
            </w:tcBorders>
          </w:tcPr>
          <w:p w14:paraId="4EC81DE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220" w:type="dxa"/>
            <w:tcBorders>
              <w:top w:val="nil"/>
              <w:left w:val="nil"/>
              <w:bottom w:val="nil"/>
              <w:right w:val="nil"/>
            </w:tcBorders>
          </w:tcPr>
          <w:p w14:paraId="6E30AF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5CB7F75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18987CE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2CFB870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-0.006</w:t>
            </w:r>
          </w:p>
        </w:tc>
        <w:tc>
          <w:tcPr>
            <w:tcW w:w="1372" w:type="dxa"/>
            <w:tcBorders>
              <w:top w:val="nil"/>
              <w:left w:val="nil"/>
              <w:bottom w:val="nil"/>
              <w:right w:val="nil"/>
            </w:tcBorders>
          </w:tcPr>
          <w:p w14:paraId="4877CF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-0.008</w:t>
            </w:r>
          </w:p>
        </w:tc>
        <w:tc>
          <w:tcPr>
            <w:tcW w:w="1155" w:type="dxa"/>
            <w:tcBorders>
              <w:top w:val="nil"/>
              <w:left w:val="nil"/>
              <w:bottom w:val="nil"/>
              <w:right w:val="nil"/>
            </w:tcBorders>
          </w:tcPr>
          <w:p w14:paraId="375B08F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-0.012</w:t>
            </w:r>
          </w:p>
        </w:tc>
      </w:tr>
      <w:tr w:rsidR="00216743" w:rsidRPr="00BA0E8D" w14:paraId="3F9B7277" w14:textId="77777777" w:rsidTr="00894076">
        <w:trPr>
          <w:trHeight w:val="249"/>
        </w:trPr>
        <w:tc>
          <w:tcPr>
            <w:tcW w:w="2290" w:type="dxa"/>
            <w:tcBorders>
              <w:top w:val="nil"/>
              <w:left w:val="nil"/>
              <w:bottom w:val="nil"/>
              <w:right w:val="nil"/>
            </w:tcBorders>
          </w:tcPr>
          <w:p w14:paraId="27894676" w14:textId="77777777" w:rsidR="00216743" w:rsidRPr="00BA0E8D" w:rsidRDefault="00216743" w:rsidP="0056122B">
            <w:pPr>
              <w:widowControl w:val="0"/>
              <w:autoSpaceDE w:val="0"/>
              <w:autoSpaceDN w:val="0"/>
              <w:adjustRightInd w:val="0"/>
              <w:spacing w:after="0" w:line="240" w:lineRule="auto"/>
              <w:rPr>
                <w:rFonts w:ascii="Times New Roman" w:hAnsi="Times New Roman"/>
                <w:color w:val="000000"/>
                <w:sz w:val="20"/>
                <w:szCs w:val="20"/>
              </w:rPr>
            </w:pPr>
          </w:p>
        </w:tc>
        <w:tc>
          <w:tcPr>
            <w:tcW w:w="1184" w:type="dxa"/>
            <w:tcBorders>
              <w:top w:val="nil"/>
              <w:left w:val="nil"/>
              <w:bottom w:val="nil"/>
              <w:right w:val="nil"/>
            </w:tcBorders>
          </w:tcPr>
          <w:p w14:paraId="5860DC2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16EBBD3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2" w:type="dxa"/>
            <w:tcBorders>
              <w:top w:val="nil"/>
              <w:left w:val="nil"/>
              <w:bottom w:val="nil"/>
              <w:right w:val="nil"/>
            </w:tcBorders>
          </w:tcPr>
          <w:p w14:paraId="6CC674B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220" w:type="dxa"/>
            <w:tcBorders>
              <w:top w:val="nil"/>
              <w:left w:val="nil"/>
              <w:bottom w:val="nil"/>
              <w:right w:val="nil"/>
            </w:tcBorders>
          </w:tcPr>
          <w:p w14:paraId="14778D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4976BAF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6AF0816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27A24D0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(0.010)</w:t>
            </w:r>
          </w:p>
        </w:tc>
        <w:tc>
          <w:tcPr>
            <w:tcW w:w="1372" w:type="dxa"/>
            <w:tcBorders>
              <w:top w:val="nil"/>
              <w:left w:val="nil"/>
              <w:bottom w:val="nil"/>
              <w:right w:val="nil"/>
            </w:tcBorders>
          </w:tcPr>
          <w:p w14:paraId="1871C6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(0.009)</w:t>
            </w:r>
          </w:p>
        </w:tc>
        <w:tc>
          <w:tcPr>
            <w:tcW w:w="1155" w:type="dxa"/>
            <w:tcBorders>
              <w:top w:val="nil"/>
              <w:left w:val="nil"/>
              <w:bottom w:val="nil"/>
              <w:right w:val="nil"/>
            </w:tcBorders>
          </w:tcPr>
          <w:p w14:paraId="5FEA6E6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(0.010)</w:t>
            </w:r>
          </w:p>
        </w:tc>
      </w:tr>
      <w:tr w:rsidR="00216743" w:rsidRPr="00BA0E8D" w14:paraId="5CDD79FE" w14:textId="77777777" w:rsidTr="00894076">
        <w:trPr>
          <w:trHeight w:val="265"/>
        </w:trPr>
        <w:tc>
          <w:tcPr>
            <w:tcW w:w="2290" w:type="dxa"/>
            <w:tcBorders>
              <w:top w:val="nil"/>
              <w:left w:val="nil"/>
              <w:bottom w:val="nil"/>
              <w:right w:val="nil"/>
            </w:tcBorders>
          </w:tcPr>
          <w:p w14:paraId="65E3DFA5"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Size</w:t>
            </w:r>
          </w:p>
        </w:tc>
        <w:tc>
          <w:tcPr>
            <w:tcW w:w="1184" w:type="dxa"/>
            <w:tcBorders>
              <w:top w:val="nil"/>
              <w:left w:val="nil"/>
              <w:bottom w:val="nil"/>
              <w:right w:val="nil"/>
            </w:tcBorders>
          </w:tcPr>
          <w:p w14:paraId="7207B48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0.248</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2CA574F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0.243</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6285CE9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0.265</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4252ADE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0.143</w:t>
            </w:r>
          </w:p>
        </w:tc>
        <w:tc>
          <w:tcPr>
            <w:tcW w:w="1373" w:type="dxa"/>
            <w:tcBorders>
              <w:top w:val="nil"/>
              <w:left w:val="nil"/>
              <w:bottom w:val="nil"/>
              <w:right w:val="nil"/>
            </w:tcBorders>
          </w:tcPr>
          <w:p w14:paraId="78E547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0.144</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0EEF7E3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0.151</w:t>
            </w:r>
          </w:p>
        </w:tc>
        <w:tc>
          <w:tcPr>
            <w:tcW w:w="1373" w:type="dxa"/>
            <w:tcBorders>
              <w:top w:val="nil"/>
              <w:left w:val="nil"/>
              <w:bottom w:val="nil"/>
              <w:right w:val="nil"/>
            </w:tcBorders>
          </w:tcPr>
          <w:p w14:paraId="14CA167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0.153</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27CCB13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0.112</w:t>
            </w:r>
          </w:p>
        </w:tc>
        <w:tc>
          <w:tcPr>
            <w:tcW w:w="1155" w:type="dxa"/>
            <w:tcBorders>
              <w:top w:val="nil"/>
              <w:left w:val="nil"/>
              <w:bottom w:val="nil"/>
              <w:right w:val="nil"/>
            </w:tcBorders>
          </w:tcPr>
          <w:p w14:paraId="72B676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0.160</w:t>
            </w:r>
            <w:r w:rsidRPr="00BA0E8D">
              <w:rPr>
                <w:rFonts w:ascii="Times New Roman" w:hAnsi="Times New Roman"/>
                <w:sz w:val="20"/>
                <w:szCs w:val="20"/>
                <w:vertAlign w:val="superscript"/>
              </w:rPr>
              <w:t>*</w:t>
            </w:r>
          </w:p>
        </w:tc>
      </w:tr>
      <w:tr w:rsidR="00216743" w:rsidRPr="00BA0E8D" w14:paraId="1B760D78" w14:textId="77777777" w:rsidTr="00894076">
        <w:trPr>
          <w:trHeight w:val="249"/>
        </w:trPr>
        <w:tc>
          <w:tcPr>
            <w:tcW w:w="2290" w:type="dxa"/>
            <w:tcBorders>
              <w:top w:val="nil"/>
              <w:left w:val="nil"/>
              <w:bottom w:val="nil"/>
              <w:right w:val="nil"/>
            </w:tcBorders>
          </w:tcPr>
          <w:p w14:paraId="379DE81B"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3FDE1DB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373" w:type="dxa"/>
            <w:tcBorders>
              <w:top w:val="nil"/>
              <w:left w:val="nil"/>
              <w:bottom w:val="nil"/>
              <w:right w:val="nil"/>
            </w:tcBorders>
          </w:tcPr>
          <w:p w14:paraId="4725C68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372" w:type="dxa"/>
            <w:tcBorders>
              <w:top w:val="nil"/>
              <w:left w:val="nil"/>
              <w:bottom w:val="nil"/>
              <w:right w:val="nil"/>
            </w:tcBorders>
          </w:tcPr>
          <w:p w14:paraId="0F3DD78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220" w:type="dxa"/>
            <w:tcBorders>
              <w:top w:val="nil"/>
              <w:left w:val="nil"/>
              <w:bottom w:val="nil"/>
              <w:right w:val="nil"/>
            </w:tcBorders>
          </w:tcPr>
          <w:p w14:paraId="528114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373" w:type="dxa"/>
            <w:tcBorders>
              <w:top w:val="nil"/>
              <w:left w:val="nil"/>
              <w:bottom w:val="nil"/>
              <w:right w:val="nil"/>
            </w:tcBorders>
          </w:tcPr>
          <w:p w14:paraId="3D022BA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373" w:type="dxa"/>
            <w:tcBorders>
              <w:top w:val="nil"/>
              <w:left w:val="nil"/>
              <w:bottom w:val="nil"/>
              <w:right w:val="nil"/>
            </w:tcBorders>
          </w:tcPr>
          <w:p w14:paraId="1750749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373" w:type="dxa"/>
            <w:tcBorders>
              <w:top w:val="nil"/>
              <w:left w:val="nil"/>
              <w:bottom w:val="nil"/>
              <w:right w:val="nil"/>
            </w:tcBorders>
          </w:tcPr>
          <w:p w14:paraId="04967C9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372" w:type="dxa"/>
            <w:tcBorders>
              <w:top w:val="nil"/>
              <w:left w:val="nil"/>
              <w:bottom w:val="nil"/>
              <w:right w:val="nil"/>
            </w:tcBorders>
          </w:tcPr>
          <w:p w14:paraId="1C35456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155" w:type="dxa"/>
            <w:tcBorders>
              <w:top w:val="nil"/>
              <w:left w:val="nil"/>
              <w:bottom w:val="nil"/>
              <w:right w:val="nil"/>
            </w:tcBorders>
          </w:tcPr>
          <w:p w14:paraId="42B456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(0.088)</w:t>
            </w:r>
          </w:p>
        </w:tc>
      </w:tr>
      <w:tr w:rsidR="00216743" w:rsidRPr="00BA0E8D" w14:paraId="5B2C427C" w14:textId="77777777" w:rsidTr="00894076">
        <w:trPr>
          <w:trHeight w:val="265"/>
        </w:trPr>
        <w:tc>
          <w:tcPr>
            <w:tcW w:w="2290" w:type="dxa"/>
            <w:tcBorders>
              <w:top w:val="nil"/>
              <w:left w:val="nil"/>
              <w:bottom w:val="nil"/>
              <w:right w:val="nil"/>
            </w:tcBorders>
          </w:tcPr>
          <w:p w14:paraId="1A145A94"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Liquidity</w:t>
            </w:r>
          </w:p>
        </w:tc>
        <w:tc>
          <w:tcPr>
            <w:tcW w:w="1184" w:type="dxa"/>
            <w:tcBorders>
              <w:top w:val="nil"/>
              <w:left w:val="nil"/>
              <w:bottom w:val="nil"/>
              <w:right w:val="nil"/>
            </w:tcBorders>
          </w:tcPr>
          <w:p w14:paraId="19E3AB3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E2C59C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167E4B9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0625CCB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732AAC6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7246F7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5BD4FAE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14A94AA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3DA0C18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r w:rsidRPr="00BA0E8D">
              <w:rPr>
                <w:rFonts w:ascii="Times New Roman" w:hAnsi="Times New Roman"/>
                <w:sz w:val="20"/>
                <w:szCs w:val="20"/>
                <w:vertAlign w:val="superscript"/>
              </w:rPr>
              <w:t>*</w:t>
            </w:r>
          </w:p>
        </w:tc>
      </w:tr>
      <w:tr w:rsidR="00216743" w:rsidRPr="00BA0E8D" w14:paraId="6E780E57" w14:textId="77777777" w:rsidTr="00894076">
        <w:trPr>
          <w:trHeight w:val="249"/>
        </w:trPr>
        <w:tc>
          <w:tcPr>
            <w:tcW w:w="2290" w:type="dxa"/>
            <w:tcBorders>
              <w:top w:val="nil"/>
              <w:left w:val="nil"/>
              <w:bottom w:val="nil"/>
              <w:right w:val="nil"/>
            </w:tcBorders>
          </w:tcPr>
          <w:p w14:paraId="4BFF79F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22F700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3" w:type="dxa"/>
            <w:tcBorders>
              <w:top w:val="nil"/>
              <w:left w:val="nil"/>
              <w:bottom w:val="nil"/>
              <w:right w:val="nil"/>
            </w:tcBorders>
          </w:tcPr>
          <w:p w14:paraId="78E0CD2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2" w:type="dxa"/>
            <w:tcBorders>
              <w:top w:val="nil"/>
              <w:left w:val="nil"/>
              <w:bottom w:val="nil"/>
              <w:right w:val="nil"/>
            </w:tcBorders>
          </w:tcPr>
          <w:p w14:paraId="632C0E4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220" w:type="dxa"/>
            <w:tcBorders>
              <w:top w:val="nil"/>
              <w:left w:val="nil"/>
              <w:bottom w:val="nil"/>
              <w:right w:val="nil"/>
            </w:tcBorders>
          </w:tcPr>
          <w:p w14:paraId="2C2C152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3" w:type="dxa"/>
            <w:tcBorders>
              <w:top w:val="nil"/>
              <w:left w:val="nil"/>
              <w:bottom w:val="nil"/>
              <w:right w:val="nil"/>
            </w:tcBorders>
          </w:tcPr>
          <w:p w14:paraId="323459D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3" w:type="dxa"/>
            <w:tcBorders>
              <w:top w:val="nil"/>
              <w:left w:val="nil"/>
              <w:bottom w:val="nil"/>
              <w:right w:val="nil"/>
            </w:tcBorders>
          </w:tcPr>
          <w:p w14:paraId="1D66D9A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3" w:type="dxa"/>
            <w:tcBorders>
              <w:top w:val="nil"/>
              <w:left w:val="nil"/>
              <w:bottom w:val="nil"/>
              <w:right w:val="nil"/>
            </w:tcBorders>
          </w:tcPr>
          <w:p w14:paraId="0DB7D77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372" w:type="dxa"/>
            <w:tcBorders>
              <w:top w:val="nil"/>
              <w:left w:val="nil"/>
              <w:bottom w:val="nil"/>
              <w:right w:val="nil"/>
            </w:tcBorders>
          </w:tcPr>
          <w:p w14:paraId="60D2ED1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155" w:type="dxa"/>
            <w:tcBorders>
              <w:top w:val="nil"/>
              <w:left w:val="nil"/>
              <w:bottom w:val="nil"/>
              <w:right w:val="nil"/>
            </w:tcBorders>
          </w:tcPr>
          <w:p w14:paraId="16DE6FE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r>
      <w:tr w:rsidR="00216743" w:rsidRPr="00BA0E8D" w14:paraId="0027D981" w14:textId="77777777" w:rsidTr="00894076">
        <w:trPr>
          <w:trHeight w:val="249"/>
        </w:trPr>
        <w:tc>
          <w:tcPr>
            <w:tcW w:w="2290" w:type="dxa"/>
            <w:tcBorders>
              <w:top w:val="nil"/>
              <w:left w:val="nil"/>
              <w:bottom w:val="nil"/>
              <w:right w:val="nil"/>
            </w:tcBorders>
          </w:tcPr>
          <w:p w14:paraId="52D46DAB"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Provisions</w:t>
            </w:r>
          </w:p>
        </w:tc>
        <w:tc>
          <w:tcPr>
            <w:tcW w:w="1184" w:type="dxa"/>
            <w:tcBorders>
              <w:top w:val="nil"/>
              <w:left w:val="nil"/>
              <w:bottom w:val="nil"/>
              <w:right w:val="nil"/>
            </w:tcBorders>
          </w:tcPr>
          <w:p w14:paraId="3A802AB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0.054</w:t>
            </w:r>
          </w:p>
        </w:tc>
        <w:tc>
          <w:tcPr>
            <w:tcW w:w="1373" w:type="dxa"/>
            <w:tcBorders>
              <w:top w:val="nil"/>
              <w:left w:val="nil"/>
              <w:bottom w:val="nil"/>
              <w:right w:val="nil"/>
            </w:tcBorders>
          </w:tcPr>
          <w:p w14:paraId="61F370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0.055</w:t>
            </w:r>
          </w:p>
        </w:tc>
        <w:tc>
          <w:tcPr>
            <w:tcW w:w="1372" w:type="dxa"/>
            <w:tcBorders>
              <w:top w:val="nil"/>
              <w:left w:val="nil"/>
              <w:bottom w:val="nil"/>
              <w:right w:val="nil"/>
            </w:tcBorders>
          </w:tcPr>
          <w:p w14:paraId="531E2D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0.053</w:t>
            </w:r>
          </w:p>
        </w:tc>
        <w:tc>
          <w:tcPr>
            <w:tcW w:w="1220" w:type="dxa"/>
            <w:tcBorders>
              <w:top w:val="nil"/>
              <w:left w:val="nil"/>
              <w:bottom w:val="nil"/>
              <w:right w:val="nil"/>
            </w:tcBorders>
          </w:tcPr>
          <w:p w14:paraId="47BF1AA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096F738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13AF041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0.055</w:t>
            </w:r>
          </w:p>
        </w:tc>
        <w:tc>
          <w:tcPr>
            <w:tcW w:w="1373" w:type="dxa"/>
            <w:tcBorders>
              <w:top w:val="nil"/>
              <w:left w:val="nil"/>
              <w:bottom w:val="nil"/>
              <w:right w:val="nil"/>
            </w:tcBorders>
          </w:tcPr>
          <w:p w14:paraId="3C3CB33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0.069</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7FB4C6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0.081</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5524CF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r w:rsidRPr="00BA0E8D">
              <w:rPr>
                <w:rFonts w:ascii="Times New Roman" w:hAnsi="Times New Roman"/>
                <w:sz w:val="20"/>
                <w:szCs w:val="20"/>
                <w:vertAlign w:val="superscript"/>
              </w:rPr>
              <w:t>*</w:t>
            </w:r>
          </w:p>
        </w:tc>
      </w:tr>
      <w:tr w:rsidR="00216743" w:rsidRPr="00BA0E8D" w14:paraId="77536E28" w14:textId="77777777" w:rsidTr="00894076">
        <w:trPr>
          <w:trHeight w:val="265"/>
        </w:trPr>
        <w:tc>
          <w:tcPr>
            <w:tcW w:w="2290" w:type="dxa"/>
            <w:tcBorders>
              <w:top w:val="nil"/>
              <w:left w:val="nil"/>
              <w:bottom w:val="nil"/>
              <w:right w:val="nil"/>
            </w:tcBorders>
          </w:tcPr>
          <w:p w14:paraId="13CFCAA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259F647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p>
        </w:tc>
        <w:tc>
          <w:tcPr>
            <w:tcW w:w="1373" w:type="dxa"/>
            <w:tcBorders>
              <w:top w:val="nil"/>
              <w:left w:val="nil"/>
              <w:bottom w:val="nil"/>
              <w:right w:val="nil"/>
            </w:tcBorders>
          </w:tcPr>
          <w:p w14:paraId="6EDEA0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p>
        </w:tc>
        <w:tc>
          <w:tcPr>
            <w:tcW w:w="1372" w:type="dxa"/>
            <w:tcBorders>
              <w:top w:val="nil"/>
              <w:left w:val="nil"/>
              <w:bottom w:val="nil"/>
              <w:right w:val="nil"/>
            </w:tcBorders>
          </w:tcPr>
          <w:p w14:paraId="6DCAB30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220" w:type="dxa"/>
            <w:tcBorders>
              <w:top w:val="nil"/>
              <w:left w:val="nil"/>
              <w:bottom w:val="nil"/>
              <w:right w:val="nil"/>
            </w:tcBorders>
          </w:tcPr>
          <w:p w14:paraId="1443115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3" w:type="dxa"/>
            <w:tcBorders>
              <w:top w:val="nil"/>
              <w:left w:val="nil"/>
              <w:bottom w:val="nil"/>
              <w:right w:val="nil"/>
            </w:tcBorders>
          </w:tcPr>
          <w:p w14:paraId="6BFD5C4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373" w:type="dxa"/>
            <w:tcBorders>
              <w:top w:val="nil"/>
              <w:left w:val="nil"/>
              <w:bottom w:val="nil"/>
              <w:right w:val="nil"/>
            </w:tcBorders>
          </w:tcPr>
          <w:p w14:paraId="71C9B4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p>
        </w:tc>
        <w:tc>
          <w:tcPr>
            <w:tcW w:w="1373" w:type="dxa"/>
            <w:tcBorders>
              <w:top w:val="nil"/>
              <w:left w:val="nil"/>
              <w:bottom w:val="nil"/>
              <w:right w:val="nil"/>
            </w:tcBorders>
          </w:tcPr>
          <w:p w14:paraId="621339E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c>
          <w:tcPr>
            <w:tcW w:w="1372" w:type="dxa"/>
            <w:tcBorders>
              <w:top w:val="nil"/>
              <w:left w:val="nil"/>
              <w:bottom w:val="nil"/>
              <w:right w:val="nil"/>
            </w:tcBorders>
          </w:tcPr>
          <w:p w14:paraId="16A06A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p>
        </w:tc>
        <w:tc>
          <w:tcPr>
            <w:tcW w:w="1155" w:type="dxa"/>
            <w:tcBorders>
              <w:top w:val="nil"/>
              <w:left w:val="nil"/>
              <w:bottom w:val="nil"/>
              <w:right w:val="nil"/>
            </w:tcBorders>
          </w:tcPr>
          <w:p w14:paraId="232FAED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r>
      <w:tr w:rsidR="00216743" w:rsidRPr="00BA0E8D" w14:paraId="7CFACC52" w14:textId="77777777" w:rsidTr="00894076">
        <w:trPr>
          <w:trHeight w:val="265"/>
        </w:trPr>
        <w:tc>
          <w:tcPr>
            <w:tcW w:w="2290" w:type="dxa"/>
            <w:tcBorders>
              <w:top w:val="nil"/>
              <w:left w:val="nil"/>
              <w:bottom w:val="nil"/>
              <w:right w:val="nil"/>
            </w:tcBorders>
          </w:tcPr>
          <w:p w14:paraId="041A9EE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Lending</w:t>
            </w:r>
          </w:p>
        </w:tc>
        <w:tc>
          <w:tcPr>
            <w:tcW w:w="1184" w:type="dxa"/>
            <w:tcBorders>
              <w:top w:val="nil"/>
              <w:left w:val="nil"/>
              <w:bottom w:val="nil"/>
              <w:right w:val="nil"/>
            </w:tcBorders>
          </w:tcPr>
          <w:p w14:paraId="0C4FCA2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6C0B351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-0.052</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0501E93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-0.052</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355D901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616EA94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6D604B6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223A778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380760B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0E15FF9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r w:rsidRPr="00BA0E8D">
              <w:rPr>
                <w:rFonts w:ascii="Times New Roman" w:hAnsi="Times New Roman"/>
                <w:sz w:val="20"/>
                <w:szCs w:val="20"/>
                <w:vertAlign w:val="superscript"/>
              </w:rPr>
              <w:t>***</w:t>
            </w:r>
          </w:p>
        </w:tc>
      </w:tr>
      <w:tr w:rsidR="00216743" w:rsidRPr="00BA0E8D" w14:paraId="1EF4BD87" w14:textId="77777777" w:rsidTr="00894076">
        <w:trPr>
          <w:trHeight w:val="249"/>
        </w:trPr>
        <w:tc>
          <w:tcPr>
            <w:tcW w:w="2290" w:type="dxa"/>
            <w:tcBorders>
              <w:top w:val="nil"/>
              <w:left w:val="nil"/>
              <w:bottom w:val="nil"/>
              <w:right w:val="nil"/>
            </w:tcBorders>
          </w:tcPr>
          <w:p w14:paraId="3C7D53C9"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2F04125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3" w:type="dxa"/>
            <w:tcBorders>
              <w:top w:val="nil"/>
              <w:left w:val="nil"/>
              <w:bottom w:val="nil"/>
              <w:right w:val="nil"/>
            </w:tcBorders>
          </w:tcPr>
          <w:p w14:paraId="4A41A3D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2" w:type="dxa"/>
            <w:tcBorders>
              <w:top w:val="nil"/>
              <w:left w:val="nil"/>
              <w:bottom w:val="nil"/>
              <w:right w:val="nil"/>
            </w:tcBorders>
          </w:tcPr>
          <w:p w14:paraId="5338884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220" w:type="dxa"/>
            <w:tcBorders>
              <w:top w:val="nil"/>
              <w:left w:val="nil"/>
              <w:bottom w:val="nil"/>
              <w:right w:val="nil"/>
            </w:tcBorders>
          </w:tcPr>
          <w:p w14:paraId="3AD1566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3" w:type="dxa"/>
            <w:tcBorders>
              <w:top w:val="nil"/>
              <w:left w:val="nil"/>
              <w:bottom w:val="nil"/>
              <w:right w:val="nil"/>
            </w:tcBorders>
          </w:tcPr>
          <w:p w14:paraId="0BEC66E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3" w:type="dxa"/>
            <w:tcBorders>
              <w:top w:val="nil"/>
              <w:left w:val="nil"/>
              <w:bottom w:val="nil"/>
              <w:right w:val="nil"/>
            </w:tcBorders>
          </w:tcPr>
          <w:p w14:paraId="0733F88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3" w:type="dxa"/>
            <w:tcBorders>
              <w:top w:val="nil"/>
              <w:left w:val="nil"/>
              <w:bottom w:val="nil"/>
              <w:right w:val="nil"/>
            </w:tcBorders>
          </w:tcPr>
          <w:p w14:paraId="6FD1C8E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2" w:type="dxa"/>
            <w:tcBorders>
              <w:top w:val="nil"/>
              <w:left w:val="nil"/>
              <w:bottom w:val="nil"/>
              <w:right w:val="nil"/>
            </w:tcBorders>
          </w:tcPr>
          <w:p w14:paraId="5E16184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155" w:type="dxa"/>
            <w:tcBorders>
              <w:top w:val="nil"/>
              <w:left w:val="nil"/>
              <w:bottom w:val="nil"/>
              <w:right w:val="nil"/>
            </w:tcBorders>
          </w:tcPr>
          <w:p w14:paraId="10AEDA2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r>
      <w:tr w:rsidR="00216743" w:rsidRPr="00BA0E8D" w14:paraId="4953BA70" w14:textId="77777777" w:rsidTr="00894076">
        <w:trPr>
          <w:trHeight w:val="249"/>
        </w:trPr>
        <w:tc>
          <w:tcPr>
            <w:tcW w:w="2290" w:type="dxa"/>
            <w:tcBorders>
              <w:top w:val="nil"/>
              <w:left w:val="nil"/>
              <w:bottom w:val="nil"/>
              <w:right w:val="nil"/>
            </w:tcBorders>
          </w:tcPr>
          <w:p w14:paraId="663DAEED"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Deposits</w:t>
            </w:r>
          </w:p>
        </w:tc>
        <w:tc>
          <w:tcPr>
            <w:tcW w:w="1184" w:type="dxa"/>
            <w:tcBorders>
              <w:top w:val="nil"/>
              <w:left w:val="nil"/>
              <w:bottom w:val="nil"/>
              <w:right w:val="nil"/>
            </w:tcBorders>
          </w:tcPr>
          <w:p w14:paraId="676CB3B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5036F90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67FC45F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220" w:type="dxa"/>
            <w:tcBorders>
              <w:top w:val="nil"/>
              <w:left w:val="nil"/>
              <w:bottom w:val="nil"/>
              <w:right w:val="nil"/>
            </w:tcBorders>
          </w:tcPr>
          <w:p w14:paraId="5414754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2FE35A1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003FA8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73AEBC2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2" w:type="dxa"/>
            <w:tcBorders>
              <w:top w:val="nil"/>
              <w:left w:val="nil"/>
              <w:bottom w:val="nil"/>
              <w:right w:val="nil"/>
            </w:tcBorders>
          </w:tcPr>
          <w:p w14:paraId="1175C77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6E72E8A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r>
      <w:tr w:rsidR="00216743" w:rsidRPr="00BA0E8D" w14:paraId="767E073B" w14:textId="77777777" w:rsidTr="00894076">
        <w:trPr>
          <w:trHeight w:val="265"/>
        </w:trPr>
        <w:tc>
          <w:tcPr>
            <w:tcW w:w="2290" w:type="dxa"/>
            <w:tcBorders>
              <w:top w:val="nil"/>
              <w:left w:val="nil"/>
              <w:bottom w:val="nil"/>
              <w:right w:val="nil"/>
            </w:tcBorders>
          </w:tcPr>
          <w:p w14:paraId="2C24330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03C6734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373" w:type="dxa"/>
            <w:tcBorders>
              <w:top w:val="nil"/>
              <w:left w:val="nil"/>
              <w:bottom w:val="nil"/>
              <w:right w:val="nil"/>
            </w:tcBorders>
          </w:tcPr>
          <w:p w14:paraId="6F42300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372" w:type="dxa"/>
            <w:tcBorders>
              <w:top w:val="nil"/>
              <w:left w:val="nil"/>
              <w:bottom w:val="nil"/>
              <w:right w:val="nil"/>
            </w:tcBorders>
          </w:tcPr>
          <w:p w14:paraId="593A762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220" w:type="dxa"/>
            <w:tcBorders>
              <w:top w:val="nil"/>
              <w:left w:val="nil"/>
              <w:bottom w:val="nil"/>
              <w:right w:val="nil"/>
            </w:tcBorders>
          </w:tcPr>
          <w:p w14:paraId="32D4AE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3" w:type="dxa"/>
            <w:tcBorders>
              <w:top w:val="nil"/>
              <w:left w:val="nil"/>
              <w:bottom w:val="nil"/>
              <w:right w:val="nil"/>
            </w:tcBorders>
          </w:tcPr>
          <w:p w14:paraId="24387FD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3" w:type="dxa"/>
            <w:tcBorders>
              <w:top w:val="nil"/>
              <w:left w:val="nil"/>
              <w:bottom w:val="nil"/>
              <w:right w:val="nil"/>
            </w:tcBorders>
          </w:tcPr>
          <w:p w14:paraId="268DD65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373" w:type="dxa"/>
            <w:tcBorders>
              <w:top w:val="nil"/>
              <w:left w:val="nil"/>
              <w:bottom w:val="nil"/>
              <w:right w:val="nil"/>
            </w:tcBorders>
          </w:tcPr>
          <w:p w14:paraId="2A64A30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372" w:type="dxa"/>
            <w:tcBorders>
              <w:top w:val="nil"/>
              <w:left w:val="nil"/>
              <w:bottom w:val="nil"/>
              <w:right w:val="nil"/>
            </w:tcBorders>
          </w:tcPr>
          <w:p w14:paraId="71CEC15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155" w:type="dxa"/>
            <w:tcBorders>
              <w:top w:val="nil"/>
              <w:left w:val="nil"/>
              <w:bottom w:val="nil"/>
              <w:right w:val="nil"/>
            </w:tcBorders>
          </w:tcPr>
          <w:p w14:paraId="23DD291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r>
      <w:tr w:rsidR="00216743" w:rsidRPr="00BA0E8D" w14:paraId="7C16FA12" w14:textId="77777777" w:rsidTr="00894076">
        <w:trPr>
          <w:trHeight w:val="265"/>
        </w:trPr>
        <w:tc>
          <w:tcPr>
            <w:tcW w:w="2290" w:type="dxa"/>
            <w:tcBorders>
              <w:top w:val="nil"/>
              <w:left w:val="nil"/>
              <w:bottom w:val="nil"/>
              <w:right w:val="nil"/>
            </w:tcBorders>
          </w:tcPr>
          <w:p w14:paraId="3023D9E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Equity</w:t>
            </w:r>
          </w:p>
        </w:tc>
        <w:tc>
          <w:tcPr>
            <w:tcW w:w="1184" w:type="dxa"/>
            <w:tcBorders>
              <w:top w:val="nil"/>
              <w:left w:val="nil"/>
              <w:bottom w:val="nil"/>
              <w:right w:val="nil"/>
            </w:tcBorders>
          </w:tcPr>
          <w:p w14:paraId="6A6C617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0.007</w:t>
            </w:r>
          </w:p>
        </w:tc>
        <w:tc>
          <w:tcPr>
            <w:tcW w:w="1373" w:type="dxa"/>
            <w:tcBorders>
              <w:top w:val="nil"/>
              <w:left w:val="nil"/>
              <w:bottom w:val="nil"/>
              <w:right w:val="nil"/>
            </w:tcBorders>
          </w:tcPr>
          <w:p w14:paraId="5AE4028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0.006</w:t>
            </w:r>
          </w:p>
        </w:tc>
        <w:tc>
          <w:tcPr>
            <w:tcW w:w="1372" w:type="dxa"/>
            <w:tcBorders>
              <w:top w:val="nil"/>
              <w:left w:val="nil"/>
              <w:bottom w:val="nil"/>
              <w:right w:val="nil"/>
            </w:tcBorders>
          </w:tcPr>
          <w:p w14:paraId="7842996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0.007</w:t>
            </w:r>
          </w:p>
        </w:tc>
        <w:tc>
          <w:tcPr>
            <w:tcW w:w="1220" w:type="dxa"/>
            <w:tcBorders>
              <w:top w:val="nil"/>
              <w:left w:val="nil"/>
              <w:bottom w:val="nil"/>
              <w:right w:val="nil"/>
            </w:tcBorders>
          </w:tcPr>
          <w:p w14:paraId="2E0448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73" w:type="dxa"/>
            <w:tcBorders>
              <w:top w:val="nil"/>
              <w:left w:val="nil"/>
              <w:bottom w:val="nil"/>
              <w:right w:val="nil"/>
            </w:tcBorders>
          </w:tcPr>
          <w:p w14:paraId="7552E4D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73" w:type="dxa"/>
            <w:tcBorders>
              <w:top w:val="nil"/>
              <w:left w:val="nil"/>
              <w:bottom w:val="nil"/>
              <w:right w:val="nil"/>
            </w:tcBorders>
          </w:tcPr>
          <w:p w14:paraId="082289F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0.007</w:t>
            </w:r>
          </w:p>
        </w:tc>
        <w:tc>
          <w:tcPr>
            <w:tcW w:w="1373" w:type="dxa"/>
            <w:tcBorders>
              <w:top w:val="nil"/>
              <w:left w:val="nil"/>
              <w:bottom w:val="nil"/>
              <w:right w:val="nil"/>
            </w:tcBorders>
          </w:tcPr>
          <w:p w14:paraId="30138B7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372" w:type="dxa"/>
            <w:tcBorders>
              <w:top w:val="nil"/>
              <w:left w:val="nil"/>
              <w:bottom w:val="nil"/>
              <w:right w:val="nil"/>
            </w:tcBorders>
          </w:tcPr>
          <w:p w14:paraId="78DB348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-0.006</w:t>
            </w:r>
          </w:p>
        </w:tc>
        <w:tc>
          <w:tcPr>
            <w:tcW w:w="1155" w:type="dxa"/>
            <w:tcBorders>
              <w:top w:val="nil"/>
              <w:left w:val="nil"/>
              <w:bottom w:val="nil"/>
              <w:right w:val="nil"/>
            </w:tcBorders>
          </w:tcPr>
          <w:p w14:paraId="0C7B953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-0.002</w:t>
            </w:r>
          </w:p>
        </w:tc>
      </w:tr>
      <w:tr w:rsidR="00216743" w:rsidRPr="00BA0E8D" w14:paraId="3BD4BC0B" w14:textId="77777777" w:rsidTr="00894076">
        <w:trPr>
          <w:trHeight w:val="249"/>
        </w:trPr>
        <w:tc>
          <w:tcPr>
            <w:tcW w:w="2290" w:type="dxa"/>
            <w:tcBorders>
              <w:top w:val="nil"/>
              <w:left w:val="nil"/>
              <w:bottom w:val="nil"/>
              <w:right w:val="nil"/>
            </w:tcBorders>
          </w:tcPr>
          <w:p w14:paraId="1884881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2F6698E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3" w:type="dxa"/>
            <w:tcBorders>
              <w:top w:val="nil"/>
              <w:left w:val="nil"/>
              <w:bottom w:val="nil"/>
              <w:right w:val="nil"/>
            </w:tcBorders>
          </w:tcPr>
          <w:p w14:paraId="0E03A92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2" w:type="dxa"/>
            <w:tcBorders>
              <w:top w:val="nil"/>
              <w:left w:val="nil"/>
              <w:bottom w:val="nil"/>
              <w:right w:val="nil"/>
            </w:tcBorders>
          </w:tcPr>
          <w:p w14:paraId="3D7C5C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220" w:type="dxa"/>
            <w:tcBorders>
              <w:top w:val="nil"/>
              <w:left w:val="nil"/>
              <w:bottom w:val="nil"/>
              <w:right w:val="nil"/>
            </w:tcBorders>
          </w:tcPr>
          <w:p w14:paraId="66F2FB6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3" w:type="dxa"/>
            <w:tcBorders>
              <w:top w:val="nil"/>
              <w:left w:val="nil"/>
              <w:bottom w:val="nil"/>
              <w:right w:val="nil"/>
            </w:tcBorders>
          </w:tcPr>
          <w:p w14:paraId="12A423B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373" w:type="dxa"/>
            <w:tcBorders>
              <w:top w:val="nil"/>
              <w:left w:val="nil"/>
              <w:bottom w:val="nil"/>
              <w:right w:val="nil"/>
            </w:tcBorders>
          </w:tcPr>
          <w:p w14:paraId="3DFA25C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3" w:type="dxa"/>
            <w:tcBorders>
              <w:top w:val="nil"/>
              <w:left w:val="nil"/>
              <w:bottom w:val="nil"/>
              <w:right w:val="nil"/>
            </w:tcBorders>
          </w:tcPr>
          <w:p w14:paraId="4087188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2" w:type="dxa"/>
            <w:tcBorders>
              <w:top w:val="nil"/>
              <w:left w:val="nil"/>
              <w:bottom w:val="nil"/>
              <w:right w:val="nil"/>
            </w:tcBorders>
          </w:tcPr>
          <w:p w14:paraId="19C4F4D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155" w:type="dxa"/>
            <w:tcBorders>
              <w:top w:val="nil"/>
              <w:left w:val="nil"/>
              <w:bottom w:val="nil"/>
              <w:right w:val="nil"/>
            </w:tcBorders>
          </w:tcPr>
          <w:p w14:paraId="33F0E6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r>
      <w:tr w:rsidR="00216743" w:rsidRPr="00BA0E8D" w14:paraId="5E719FDE" w14:textId="77777777" w:rsidTr="00894076">
        <w:trPr>
          <w:trHeight w:val="249"/>
        </w:trPr>
        <w:tc>
          <w:tcPr>
            <w:tcW w:w="2290" w:type="dxa"/>
            <w:tcBorders>
              <w:top w:val="nil"/>
              <w:left w:val="nil"/>
              <w:bottom w:val="nil"/>
              <w:right w:val="nil"/>
            </w:tcBorders>
          </w:tcPr>
          <w:p w14:paraId="0BFB97AB"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Fees</w:t>
            </w:r>
          </w:p>
        </w:tc>
        <w:tc>
          <w:tcPr>
            <w:tcW w:w="1184" w:type="dxa"/>
            <w:tcBorders>
              <w:top w:val="nil"/>
              <w:left w:val="nil"/>
              <w:bottom w:val="nil"/>
              <w:right w:val="nil"/>
            </w:tcBorders>
          </w:tcPr>
          <w:p w14:paraId="4DF643F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7B99B06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5210FAD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7073F68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2BC56C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FE0C4E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7CEF315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7F453C8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1E31255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r w:rsidRPr="00BA0E8D">
              <w:rPr>
                <w:rFonts w:ascii="Times New Roman" w:hAnsi="Times New Roman"/>
                <w:sz w:val="20"/>
                <w:szCs w:val="20"/>
                <w:vertAlign w:val="superscript"/>
              </w:rPr>
              <w:t>***</w:t>
            </w:r>
          </w:p>
        </w:tc>
      </w:tr>
      <w:tr w:rsidR="00216743" w:rsidRPr="00BA0E8D" w14:paraId="7887B10E" w14:textId="77777777" w:rsidTr="00894076">
        <w:trPr>
          <w:trHeight w:val="265"/>
        </w:trPr>
        <w:tc>
          <w:tcPr>
            <w:tcW w:w="2290" w:type="dxa"/>
            <w:tcBorders>
              <w:top w:val="nil"/>
              <w:left w:val="nil"/>
              <w:bottom w:val="nil"/>
              <w:right w:val="nil"/>
            </w:tcBorders>
          </w:tcPr>
          <w:p w14:paraId="480EE2C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7E1E27E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3" w:type="dxa"/>
            <w:tcBorders>
              <w:top w:val="nil"/>
              <w:left w:val="nil"/>
              <w:bottom w:val="nil"/>
              <w:right w:val="nil"/>
            </w:tcBorders>
          </w:tcPr>
          <w:p w14:paraId="65ECE92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2" w:type="dxa"/>
            <w:tcBorders>
              <w:top w:val="nil"/>
              <w:left w:val="nil"/>
              <w:bottom w:val="nil"/>
              <w:right w:val="nil"/>
            </w:tcBorders>
          </w:tcPr>
          <w:p w14:paraId="4CB99EA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220" w:type="dxa"/>
            <w:tcBorders>
              <w:top w:val="nil"/>
              <w:left w:val="nil"/>
              <w:bottom w:val="nil"/>
              <w:right w:val="nil"/>
            </w:tcBorders>
          </w:tcPr>
          <w:p w14:paraId="0807BDC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3" w:type="dxa"/>
            <w:tcBorders>
              <w:top w:val="nil"/>
              <w:left w:val="nil"/>
              <w:bottom w:val="nil"/>
              <w:right w:val="nil"/>
            </w:tcBorders>
          </w:tcPr>
          <w:p w14:paraId="2C07C6E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3" w:type="dxa"/>
            <w:tcBorders>
              <w:top w:val="nil"/>
              <w:left w:val="nil"/>
              <w:bottom w:val="nil"/>
              <w:right w:val="nil"/>
            </w:tcBorders>
          </w:tcPr>
          <w:p w14:paraId="4167007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373" w:type="dxa"/>
            <w:tcBorders>
              <w:top w:val="nil"/>
              <w:left w:val="nil"/>
              <w:bottom w:val="nil"/>
              <w:right w:val="nil"/>
            </w:tcBorders>
          </w:tcPr>
          <w:p w14:paraId="278A6A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372" w:type="dxa"/>
            <w:tcBorders>
              <w:top w:val="nil"/>
              <w:left w:val="nil"/>
              <w:bottom w:val="nil"/>
              <w:right w:val="nil"/>
            </w:tcBorders>
          </w:tcPr>
          <w:p w14:paraId="0414D46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155" w:type="dxa"/>
            <w:tcBorders>
              <w:top w:val="nil"/>
              <w:left w:val="nil"/>
              <w:bottom w:val="nil"/>
              <w:right w:val="nil"/>
            </w:tcBorders>
          </w:tcPr>
          <w:p w14:paraId="2E25BB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r>
      <w:tr w:rsidR="00216743" w:rsidRPr="00BA0E8D" w14:paraId="16AEEF26" w14:textId="77777777" w:rsidTr="00894076">
        <w:trPr>
          <w:trHeight w:val="265"/>
        </w:trPr>
        <w:tc>
          <w:tcPr>
            <w:tcW w:w="2290" w:type="dxa"/>
            <w:tcBorders>
              <w:top w:val="nil"/>
              <w:left w:val="nil"/>
              <w:bottom w:val="nil"/>
              <w:right w:val="nil"/>
            </w:tcBorders>
          </w:tcPr>
          <w:p w14:paraId="7868C719"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Inefficiency</w:t>
            </w:r>
          </w:p>
        </w:tc>
        <w:tc>
          <w:tcPr>
            <w:tcW w:w="1184" w:type="dxa"/>
            <w:tcBorders>
              <w:top w:val="nil"/>
              <w:left w:val="nil"/>
              <w:bottom w:val="nil"/>
              <w:right w:val="nil"/>
            </w:tcBorders>
          </w:tcPr>
          <w:p w14:paraId="66AAFFD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926D62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0.722</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71F3066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0.718</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1348EA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0.708</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6F66231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0.708</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3C5CA27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0.730</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8D16DC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0.722</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256DF84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0.702</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06DAE5C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0.727</w:t>
            </w:r>
            <w:r w:rsidRPr="00BA0E8D">
              <w:rPr>
                <w:rFonts w:ascii="Times New Roman" w:hAnsi="Times New Roman"/>
                <w:sz w:val="20"/>
                <w:szCs w:val="20"/>
                <w:vertAlign w:val="superscript"/>
              </w:rPr>
              <w:t>***</w:t>
            </w:r>
          </w:p>
        </w:tc>
      </w:tr>
      <w:tr w:rsidR="00216743" w:rsidRPr="00BA0E8D" w14:paraId="0207BD84" w14:textId="77777777" w:rsidTr="00894076">
        <w:trPr>
          <w:trHeight w:val="249"/>
        </w:trPr>
        <w:tc>
          <w:tcPr>
            <w:tcW w:w="2290" w:type="dxa"/>
            <w:tcBorders>
              <w:top w:val="nil"/>
              <w:left w:val="nil"/>
              <w:bottom w:val="nil"/>
              <w:right w:val="nil"/>
            </w:tcBorders>
          </w:tcPr>
          <w:p w14:paraId="50193A14"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72D5F0B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373" w:type="dxa"/>
            <w:tcBorders>
              <w:top w:val="nil"/>
              <w:left w:val="nil"/>
              <w:bottom w:val="nil"/>
              <w:right w:val="nil"/>
            </w:tcBorders>
          </w:tcPr>
          <w:p w14:paraId="1480D2C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372" w:type="dxa"/>
            <w:tcBorders>
              <w:top w:val="nil"/>
              <w:left w:val="nil"/>
              <w:bottom w:val="nil"/>
              <w:right w:val="nil"/>
            </w:tcBorders>
          </w:tcPr>
          <w:p w14:paraId="2D2319F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220" w:type="dxa"/>
            <w:tcBorders>
              <w:top w:val="nil"/>
              <w:left w:val="nil"/>
              <w:bottom w:val="nil"/>
              <w:right w:val="nil"/>
            </w:tcBorders>
          </w:tcPr>
          <w:p w14:paraId="36A74A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3" w:type="dxa"/>
            <w:tcBorders>
              <w:top w:val="nil"/>
              <w:left w:val="nil"/>
              <w:bottom w:val="nil"/>
              <w:right w:val="nil"/>
            </w:tcBorders>
          </w:tcPr>
          <w:p w14:paraId="4AD69F4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3" w:type="dxa"/>
            <w:tcBorders>
              <w:top w:val="nil"/>
              <w:left w:val="nil"/>
              <w:bottom w:val="nil"/>
              <w:right w:val="nil"/>
            </w:tcBorders>
          </w:tcPr>
          <w:p w14:paraId="26AA5B3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373" w:type="dxa"/>
            <w:tcBorders>
              <w:top w:val="nil"/>
              <w:left w:val="nil"/>
              <w:bottom w:val="nil"/>
              <w:right w:val="nil"/>
            </w:tcBorders>
          </w:tcPr>
          <w:p w14:paraId="707910D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372" w:type="dxa"/>
            <w:tcBorders>
              <w:top w:val="nil"/>
              <w:left w:val="nil"/>
              <w:bottom w:val="nil"/>
              <w:right w:val="nil"/>
            </w:tcBorders>
          </w:tcPr>
          <w:p w14:paraId="6F87B7C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155" w:type="dxa"/>
            <w:tcBorders>
              <w:top w:val="nil"/>
              <w:left w:val="nil"/>
              <w:bottom w:val="nil"/>
              <w:right w:val="nil"/>
            </w:tcBorders>
          </w:tcPr>
          <w:p w14:paraId="44A17B6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r>
      <w:tr w:rsidR="00216743" w:rsidRPr="00BA0E8D" w14:paraId="2498D440" w14:textId="77777777" w:rsidTr="00894076">
        <w:trPr>
          <w:trHeight w:val="249"/>
        </w:trPr>
        <w:tc>
          <w:tcPr>
            <w:tcW w:w="2290" w:type="dxa"/>
            <w:tcBorders>
              <w:top w:val="nil"/>
              <w:left w:val="nil"/>
              <w:bottom w:val="nil"/>
              <w:right w:val="nil"/>
            </w:tcBorders>
          </w:tcPr>
          <w:p w14:paraId="78A8F337"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GDP Growth</w:t>
            </w:r>
          </w:p>
        </w:tc>
        <w:tc>
          <w:tcPr>
            <w:tcW w:w="1184" w:type="dxa"/>
            <w:tcBorders>
              <w:top w:val="nil"/>
              <w:left w:val="nil"/>
              <w:bottom w:val="nil"/>
              <w:right w:val="nil"/>
            </w:tcBorders>
          </w:tcPr>
          <w:p w14:paraId="04877BA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p>
        </w:tc>
        <w:tc>
          <w:tcPr>
            <w:tcW w:w="1373" w:type="dxa"/>
            <w:tcBorders>
              <w:top w:val="nil"/>
              <w:left w:val="nil"/>
              <w:bottom w:val="nil"/>
              <w:right w:val="nil"/>
            </w:tcBorders>
          </w:tcPr>
          <w:p w14:paraId="5CA01E2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p>
        </w:tc>
        <w:tc>
          <w:tcPr>
            <w:tcW w:w="1372" w:type="dxa"/>
            <w:tcBorders>
              <w:top w:val="nil"/>
              <w:left w:val="nil"/>
              <w:bottom w:val="nil"/>
              <w:right w:val="nil"/>
            </w:tcBorders>
          </w:tcPr>
          <w:p w14:paraId="05B249A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0.031</w:t>
            </w:r>
          </w:p>
        </w:tc>
        <w:tc>
          <w:tcPr>
            <w:tcW w:w="1220" w:type="dxa"/>
            <w:tcBorders>
              <w:top w:val="nil"/>
              <w:left w:val="nil"/>
              <w:bottom w:val="nil"/>
              <w:right w:val="nil"/>
            </w:tcBorders>
          </w:tcPr>
          <w:p w14:paraId="23C0C3C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35231B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1ED7946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0.069</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4F64E63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0.098</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6CE0D20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07E62EA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0.083</w:t>
            </w:r>
            <w:r w:rsidRPr="00BA0E8D">
              <w:rPr>
                <w:rFonts w:ascii="Times New Roman" w:hAnsi="Times New Roman"/>
                <w:sz w:val="20"/>
                <w:szCs w:val="20"/>
                <w:vertAlign w:val="superscript"/>
              </w:rPr>
              <w:t>**</w:t>
            </w:r>
          </w:p>
        </w:tc>
      </w:tr>
      <w:tr w:rsidR="00216743" w:rsidRPr="00BA0E8D" w14:paraId="5F6B115F" w14:textId="77777777" w:rsidTr="00894076">
        <w:trPr>
          <w:trHeight w:val="265"/>
        </w:trPr>
        <w:tc>
          <w:tcPr>
            <w:tcW w:w="2290" w:type="dxa"/>
            <w:tcBorders>
              <w:top w:val="nil"/>
              <w:left w:val="nil"/>
              <w:bottom w:val="nil"/>
              <w:right w:val="nil"/>
            </w:tcBorders>
          </w:tcPr>
          <w:p w14:paraId="16136056"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006388D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(0.033)</w:t>
            </w:r>
          </w:p>
        </w:tc>
        <w:tc>
          <w:tcPr>
            <w:tcW w:w="1373" w:type="dxa"/>
            <w:tcBorders>
              <w:top w:val="nil"/>
              <w:left w:val="nil"/>
              <w:bottom w:val="nil"/>
              <w:right w:val="nil"/>
            </w:tcBorders>
          </w:tcPr>
          <w:p w14:paraId="0585E33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(0.034)</w:t>
            </w:r>
          </w:p>
        </w:tc>
        <w:tc>
          <w:tcPr>
            <w:tcW w:w="1372" w:type="dxa"/>
            <w:tcBorders>
              <w:top w:val="nil"/>
              <w:left w:val="nil"/>
              <w:bottom w:val="nil"/>
              <w:right w:val="nil"/>
            </w:tcBorders>
          </w:tcPr>
          <w:p w14:paraId="7C6AB4E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(0.033)</w:t>
            </w:r>
          </w:p>
        </w:tc>
        <w:tc>
          <w:tcPr>
            <w:tcW w:w="1220" w:type="dxa"/>
            <w:tcBorders>
              <w:top w:val="nil"/>
              <w:left w:val="nil"/>
              <w:bottom w:val="nil"/>
              <w:right w:val="nil"/>
            </w:tcBorders>
          </w:tcPr>
          <w:p w14:paraId="24AA2CA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73" w:type="dxa"/>
            <w:tcBorders>
              <w:top w:val="nil"/>
              <w:left w:val="nil"/>
              <w:bottom w:val="nil"/>
              <w:right w:val="nil"/>
            </w:tcBorders>
          </w:tcPr>
          <w:p w14:paraId="2F7F37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373" w:type="dxa"/>
            <w:tcBorders>
              <w:top w:val="nil"/>
              <w:left w:val="nil"/>
              <w:bottom w:val="nil"/>
              <w:right w:val="nil"/>
            </w:tcBorders>
          </w:tcPr>
          <w:p w14:paraId="3E8195A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(0.034)</w:t>
            </w:r>
          </w:p>
        </w:tc>
        <w:tc>
          <w:tcPr>
            <w:tcW w:w="1373" w:type="dxa"/>
            <w:tcBorders>
              <w:top w:val="nil"/>
              <w:left w:val="nil"/>
              <w:bottom w:val="nil"/>
              <w:right w:val="nil"/>
            </w:tcBorders>
          </w:tcPr>
          <w:p w14:paraId="0C57D5B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372" w:type="dxa"/>
            <w:tcBorders>
              <w:top w:val="nil"/>
              <w:left w:val="nil"/>
              <w:bottom w:val="nil"/>
              <w:right w:val="nil"/>
            </w:tcBorders>
          </w:tcPr>
          <w:p w14:paraId="20AE3BA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155" w:type="dxa"/>
            <w:tcBorders>
              <w:top w:val="nil"/>
              <w:left w:val="nil"/>
              <w:bottom w:val="nil"/>
              <w:right w:val="nil"/>
            </w:tcBorders>
          </w:tcPr>
          <w:p w14:paraId="5733204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r>
      <w:tr w:rsidR="00216743" w:rsidRPr="00BA0E8D" w14:paraId="73C8C663" w14:textId="77777777" w:rsidTr="00894076">
        <w:trPr>
          <w:trHeight w:val="265"/>
        </w:trPr>
        <w:tc>
          <w:tcPr>
            <w:tcW w:w="2290" w:type="dxa"/>
            <w:tcBorders>
              <w:top w:val="nil"/>
              <w:left w:val="nil"/>
              <w:bottom w:val="nil"/>
              <w:right w:val="nil"/>
            </w:tcBorders>
          </w:tcPr>
          <w:p w14:paraId="07CEE6F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Inflation</w:t>
            </w:r>
          </w:p>
        </w:tc>
        <w:tc>
          <w:tcPr>
            <w:tcW w:w="1184" w:type="dxa"/>
            <w:tcBorders>
              <w:top w:val="nil"/>
              <w:left w:val="nil"/>
              <w:bottom w:val="nil"/>
              <w:right w:val="nil"/>
            </w:tcBorders>
          </w:tcPr>
          <w:p w14:paraId="27806D2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0.096</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04E915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7CDAE09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0.098</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73E77E8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12EF35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7DEA0B5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16C1702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0.099</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15F9667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0.103</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1BDC76D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0.103</w:t>
            </w:r>
            <w:r w:rsidRPr="00BA0E8D">
              <w:rPr>
                <w:rFonts w:ascii="Times New Roman" w:hAnsi="Times New Roman"/>
                <w:sz w:val="20"/>
                <w:szCs w:val="20"/>
                <w:vertAlign w:val="superscript"/>
              </w:rPr>
              <w:t>***</w:t>
            </w:r>
          </w:p>
        </w:tc>
      </w:tr>
      <w:tr w:rsidR="00216743" w:rsidRPr="00BA0E8D" w14:paraId="5C35EDF6" w14:textId="77777777" w:rsidTr="00894076">
        <w:trPr>
          <w:trHeight w:val="249"/>
        </w:trPr>
        <w:tc>
          <w:tcPr>
            <w:tcW w:w="2290" w:type="dxa"/>
            <w:tcBorders>
              <w:top w:val="nil"/>
              <w:left w:val="nil"/>
              <w:bottom w:val="nil"/>
              <w:right w:val="nil"/>
            </w:tcBorders>
          </w:tcPr>
          <w:p w14:paraId="786FB674"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70B76E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3" w:type="dxa"/>
            <w:tcBorders>
              <w:top w:val="nil"/>
              <w:left w:val="nil"/>
              <w:bottom w:val="nil"/>
              <w:right w:val="nil"/>
            </w:tcBorders>
          </w:tcPr>
          <w:p w14:paraId="48289FB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2" w:type="dxa"/>
            <w:tcBorders>
              <w:top w:val="nil"/>
              <w:left w:val="nil"/>
              <w:bottom w:val="nil"/>
              <w:right w:val="nil"/>
            </w:tcBorders>
          </w:tcPr>
          <w:p w14:paraId="5984334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220" w:type="dxa"/>
            <w:tcBorders>
              <w:top w:val="nil"/>
              <w:left w:val="nil"/>
              <w:bottom w:val="nil"/>
              <w:right w:val="nil"/>
            </w:tcBorders>
          </w:tcPr>
          <w:p w14:paraId="3FB018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3" w:type="dxa"/>
            <w:tcBorders>
              <w:top w:val="nil"/>
              <w:left w:val="nil"/>
              <w:bottom w:val="nil"/>
              <w:right w:val="nil"/>
            </w:tcBorders>
          </w:tcPr>
          <w:p w14:paraId="61970B0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3" w:type="dxa"/>
            <w:tcBorders>
              <w:top w:val="nil"/>
              <w:left w:val="nil"/>
              <w:bottom w:val="nil"/>
              <w:right w:val="nil"/>
            </w:tcBorders>
          </w:tcPr>
          <w:p w14:paraId="7A8EEBB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373" w:type="dxa"/>
            <w:tcBorders>
              <w:top w:val="nil"/>
              <w:left w:val="nil"/>
              <w:bottom w:val="nil"/>
              <w:right w:val="nil"/>
            </w:tcBorders>
          </w:tcPr>
          <w:p w14:paraId="57F7074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p>
        </w:tc>
        <w:tc>
          <w:tcPr>
            <w:tcW w:w="1372" w:type="dxa"/>
            <w:tcBorders>
              <w:top w:val="nil"/>
              <w:left w:val="nil"/>
              <w:bottom w:val="nil"/>
              <w:right w:val="nil"/>
            </w:tcBorders>
          </w:tcPr>
          <w:p w14:paraId="3ADF299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155" w:type="dxa"/>
            <w:tcBorders>
              <w:top w:val="nil"/>
              <w:left w:val="nil"/>
              <w:bottom w:val="nil"/>
              <w:right w:val="nil"/>
            </w:tcBorders>
          </w:tcPr>
          <w:p w14:paraId="1E4BC79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r>
      <w:tr w:rsidR="00216743" w:rsidRPr="00BA0E8D" w14:paraId="6531EAE8" w14:textId="77777777" w:rsidTr="00894076">
        <w:trPr>
          <w:trHeight w:val="249"/>
        </w:trPr>
        <w:tc>
          <w:tcPr>
            <w:tcW w:w="2290" w:type="dxa"/>
            <w:tcBorders>
              <w:top w:val="nil"/>
              <w:left w:val="nil"/>
              <w:bottom w:val="nil"/>
              <w:right w:val="nil"/>
            </w:tcBorders>
          </w:tcPr>
          <w:p w14:paraId="3AD8D60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w:t>
            </w:r>
          </w:p>
        </w:tc>
        <w:tc>
          <w:tcPr>
            <w:tcW w:w="1184" w:type="dxa"/>
            <w:tcBorders>
              <w:top w:val="nil"/>
              <w:left w:val="nil"/>
              <w:bottom w:val="nil"/>
              <w:right w:val="nil"/>
            </w:tcBorders>
          </w:tcPr>
          <w:p w14:paraId="2B98DB9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-0.589</w:t>
            </w:r>
          </w:p>
        </w:tc>
        <w:tc>
          <w:tcPr>
            <w:tcW w:w="1373" w:type="dxa"/>
            <w:tcBorders>
              <w:top w:val="nil"/>
              <w:left w:val="nil"/>
              <w:bottom w:val="nil"/>
              <w:right w:val="nil"/>
            </w:tcBorders>
          </w:tcPr>
          <w:p w14:paraId="222BDC2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-0.726</w:t>
            </w:r>
          </w:p>
        </w:tc>
        <w:tc>
          <w:tcPr>
            <w:tcW w:w="1372" w:type="dxa"/>
            <w:tcBorders>
              <w:top w:val="nil"/>
              <w:left w:val="nil"/>
              <w:bottom w:val="nil"/>
              <w:right w:val="nil"/>
            </w:tcBorders>
          </w:tcPr>
          <w:p w14:paraId="07AACBB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-1.031</w:t>
            </w:r>
          </w:p>
        </w:tc>
        <w:tc>
          <w:tcPr>
            <w:tcW w:w="1220" w:type="dxa"/>
            <w:tcBorders>
              <w:top w:val="nil"/>
              <w:left w:val="nil"/>
              <w:bottom w:val="nil"/>
              <w:right w:val="nil"/>
            </w:tcBorders>
          </w:tcPr>
          <w:p w14:paraId="3E571B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-1.290</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2ECACC2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-1.312</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3506822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-1.180</w:t>
            </w:r>
          </w:p>
        </w:tc>
        <w:tc>
          <w:tcPr>
            <w:tcW w:w="1373" w:type="dxa"/>
            <w:tcBorders>
              <w:top w:val="nil"/>
              <w:left w:val="nil"/>
              <w:bottom w:val="nil"/>
              <w:right w:val="nil"/>
            </w:tcBorders>
          </w:tcPr>
          <w:p w14:paraId="55BCF74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-1.669</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4D672D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-2.077</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0A39C47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-1.425</w:t>
            </w:r>
            <w:r w:rsidRPr="00BA0E8D">
              <w:rPr>
                <w:rFonts w:ascii="Times New Roman" w:hAnsi="Times New Roman"/>
                <w:sz w:val="20"/>
                <w:szCs w:val="20"/>
                <w:vertAlign w:val="superscript"/>
              </w:rPr>
              <w:t>**</w:t>
            </w:r>
          </w:p>
        </w:tc>
      </w:tr>
      <w:tr w:rsidR="00216743" w:rsidRPr="00BA0E8D" w14:paraId="54808FFA" w14:textId="77777777" w:rsidTr="00894076">
        <w:trPr>
          <w:trHeight w:val="265"/>
        </w:trPr>
        <w:tc>
          <w:tcPr>
            <w:tcW w:w="2290" w:type="dxa"/>
            <w:tcBorders>
              <w:top w:val="nil"/>
              <w:left w:val="nil"/>
              <w:bottom w:val="nil"/>
              <w:right w:val="nil"/>
            </w:tcBorders>
          </w:tcPr>
          <w:p w14:paraId="470DA78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71E12A2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(0.723)</w:t>
            </w:r>
          </w:p>
        </w:tc>
        <w:tc>
          <w:tcPr>
            <w:tcW w:w="1373" w:type="dxa"/>
            <w:tcBorders>
              <w:top w:val="nil"/>
              <w:left w:val="nil"/>
              <w:bottom w:val="nil"/>
              <w:right w:val="nil"/>
            </w:tcBorders>
          </w:tcPr>
          <w:p w14:paraId="661A1B6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(0.767)</w:t>
            </w:r>
          </w:p>
        </w:tc>
        <w:tc>
          <w:tcPr>
            <w:tcW w:w="1372" w:type="dxa"/>
            <w:tcBorders>
              <w:top w:val="nil"/>
              <w:left w:val="nil"/>
              <w:bottom w:val="nil"/>
              <w:right w:val="nil"/>
            </w:tcBorders>
          </w:tcPr>
          <w:p w14:paraId="1299984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(0.722)</w:t>
            </w:r>
          </w:p>
        </w:tc>
        <w:tc>
          <w:tcPr>
            <w:tcW w:w="1220" w:type="dxa"/>
            <w:tcBorders>
              <w:top w:val="nil"/>
              <w:left w:val="nil"/>
              <w:bottom w:val="nil"/>
              <w:right w:val="nil"/>
            </w:tcBorders>
          </w:tcPr>
          <w:p w14:paraId="2973CA8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(0.713)</w:t>
            </w:r>
          </w:p>
        </w:tc>
        <w:tc>
          <w:tcPr>
            <w:tcW w:w="1373" w:type="dxa"/>
            <w:tcBorders>
              <w:top w:val="nil"/>
              <w:left w:val="nil"/>
              <w:bottom w:val="nil"/>
              <w:right w:val="nil"/>
            </w:tcBorders>
          </w:tcPr>
          <w:p w14:paraId="5A2DD57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(0.713)</w:t>
            </w:r>
          </w:p>
        </w:tc>
        <w:tc>
          <w:tcPr>
            <w:tcW w:w="1373" w:type="dxa"/>
            <w:tcBorders>
              <w:top w:val="nil"/>
              <w:left w:val="nil"/>
              <w:bottom w:val="nil"/>
              <w:right w:val="nil"/>
            </w:tcBorders>
          </w:tcPr>
          <w:p w14:paraId="2B622A9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(0.739)</w:t>
            </w:r>
          </w:p>
        </w:tc>
        <w:tc>
          <w:tcPr>
            <w:tcW w:w="1373" w:type="dxa"/>
            <w:tcBorders>
              <w:top w:val="nil"/>
              <w:left w:val="nil"/>
              <w:bottom w:val="nil"/>
              <w:right w:val="nil"/>
            </w:tcBorders>
          </w:tcPr>
          <w:p w14:paraId="7007C05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(0.717)</w:t>
            </w:r>
          </w:p>
        </w:tc>
        <w:tc>
          <w:tcPr>
            <w:tcW w:w="1372" w:type="dxa"/>
            <w:tcBorders>
              <w:top w:val="nil"/>
              <w:left w:val="nil"/>
              <w:bottom w:val="nil"/>
              <w:right w:val="nil"/>
            </w:tcBorders>
          </w:tcPr>
          <w:p w14:paraId="746A7DE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(0.745)</w:t>
            </w:r>
          </w:p>
        </w:tc>
        <w:tc>
          <w:tcPr>
            <w:tcW w:w="1155" w:type="dxa"/>
            <w:tcBorders>
              <w:top w:val="nil"/>
              <w:left w:val="nil"/>
              <w:bottom w:val="nil"/>
              <w:right w:val="nil"/>
            </w:tcBorders>
          </w:tcPr>
          <w:p w14:paraId="346CFF0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(0.707)</w:t>
            </w:r>
          </w:p>
        </w:tc>
      </w:tr>
      <w:tr w:rsidR="00216743" w:rsidRPr="00BA0E8D" w14:paraId="4EE2C2AD" w14:textId="77777777" w:rsidTr="00894076">
        <w:trPr>
          <w:trHeight w:val="265"/>
        </w:trPr>
        <w:tc>
          <w:tcPr>
            <w:tcW w:w="2290" w:type="dxa"/>
            <w:tcBorders>
              <w:top w:val="nil"/>
              <w:left w:val="nil"/>
              <w:bottom w:val="nil"/>
              <w:right w:val="nil"/>
            </w:tcBorders>
          </w:tcPr>
          <w:p w14:paraId="242E2BA8" w14:textId="77777777" w:rsidR="00216743" w:rsidRPr="00BA0E8D" w:rsidRDefault="00216743" w:rsidP="0056122B">
            <w:pPr>
              <w:widowControl w:val="0"/>
              <w:autoSpaceDE w:val="0"/>
              <w:autoSpaceDN w:val="0"/>
              <w:adjustRightInd w:val="0"/>
              <w:spacing w:after="0" w:line="240" w:lineRule="auto"/>
              <w:rPr>
                <w:rFonts w:ascii="Times New Roman" w:hAnsi="Times New Roman"/>
                <w:color w:val="000000"/>
                <w:sz w:val="20"/>
                <w:szCs w:val="20"/>
              </w:rPr>
            </w:pPr>
            <w:r w:rsidRPr="00BA0E8D">
              <w:rPr>
                <w:rFonts w:ascii="Times New Roman" w:hAnsi="Times New Roman"/>
                <w:color w:val="000000"/>
                <w:sz w:val="20"/>
                <w:szCs w:val="20"/>
              </w:rPr>
              <w:t>Law</w:t>
            </w:r>
          </w:p>
        </w:tc>
        <w:tc>
          <w:tcPr>
            <w:tcW w:w="1184" w:type="dxa"/>
            <w:tcBorders>
              <w:top w:val="nil"/>
              <w:left w:val="nil"/>
              <w:bottom w:val="nil"/>
              <w:right w:val="nil"/>
            </w:tcBorders>
          </w:tcPr>
          <w:p w14:paraId="1A4DA40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0.205</w:t>
            </w:r>
          </w:p>
        </w:tc>
        <w:tc>
          <w:tcPr>
            <w:tcW w:w="1373" w:type="dxa"/>
            <w:tcBorders>
              <w:top w:val="nil"/>
              <w:left w:val="nil"/>
              <w:bottom w:val="nil"/>
              <w:right w:val="nil"/>
            </w:tcBorders>
          </w:tcPr>
          <w:p w14:paraId="2F9950E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2" w:type="dxa"/>
            <w:tcBorders>
              <w:top w:val="nil"/>
              <w:left w:val="nil"/>
              <w:bottom w:val="nil"/>
              <w:right w:val="nil"/>
            </w:tcBorders>
          </w:tcPr>
          <w:p w14:paraId="27C214B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220" w:type="dxa"/>
            <w:tcBorders>
              <w:top w:val="nil"/>
              <w:left w:val="nil"/>
              <w:bottom w:val="nil"/>
              <w:right w:val="nil"/>
            </w:tcBorders>
          </w:tcPr>
          <w:p w14:paraId="5BA0DB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-0.073</w:t>
            </w:r>
          </w:p>
        </w:tc>
        <w:tc>
          <w:tcPr>
            <w:tcW w:w="1373" w:type="dxa"/>
            <w:tcBorders>
              <w:top w:val="nil"/>
              <w:left w:val="nil"/>
              <w:bottom w:val="nil"/>
              <w:right w:val="nil"/>
            </w:tcBorders>
          </w:tcPr>
          <w:p w14:paraId="45206A8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07A3BFC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3001A72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-0.507</w:t>
            </w:r>
            <w:r w:rsidRPr="00BA0E8D">
              <w:rPr>
                <w:rFonts w:ascii="Times New Roman" w:hAnsi="Times New Roman"/>
                <w:color w:val="000000"/>
                <w:sz w:val="20"/>
                <w:szCs w:val="20"/>
                <w:vertAlign w:val="superscript"/>
              </w:rPr>
              <w:t>**</w:t>
            </w:r>
          </w:p>
        </w:tc>
        <w:tc>
          <w:tcPr>
            <w:tcW w:w="1372" w:type="dxa"/>
            <w:tcBorders>
              <w:top w:val="nil"/>
              <w:left w:val="nil"/>
              <w:bottom w:val="nil"/>
              <w:right w:val="nil"/>
            </w:tcBorders>
          </w:tcPr>
          <w:p w14:paraId="4A76B69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155" w:type="dxa"/>
            <w:tcBorders>
              <w:top w:val="nil"/>
              <w:left w:val="nil"/>
              <w:bottom w:val="nil"/>
              <w:right w:val="nil"/>
            </w:tcBorders>
          </w:tcPr>
          <w:p w14:paraId="4748CCB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r>
      <w:tr w:rsidR="00216743" w:rsidRPr="00BA0E8D" w14:paraId="2FC2E302" w14:textId="77777777" w:rsidTr="00894076">
        <w:trPr>
          <w:trHeight w:val="265"/>
        </w:trPr>
        <w:tc>
          <w:tcPr>
            <w:tcW w:w="2290" w:type="dxa"/>
            <w:tcBorders>
              <w:top w:val="nil"/>
              <w:left w:val="nil"/>
              <w:bottom w:val="nil"/>
              <w:right w:val="nil"/>
            </w:tcBorders>
          </w:tcPr>
          <w:p w14:paraId="6C534F25" w14:textId="77777777" w:rsidR="00216743" w:rsidRPr="00BA0E8D" w:rsidRDefault="00216743" w:rsidP="0056122B">
            <w:pPr>
              <w:widowControl w:val="0"/>
              <w:autoSpaceDE w:val="0"/>
              <w:autoSpaceDN w:val="0"/>
              <w:adjustRightInd w:val="0"/>
              <w:spacing w:after="0" w:line="240" w:lineRule="auto"/>
              <w:rPr>
                <w:rFonts w:ascii="Times New Roman" w:hAnsi="Times New Roman"/>
                <w:color w:val="000000"/>
                <w:sz w:val="20"/>
                <w:szCs w:val="20"/>
              </w:rPr>
            </w:pPr>
          </w:p>
        </w:tc>
        <w:tc>
          <w:tcPr>
            <w:tcW w:w="1184" w:type="dxa"/>
            <w:tcBorders>
              <w:top w:val="nil"/>
              <w:left w:val="nil"/>
              <w:bottom w:val="nil"/>
              <w:right w:val="nil"/>
            </w:tcBorders>
          </w:tcPr>
          <w:p w14:paraId="531038A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(0.318)</w:t>
            </w:r>
          </w:p>
        </w:tc>
        <w:tc>
          <w:tcPr>
            <w:tcW w:w="1373" w:type="dxa"/>
            <w:tcBorders>
              <w:top w:val="nil"/>
              <w:left w:val="nil"/>
              <w:bottom w:val="nil"/>
              <w:right w:val="nil"/>
            </w:tcBorders>
          </w:tcPr>
          <w:p w14:paraId="305A1C0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2" w:type="dxa"/>
            <w:tcBorders>
              <w:top w:val="nil"/>
              <w:left w:val="nil"/>
              <w:bottom w:val="nil"/>
              <w:right w:val="nil"/>
            </w:tcBorders>
          </w:tcPr>
          <w:p w14:paraId="0BF256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220" w:type="dxa"/>
            <w:tcBorders>
              <w:top w:val="nil"/>
              <w:left w:val="nil"/>
              <w:bottom w:val="nil"/>
              <w:right w:val="nil"/>
            </w:tcBorders>
          </w:tcPr>
          <w:p w14:paraId="6ADBB67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(0.289)</w:t>
            </w:r>
          </w:p>
        </w:tc>
        <w:tc>
          <w:tcPr>
            <w:tcW w:w="1373" w:type="dxa"/>
            <w:tcBorders>
              <w:top w:val="nil"/>
              <w:left w:val="nil"/>
              <w:bottom w:val="nil"/>
              <w:right w:val="nil"/>
            </w:tcBorders>
          </w:tcPr>
          <w:p w14:paraId="09F4D91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11390E9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373" w:type="dxa"/>
            <w:tcBorders>
              <w:top w:val="nil"/>
              <w:left w:val="nil"/>
              <w:bottom w:val="nil"/>
              <w:right w:val="nil"/>
            </w:tcBorders>
          </w:tcPr>
          <w:p w14:paraId="54F26CE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r w:rsidRPr="00BA0E8D">
              <w:rPr>
                <w:rFonts w:ascii="Times New Roman" w:hAnsi="Times New Roman"/>
                <w:color w:val="000000"/>
                <w:sz w:val="20"/>
                <w:szCs w:val="20"/>
              </w:rPr>
              <w:t>(0.236)</w:t>
            </w:r>
          </w:p>
        </w:tc>
        <w:tc>
          <w:tcPr>
            <w:tcW w:w="1372" w:type="dxa"/>
            <w:tcBorders>
              <w:top w:val="nil"/>
              <w:left w:val="nil"/>
              <w:bottom w:val="nil"/>
              <w:right w:val="nil"/>
            </w:tcBorders>
          </w:tcPr>
          <w:p w14:paraId="7348F23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c>
          <w:tcPr>
            <w:tcW w:w="1155" w:type="dxa"/>
            <w:tcBorders>
              <w:top w:val="nil"/>
              <w:left w:val="nil"/>
              <w:bottom w:val="nil"/>
              <w:right w:val="nil"/>
            </w:tcBorders>
          </w:tcPr>
          <w:p w14:paraId="50823F4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color w:val="000000"/>
                <w:sz w:val="20"/>
                <w:szCs w:val="20"/>
              </w:rPr>
            </w:pPr>
          </w:p>
        </w:tc>
      </w:tr>
      <w:tr w:rsidR="00112323" w:rsidRPr="00BA0E8D" w14:paraId="5C7D0246" w14:textId="77777777" w:rsidTr="00894076">
        <w:trPr>
          <w:trHeight w:val="249"/>
        </w:trPr>
        <w:tc>
          <w:tcPr>
            <w:tcW w:w="2290" w:type="dxa"/>
            <w:tcBorders>
              <w:top w:val="nil"/>
              <w:left w:val="nil"/>
              <w:bottom w:val="nil"/>
              <w:right w:val="nil"/>
            </w:tcBorders>
          </w:tcPr>
          <w:p w14:paraId="6FFAA423" w14:textId="7BC70362"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w:t>
            </w:r>
          </w:p>
        </w:tc>
        <w:tc>
          <w:tcPr>
            <w:tcW w:w="1184" w:type="dxa"/>
            <w:tcBorders>
              <w:top w:val="nil"/>
              <w:left w:val="nil"/>
              <w:bottom w:val="nil"/>
              <w:right w:val="nil"/>
            </w:tcBorders>
          </w:tcPr>
          <w:p w14:paraId="7D77CAB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7AA0149" w14:textId="1CD9BD3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0.361</w:t>
            </w:r>
          </w:p>
        </w:tc>
        <w:tc>
          <w:tcPr>
            <w:tcW w:w="1372" w:type="dxa"/>
            <w:tcBorders>
              <w:top w:val="nil"/>
              <w:left w:val="nil"/>
              <w:bottom w:val="nil"/>
              <w:right w:val="nil"/>
            </w:tcBorders>
          </w:tcPr>
          <w:p w14:paraId="5000501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370E7FD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24A4480" w14:textId="683CAF22"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-0.019</w:t>
            </w:r>
          </w:p>
        </w:tc>
        <w:tc>
          <w:tcPr>
            <w:tcW w:w="1373" w:type="dxa"/>
            <w:tcBorders>
              <w:top w:val="nil"/>
              <w:left w:val="nil"/>
              <w:bottom w:val="nil"/>
              <w:right w:val="nil"/>
            </w:tcBorders>
          </w:tcPr>
          <w:p w14:paraId="3632B89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2E06DB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06DEF9A7" w14:textId="7B17A87B"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-0.524</w:t>
            </w:r>
          </w:p>
        </w:tc>
        <w:tc>
          <w:tcPr>
            <w:tcW w:w="1155" w:type="dxa"/>
            <w:tcBorders>
              <w:top w:val="nil"/>
              <w:left w:val="nil"/>
              <w:bottom w:val="nil"/>
              <w:right w:val="nil"/>
            </w:tcBorders>
          </w:tcPr>
          <w:p w14:paraId="331C372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4CE01E84" w14:textId="77777777" w:rsidTr="00894076">
        <w:trPr>
          <w:trHeight w:val="249"/>
        </w:trPr>
        <w:tc>
          <w:tcPr>
            <w:tcW w:w="2290" w:type="dxa"/>
            <w:tcBorders>
              <w:top w:val="nil"/>
              <w:left w:val="nil"/>
              <w:bottom w:val="nil"/>
              <w:right w:val="nil"/>
            </w:tcBorders>
          </w:tcPr>
          <w:p w14:paraId="12716068"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228C277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5D29DC0" w14:textId="55A75D8F"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(0.473)</w:t>
            </w:r>
          </w:p>
        </w:tc>
        <w:tc>
          <w:tcPr>
            <w:tcW w:w="1372" w:type="dxa"/>
            <w:tcBorders>
              <w:top w:val="nil"/>
              <w:left w:val="nil"/>
              <w:bottom w:val="nil"/>
              <w:right w:val="nil"/>
            </w:tcBorders>
          </w:tcPr>
          <w:p w14:paraId="2BFABE5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4D64151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38A3A99" w14:textId="10BD1FED"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(0.351)</w:t>
            </w:r>
          </w:p>
        </w:tc>
        <w:tc>
          <w:tcPr>
            <w:tcW w:w="1373" w:type="dxa"/>
            <w:tcBorders>
              <w:top w:val="nil"/>
              <w:left w:val="nil"/>
              <w:bottom w:val="nil"/>
              <w:right w:val="nil"/>
            </w:tcBorders>
          </w:tcPr>
          <w:p w14:paraId="38F6C33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DACFC2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20538F09" w14:textId="427E8CEE"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(0.318)</w:t>
            </w:r>
          </w:p>
        </w:tc>
        <w:tc>
          <w:tcPr>
            <w:tcW w:w="1155" w:type="dxa"/>
            <w:tcBorders>
              <w:top w:val="nil"/>
              <w:left w:val="nil"/>
              <w:bottom w:val="nil"/>
              <w:right w:val="nil"/>
            </w:tcBorders>
          </w:tcPr>
          <w:p w14:paraId="40A31EC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2D1CEAA0" w14:textId="77777777" w:rsidTr="00894076">
        <w:trPr>
          <w:trHeight w:val="249"/>
        </w:trPr>
        <w:tc>
          <w:tcPr>
            <w:tcW w:w="2290" w:type="dxa"/>
            <w:tcBorders>
              <w:top w:val="nil"/>
              <w:left w:val="nil"/>
              <w:bottom w:val="nil"/>
              <w:right w:val="nil"/>
            </w:tcBorders>
          </w:tcPr>
          <w:p w14:paraId="628B977F"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w:t>
            </w:r>
          </w:p>
        </w:tc>
        <w:tc>
          <w:tcPr>
            <w:tcW w:w="1184" w:type="dxa"/>
            <w:tcBorders>
              <w:top w:val="nil"/>
              <w:left w:val="nil"/>
              <w:bottom w:val="nil"/>
              <w:right w:val="nil"/>
            </w:tcBorders>
          </w:tcPr>
          <w:p w14:paraId="203FBFD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8AECF9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755E370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0.525</w:t>
            </w:r>
          </w:p>
        </w:tc>
        <w:tc>
          <w:tcPr>
            <w:tcW w:w="1220" w:type="dxa"/>
            <w:tcBorders>
              <w:top w:val="nil"/>
              <w:left w:val="nil"/>
              <w:bottom w:val="nil"/>
              <w:right w:val="nil"/>
            </w:tcBorders>
          </w:tcPr>
          <w:p w14:paraId="3A71243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18624F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2452EA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0.272</w:t>
            </w:r>
          </w:p>
        </w:tc>
        <w:tc>
          <w:tcPr>
            <w:tcW w:w="1373" w:type="dxa"/>
            <w:tcBorders>
              <w:top w:val="nil"/>
              <w:left w:val="nil"/>
              <w:bottom w:val="nil"/>
              <w:right w:val="nil"/>
            </w:tcBorders>
          </w:tcPr>
          <w:p w14:paraId="231AF65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5C681F6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218958B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-0.046</w:t>
            </w:r>
          </w:p>
        </w:tc>
      </w:tr>
      <w:tr w:rsidR="00112323" w:rsidRPr="00BA0E8D" w14:paraId="7316FEB8" w14:textId="77777777" w:rsidTr="00894076">
        <w:trPr>
          <w:trHeight w:val="265"/>
        </w:trPr>
        <w:tc>
          <w:tcPr>
            <w:tcW w:w="2290" w:type="dxa"/>
            <w:tcBorders>
              <w:top w:val="nil"/>
              <w:left w:val="nil"/>
              <w:bottom w:val="nil"/>
              <w:right w:val="nil"/>
            </w:tcBorders>
          </w:tcPr>
          <w:p w14:paraId="4961D1EB" w14:textId="77777777" w:rsidR="00112323" w:rsidRPr="00BA0E8D" w:rsidRDefault="00112323" w:rsidP="00112323">
            <w:pPr>
              <w:widowControl w:val="0"/>
              <w:autoSpaceDE w:val="0"/>
              <w:autoSpaceDN w:val="0"/>
              <w:adjustRightInd w:val="0"/>
              <w:spacing w:after="0" w:line="240" w:lineRule="auto"/>
              <w:rPr>
                <w:rFonts w:ascii="Times New Roman" w:hAnsi="Times New Roman"/>
                <w:color w:val="FF0000"/>
                <w:sz w:val="20"/>
                <w:szCs w:val="20"/>
              </w:rPr>
            </w:pPr>
          </w:p>
        </w:tc>
        <w:tc>
          <w:tcPr>
            <w:tcW w:w="1184" w:type="dxa"/>
            <w:tcBorders>
              <w:top w:val="nil"/>
              <w:left w:val="nil"/>
              <w:bottom w:val="nil"/>
              <w:right w:val="nil"/>
            </w:tcBorders>
          </w:tcPr>
          <w:p w14:paraId="48BEFD6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color w:val="FF0000"/>
                <w:sz w:val="20"/>
                <w:szCs w:val="20"/>
              </w:rPr>
            </w:pPr>
          </w:p>
        </w:tc>
        <w:tc>
          <w:tcPr>
            <w:tcW w:w="1373" w:type="dxa"/>
            <w:tcBorders>
              <w:top w:val="nil"/>
              <w:left w:val="nil"/>
              <w:bottom w:val="nil"/>
              <w:right w:val="nil"/>
            </w:tcBorders>
          </w:tcPr>
          <w:p w14:paraId="620B90B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color w:val="FF0000"/>
                <w:sz w:val="20"/>
                <w:szCs w:val="20"/>
              </w:rPr>
            </w:pPr>
          </w:p>
        </w:tc>
        <w:tc>
          <w:tcPr>
            <w:tcW w:w="1372" w:type="dxa"/>
            <w:tcBorders>
              <w:top w:val="nil"/>
              <w:left w:val="nil"/>
              <w:bottom w:val="nil"/>
              <w:right w:val="nil"/>
            </w:tcBorders>
          </w:tcPr>
          <w:p w14:paraId="70BB767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(0.322)</w:t>
            </w:r>
          </w:p>
        </w:tc>
        <w:tc>
          <w:tcPr>
            <w:tcW w:w="1220" w:type="dxa"/>
            <w:tcBorders>
              <w:top w:val="nil"/>
              <w:left w:val="nil"/>
              <w:bottom w:val="nil"/>
              <w:right w:val="nil"/>
            </w:tcBorders>
          </w:tcPr>
          <w:p w14:paraId="62BCF06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56051C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B2EF4E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(0.276)</w:t>
            </w:r>
          </w:p>
        </w:tc>
        <w:tc>
          <w:tcPr>
            <w:tcW w:w="1373" w:type="dxa"/>
            <w:tcBorders>
              <w:top w:val="nil"/>
              <w:left w:val="nil"/>
              <w:bottom w:val="nil"/>
              <w:right w:val="nil"/>
            </w:tcBorders>
          </w:tcPr>
          <w:p w14:paraId="3375E3B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CAD93E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3A0F2BF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(0.255)</w:t>
            </w:r>
          </w:p>
        </w:tc>
      </w:tr>
      <w:tr w:rsidR="00112323" w:rsidRPr="00BA0E8D" w14:paraId="60AAB462" w14:textId="77777777" w:rsidTr="00894076">
        <w:trPr>
          <w:trHeight w:val="249"/>
        </w:trPr>
        <w:tc>
          <w:tcPr>
            <w:tcW w:w="2290" w:type="dxa"/>
            <w:tcBorders>
              <w:top w:val="nil"/>
              <w:left w:val="nil"/>
              <w:bottom w:val="nil"/>
              <w:right w:val="nil"/>
            </w:tcBorders>
          </w:tcPr>
          <w:p w14:paraId="1DA0CDB0"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 X Depth</w:t>
            </w:r>
          </w:p>
        </w:tc>
        <w:tc>
          <w:tcPr>
            <w:tcW w:w="1184" w:type="dxa"/>
            <w:tcBorders>
              <w:top w:val="nil"/>
              <w:left w:val="nil"/>
              <w:bottom w:val="nil"/>
              <w:right w:val="nil"/>
            </w:tcBorders>
          </w:tcPr>
          <w:p w14:paraId="3CFF87F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0.261</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3210F7D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FFFA68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1DA54DB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9A2F47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B895FA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027957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99E8DA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72AC8D0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7AFD4275" w14:textId="77777777" w:rsidTr="00894076">
        <w:trPr>
          <w:trHeight w:val="265"/>
        </w:trPr>
        <w:tc>
          <w:tcPr>
            <w:tcW w:w="2290" w:type="dxa"/>
            <w:tcBorders>
              <w:top w:val="nil"/>
              <w:left w:val="nil"/>
              <w:bottom w:val="nil"/>
              <w:right w:val="nil"/>
            </w:tcBorders>
          </w:tcPr>
          <w:p w14:paraId="0FD6FD07"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45B5BED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(0.126)</w:t>
            </w:r>
          </w:p>
        </w:tc>
        <w:tc>
          <w:tcPr>
            <w:tcW w:w="1373" w:type="dxa"/>
            <w:tcBorders>
              <w:top w:val="nil"/>
              <w:left w:val="nil"/>
              <w:bottom w:val="nil"/>
              <w:right w:val="nil"/>
            </w:tcBorders>
          </w:tcPr>
          <w:p w14:paraId="686670DA"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372" w:type="dxa"/>
            <w:tcBorders>
              <w:top w:val="nil"/>
              <w:left w:val="nil"/>
              <w:bottom w:val="nil"/>
              <w:right w:val="nil"/>
            </w:tcBorders>
          </w:tcPr>
          <w:p w14:paraId="3D0450FC"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220" w:type="dxa"/>
            <w:tcBorders>
              <w:top w:val="nil"/>
              <w:left w:val="nil"/>
              <w:bottom w:val="nil"/>
              <w:right w:val="nil"/>
            </w:tcBorders>
          </w:tcPr>
          <w:p w14:paraId="69A39BB3"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373" w:type="dxa"/>
            <w:tcBorders>
              <w:top w:val="nil"/>
              <w:left w:val="nil"/>
              <w:bottom w:val="nil"/>
              <w:right w:val="nil"/>
            </w:tcBorders>
          </w:tcPr>
          <w:p w14:paraId="44991F28"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373" w:type="dxa"/>
            <w:tcBorders>
              <w:top w:val="nil"/>
              <w:left w:val="nil"/>
              <w:bottom w:val="nil"/>
              <w:right w:val="nil"/>
            </w:tcBorders>
          </w:tcPr>
          <w:p w14:paraId="414D2868"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373" w:type="dxa"/>
            <w:tcBorders>
              <w:top w:val="nil"/>
              <w:left w:val="nil"/>
              <w:bottom w:val="nil"/>
              <w:right w:val="nil"/>
            </w:tcBorders>
          </w:tcPr>
          <w:p w14:paraId="481406AE"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372" w:type="dxa"/>
            <w:tcBorders>
              <w:top w:val="nil"/>
              <w:left w:val="nil"/>
              <w:bottom w:val="nil"/>
              <w:right w:val="nil"/>
            </w:tcBorders>
          </w:tcPr>
          <w:p w14:paraId="43512670"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55" w:type="dxa"/>
            <w:tcBorders>
              <w:top w:val="nil"/>
              <w:left w:val="nil"/>
              <w:bottom w:val="nil"/>
              <w:right w:val="nil"/>
            </w:tcBorders>
          </w:tcPr>
          <w:p w14:paraId="1B3C7FBD"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r>
      <w:tr w:rsidR="00112323" w:rsidRPr="00BA0E8D" w14:paraId="4C00EF5F" w14:textId="77777777" w:rsidTr="00894076">
        <w:trPr>
          <w:trHeight w:val="249"/>
        </w:trPr>
        <w:tc>
          <w:tcPr>
            <w:tcW w:w="2290" w:type="dxa"/>
            <w:tcBorders>
              <w:top w:val="nil"/>
              <w:left w:val="nil"/>
              <w:bottom w:val="nil"/>
              <w:right w:val="nil"/>
            </w:tcBorders>
          </w:tcPr>
          <w:p w14:paraId="4B744DF1"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 X Depth</w:t>
            </w:r>
          </w:p>
        </w:tc>
        <w:tc>
          <w:tcPr>
            <w:tcW w:w="1184" w:type="dxa"/>
            <w:tcBorders>
              <w:top w:val="nil"/>
              <w:left w:val="nil"/>
              <w:bottom w:val="nil"/>
              <w:right w:val="nil"/>
            </w:tcBorders>
          </w:tcPr>
          <w:p w14:paraId="47DEE18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C7FD79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0.281</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5F7F390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2EBC056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E28394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82A321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5D1236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334902D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12FE975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398DAC35" w14:textId="77777777" w:rsidTr="00894076">
        <w:trPr>
          <w:trHeight w:val="265"/>
        </w:trPr>
        <w:tc>
          <w:tcPr>
            <w:tcW w:w="2290" w:type="dxa"/>
            <w:tcBorders>
              <w:top w:val="nil"/>
              <w:left w:val="nil"/>
              <w:bottom w:val="nil"/>
              <w:right w:val="nil"/>
            </w:tcBorders>
          </w:tcPr>
          <w:p w14:paraId="5AEBF8A3"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29AE58F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098983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(0.136)</w:t>
            </w:r>
          </w:p>
        </w:tc>
        <w:tc>
          <w:tcPr>
            <w:tcW w:w="1372" w:type="dxa"/>
            <w:tcBorders>
              <w:top w:val="nil"/>
              <w:left w:val="nil"/>
              <w:bottom w:val="nil"/>
              <w:right w:val="nil"/>
            </w:tcBorders>
          </w:tcPr>
          <w:p w14:paraId="191503B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563CA67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FCA663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2C1118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3CAE42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9A074A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3BA8107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4D309714" w14:textId="77777777" w:rsidTr="00894076">
        <w:trPr>
          <w:trHeight w:val="249"/>
        </w:trPr>
        <w:tc>
          <w:tcPr>
            <w:tcW w:w="2290" w:type="dxa"/>
            <w:tcBorders>
              <w:top w:val="nil"/>
              <w:left w:val="nil"/>
              <w:bottom w:val="nil"/>
              <w:right w:val="nil"/>
            </w:tcBorders>
          </w:tcPr>
          <w:p w14:paraId="56CE62A0"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 X Depth</w:t>
            </w:r>
          </w:p>
        </w:tc>
        <w:tc>
          <w:tcPr>
            <w:tcW w:w="1184" w:type="dxa"/>
            <w:tcBorders>
              <w:top w:val="nil"/>
              <w:left w:val="nil"/>
              <w:bottom w:val="nil"/>
              <w:right w:val="nil"/>
            </w:tcBorders>
          </w:tcPr>
          <w:p w14:paraId="46AA866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6F2843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70C8172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0.245</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472D7B8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6E8B8C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90619E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A1CFB8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64E9410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636FA59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5AB69170" w14:textId="77777777" w:rsidTr="00894076">
        <w:trPr>
          <w:trHeight w:val="265"/>
        </w:trPr>
        <w:tc>
          <w:tcPr>
            <w:tcW w:w="2290" w:type="dxa"/>
            <w:tcBorders>
              <w:top w:val="nil"/>
              <w:left w:val="nil"/>
              <w:bottom w:val="nil"/>
              <w:right w:val="nil"/>
            </w:tcBorders>
          </w:tcPr>
          <w:p w14:paraId="5C20B274"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6D6B045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D91CB7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D37F3B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(0.105)</w:t>
            </w:r>
          </w:p>
        </w:tc>
        <w:tc>
          <w:tcPr>
            <w:tcW w:w="1220" w:type="dxa"/>
            <w:tcBorders>
              <w:top w:val="nil"/>
              <w:left w:val="nil"/>
              <w:bottom w:val="nil"/>
              <w:right w:val="nil"/>
            </w:tcBorders>
          </w:tcPr>
          <w:p w14:paraId="068E937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6BD2FF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2E55BB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3FB43A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096054C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4FA07BB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57496EF6" w14:textId="77777777" w:rsidTr="00894076">
        <w:trPr>
          <w:trHeight w:val="249"/>
        </w:trPr>
        <w:tc>
          <w:tcPr>
            <w:tcW w:w="2290" w:type="dxa"/>
            <w:tcBorders>
              <w:top w:val="nil"/>
              <w:left w:val="nil"/>
              <w:bottom w:val="nil"/>
              <w:right w:val="nil"/>
            </w:tcBorders>
          </w:tcPr>
          <w:p w14:paraId="006AC41A"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 X Registry</w:t>
            </w:r>
          </w:p>
        </w:tc>
        <w:tc>
          <w:tcPr>
            <w:tcW w:w="1184" w:type="dxa"/>
            <w:tcBorders>
              <w:top w:val="nil"/>
              <w:left w:val="nil"/>
              <w:bottom w:val="nil"/>
              <w:right w:val="nil"/>
            </w:tcBorders>
          </w:tcPr>
          <w:p w14:paraId="1AF1DB4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B77329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36DC24A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3677FF5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-0.003</w:t>
            </w:r>
          </w:p>
        </w:tc>
        <w:tc>
          <w:tcPr>
            <w:tcW w:w="1373" w:type="dxa"/>
            <w:tcBorders>
              <w:top w:val="nil"/>
              <w:left w:val="nil"/>
              <w:bottom w:val="nil"/>
              <w:right w:val="nil"/>
            </w:tcBorders>
          </w:tcPr>
          <w:p w14:paraId="348B045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433759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533343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28660BD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6DE0773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6BED0E1A" w14:textId="77777777" w:rsidTr="00894076">
        <w:trPr>
          <w:trHeight w:val="265"/>
        </w:trPr>
        <w:tc>
          <w:tcPr>
            <w:tcW w:w="2290" w:type="dxa"/>
            <w:tcBorders>
              <w:top w:val="nil"/>
              <w:left w:val="nil"/>
              <w:bottom w:val="nil"/>
              <w:right w:val="nil"/>
            </w:tcBorders>
          </w:tcPr>
          <w:p w14:paraId="3732BD64"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30987FF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57304D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088EB17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6539C1A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p>
        </w:tc>
        <w:tc>
          <w:tcPr>
            <w:tcW w:w="1373" w:type="dxa"/>
            <w:tcBorders>
              <w:top w:val="nil"/>
              <w:left w:val="nil"/>
              <w:bottom w:val="nil"/>
              <w:right w:val="nil"/>
            </w:tcBorders>
          </w:tcPr>
          <w:p w14:paraId="73C7AED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E8C23C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145A53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7E02EF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0E76502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06A435E1" w14:textId="77777777" w:rsidTr="00894076">
        <w:trPr>
          <w:trHeight w:val="265"/>
        </w:trPr>
        <w:tc>
          <w:tcPr>
            <w:tcW w:w="2290" w:type="dxa"/>
            <w:tcBorders>
              <w:top w:val="nil"/>
              <w:left w:val="nil"/>
              <w:bottom w:val="nil"/>
              <w:right w:val="nil"/>
            </w:tcBorders>
          </w:tcPr>
          <w:p w14:paraId="31455699"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 xml:space="preserve">Regulation X Registry </w:t>
            </w:r>
          </w:p>
        </w:tc>
        <w:tc>
          <w:tcPr>
            <w:tcW w:w="1184" w:type="dxa"/>
            <w:tcBorders>
              <w:top w:val="nil"/>
              <w:left w:val="nil"/>
              <w:bottom w:val="nil"/>
              <w:right w:val="nil"/>
            </w:tcBorders>
          </w:tcPr>
          <w:p w14:paraId="4C17F9F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EDD05B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030416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2649C7B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77E786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-0.002</w:t>
            </w:r>
          </w:p>
        </w:tc>
        <w:tc>
          <w:tcPr>
            <w:tcW w:w="1373" w:type="dxa"/>
            <w:tcBorders>
              <w:top w:val="nil"/>
              <w:left w:val="nil"/>
              <w:bottom w:val="nil"/>
              <w:right w:val="nil"/>
            </w:tcBorders>
          </w:tcPr>
          <w:p w14:paraId="49DE4D4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048783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273979E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6306602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40BE114E" w14:textId="77777777" w:rsidTr="00894076">
        <w:trPr>
          <w:trHeight w:val="249"/>
        </w:trPr>
        <w:tc>
          <w:tcPr>
            <w:tcW w:w="2290" w:type="dxa"/>
            <w:tcBorders>
              <w:top w:val="nil"/>
              <w:left w:val="nil"/>
              <w:bottom w:val="nil"/>
              <w:right w:val="nil"/>
            </w:tcBorders>
          </w:tcPr>
          <w:p w14:paraId="64B3AD90"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5C16495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E07D11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6CED345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62FD2D3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5BD7C5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p>
        </w:tc>
        <w:tc>
          <w:tcPr>
            <w:tcW w:w="1373" w:type="dxa"/>
            <w:tcBorders>
              <w:top w:val="nil"/>
              <w:left w:val="nil"/>
              <w:bottom w:val="nil"/>
              <w:right w:val="nil"/>
            </w:tcBorders>
          </w:tcPr>
          <w:p w14:paraId="7156EC4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EB2D96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E4BF3A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62CF2B5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2A244D29" w14:textId="77777777" w:rsidTr="00894076">
        <w:trPr>
          <w:trHeight w:val="249"/>
        </w:trPr>
        <w:tc>
          <w:tcPr>
            <w:tcW w:w="2290" w:type="dxa"/>
            <w:tcBorders>
              <w:top w:val="nil"/>
              <w:left w:val="nil"/>
              <w:bottom w:val="nil"/>
              <w:right w:val="nil"/>
            </w:tcBorders>
          </w:tcPr>
          <w:p w14:paraId="751324D0"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 X Registry</w:t>
            </w:r>
          </w:p>
        </w:tc>
        <w:tc>
          <w:tcPr>
            <w:tcW w:w="1184" w:type="dxa"/>
            <w:tcBorders>
              <w:top w:val="nil"/>
              <w:left w:val="nil"/>
              <w:bottom w:val="nil"/>
              <w:right w:val="nil"/>
            </w:tcBorders>
          </w:tcPr>
          <w:p w14:paraId="7A783A9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16CBCF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7399871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63E1B02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430177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4022D9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73" w:type="dxa"/>
            <w:tcBorders>
              <w:top w:val="nil"/>
              <w:left w:val="nil"/>
              <w:bottom w:val="nil"/>
              <w:right w:val="nil"/>
            </w:tcBorders>
          </w:tcPr>
          <w:p w14:paraId="029CCF0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54BE339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1FCD82E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41A81668" w14:textId="77777777" w:rsidTr="00894076">
        <w:trPr>
          <w:trHeight w:val="265"/>
        </w:trPr>
        <w:tc>
          <w:tcPr>
            <w:tcW w:w="2290" w:type="dxa"/>
            <w:tcBorders>
              <w:top w:val="nil"/>
              <w:left w:val="nil"/>
              <w:bottom w:val="nil"/>
              <w:right w:val="nil"/>
            </w:tcBorders>
          </w:tcPr>
          <w:p w14:paraId="4DB0E4ED"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164B396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EE708E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604E4F6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3748099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1A3C48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2B792D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373" w:type="dxa"/>
            <w:tcBorders>
              <w:top w:val="nil"/>
              <w:left w:val="nil"/>
              <w:bottom w:val="nil"/>
              <w:right w:val="nil"/>
            </w:tcBorders>
          </w:tcPr>
          <w:p w14:paraId="3788F82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CA3E26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5631702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23E09AE3" w14:textId="77777777" w:rsidTr="00894076">
        <w:trPr>
          <w:trHeight w:val="265"/>
        </w:trPr>
        <w:tc>
          <w:tcPr>
            <w:tcW w:w="2290" w:type="dxa"/>
            <w:tcBorders>
              <w:top w:val="nil"/>
              <w:left w:val="nil"/>
              <w:bottom w:val="nil"/>
              <w:right w:val="nil"/>
            </w:tcBorders>
          </w:tcPr>
          <w:p w14:paraId="4B319F04"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 X Bureau</w:t>
            </w:r>
          </w:p>
        </w:tc>
        <w:tc>
          <w:tcPr>
            <w:tcW w:w="1184" w:type="dxa"/>
            <w:tcBorders>
              <w:top w:val="nil"/>
              <w:left w:val="nil"/>
              <w:bottom w:val="nil"/>
              <w:right w:val="nil"/>
            </w:tcBorders>
          </w:tcPr>
          <w:p w14:paraId="49AE26D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915878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09FE574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7D67594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0D980E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33375C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83A859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0.057</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582515C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21C1D3A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5B2C3501" w14:textId="77777777" w:rsidTr="00894076">
        <w:trPr>
          <w:trHeight w:val="249"/>
        </w:trPr>
        <w:tc>
          <w:tcPr>
            <w:tcW w:w="2290" w:type="dxa"/>
            <w:tcBorders>
              <w:top w:val="nil"/>
              <w:left w:val="nil"/>
              <w:bottom w:val="nil"/>
              <w:right w:val="nil"/>
            </w:tcBorders>
          </w:tcPr>
          <w:p w14:paraId="7AA2B04E"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4E52A93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43310E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61B566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21CEEFB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ACECC5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A83154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61D42A8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(0.028)</w:t>
            </w:r>
          </w:p>
        </w:tc>
        <w:tc>
          <w:tcPr>
            <w:tcW w:w="1372" w:type="dxa"/>
            <w:tcBorders>
              <w:top w:val="nil"/>
              <w:left w:val="nil"/>
              <w:bottom w:val="nil"/>
              <w:right w:val="nil"/>
            </w:tcBorders>
          </w:tcPr>
          <w:p w14:paraId="237109F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4297F8A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2820F5C0" w14:textId="77777777" w:rsidTr="00894076">
        <w:trPr>
          <w:trHeight w:val="249"/>
        </w:trPr>
        <w:tc>
          <w:tcPr>
            <w:tcW w:w="2290" w:type="dxa"/>
            <w:tcBorders>
              <w:top w:val="nil"/>
              <w:left w:val="nil"/>
              <w:bottom w:val="nil"/>
              <w:right w:val="nil"/>
            </w:tcBorders>
          </w:tcPr>
          <w:p w14:paraId="1203A4E6"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 X Bureau</w:t>
            </w:r>
          </w:p>
        </w:tc>
        <w:tc>
          <w:tcPr>
            <w:tcW w:w="1184" w:type="dxa"/>
            <w:tcBorders>
              <w:top w:val="nil"/>
              <w:left w:val="nil"/>
              <w:bottom w:val="nil"/>
              <w:right w:val="nil"/>
            </w:tcBorders>
          </w:tcPr>
          <w:p w14:paraId="30D9BDC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C5189C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F1F6A0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0332E35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2472EF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FE13E0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F14846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61284DA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0.050</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6238625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62A62920" w14:textId="77777777" w:rsidTr="00894076">
        <w:trPr>
          <w:trHeight w:val="265"/>
        </w:trPr>
        <w:tc>
          <w:tcPr>
            <w:tcW w:w="2290" w:type="dxa"/>
            <w:tcBorders>
              <w:top w:val="nil"/>
              <w:left w:val="nil"/>
              <w:bottom w:val="nil"/>
              <w:right w:val="nil"/>
            </w:tcBorders>
          </w:tcPr>
          <w:p w14:paraId="13809A4C"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47AC1D6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30F05F9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1091058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268D7FF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1D7390A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5815A0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E67354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5872C45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155" w:type="dxa"/>
            <w:tcBorders>
              <w:top w:val="nil"/>
              <w:left w:val="nil"/>
              <w:bottom w:val="nil"/>
              <w:right w:val="nil"/>
            </w:tcBorders>
          </w:tcPr>
          <w:p w14:paraId="45E44E8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r>
      <w:tr w:rsidR="00112323" w:rsidRPr="00BA0E8D" w14:paraId="52DB9ACF" w14:textId="77777777" w:rsidTr="00894076">
        <w:trPr>
          <w:trHeight w:val="265"/>
        </w:trPr>
        <w:tc>
          <w:tcPr>
            <w:tcW w:w="2290" w:type="dxa"/>
            <w:tcBorders>
              <w:top w:val="nil"/>
              <w:left w:val="nil"/>
              <w:bottom w:val="nil"/>
              <w:right w:val="nil"/>
            </w:tcBorders>
          </w:tcPr>
          <w:p w14:paraId="1EF70944"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 X Bureau</w:t>
            </w:r>
          </w:p>
        </w:tc>
        <w:tc>
          <w:tcPr>
            <w:tcW w:w="1184" w:type="dxa"/>
            <w:tcBorders>
              <w:top w:val="nil"/>
              <w:left w:val="nil"/>
              <w:bottom w:val="nil"/>
              <w:right w:val="nil"/>
            </w:tcBorders>
          </w:tcPr>
          <w:p w14:paraId="062B31C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42222C83"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3412696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416300D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E232EB1"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76C2EAD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EB7BF8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5A3A6E5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0EA7B51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0.034</w:t>
            </w:r>
            <w:r w:rsidRPr="00BA0E8D">
              <w:rPr>
                <w:rFonts w:ascii="Times New Roman" w:hAnsi="Times New Roman"/>
                <w:sz w:val="20"/>
                <w:szCs w:val="20"/>
                <w:vertAlign w:val="superscript"/>
              </w:rPr>
              <w:t>**</w:t>
            </w:r>
          </w:p>
        </w:tc>
      </w:tr>
      <w:tr w:rsidR="00112323" w:rsidRPr="00BA0E8D" w14:paraId="3EDA2B37" w14:textId="77777777" w:rsidTr="00894076">
        <w:trPr>
          <w:trHeight w:val="249"/>
        </w:trPr>
        <w:tc>
          <w:tcPr>
            <w:tcW w:w="2290" w:type="dxa"/>
            <w:tcBorders>
              <w:top w:val="nil"/>
              <w:left w:val="nil"/>
              <w:bottom w:val="nil"/>
              <w:right w:val="nil"/>
            </w:tcBorders>
          </w:tcPr>
          <w:p w14:paraId="4DCED469"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nil"/>
              <w:right w:val="nil"/>
            </w:tcBorders>
          </w:tcPr>
          <w:p w14:paraId="12B7987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861ACC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462F39EB"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220" w:type="dxa"/>
            <w:tcBorders>
              <w:top w:val="nil"/>
              <w:left w:val="nil"/>
              <w:bottom w:val="nil"/>
              <w:right w:val="nil"/>
            </w:tcBorders>
          </w:tcPr>
          <w:p w14:paraId="1CCDD97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201C960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03B5592D"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3" w:type="dxa"/>
            <w:tcBorders>
              <w:top w:val="nil"/>
              <w:left w:val="nil"/>
              <w:bottom w:val="nil"/>
              <w:right w:val="nil"/>
            </w:tcBorders>
          </w:tcPr>
          <w:p w14:paraId="5F2ACEC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372" w:type="dxa"/>
            <w:tcBorders>
              <w:top w:val="nil"/>
              <w:left w:val="nil"/>
              <w:bottom w:val="nil"/>
              <w:right w:val="nil"/>
            </w:tcBorders>
          </w:tcPr>
          <w:p w14:paraId="084B109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p>
        </w:tc>
        <w:tc>
          <w:tcPr>
            <w:tcW w:w="1155" w:type="dxa"/>
            <w:tcBorders>
              <w:top w:val="nil"/>
              <w:left w:val="nil"/>
              <w:bottom w:val="nil"/>
              <w:right w:val="nil"/>
            </w:tcBorders>
          </w:tcPr>
          <w:p w14:paraId="42C947F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p>
        </w:tc>
      </w:tr>
      <w:tr w:rsidR="00112323" w:rsidRPr="00BA0E8D" w14:paraId="2D96A86F" w14:textId="77777777" w:rsidTr="00894076">
        <w:trPr>
          <w:trHeight w:val="249"/>
        </w:trPr>
        <w:tc>
          <w:tcPr>
            <w:tcW w:w="2290" w:type="dxa"/>
            <w:tcBorders>
              <w:top w:val="nil"/>
              <w:left w:val="nil"/>
              <w:bottom w:val="nil"/>
              <w:right w:val="nil"/>
            </w:tcBorders>
          </w:tcPr>
          <w:p w14:paraId="450F53EA"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Constant</w:t>
            </w:r>
          </w:p>
        </w:tc>
        <w:tc>
          <w:tcPr>
            <w:tcW w:w="1184" w:type="dxa"/>
            <w:tcBorders>
              <w:top w:val="nil"/>
              <w:left w:val="nil"/>
              <w:bottom w:val="nil"/>
              <w:right w:val="nil"/>
            </w:tcBorders>
          </w:tcPr>
          <w:p w14:paraId="78130EC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4.109</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0E2AA8C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4.379</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159ACFD0"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3.986</w:t>
            </w:r>
            <w:r w:rsidRPr="00BA0E8D">
              <w:rPr>
                <w:rFonts w:ascii="Times New Roman" w:hAnsi="Times New Roman"/>
                <w:sz w:val="20"/>
                <w:szCs w:val="20"/>
                <w:vertAlign w:val="superscript"/>
              </w:rPr>
              <w:t>*</w:t>
            </w:r>
          </w:p>
        </w:tc>
        <w:tc>
          <w:tcPr>
            <w:tcW w:w="1220" w:type="dxa"/>
            <w:tcBorders>
              <w:top w:val="nil"/>
              <w:left w:val="nil"/>
              <w:bottom w:val="nil"/>
              <w:right w:val="nil"/>
            </w:tcBorders>
          </w:tcPr>
          <w:p w14:paraId="6F23246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5.159</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32381B9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5.167</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2D887004"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5.590</w:t>
            </w:r>
            <w:r w:rsidRPr="00BA0E8D">
              <w:rPr>
                <w:rFonts w:ascii="Times New Roman" w:hAnsi="Times New Roman"/>
                <w:sz w:val="20"/>
                <w:szCs w:val="20"/>
                <w:vertAlign w:val="superscript"/>
              </w:rPr>
              <w:t>***</w:t>
            </w:r>
          </w:p>
        </w:tc>
        <w:tc>
          <w:tcPr>
            <w:tcW w:w="1373" w:type="dxa"/>
            <w:tcBorders>
              <w:top w:val="nil"/>
              <w:left w:val="nil"/>
              <w:bottom w:val="nil"/>
              <w:right w:val="nil"/>
            </w:tcBorders>
          </w:tcPr>
          <w:p w14:paraId="663E0758"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5.016</w:t>
            </w:r>
            <w:r w:rsidRPr="00BA0E8D">
              <w:rPr>
                <w:rFonts w:ascii="Times New Roman" w:hAnsi="Times New Roman"/>
                <w:sz w:val="20"/>
                <w:szCs w:val="20"/>
                <w:vertAlign w:val="superscript"/>
              </w:rPr>
              <w:t>**</w:t>
            </w:r>
          </w:p>
        </w:tc>
        <w:tc>
          <w:tcPr>
            <w:tcW w:w="1372" w:type="dxa"/>
            <w:tcBorders>
              <w:top w:val="nil"/>
              <w:left w:val="nil"/>
              <w:bottom w:val="nil"/>
              <w:right w:val="nil"/>
            </w:tcBorders>
          </w:tcPr>
          <w:p w14:paraId="74AC962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6.382</w:t>
            </w:r>
            <w:r w:rsidRPr="00BA0E8D">
              <w:rPr>
                <w:rFonts w:ascii="Times New Roman" w:hAnsi="Times New Roman"/>
                <w:sz w:val="20"/>
                <w:szCs w:val="20"/>
                <w:vertAlign w:val="superscript"/>
              </w:rPr>
              <w:t>***</w:t>
            </w:r>
          </w:p>
        </w:tc>
        <w:tc>
          <w:tcPr>
            <w:tcW w:w="1155" w:type="dxa"/>
            <w:tcBorders>
              <w:top w:val="nil"/>
              <w:left w:val="nil"/>
              <w:bottom w:val="nil"/>
              <w:right w:val="nil"/>
            </w:tcBorders>
          </w:tcPr>
          <w:p w14:paraId="1C09588C"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4.817</w:t>
            </w:r>
            <w:r w:rsidRPr="00BA0E8D">
              <w:rPr>
                <w:rFonts w:ascii="Times New Roman" w:hAnsi="Times New Roman"/>
                <w:sz w:val="20"/>
                <w:szCs w:val="20"/>
                <w:vertAlign w:val="superscript"/>
              </w:rPr>
              <w:t>**</w:t>
            </w:r>
          </w:p>
        </w:tc>
      </w:tr>
      <w:tr w:rsidR="00112323" w:rsidRPr="00BA0E8D" w14:paraId="6E3BC4A9" w14:textId="77777777" w:rsidTr="00894076">
        <w:trPr>
          <w:trHeight w:val="265"/>
        </w:trPr>
        <w:tc>
          <w:tcPr>
            <w:tcW w:w="2290" w:type="dxa"/>
            <w:tcBorders>
              <w:top w:val="nil"/>
              <w:left w:val="nil"/>
              <w:bottom w:val="single" w:sz="4" w:space="0" w:color="auto"/>
              <w:right w:val="nil"/>
            </w:tcBorders>
          </w:tcPr>
          <w:p w14:paraId="07C87F4C" w14:textId="77777777" w:rsidR="00112323" w:rsidRPr="00BA0E8D" w:rsidRDefault="00112323" w:rsidP="00112323">
            <w:pPr>
              <w:widowControl w:val="0"/>
              <w:autoSpaceDE w:val="0"/>
              <w:autoSpaceDN w:val="0"/>
              <w:adjustRightInd w:val="0"/>
              <w:spacing w:after="0" w:line="240" w:lineRule="auto"/>
              <w:rPr>
                <w:rFonts w:ascii="Times New Roman" w:hAnsi="Times New Roman"/>
                <w:sz w:val="20"/>
                <w:szCs w:val="20"/>
              </w:rPr>
            </w:pPr>
          </w:p>
        </w:tc>
        <w:tc>
          <w:tcPr>
            <w:tcW w:w="1184" w:type="dxa"/>
            <w:tcBorders>
              <w:top w:val="nil"/>
              <w:left w:val="nil"/>
              <w:bottom w:val="single" w:sz="4" w:space="0" w:color="auto"/>
              <w:right w:val="nil"/>
            </w:tcBorders>
          </w:tcPr>
          <w:p w14:paraId="31C83956"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(2.049)</w:t>
            </w:r>
          </w:p>
        </w:tc>
        <w:tc>
          <w:tcPr>
            <w:tcW w:w="1373" w:type="dxa"/>
            <w:tcBorders>
              <w:top w:val="nil"/>
              <w:left w:val="nil"/>
              <w:bottom w:val="single" w:sz="4" w:space="0" w:color="auto"/>
              <w:right w:val="nil"/>
            </w:tcBorders>
          </w:tcPr>
          <w:p w14:paraId="694C70F5"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(2.063)</w:t>
            </w:r>
          </w:p>
        </w:tc>
        <w:tc>
          <w:tcPr>
            <w:tcW w:w="1372" w:type="dxa"/>
            <w:tcBorders>
              <w:top w:val="nil"/>
              <w:left w:val="nil"/>
              <w:bottom w:val="single" w:sz="4" w:space="0" w:color="auto"/>
              <w:right w:val="nil"/>
            </w:tcBorders>
          </w:tcPr>
          <w:p w14:paraId="3496433E"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(2.048)</w:t>
            </w:r>
          </w:p>
        </w:tc>
        <w:tc>
          <w:tcPr>
            <w:tcW w:w="1220" w:type="dxa"/>
            <w:tcBorders>
              <w:top w:val="nil"/>
              <w:left w:val="nil"/>
              <w:bottom w:val="single" w:sz="4" w:space="0" w:color="auto"/>
              <w:right w:val="nil"/>
            </w:tcBorders>
          </w:tcPr>
          <w:p w14:paraId="039E6C02"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(1.928)</w:t>
            </w:r>
          </w:p>
        </w:tc>
        <w:tc>
          <w:tcPr>
            <w:tcW w:w="1373" w:type="dxa"/>
            <w:tcBorders>
              <w:top w:val="nil"/>
              <w:left w:val="nil"/>
              <w:bottom w:val="single" w:sz="4" w:space="0" w:color="auto"/>
              <w:right w:val="nil"/>
            </w:tcBorders>
          </w:tcPr>
          <w:p w14:paraId="6FA22AF7"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(1.926)</w:t>
            </w:r>
          </w:p>
        </w:tc>
        <w:tc>
          <w:tcPr>
            <w:tcW w:w="1373" w:type="dxa"/>
            <w:tcBorders>
              <w:top w:val="nil"/>
              <w:left w:val="nil"/>
              <w:bottom w:val="single" w:sz="4" w:space="0" w:color="auto"/>
              <w:right w:val="nil"/>
            </w:tcBorders>
          </w:tcPr>
          <w:p w14:paraId="3B57464F"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(2.046)</w:t>
            </w:r>
          </w:p>
        </w:tc>
        <w:tc>
          <w:tcPr>
            <w:tcW w:w="1373" w:type="dxa"/>
            <w:tcBorders>
              <w:top w:val="nil"/>
              <w:left w:val="nil"/>
              <w:bottom w:val="single" w:sz="4" w:space="0" w:color="auto"/>
              <w:right w:val="nil"/>
            </w:tcBorders>
          </w:tcPr>
          <w:p w14:paraId="1E3112D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(2.045)</w:t>
            </w:r>
          </w:p>
        </w:tc>
        <w:tc>
          <w:tcPr>
            <w:tcW w:w="1372" w:type="dxa"/>
            <w:tcBorders>
              <w:top w:val="nil"/>
              <w:left w:val="nil"/>
              <w:bottom w:val="single" w:sz="4" w:space="0" w:color="auto"/>
              <w:right w:val="nil"/>
            </w:tcBorders>
          </w:tcPr>
          <w:p w14:paraId="5BACF9FA"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(2.158)</w:t>
            </w:r>
          </w:p>
        </w:tc>
        <w:tc>
          <w:tcPr>
            <w:tcW w:w="1155" w:type="dxa"/>
            <w:tcBorders>
              <w:top w:val="nil"/>
              <w:left w:val="nil"/>
              <w:bottom w:val="single" w:sz="4" w:space="0" w:color="auto"/>
              <w:right w:val="nil"/>
            </w:tcBorders>
          </w:tcPr>
          <w:p w14:paraId="15FEE249" w14:textId="77777777" w:rsidR="00112323" w:rsidRPr="00BA0E8D" w:rsidRDefault="00112323" w:rsidP="00112323">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(2.088)</w:t>
            </w:r>
          </w:p>
        </w:tc>
      </w:tr>
      <w:tr w:rsidR="0086195B" w:rsidRPr="00BA0E8D" w14:paraId="438897EB" w14:textId="77777777" w:rsidTr="00894076">
        <w:trPr>
          <w:trHeight w:val="249"/>
        </w:trPr>
        <w:tc>
          <w:tcPr>
            <w:tcW w:w="2290" w:type="dxa"/>
            <w:tcBorders>
              <w:top w:val="single" w:sz="4" w:space="0" w:color="auto"/>
              <w:left w:val="nil"/>
              <w:bottom w:val="nil"/>
              <w:right w:val="nil"/>
            </w:tcBorders>
          </w:tcPr>
          <w:p w14:paraId="05F485CD" w14:textId="22449497" w:rsidR="0086195B" w:rsidRPr="00BA0E8D" w:rsidRDefault="0086195B" w:rsidP="0086195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No. of observations</w:t>
            </w:r>
          </w:p>
        </w:tc>
        <w:tc>
          <w:tcPr>
            <w:tcW w:w="1184" w:type="dxa"/>
            <w:tcBorders>
              <w:top w:val="single" w:sz="4" w:space="0" w:color="auto"/>
              <w:left w:val="nil"/>
              <w:bottom w:val="nil"/>
              <w:right w:val="nil"/>
            </w:tcBorders>
          </w:tcPr>
          <w:p w14:paraId="10BDCD70"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3" w:type="dxa"/>
            <w:tcBorders>
              <w:top w:val="single" w:sz="4" w:space="0" w:color="auto"/>
              <w:left w:val="nil"/>
              <w:bottom w:val="nil"/>
              <w:right w:val="nil"/>
            </w:tcBorders>
          </w:tcPr>
          <w:p w14:paraId="5C7EEB7F"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2" w:type="dxa"/>
            <w:tcBorders>
              <w:top w:val="single" w:sz="4" w:space="0" w:color="auto"/>
              <w:left w:val="nil"/>
              <w:bottom w:val="nil"/>
              <w:right w:val="nil"/>
            </w:tcBorders>
          </w:tcPr>
          <w:p w14:paraId="0C1D4E9E"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220" w:type="dxa"/>
            <w:tcBorders>
              <w:top w:val="single" w:sz="4" w:space="0" w:color="auto"/>
              <w:left w:val="nil"/>
              <w:bottom w:val="nil"/>
              <w:right w:val="nil"/>
            </w:tcBorders>
          </w:tcPr>
          <w:p w14:paraId="5B5DB0F4"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3" w:type="dxa"/>
            <w:tcBorders>
              <w:top w:val="single" w:sz="4" w:space="0" w:color="auto"/>
              <w:left w:val="nil"/>
              <w:bottom w:val="nil"/>
              <w:right w:val="nil"/>
            </w:tcBorders>
          </w:tcPr>
          <w:p w14:paraId="345A6B44"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3" w:type="dxa"/>
            <w:tcBorders>
              <w:top w:val="single" w:sz="4" w:space="0" w:color="auto"/>
              <w:left w:val="nil"/>
              <w:bottom w:val="nil"/>
              <w:right w:val="nil"/>
            </w:tcBorders>
          </w:tcPr>
          <w:p w14:paraId="0BD1D564"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3" w:type="dxa"/>
            <w:tcBorders>
              <w:top w:val="single" w:sz="4" w:space="0" w:color="auto"/>
              <w:left w:val="nil"/>
              <w:bottom w:val="nil"/>
              <w:right w:val="nil"/>
            </w:tcBorders>
          </w:tcPr>
          <w:p w14:paraId="0BF40DF6"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372" w:type="dxa"/>
            <w:tcBorders>
              <w:top w:val="single" w:sz="4" w:space="0" w:color="auto"/>
              <w:left w:val="nil"/>
              <w:bottom w:val="nil"/>
              <w:right w:val="nil"/>
            </w:tcBorders>
          </w:tcPr>
          <w:p w14:paraId="2CC8456C"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155" w:type="dxa"/>
            <w:tcBorders>
              <w:top w:val="single" w:sz="4" w:space="0" w:color="auto"/>
              <w:left w:val="nil"/>
              <w:bottom w:val="nil"/>
              <w:right w:val="nil"/>
            </w:tcBorders>
          </w:tcPr>
          <w:p w14:paraId="1A1C1CC6"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r>
      <w:tr w:rsidR="0086195B" w:rsidRPr="00BA0E8D" w14:paraId="52B95B78" w14:textId="77777777" w:rsidTr="00894076">
        <w:trPr>
          <w:trHeight w:val="265"/>
        </w:trPr>
        <w:tc>
          <w:tcPr>
            <w:tcW w:w="2290" w:type="dxa"/>
            <w:tcBorders>
              <w:top w:val="nil"/>
              <w:left w:val="nil"/>
              <w:bottom w:val="nil"/>
              <w:right w:val="nil"/>
            </w:tcBorders>
          </w:tcPr>
          <w:p w14:paraId="43AECAD3" w14:textId="3C051EED" w:rsidR="0086195B" w:rsidRPr="00BA0E8D" w:rsidRDefault="0086195B" w:rsidP="0086195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Hansen test p-value</w:t>
            </w:r>
          </w:p>
        </w:tc>
        <w:tc>
          <w:tcPr>
            <w:tcW w:w="1184" w:type="dxa"/>
            <w:tcBorders>
              <w:top w:val="nil"/>
              <w:left w:val="nil"/>
              <w:bottom w:val="nil"/>
              <w:right w:val="nil"/>
            </w:tcBorders>
          </w:tcPr>
          <w:p w14:paraId="23A7EC07"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0.676</w:t>
            </w:r>
          </w:p>
        </w:tc>
        <w:tc>
          <w:tcPr>
            <w:tcW w:w="1373" w:type="dxa"/>
            <w:tcBorders>
              <w:top w:val="nil"/>
              <w:left w:val="nil"/>
              <w:bottom w:val="nil"/>
              <w:right w:val="nil"/>
            </w:tcBorders>
          </w:tcPr>
          <w:p w14:paraId="7C16872E"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0.671</w:t>
            </w:r>
          </w:p>
        </w:tc>
        <w:tc>
          <w:tcPr>
            <w:tcW w:w="1372" w:type="dxa"/>
            <w:tcBorders>
              <w:top w:val="nil"/>
              <w:left w:val="nil"/>
              <w:bottom w:val="nil"/>
              <w:right w:val="nil"/>
            </w:tcBorders>
          </w:tcPr>
          <w:p w14:paraId="074CEA39"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0.538</w:t>
            </w:r>
          </w:p>
        </w:tc>
        <w:tc>
          <w:tcPr>
            <w:tcW w:w="1220" w:type="dxa"/>
            <w:tcBorders>
              <w:top w:val="nil"/>
              <w:left w:val="nil"/>
              <w:bottom w:val="nil"/>
              <w:right w:val="nil"/>
            </w:tcBorders>
          </w:tcPr>
          <w:p w14:paraId="2CC23F96"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0.422</w:t>
            </w:r>
          </w:p>
        </w:tc>
        <w:tc>
          <w:tcPr>
            <w:tcW w:w="1373" w:type="dxa"/>
            <w:tcBorders>
              <w:top w:val="nil"/>
              <w:left w:val="nil"/>
              <w:bottom w:val="nil"/>
              <w:right w:val="nil"/>
            </w:tcBorders>
          </w:tcPr>
          <w:p w14:paraId="330E1DC8"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0.424</w:t>
            </w:r>
          </w:p>
        </w:tc>
        <w:tc>
          <w:tcPr>
            <w:tcW w:w="1373" w:type="dxa"/>
            <w:tcBorders>
              <w:top w:val="nil"/>
              <w:left w:val="nil"/>
              <w:bottom w:val="nil"/>
              <w:right w:val="nil"/>
            </w:tcBorders>
          </w:tcPr>
          <w:p w14:paraId="3F9955A7"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0.523</w:t>
            </w:r>
          </w:p>
        </w:tc>
        <w:tc>
          <w:tcPr>
            <w:tcW w:w="1373" w:type="dxa"/>
            <w:tcBorders>
              <w:top w:val="nil"/>
              <w:left w:val="nil"/>
              <w:bottom w:val="nil"/>
              <w:right w:val="nil"/>
            </w:tcBorders>
          </w:tcPr>
          <w:p w14:paraId="7877B2E5"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0.423</w:t>
            </w:r>
          </w:p>
        </w:tc>
        <w:tc>
          <w:tcPr>
            <w:tcW w:w="1372" w:type="dxa"/>
            <w:tcBorders>
              <w:top w:val="nil"/>
              <w:left w:val="nil"/>
              <w:bottom w:val="nil"/>
              <w:right w:val="nil"/>
            </w:tcBorders>
          </w:tcPr>
          <w:p w14:paraId="2316E31E"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0.939</w:t>
            </w:r>
          </w:p>
        </w:tc>
        <w:tc>
          <w:tcPr>
            <w:tcW w:w="1155" w:type="dxa"/>
            <w:tcBorders>
              <w:top w:val="nil"/>
              <w:left w:val="nil"/>
              <w:bottom w:val="nil"/>
              <w:right w:val="nil"/>
            </w:tcBorders>
          </w:tcPr>
          <w:p w14:paraId="4013CD57"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0.623</w:t>
            </w:r>
          </w:p>
        </w:tc>
      </w:tr>
      <w:tr w:rsidR="0086195B" w:rsidRPr="00BA0E8D" w14:paraId="231CED34" w14:textId="77777777" w:rsidTr="00894076">
        <w:trPr>
          <w:trHeight w:val="249"/>
        </w:trPr>
        <w:tc>
          <w:tcPr>
            <w:tcW w:w="2290" w:type="dxa"/>
            <w:tcBorders>
              <w:top w:val="nil"/>
              <w:left w:val="nil"/>
              <w:right w:val="nil"/>
            </w:tcBorders>
          </w:tcPr>
          <w:p w14:paraId="2BF6F4C5" w14:textId="2B803B2C" w:rsidR="0086195B" w:rsidRPr="00BA0E8D" w:rsidRDefault="0086195B" w:rsidP="0086195B">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20"/>
                <w:szCs w:val="20"/>
              </w:rPr>
              <w:t>AR(</w:t>
            </w:r>
            <w:proofErr w:type="gramEnd"/>
            <w:r w:rsidRPr="00BA0E8D">
              <w:rPr>
                <w:rFonts w:ascii="Times New Roman" w:hAnsi="Times New Roman"/>
                <w:sz w:val="20"/>
                <w:szCs w:val="20"/>
              </w:rPr>
              <w:t>1) test p-value</w:t>
            </w:r>
          </w:p>
        </w:tc>
        <w:tc>
          <w:tcPr>
            <w:tcW w:w="1184" w:type="dxa"/>
            <w:tcBorders>
              <w:top w:val="nil"/>
              <w:left w:val="nil"/>
              <w:right w:val="nil"/>
            </w:tcBorders>
          </w:tcPr>
          <w:p w14:paraId="3C18EBCE"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73" w:type="dxa"/>
            <w:tcBorders>
              <w:top w:val="nil"/>
              <w:left w:val="nil"/>
              <w:right w:val="nil"/>
            </w:tcBorders>
          </w:tcPr>
          <w:p w14:paraId="231B0731"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72" w:type="dxa"/>
            <w:tcBorders>
              <w:top w:val="nil"/>
              <w:left w:val="nil"/>
              <w:right w:val="nil"/>
            </w:tcBorders>
          </w:tcPr>
          <w:p w14:paraId="5EEFB5F8"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220" w:type="dxa"/>
            <w:tcBorders>
              <w:top w:val="nil"/>
              <w:left w:val="nil"/>
              <w:right w:val="nil"/>
            </w:tcBorders>
          </w:tcPr>
          <w:p w14:paraId="2D24DCC3"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3" w:type="dxa"/>
            <w:tcBorders>
              <w:top w:val="nil"/>
              <w:left w:val="nil"/>
              <w:right w:val="nil"/>
            </w:tcBorders>
          </w:tcPr>
          <w:p w14:paraId="7A35ED5E"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373" w:type="dxa"/>
            <w:tcBorders>
              <w:top w:val="nil"/>
              <w:left w:val="nil"/>
              <w:right w:val="nil"/>
            </w:tcBorders>
          </w:tcPr>
          <w:p w14:paraId="01E028C3"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73" w:type="dxa"/>
            <w:tcBorders>
              <w:top w:val="nil"/>
              <w:left w:val="nil"/>
              <w:right w:val="nil"/>
            </w:tcBorders>
          </w:tcPr>
          <w:p w14:paraId="0F886CD3"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372" w:type="dxa"/>
            <w:tcBorders>
              <w:top w:val="nil"/>
              <w:left w:val="nil"/>
              <w:right w:val="nil"/>
            </w:tcBorders>
          </w:tcPr>
          <w:p w14:paraId="7FC3A607"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155" w:type="dxa"/>
            <w:tcBorders>
              <w:top w:val="nil"/>
              <w:left w:val="nil"/>
              <w:right w:val="nil"/>
            </w:tcBorders>
          </w:tcPr>
          <w:p w14:paraId="0FC56769"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r>
      <w:tr w:rsidR="0086195B" w:rsidRPr="00BA0E8D" w14:paraId="3C691017" w14:textId="77777777" w:rsidTr="00894076">
        <w:trPr>
          <w:trHeight w:val="265"/>
        </w:trPr>
        <w:tc>
          <w:tcPr>
            <w:tcW w:w="2290" w:type="dxa"/>
            <w:tcBorders>
              <w:top w:val="nil"/>
              <w:left w:val="nil"/>
              <w:bottom w:val="single" w:sz="4" w:space="0" w:color="auto"/>
              <w:right w:val="nil"/>
            </w:tcBorders>
          </w:tcPr>
          <w:p w14:paraId="27C4B75D" w14:textId="716ACEFD" w:rsidR="0086195B" w:rsidRPr="00BA0E8D" w:rsidRDefault="0086195B" w:rsidP="0086195B">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20"/>
                <w:szCs w:val="20"/>
              </w:rPr>
              <w:t>AR(</w:t>
            </w:r>
            <w:proofErr w:type="gramEnd"/>
            <w:r w:rsidRPr="00BA0E8D">
              <w:rPr>
                <w:rFonts w:ascii="Times New Roman" w:hAnsi="Times New Roman"/>
                <w:sz w:val="20"/>
                <w:szCs w:val="20"/>
              </w:rPr>
              <w:t>2) test p-value</w:t>
            </w:r>
          </w:p>
        </w:tc>
        <w:tc>
          <w:tcPr>
            <w:tcW w:w="1184" w:type="dxa"/>
            <w:tcBorders>
              <w:top w:val="nil"/>
              <w:left w:val="nil"/>
              <w:bottom w:val="single" w:sz="4" w:space="0" w:color="auto"/>
              <w:right w:val="nil"/>
            </w:tcBorders>
          </w:tcPr>
          <w:p w14:paraId="40BB2B99"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0.906</w:t>
            </w:r>
          </w:p>
        </w:tc>
        <w:tc>
          <w:tcPr>
            <w:tcW w:w="1373" w:type="dxa"/>
            <w:tcBorders>
              <w:top w:val="nil"/>
              <w:left w:val="nil"/>
              <w:bottom w:val="single" w:sz="4" w:space="0" w:color="auto"/>
              <w:right w:val="nil"/>
            </w:tcBorders>
          </w:tcPr>
          <w:p w14:paraId="67846AFD"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0.888</w:t>
            </w:r>
          </w:p>
        </w:tc>
        <w:tc>
          <w:tcPr>
            <w:tcW w:w="1372" w:type="dxa"/>
            <w:tcBorders>
              <w:top w:val="nil"/>
              <w:left w:val="nil"/>
              <w:bottom w:val="single" w:sz="4" w:space="0" w:color="auto"/>
              <w:right w:val="nil"/>
            </w:tcBorders>
          </w:tcPr>
          <w:p w14:paraId="5E096704"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0.911</w:t>
            </w:r>
          </w:p>
        </w:tc>
        <w:tc>
          <w:tcPr>
            <w:tcW w:w="1220" w:type="dxa"/>
            <w:tcBorders>
              <w:top w:val="nil"/>
              <w:left w:val="nil"/>
              <w:bottom w:val="single" w:sz="4" w:space="0" w:color="auto"/>
              <w:right w:val="nil"/>
            </w:tcBorders>
          </w:tcPr>
          <w:p w14:paraId="29C1EF01"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0.868</w:t>
            </w:r>
          </w:p>
        </w:tc>
        <w:tc>
          <w:tcPr>
            <w:tcW w:w="1373" w:type="dxa"/>
            <w:tcBorders>
              <w:top w:val="nil"/>
              <w:left w:val="nil"/>
              <w:bottom w:val="single" w:sz="4" w:space="0" w:color="auto"/>
              <w:right w:val="nil"/>
            </w:tcBorders>
          </w:tcPr>
          <w:p w14:paraId="0FFAB815"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0.865</w:t>
            </w:r>
          </w:p>
        </w:tc>
        <w:tc>
          <w:tcPr>
            <w:tcW w:w="1373" w:type="dxa"/>
            <w:tcBorders>
              <w:top w:val="nil"/>
              <w:left w:val="nil"/>
              <w:bottom w:val="single" w:sz="4" w:space="0" w:color="auto"/>
              <w:right w:val="nil"/>
            </w:tcBorders>
          </w:tcPr>
          <w:p w14:paraId="2074B261"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0.934</w:t>
            </w:r>
          </w:p>
        </w:tc>
        <w:tc>
          <w:tcPr>
            <w:tcW w:w="1373" w:type="dxa"/>
            <w:tcBorders>
              <w:top w:val="nil"/>
              <w:left w:val="nil"/>
              <w:bottom w:val="single" w:sz="4" w:space="0" w:color="auto"/>
              <w:right w:val="nil"/>
            </w:tcBorders>
          </w:tcPr>
          <w:p w14:paraId="37EC0848"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0.940</w:t>
            </w:r>
          </w:p>
        </w:tc>
        <w:tc>
          <w:tcPr>
            <w:tcW w:w="1372" w:type="dxa"/>
            <w:tcBorders>
              <w:top w:val="nil"/>
              <w:left w:val="nil"/>
              <w:bottom w:val="single" w:sz="4" w:space="0" w:color="auto"/>
              <w:right w:val="nil"/>
            </w:tcBorders>
          </w:tcPr>
          <w:p w14:paraId="75069236"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0.882</w:t>
            </w:r>
          </w:p>
        </w:tc>
        <w:tc>
          <w:tcPr>
            <w:tcW w:w="1155" w:type="dxa"/>
            <w:tcBorders>
              <w:top w:val="nil"/>
              <w:left w:val="nil"/>
              <w:bottom w:val="single" w:sz="4" w:space="0" w:color="auto"/>
              <w:right w:val="nil"/>
            </w:tcBorders>
          </w:tcPr>
          <w:p w14:paraId="18241C94" w14:textId="77777777" w:rsidR="0086195B" w:rsidRPr="00BA0E8D" w:rsidRDefault="0086195B" w:rsidP="0086195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0.911</w:t>
            </w:r>
          </w:p>
        </w:tc>
      </w:tr>
    </w:tbl>
    <w:p w14:paraId="0C2AE6DF" w14:textId="65BB76B2"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This table shows the dynamic system GMM estimation results for the effect of credit information on bank credit intermediation cost. Time</w:t>
      </w:r>
      <w:r w:rsidR="0031463E">
        <w:rPr>
          <w:rFonts w:ascii="Times New Roman" w:hAnsi="Times New Roman"/>
          <w:sz w:val="20"/>
          <w:szCs w:val="20"/>
        </w:rPr>
        <w:t xml:space="preserve"> </w:t>
      </w:r>
      <w:r w:rsidRPr="00BA0E8D">
        <w:rPr>
          <w:rFonts w:ascii="Times New Roman" w:hAnsi="Times New Roman"/>
          <w:sz w:val="20"/>
          <w:szCs w:val="20"/>
        </w:rPr>
        <w:t>ﬁxed</w:t>
      </w:r>
      <w:r w:rsidR="00025B5C">
        <w:rPr>
          <w:rFonts w:ascii="Times New Roman" w:hAnsi="Times New Roman"/>
          <w:sz w:val="20"/>
          <w:szCs w:val="20"/>
        </w:rPr>
        <w:t>-</w:t>
      </w:r>
      <w:r w:rsidR="0031463E">
        <w:rPr>
          <w:rFonts w:ascii="Times New Roman" w:hAnsi="Times New Roman"/>
          <w:sz w:val="20"/>
          <w:szCs w:val="20"/>
        </w:rPr>
        <w:t>effects</w:t>
      </w:r>
      <w:r w:rsidR="0031463E" w:rsidRPr="00BA0E8D">
        <w:rPr>
          <w:rFonts w:ascii="Times New Roman" w:hAnsi="Times New Roman"/>
          <w:sz w:val="20"/>
          <w:szCs w:val="20"/>
        </w:rPr>
        <w:t xml:space="preserve"> </w:t>
      </w:r>
      <w:r w:rsidRPr="00BA0E8D">
        <w:rPr>
          <w:rFonts w:ascii="Times New Roman" w:hAnsi="Times New Roman"/>
          <w:sz w:val="20"/>
          <w:szCs w:val="20"/>
        </w:rPr>
        <w:t xml:space="preserve">are included in all estimations. All variables are as described in Table 1. Robust </w:t>
      </w:r>
      <w:proofErr w:type="spellStart"/>
      <w:r w:rsidRPr="00BA0E8D">
        <w:rPr>
          <w:rFonts w:ascii="Times New Roman" w:hAnsi="Times New Roman"/>
          <w:sz w:val="20"/>
          <w:szCs w:val="20"/>
        </w:rPr>
        <w:t>Windmeijer</w:t>
      </w:r>
      <w:proofErr w:type="spellEnd"/>
      <w:r w:rsidRPr="00BA0E8D">
        <w:rPr>
          <w:rFonts w:ascii="Times New Roman" w:hAnsi="Times New Roman"/>
          <w:sz w:val="20"/>
          <w:szCs w:val="20"/>
        </w:rPr>
        <w:t xml:space="preserve"> (2005) ﬁnite-sample corrected standard errors are in parentheses.</w:t>
      </w:r>
    </w:p>
    <w:p w14:paraId="64E7AF08" w14:textId="77777777"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10%</w:t>
      </w:r>
    </w:p>
    <w:p w14:paraId="2732C4B0" w14:textId="77777777"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 xml:space="preserve">**    </w:t>
      </w:r>
      <w:r w:rsidRPr="00BA0E8D">
        <w:rPr>
          <w:rFonts w:ascii="Times New Roman" w:hAnsi="Times New Roman"/>
          <w:iCs/>
          <w:sz w:val="20"/>
          <w:szCs w:val="20"/>
        </w:rPr>
        <w:t>Indicates signiﬁcance at 5%</w:t>
      </w:r>
      <w:r w:rsidRPr="00BA0E8D">
        <w:rPr>
          <w:rFonts w:ascii="Times New Roman" w:hAnsi="Times New Roman"/>
          <w:sz w:val="20"/>
          <w:szCs w:val="20"/>
        </w:rPr>
        <w:t xml:space="preserve"> </w:t>
      </w:r>
    </w:p>
    <w:p w14:paraId="61B0544D" w14:textId="77777777" w:rsidR="00113846" w:rsidRPr="00BA0E8D" w:rsidRDefault="00113846" w:rsidP="00113846">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w:t>
      </w:r>
    </w:p>
    <w:p w14:paraId="156ACE5D"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05F2EB12" w14:textId="4E0D9D37" w:rsidR="00864400" w:rsidRPr="0031463E" w:rsidRDefault="00864400" w:rsidP="00864400">
      <w:pPr>
        <w:jc w:val="both"/>
        <w:rPr>
          <w:rFonts w:ascii="Times New Roman" w:hAnsi="Times New Roman"/>
          <w:b/>
          <w:color w:val="000000" w:themeColor="text1"/>
        </w:rPr>
      </w:pPr>
      <w:r w:rsidRPr="0031463E">
        <w:rPr>
          <w:rFonts w:ascii="Times New Roman" w:hAnsi="Times New Roman"/>
          <w:b/>
          <w:color w:val="000000" w:themeColor="text1"/>
        </w:rPr>
        <w:t xml:space="preserve">Table 7: </w:t>
      </w:r>
      <w:r w:rsidR="002F599E" w:rsidRPr="0031463E">
        <w:rPr>
          <w:rFonts w:ascii="Times New Roman" w:hAnsi="Times New Roman"/>
          <w:b/>
          <w:color w:val="000000" w:themeColor="text1"/>
          <w:sz w:val="24"/>
          <w:szCs w:val="24"/>
        </w:rPr>
        <w:t>Regression results of depth of credit information sharing and credit intermediation cost at specified levels of governance</w:t>
      </w:r>
    </w:p>
    <w:tbl>
      <w:tblPr>
        <w:tblStyle w:val="LightShading-Accent1"/>
        <w:tblW w:w="5325" w:type="pct"/>
        <w:tblLayout w:type="fixed"/>
        <w:tblLook w:val="0660" w:firstRow="1" w:lastRow="1" w:firstColumn="0" w:lastColumn="0" w:noHBand="1" w:noVBand="1"/>
      </w:tblPr>
      <w:tblGrid>
        <w:gridCol w:w="2822"/>
        <w:gridCol w:w="2153"/>
        <w:gridCol w:w="2483"/>
        <w:gridCol w:w="2483"/>
        <w:gridCol w:w="2462"/>
        <w:gridCol w:w="2462"/>
      </w:tblGrid>
      <w:tr w:rsidR="00864400" w:rsidRPr="00911DA1" w14:paraId="378AD5AD" w14:textId="77777777" w:rsidTr="00894076">
        <w:trPr>
          <w:cnfStyle w:val="100000000000" w:firstRow="1" w:lastRow="0" w:firstColumn="0" w:lastColumn="0" w:oddVBand="0" w:evenVBand="0" w:oddHBand="0" w:evenHBand="0" w:firstRowFirstColumn="0" w:firstRowLastColumn="0" w:lastRowFirstColumn="0" w:lastRowLastColumn="0"/>
          <w:trHeight w:val="394"/>
        </w:trPr>
        <w:tc>
          <w:tcPr>
            <w:tcW w:w="949" w:type="pct"/>
            <w:tcBorders>
              <w:top w:val="single" w:sz="4" w:space="0" w:color="auto"/>
              <w:bottom w:val="single" w:sz="4" w:space="0" w:color="auto"/>
            </w:tcBorders>
          </w:tcPr>
          <w:p w14:paraId="0EF4F3CB" w14:textId="369A15DB" w:rsidR="00864400" w:rsidRPr="0031463E" w:rsidRDefault="00864400" w:rsidP="00691A3C">
            <w:pPr>
              <w:rPr>
                <w:rFonts w:ascii="Times New Roman" w:hAnsi="Times New Roman" w:cs="Times New Roman"/>
                <w:color w:val="000000" w:themeColor="text1"/>
                <w:lang w:val="en-GB"/>
              </w:rPr>
            </w:pPr>
            <w:r w:rsidRPr="0031463E">
              <w:rPr>
                <w:rFonts w:ascii="Times New Roman" w:hAnsi="Times New Roman"/>
                <w:color w:val="000000" w:themeColor="text1"/>
              </w:rPr>
              <w:t>Governance</w:t>
            </w:r>
            <w:r w:rsidR="00691A3C" w:rsidRPr="0031463E">
              <w:rPr>
                <w:rFonts w:ascii="Times New Roman" w:hAnsi="Times New Roman"/>
                <w:color w:val="000000" w:themeColor="text1"/>
              </w:rPr>
              <w:t xml:space="preserve"> A</w:t>
            </w:r>
            <w:r w:rsidRPr="0031463E">
              <w:rPr>
                <w:rFonts w:ascii="Times New Roman" w:hAnsi="Times New Roman"/>
                <w:color w:val="000000" w:themeColor="text1"/>
              </w:rPr>
              <w:t>t:</w:t>
            </w:r>
          </w:p>
        </w:tc>
        <w:tc>
          <w:tcPr>
            <w:tcW w:w="724" w:type="pct"/>
            <w:tcBorders>
              <w:top w:val="single" w:sz="4" w:space="0" w:color="auto"/>
              <w:bottom w:val="single" w:sz="4" w:space="0" w:color="auto"/>
            </w:tcBorders>
          </w:tcPr>
          <w:p w14:paraId="66397F05"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25</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835" w:type="pct"/>
            <w:tcBorders>
              <w:top w:val="single" w:sz="4" w:space="0" w:color="auto"/>
              <w:bottom w:val="single" w:sz="4" w:space="0" w:color="auto"/>
            </w:tcBorders>
          </w:tcPr>
          <w:p w14:paraId="46CADF92"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50</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835" w:type="pct"/>
            <w:tcBorders>
              <w:top w:val="single" w:sz="4" w:space="0" w:color="auto"/>
              <w:bottom w:val="single" w:sz="4" w:space="0" w:color="auto"/>
            </w:tcBorders>
          </w:tcPr>
          <w:p w14:paraId="6FEFCE6F"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75</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828" w:type="pct"/>
            <w:tcBorders>
              <w:top w:val="single" w:sz="4" w:space="0" w:color="auto"/>
              <w:bottom w:val="single" w:sz="4" w:space="0" w:color="auto"/>
            </w:tcBorders>
          </w:tcPr>
          <w:p w14:paraId="5DCF75D4"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Change</w:t>
            </w:r>
          </w:p>
        </w:tc>
        <w:tc>
          <w:tcPr>
            <w:tcW w:w="828" w:type="pct"/>
            <w:tcBorders>
              <w:top w:val="single" w:sz="4" w:space="0" w:color="auto"/>
              <w:bottom w:val="single" w:sz="4" w:space="0" w:color="auto"/>
            </w:tcBorders>
          </w:tcPr>
          <w:p w14:paraId="7AE82971" w14:textId="77777777" w:rsidR="00864400" w:rsidRPr="0031463E" w:rsidRDefault="00864400" w:rsidP="00161E52">
            <w:pPr>
              <w:rPr>
                <w:rFonts w:ascii="Times New Roman" w:hAnsi="Times New Roman" w:cs="Times New Roman"/>
                <w:color w:val="000000" w:themeColor="text1"/>
                <w:lang w:val="en-GB"/>
              </w:rPr>
            </w:pPr>
            <w:r w:rsidRPr="0031463E">
              <w:rPr>
                <w:rFonts w:ascii="Times New Roman" w:hAnsi="Times New Roman"/>
                <w:color w:val="000000" w:themeColor="text1"/>
              </w:rPr>
              <w:t>Based on</w:t>
            </w:r>
          </w:p>
        </w:tc>
      </w:tr>
      <w:tr w:rsidR="00864400" w:rsidRPr="00911DA1" w14:paraId="51A6FBBC" w14:textId="77777777" w:rsidTr="00161E52">
        <w:trPr>
          <w:trHeight w:val="493"/>
        </w:trPr>
        <w:tc>
          <w:tcPr>
            <w:tcW w:w="949" w:type="pct"/>
            <w:tcBorders>
              <w:top w:val="single" w:sz="4" w:space="0" w:color="auto"/>
            </w:tcBorders>
          </w:tcPr>
          <w:p w14:paraId="643430FA"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Governance indicator:</w:t>
            </w:r>
          </w:p>
        </w:tc>
        <w:tc>
          <w:tcPr>
            <w:tcW w:w="724" w:type="pct"/>
            <w:tcBorders>
              <w:top w:val="single" w:sz="4" w:space="0" w:color="auto"/>
            </w:tcBorders>
          </w:tcPr>
          <w:p w14:paraId="4147CC93"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35" w:type="pct"/>
            <w:tcBorders>
              <w:top w:val="single" w:sz="4" w:space="0" w:color="auto"/>
            </w:tcBorders>
          </w:tcPr>
          <w:p w14:paraId="7A7FF080"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35" w:type="pct"/>
            <w:tcBorders>
              <w:top w:val="single" w:sz="4" w:space="0" w:color="auto"/>
            </w:tcBorders>
          </w:tcPr>
          <w:p w14:paraId="193A5B2F"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28" w:type="pct"/>
            <w:tcBorders>
              <w:top w:val="single" w:sz="4" w:space="0" w:color="auto"/>
            </w:tcBorders>
          </w:tcPr>
          <w:p w14:paraId="6EC8D723"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c>
          <w:tcPr>
            <w:tcW w:w="828" w:type="pct"/>
            <w:tcBorders>
              <w:top w:val="single" w:sz="4" w:space="0" w:color="auto"/>
            </w:tcBorders>
          </w:tcPr>
          <w:p w14:paraId="29F25B58" w14:textId="77777777" w:rsidR="00864400" w:rsidRPr="0031463E" w:rsidRDefault="00864400" w:rsidP="00161E52">
            <w:pPr>
              <w:pStyle w:val="DecimalAligned"/>
              <w:spacing w:after="0"/>
              <w:rPr>
                <w:rFonts w:ascii="Times New Roman" w:hAnsi="Times New Roman" w:cs="Times New Roman"/>
                <w:color w:val="000000" w:themeColor="text1"/>
                <w:lang w:val="en-GB"/>
              </w:rPr>
            </w:pPr>
          </w:p>
        </w:tc>
      </w:tr>
      <w:tr w:rsidR="00864400" w:rsidRPr="00911DA1" w14:paraId="3C09972B" w14:textId="77777777" w:rsidTr="00161E52">
        <w:trPr>
          <w:trHeight w:val="506"/>
        </w:trPr>
        <w:tc>
          <w:tcPr>
            <w:tcW w:w="949" w:type="pct"/>
            <w:tcBorders>
              <w:bottom w:val="nil"/>
            </w:tcBorders>
          </w:tcPr>
          <w:p w14:paraId="0E14410E" w14:textId="77777777" w:rsidR="00864400" w:rsidRPr="0031463E" w:rsidRDefault="00864400"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Rule of Law</w:t>
            </w:r>
            <w:r w:rsidRPr="0031463E">
              <w:rPr>
                <w:rFonts w:ascii="Times New Roman" w:hAnsi="Times New Roman"/>
                <w:color w:val="000000" w:themeColor="text1"/>
                <w:lang w:val="en-GB"/>
              </w:rPr>
              <w:tab/>
            </w:r>
          </w:p>
        </w:tc>
        <w:tc>
          <w:tcPr>
            <w:tcW w:w="724" w:type="pct"/>
            <w:tcBorders>
              <w:bottom w:val="nil"/>
            </w:tcBorders>
          </w:tcPr>
          <w:p w14:paraId="3A105CD3"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-0.439***</w:t>
            </w:r>
          </w:p>
          <w:p w14:paraId="20C5E0F9"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(0.098)</w:t>
            </w:r>
          </w:p>
        </w:tc>
        <w:tc>
          <w:tcPr>
            <w:tcW w:w="835" w:type="pct"/>
            <w:tcBorders>
              <w:bottom w:val="nil"/>
            </w:tcBorders>
          </w:tcPr>
          <w:p w14:paraId="62546D86"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-0.361***</w:t>
            </w:r>
          </w:p>
          <w:p w14:paraId="5BFA88F1"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(0.079)</w:t>
            </w:r>
          </w:p>
        </w:tc>
        <w:tc>
          <w:tcPr>
            <w:tcW w:w="835" w:type="pct"/>
            <w:tcBorders>
              <w:bottom w:val="nil"/>
            </w:tcBorders>
          </w:tcPr>
          <w:p w14:paraId="35646888"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-0.272***</w:t>
            </w:r>
          </w:p>
          <w:p w14:paraId="680B0138"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(0.077)</w:t>
            </w:r>
          </w:p>
        </w:tc>
        <w:tc>
          <w:tcPr>
            <w:tcW w:w="828" w:type="pct"/>
            <w:tcBorders>
              <w:bottom w:val="nil"/>
            </w:tcBorders>
          </w:tcPr>
          <w:p w14:paraId="093ABD0E"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-0.167**</w:t>
            </w:r>
          </w:p>
          <w:p w14:paraId="2D73714B"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(0.081)</w:t>
            </w:r>
          </w:p>
        </w:tc>
        <w:tc>
          <w:tcPr>
            <w:tcW w:w="828" w:type="pct"/>
            <w:tcBorders>
              <w:bottom w:val="nil"/>
            </w:tcBorders>
          </w:tcPr>
          <w:p w14:paraId="40CE0E5B" w14:textId="6AF79456"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B819A9" w:rsidRPr="0031463E">
              <w:rPr>
                <w:rFonts w:ascii="Times New Roman" w:hAnsi="Times New Roman"/>
                <w:color w:val="000000" w:themeColor="text1"/>
                <w:lang w:val="en-GB"/>
              </w:rPr>
              <w:t>6</w:t>
            </w:r>
            <w:r w:rsidRPr="0031463E">
              <w:rPr>
                <w:rFonts w:ascii="Times New Roman" w:hAnsi="Times New Roman"/>
                <w:color w:val="000000" w:themeColor="text1"/>
                <w:lang w:val="en-GB"/>
              </w:rPr>
              <w:t>, Column 1</w:t>
            </w:r>
          </w:p>
        </w:tc>
      </w:tr>
      <w:tr w:rsidR="00864400" w:rsidRPr="00911DA1" w14:paraId="5736428B" w14:textId="77777777" w:rsidTr="00161E52">
        <w:trPr>
          <w:trHeight w:val="493"/>
        </w:trPr>
        <w:tc>
          <w:tcPr>
            <w:tcW w:w="949" w:type="pct"/>
            <w:tcBorders>
              <w:top w:val="nil"/>
              <w:bottom w:val="nil"/>
            </w:tcBorders>
          </w:tcPr>
          <w:p w14:paraId="1CA7618D" w14:textId="77777777" w:rsidR="00864400" w:rsidRPr="0031463E" w:rsidRDefault="00864400"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Regulatory quality</w:t>
            </w:r>
            <w:r w:rsidRPr="0031463E">
              <w:rPr>
                <w:rFonts w:ascii="Times New Roman" w:hAnsi="Times New Roman"/>
                <w:color w:val="000000" w:themeColor="text1"/>
                <w:lang w:val="en-GB"/>
              </w:rPr>
              <w:tab/>
            </w:r>
          </w:p>
        </w:tc>
        <w:tc>
          <w:tcPr>
            <w:tcW w:w="724" w:type="pct"/>
            <w:tcBorders>
              <w:top w:val="nil"/>
              <w:bottom w:val="nil"/>
            </w:tcBorders>
          </w:tcPr>
          <w:p w14:paraId="5C562614"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-0.426***</w:t>
            </w:r>
          </w:p>
          <w:p w14:paraId="6FFFAE85"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(0.078)</w:t>
            </w:r>
          </w:p>
        </w:tc>
        <w:tc>
          <w:tcPr>
            <w:tcW w:w="835" w:type="pct"/>
            <w:tcBorders>
              <w:top w:val="nil"/>
              <w:bottom w:val="nil"/>
            </w:tcBorders>
          </w:tcPr>
          <w:p w14:paraId="3ED71BAD"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-0.375***</w:t>
            </w:r>
          </w:p>
          <w:p w14:paraId="5D4DA352"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(0.072)</w:t>
            </w:r>
          </w:p>
        </w:tc>
        <w:tc>
          <w:tcPr>
            <w:tcW w:w="835" w:type="pct"/>
            <w:tcBorders>
              <w:top w:val="nil"/>
              <w:bottom w:val="nil"/>
            </w:tcBorders>
          </w:tcPr>
          <w:p w14:paraId="067F7B13"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-0.308***</w:t>
            </w:r>
          </w:p>
          <w:p w14:paraId="63A14C29"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(0.081)</w:t>
            </w:r>
          </w:p>
        </w:tc>
        <w:tc>
          <w:tcPr>
            <w:tcW w:w="828" w:type="pct"/>
            <w:tcBorders>
              <w:top w:val="nil"/>
              <w:bottom w:val="nil"/>
            </w:tcBorders>
          </w:tcPr>
          <w:p w14:paraId="3DF3ACF1"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-0.118**</w:t>
            </w:r>
          </w:p>
          <w:p w14:paraId="483E708B" w14:textId="77777777"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(0.076)</w:t>
            </w:r>
          </w:p>
        </w:tc>
        <w:tc>
          <w:tcPr>
            <w:tcW w:w="828" w:type="pct"/>
            <w:tcBorders>
              <w:top w:val="nil"/>
              <w:bottom w:val="nil"/>
            </w:tcBorders>
          </w:tcPr>
          <w:p w14:paraId="1E7059EB" w14:textId="37028AF9" w:rsidR="00864400" w:rsidRPr="0031463E" w:rsidRDefault="00864400"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B819A9" w:rsidRPr="0031463E">
              <w:rPr>
                <w:rFonts w:ascii="Times New Roman" w:hAnsi="Times New Roman"/>
                <w:color w:val="000000" w:themeColor="text1"/>
                <w:lang w:val="en-GB"/>
              </w:rPr>
              <w:t>6</w:t>
            </w:r>
            <w:r w:rsidRPr="0031463E">
              <w:rPr>
                <w:rFonts w:ascii="Times New Roman" w:hAnsi="Times New Roman"/>
                <w:color w:val="000000" w:themeColor="text1"/>
                <w:lang w:val="en-GB"/>
              </w:rPr>
              <w:t>, Column 2</w:t>
            </w:r>
          </w:p>
        </w:tc>
      </w:tr>
      <w:tr w:rsidR="00864400" w:rsidRPr="00911DA1" w14:paraId="1F9EE6A4" w14:textId="77777777" w:rsidTr="00161E52">
        <w:trPr>
          <w:cnfStyle w:val="010000000000" w:firstRow="0" w:lastRow="1" w:firstColumn="0" w:lastColumn="0" w:oddVBand="0" w:evenVBand="0" w:oddHBand="0" w:evenHBand="0" w:firstRowFirstColumn="0" w:firstRowLastColumn="0" w:lastRowFirstColumn="0" w:lastRowLastColumn="0"/>
          <w:trHeight w:val="506"/>
        </w:trPr>
        <w:tc>
          <w:tcPr>
            <w:tcW w:w="949" w:type="pct"/>
            <w:tcBorders>
              <w:top w:val="nil"/>
              <w:bottom w:val="single" w:sz="4" w:space="0" w:color="auto"/>
            </w:tcBorders>
          </w:tcPr>
          <w:p w14:paraId="7389549E" w14:textId="77777777" w:rsidR="00864400" w:rsidRPr="0031463E" w:rsidRDefault="00864400" w:rsidP="00161E52">
            <w:pPr>
              <w:pStyle w:val="DecimalAligned"/>
              <w:tabs>
                <w:tab w:val="right" w:pos="2017"/>
              </w:tabs>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Control of corruption</w:t>
            </w:r>
            <w:r w:rsidRPr="0031463E">
              <w:rPr>
                <w:rFonts w:ascii="Times New Roman" w:hAnsi="Times New Roman"/>
                <w:color w:val="000000" w:themeColor="text1"/>
                <w:lang w:val="en-GB"/>
              </w:rPr>
              <w:tab/>
            </w:r>
          </w:p>
        </w:tc>
        <w:tc>
          <w:tcPr>
            <w:tcW w:w="724" w:type="pct"/>
            <w:tcBorders>
              <w:top w:val="nil"/>
              <w:bottom w:val="single" w:sz="4" w:space="0" w:color="auto"/>
            </w:tcBorders>
          </w:tcPr>
          <w:p w14:paraId="76801AD2"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-0.487***</w:t>
            </w:r>
          </w:p>
          <w:p w14:paraId="2B91DA02"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(0.094)</w:t>
            </w:r>
          </w:p>
        </w:tc>
        <w:tc>
          <w:tcPr>
            <w:tcW w:w="835" w:type="pct"/>
            <w:tcBorders>
              <w:top w:val="nil"/>
              <w:bottom w:val="single" w:sz="4" w:space="0" w:color="auto"/>
            </w:tcBorders>
          </w:tcPr>
          <w:p w14:paraId="156551FA"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-0.409***</w:t>
            </w:r>
          </w:p>
          <w:p w14:paraId="6B068FBA"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(0.080)</w:t>
            </w:r>
          </w:p>
        </w:tc>
        <w:tc>
          <w:tcPr>
            <w:tcW w:w="835" w:type="pct"/>
            <w:tcBorders>
              <w:top w:val="nil"/>
              <w:bottom w:val="single" w:sz="4" w:space="0" w:color="auto"/>
            </w:tcBorders>
          </w:tcPr>
          <w:p w14:paraId="75C4BD57"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-0.306***</w:t>
            </w:r>
          </w:p>
          <w:p w14:paraId="17A0ACAB"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(0.080)</w:t>
            </w:r>
          </w:p>
        </w:tc>
        <w:tc>
          <w:tcPr>
            <w:tcW w:w="828" w:type="pct"/>
            <w:tcBorders>
              <w:top w:val="nil"/>
              <w:bottom w:val="single" w:sz="4" w:space="0" w:color="auto"/>
            </w:tcBorders>
          </w:tcPr>
          <w:p w14:paraId="0A0CCB8E"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-0.181**</w:t>
            </w:r>
          </w:p>
          <w:p w14:paraId="27E9B93D" w14:textId="77777777" w:rsidR="00864400" w:rsidRPr="0031463E" w:rsidRDefault="00864400" w:rsidP="00161E52">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(0.077)</w:t>
            </w:r>
          </w:p>
        </w:tc>
        <w:tc>
          <w:tcPr>
            <w:tcW w:w="828" w:type="pct"/>
            <w:tcBorders>
              <w:top w:val="nil"/>
              <w:bottom w:val="single" w:sz="4" w:space="0" w:color="auto"/>
            </w:tcBorders>
          </w:tcPr>
          <w:p w14:paraId="4C742AE8" w14:textId="779A434D" w:rsidR="00864400" w:rsidRPr="0031463E" w:rsidRDefault="00864400" w:rsidP="00B819A9">
            <w:pPr>
              <w:pStyle w:val="DecimalAligned"/>
              <w:spacing w:after="0"/>
              <w:rPr>
                <w:rFonts w:ascii="Times New Roman" w:hAnsi="Times New Roman" w:cs="Times New Roman"/>
                <w:b w:val="0"/>
                <w:color w:val="000000" w:themeColor="text1"/>
                <w:lang w:val="en-GB"/>
              </w:rPr>
            </w:pPr>
            <w:r w:rsidRPr="0031463E">
              <w:rPr>
                <w:rFonts w:ascii="Times New Roman" w:hAnsi="Times New Roman"/>
                <w:color w:val="000000" w:themeColor="text1"/>
                <w:lang w:val="en-GB"/>
              </w:rPr>
              <w:t xml:space="preserve">Table </w:t>
            </w:r>
            <w:r w:rsidR="00B819A9" w:rsidRPr="0031463E">
              <w:rPr>
                <w:rFonts w:ascii="Times New Roman" w:hAnsi="Times New Roman"/>
                <w:color w:val="000000" w:themeColor="text1"/>
                <w:lang w:val="en-GB"/>
              </w:rPr>
              <w:t>6</w:t>
            </w:r>
            <w:r w:rsidRPr="0031463E">
              <w:rPr>
                <w:rFonts w:ascii="Times New Roman" w:hAnsi="Times New Roman"/>
                <w:color w:val="000000" w:themeColor="text1"/>
                <w:lang w:val="en-GB"/>
              </w:rPr>
              <w:t>, Column 3</w:t>
            </w:r>
          </w:p>
        </w:tc>
      </w:tr>
    </w:tbl>
    <w:p w14:paraId="571BE80B" w14:textId="77777777" w:rsidR="00864400" w:rsidRPr="00911DA1" w:rsidRDefault="00864400" w:rsidP="00113846">
      <w:pPr>
        <w:widowControl w:val="0"/>
        <w:autoSpaceDE w:val="0"/>
        <w:autoSpaceDN w:val="0"/>
        <w:adjustRightInd w:val="0"/>
        <w:spacing w:after="0" w:line="240" w:lineRule="auto"/>
        <w:rPr>
          <w:rFonts w:ascii="Times New Roman" w:hAnsi="Times New Roman"/>
          <w:sz w:val="20"/>
          <w:szCs w:val="20"/>
        </w:rPr>
      </w:pPr>
    </w:p>
    <w:p w14:paraId="4504E520"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186CDA31"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63D76D8D"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0048E8B6"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4E27F3E9"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6D990F9B"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0D8B5905"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35E2C43F"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3B14FD0C"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5F79B887"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167C01EA"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62E38BD5"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2AC0CA5A"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7C3F4190"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517C9886" w14:textId="77777777" w:rsidR="00691A3C" w:rsidRPr="00BA0E8D" w:rsidRDefault="00691A3C" w:rsidP="00113846">
      <w:pPr>
        <w:widowControl w:val="0"/>
        <w:autoSpaceDE w:val="0"/>
        <w:autoSpaceDN w:val="0"/>
        <w:adjustRightInd w:val="0"/>
        <w:spacing w:after="0" w:line="240" w:lineRule="auto"/>
        <w:rPr>
          <w:rFonts w:ascii="Times New Roman" w:hAnsi="Times New Roman"/>
          <w:sz w:val="20"/>
          <w:szCs w:val="20"/>
        </w:rPr>
      </w:pPr>
    </w:p>
    <w:p w14:paraId="66FACBA3" w14:textId="77777777" w:rsidR="00691A3C" w:rsidRPr="00BA0E8D" w:rsidRDefault="00691A3C" w:rsidP="00113846">
      <w:pPr>
        <w:widowControl w:val="0"/>
        <w:autoSpaceDE w:val="0"/>
        <w:autoSpaceDN w:val="0"/>
        <w:adjustRightInd w:val="0"/>
        <w:spacing w:after="0" w:line="240" w:lineRule="auto"/>
        <w:rPr>
          <w:rFonts w:ascii="Times New Roman" w:hAnsi="Times New Roman"/>
          <w:sz w:val="20"/>
          <w:szCs w:val="20"/>
        </w:rPr>
      </w:pPr>
    </w:p>
    <w:p w14:paraId="099221F7" w14:textId="77777777" w:rsidR="00691A3C" w:rsidRPr="00BA0E8D" w:rsidRDefault="00691A3C" w:rsidP="00113846">
      <w:pPr>
        <w:widowControl w:val="0"/>
        <w:autoSpaceDE w:val="0"/>
        <w:autoSpaceDN w:val="0"/>
        <w:adjustRightInd w:val="0"/>
        <w:spacing w:after="0" w:line="240" w:lineRule="auto"/>
        <w:rPr>
          <w:rFonts w:ascii="Times New Roman" w:hAnsi="Times New Roman"/>
          <w:sz w:val="20"/>
          <w:szCs w:val="20"/>
        </w:rPr>
      </w:pPr>
    </w:p>
    <w:p w14:paraId="7754EF75" w14:textId="77777777" w:rsidR="00691A3C" w:rsidRPr="00BA0E8D" w:rsidRDefault="00691A3C" w:rsidP="00113846">
      <w:pPr>
        <w:widowControl w:val="0"/>
        <w:autoSpaceDE w:val="0"/>
        <w:autoSpaceDN w:val="0"/>
        <w:adjustRightInd w:val="0"/>
        <w:spacing w:after="0" w:line="240" w:lineRule="auto"/>
        <w:rPr>
          <w:rFonts w:ascii="Times New Roman" w:hAnsi="Times New Roman"/>
          <w:sz w:val="20"/>
          <w:szCs w:val="20"/>
        </w:rPr>
      </w:pPr>
    </w:p>
    <w:p w14:paraId="76A3A1FF" w14:textId="77777777" w:rsidR="00691A3C" w:rsidRPr="00BA0E8D" w:rsidRDefault="00691A3C" w:rsidP="00113846">
      <w:pPr>
        <w:widowControl w:val="0"/>
        <w:autoSpaceDE w:val="0"/>
        <w:autoSpaceDN w:val="0"/>
        <w:adjustRightInd w:val="0"/>
        <w:spacing w:after="0" w:line="240" w:lineRule="auto"/>
        <w:rPr>
          <w:rFonts w:ascii="Times New Roman" w:hAnsi="Times New Roman"/>
          <w:sz w:val="20"/>
          <w:szCs w:val="20"/>
        </w:rPr>
      </w:pPr>
    </w:p>
    <w:p w14:paraId="55AA2D0A" w14:textId="77777777" w:rsidR="00691A3C" w:rsidRPr="00BA0E8D" w:rsidRDefault="00691A3C" w:rsidP="00113846">
      <w:pPr>
        <w:widowControl w:val="0"/>
        <w:autoSpaceDE w:val="0"/>
        <w:autoSpaceDN w:val="0"/>
        <w:adjustRightInd w:val="0"/>
        <w:spacing w:after="0" w:line="240" w:lineRule="auto"/>
        <w:rPr>
          <w:rFonts w:ascii="Times New Roman" w:hAnsi="Times New Roman"/>
          <w:sz w:val="20"/>
          <w:szCs w:val="20"/>
        </w:rPr>
      </w:pPr>
    </w:p>
    <w:p w14:paraId="069B0E87" w14:textId="77777777" w:rsidR="00864400" w:rsidRPr="00BA0E8D" w:rsidRDefault="00864400" w:rsidP="00113846">
      <w:pPr>
        <w:widowControl w:val="0"/>
        <w:autoSpaceDE w:val="0"/>
        <w:autoSpaceDN w:val="0"/>
        <w:adjustRightInd w:val="0"/>
        <w:spacing w:after="0" w:line="240" w:lineRule="auto"/>
        <w:rPr>
          <w:rFonts w:ascii="Times New Roman" w:hAnsi="Times New Roman"/>
          <w:sz w:val="20"/>
          <w:szCs w:val="20"/>
        </w:rPr>
      </w:pPr>
    </w:p>
    <w:p w14:paraId="60362197" w14:textId="63C56F97" w:rsidR="00216743" w:rsidRPr="0031463E" w:rsidRDefault="00216743" w:rsidP="00216743">
      <w:pPr>
        <w:keepNext/>
        <w:widowControl w:val="0"/>
        <w:autoSpaceDE w:val="0"/>
        <w:autoSpaceDN w:val="0"/>
        <w:adjustRightInd w:val="0"/>
        <w:spacing w:after="0" w:line="240" w:lineRule="auto"/>
        <w:rPr>
          <w:rFonts w:ascii="Times New Roman" w:hAnsi="Times New Roman"/>
          <w:b/>
          <w:sz w:val="24"/>
          <w:szCs w:val="24"/>
        </w:rPr>
      </w:pPr>
      <w:r w:rsidRPr="0031463E">
        <w:rPr>
          <w:rFonts w:ascii="Times New Roman" w:hAnsi="Times New Roman"/>
          <w:b/>
          <w:sz w:val="24"/>
          <w:szCs w:val="24"/>
        </w:rPr>
        <w:lastRenderedPageBreak/>
        <w:t xml:space="preserve">Table </w:t>
      </w:r>
      <w:r w:rsidR="00864400" w:rsidRPr="0031463E">
        <w:rPr>
          <w:rFonts w:ascii="Times New Roman" w:hAnsi="Times New Roman"/>
          <w:b/>
          <w:sz w:val="24"/>
          <w:szCs w:val="24"/>
        </w:rPr>
        <w:t>8</w:t>
      </w:r>
      <w:r w:rsidRPr="0031463E">
        <w:rPr>
          <w:rFonts w:ascii="Times New Roman" w:hAnsi="Times New Roman"/>
          <w:b/>
          <w:sz w:val="24"/>
          <w:szCs w:val="24"/>
        </w:rPr>
        <w:t xml:space="preserve">: </w:t>
      </w:r>
      <w:r w:rsidR="002F599E" w:rsidRPr="0031463E">
        <w:rPr>
          <w:rFonts w:ascii="Times New Roman" w:hAnsi="Times New Roman"/>
          <w:b/>
          <w:sz w:val="24"/>
          <w:szCs w:val="24"/>
        </w:rPr>
        <w:t xml:space="preserve">Regression results of information sharing and credit intermediation cost: </w:t>
      </w:r>
      <w:r w:rsidR="00025B5C">
        <w:rPr>
          <w:rFonts w:ascii="Times New Roman" w:hAnsi="Times New Roman"/>
          <w:b/>
          <w:sz w:val="24"/>
          <w:szCs w:val="24"/>
        </w:rPr>
        <w:t>I</w:t>
      </w:r>
      <w:r w:rsidR="002F599E" w:rsidRPr="0031463E">
        <w:rPr>
          <w:rFonts w:ascii="Times New Roman" w:hAnsi="Times New Roman"/>
          <w:b/>
          <w:sz w:val="24"/>
          <w:szCs w:val="24"/>
        </w:rPr>
        <w:t>nteractions with concentration and governance</w:t>
      </w:r>
    </w:p>
    <w:tbl>
      <w:tblPr>
        <w:tblW w:w="14679" w:type="dxa"/>
        <w:tblLayout w:type="fixed"/>
        <w:tblLook w:val="0000" w:firstRow="0" w:lastRow="0" w:firstColumn="0" w:lastColumn="0" w:noHBand="0" w:noVBand="0"/>
      </w:tblPr>
      <w:tblGrid>
        <w:gridCol w:w="2255"/>
        <w:gridCol w:w="1024"/>
        <w:gridCol w:w="1425"/>
        <w:gridCol w:w="1425"/>
        <w:gridCol w:w="1425"/>
        <w:gridCol w:w="1425"/>
        <w:gridCol w:w="1425"/>
        <w:gridCol w:w="1425"/>
        <w:gridCol w:w="1425"/>
        <w:gridCol w:w="1425"/>
      </w:tblGrid>
      <w:tr w:rsidR="007C0A0E" w:rsidRPr="00BA0E8D" w14:paraId="4BE470DA" w14:textId="77777777" w:rsidTr="007C0A0E">
        <w:trPr>
          <w:trHeight w:val="21"/>
        </w:trPr>
        <w:tc>
          <w:tcPr>
            <w:tcW w:w="2255" w:type="dxa"/>
            <w:tcBorders>
              <w:top w:val="single" w:sz="4" w:space="0" w:color="auto"/>
              <w:left w:val="nil"/>
              <w:bottom w:val="nil"/>
              <w:right w:val="nil"/>
            </w:tcBorders>
          </w:tcPr>
          <w:p w14:paraId="17B3990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single" w:sz="4" w:space="0" w:color="auto"/>
              <w:left w:val="nil"/>
              <w:bottom w:val="nil"/>
              <w:right w:val="nil"/>
            </w:tcBorders>
          </w:tcPr>
          <w:p w14:paraId="6002DFC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w:t>
            </w:r>
          </w:p>
        </w:tc>
        <w:tc>
          <w:tcPr>
            <w:tcW w:w="1425" w:type="dxa"/>
            <w:tcBorders>
              <w:top w:val="single" w:sz="4" w:space="0" w:color="auto"/>
              <w:left w:val="nil"/>
              <w:bottom w:val="nil"/>
              <w:right w:val="nil"/>
            </w:tcBorders>
          </w:tcPr>
          <w:p w14:paraId="695002F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w:t>
            </w:r>
          </w:p>
        </w:tc>
        <w:tc>
          <w:tcPr>
            <w:tcW w:w="1425" w:type="dxa"/>
            <w:tcBorders>
              <w:top w:val="single" w:sz="4" w:space="0" w:color="auto"/>
              <w:left w:val="nil"/>
              <w:bottom w:val="nil"/>
              <w:right w:val="nil"/>
            </w:tcBorders>
          </w:tcPr>
          <w:p w14:paraId="3D8F0C4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(3)</w:t>
            </w:r>
          </w:p>
        </w:tc>
        <w:tc>
          <w:tcPr>
            <w:tcW w:w="1425" w:type="dxa"/>
            <w:tcBorders>
              <w:top w:val="single" w:sz="4" w:space="0" w:color="auto"/>
              <w:left w:val="nil"/>
              <w:bottom w:val="nil"/>
              <w:right w:val="nil"/>
            </w:tcBorders>
          </w:tcPr>
          <w:p w14:paraId="33D8043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w:t>
            </w:r>
          </w:p>
        </w:tc>
        <w:tc>
          <w:tcPr>
            <w:tcW w:w="1425" w:type="dxa"/>
            <w:tcBorders>
              <w:top w:val="single" w:sz="4" w:space="0" w:color="auto"/>
              <w:left w:val="nil"/>
              <w:bottom w:val="nil"/>
              <w:right w:val="nil"/>
            </w:tcBorders>
          </w:tcPr>
          <w:p w14:paraId="0126CA2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w:t>
            </w:r>
          </w:p>
        </w:tc>
        <w:tc>
          <w:tcPr>
            <w:tcW w:w="1425" w:type="dxa"/>
            <w:tcBorders>
              <w:top w:val="single" w:sz="4" w:space="0" w:color="auto"/>
              <w:left w:val="nil"/>
              <w:bottom w:val="nil"/>
              <w:right w:val="nil"/>
            </w:tcBorders>
          </w:tcPr>
          <w:p w14:paraId="48265D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(6)</w:t>
            </w:r>
          </w:p>
        </w:tc>
        <w:tc>
          <w:tcPr>
            <w:tcW w:w="1425" w:type="dxa"/>
            <w:tcBorders>
              <w:top w:val="single" w:sz="4" w:space="0" w:color="auto"/>
              <w:left w:val="nil"/>
              <w:bottom w:val="nil"/>
              <w:right w:val="nil"/>
            </w:tcBorders>
          </w:tcPr>
          <w:p w14:paraId="02D883C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(7)</w:t>
            </w:r>
          </w:p>
        </w:tc>
        <w:tc>
          <w:tcPr>
            <w:tcW w:w="1425" w:type="dxa"/>
            <w:tcBorders>
              <w:top w:val="single" w:sz="4" w:space="0" w:color="auto"/>
              <w:left w:val="nil"/>
              <w:bottom w:val="nil"/>
              <w:right w:val="nil"/>
            </w:tcBorders>
          </w:tcPr>
          <w:p w14:paraId="4744BAD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(8)</w:t>
            </w:r>
          </w:p>
        </w:tc>
        <w:tc>
          <w:tcPr>
            <w:tcW w:w="1425" w:type="dxa"/>
            <w:tcBorders>
              <w:top w:val="single" w:sz="4" w:space="0" w:color="auto"/>
              <w:left w:val="nil"/>
              <w:bottom w:val="nil"/>
              <w:right w:val="nil"/>
            </w:tcBorders>
          </w:tcPr>
          <w:p w14:paraId="32C1B2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(9)</w:t>
            </w:r>
          </w:p>
        </w:tc>
      </w:tr>
      <w:tr w:rsidR="007C0A0E" w:rsidRPr="00BA0E8D" w14:paraId="616678AE" w14:textId="77777777" w:rsidTr="007C0A0E">
        <w:trPr>
          <w:trHeight w:val="17"/>
        </w:trPr>
        <w:tc>
          <w:tcPr>
            <w:tcW w:w="2255" w:type="dxa"/>
            <w:tcBorders>
              <w:top w:val="single" w:sz="4" w:space="0" w:color="auto"/>
              <w:left w:val="nil"/>
              <w:bottom w:val="nil"/>
              <w:right w:val="nil"/>
            </w:tcBorders>
          </w:tcPr>
          <w:p w14:paraId="15CA3796"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Spread</w:t>
            </w:r>
          </w:p>
        </w:tc>
        <w:tc>
          <w:tcPr>
            <w:tcW w:w="1024" w:type="dxa"/>
            <w:tcBorders>
              <w:top w:val="single" w:sz="4" w:space="0" w:color="auto"/>
              <w:left w:val="nil"/>
              <w:bottom w:val="nil"/>
              <w:right w:val="nil"/>
            </w:tcBorders>
          </w:tcPr>
          <w:p w14:paraId="09C3278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0.206</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1ED0E63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0.247</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4F1CF3A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0.246</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24BCD49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0.226</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7B348D2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0.240</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2A180B6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0.248</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7779459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0.211</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02701C1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0.221</w:t>
            </w:r>
            <w:r w:rsidRPr="00BA0E8D">
              <w:rPr>
                <w:rFonts w:ascii="Times New Roman" w:hAnsi="Times New Roman"/>
                <w:sz w:val="20"/>
                <w:szCs w:val="20"/>
                <w:vertAlign w:val="superscript"/>
              </w:rPr>
              <w:t>***</w:t>
            </w:r>
          </w:p>
        </w:tc>
        <w:tc>
          <w:tcPr>
            <w:tcW w:w="1425" w:type="dxa"/>
            <w:tcBorders>
              <w:top w:val="single" w:sz="4" w:space="0" w:color="auto"/>
              <w:left w:val="nil"/>
              <w:bottom w:val="nil"/>
              <w:right w:val="nil"/>
            </w:tcBorders>
          </w:tcPr>
          <w:p w14:paraId="21F2244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0.217</w:t>
            </w:r>
            <w:r w:rsidRPr="00BA0E8D">
              <w:rPr>
                <w:rFonts w:ascii="Times New Roman" w:hAnsi="Times New Roman"/>
                <w:sz w:val="20"/>
                <w:szCs w:val="20"/>
                <w:vertAlign w:val="superscript"/>
              </w:rPr>
              <w:t>***</w:t>
            </w:r>
          </w:p>
        </w:tc>
      </w:tr>
      <w:tr w:rsidR="007C0A0E" w:rsidRPr="00BA0E8D" w14:paraId="259ED8E9" w14:textId="77777777" w:rsidTr="007C0A0E">
        <w:trPr>
          <w:trHeight w:val="25"/>
        </w:trPr>
        <w:tc>
          <w:tcPr>
            <w:tcW w:w="2255" w:type="dxa"/>
            <w:tcBorders>
              <w:top w:val="nil"/>
              <w:left w:val="nil"/>
              <w:bottom w:val="nil"/>
              <w:right w:val="nil"/>
            </w:tcBorders>
          </w:tcPr>
          <w:p w14:paraId="3330A79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6C9A39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p>
        </w:tc>
        <w:tc>
          <w:tcPr>
            <w:tcW w:w="1425" w:type="dxa"/>
            <w:tcBorders>
              <w:top w:val="nil"/>
              <w:left w:val="nil"/>
              <w:bottom w:val="nil"/>
              <w:right w:val="nil"/>
            </w:tcBorders>
          </w:tcPr>
          <w:p w14:paraId="73A74CA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(0.066)</w:t>
            </w:r>
          </w:p>
        </w:tc>
        <w:tc>
          <w:tcPr>
            <w:tcW w:w="1425" w:type="dxa"/>
            <w:tcBorders>
              <w:top w:val="nil"/>
              <w:left w:val="nil"/>
              <w:bottom w:val="nil"/>
              <w:right w:val="nil"/>
            </w:tcBorders>
          </w:tcPr>
          <w:p w14:paraId="74356A7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(0.067)</w:t>
            </w:r>
          </w:p>
        </w:tc>
        <w:tc>
          <w:tcPr>
            <w:tcW w:w="1425" w:type="dxa"/>
            <w:tcBorders>
              <w:top w:val="nil"/>
              <w:left w:val="nil"/>
              <w:bottom w:val="nil"/>
              <w:right w:val="nil"/>
            </w:tcBorders>
          </w:tcPr>
          <w:p w14:paraId="4042BE3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p>
        </w:tc>
        <w:tc>
          <w:tcPr>
            <w:tcW w:w="1425" w:type="dxa"/>
            <w:tcBorders>
              <w:top w:val="nil"/>
              <w:left w:val="nil"/>
              <w:bottom w:val="nil"/>
              <w:right w:val="nil"/>
            </w:tcBorders>
          </w:tcPr>
          <w:p w14:paraId="5B88DDA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p>
        </w:tc>
        <w:tc>
          <w:tcPr>
            <w:tcW w:w="1425" w:type="dxa"/>
            <w:tcBorders>
              <w:top w:val="nil"/>
              <w:left w:val="nil"/>
              <w:bottom w:val="nil"/>
              <w:right w:val="nil"/>
            </w:tcBorders>
          </w:tcPr>
          <w:p w14:paraId="2CAB87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p>
        </w:tc>
        <w:tc>
          <w:tcPr>
            <w:tcW w:w="1425" w:type="dxa"/>
            <w:tcBorders>
              <w:top w:val="nil"/>
              <w:left w:val="nil"/>
              <w:bottom w:val="nil"/>
              <w:right w:val="nil"/>
            </w:tcBorders>
          </w:tcPr>
          <w:p w14:paraId="4B88E8D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p>
        </w:tc>
        <w:tc>
          <w:tcPr>
            <w:tcW w:w="1425" w:type="dxa"/>
            <w:tcBorders>
              <w:top w:val="nil"/>
              <w:left w:val="nil"/>
              <w:bottom w:val="nil"/>
              <w:right w:val="nil"/>
            </w:tcBorders>
          </w:tcPr>
          <w:p w14:paraId="5E59E7C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p>
        </w:tc>
        <w:tc>
          <w:tcPr>
            <w:tcW w:w="1425" w:type="dxa"/>
            <w:tcBorders>
              <w:top w:val="nil"/>
              <w:left w:val="nil"/>
              <w:bottom w:val="nil"/>
              <w:right w:val="nil"/>
            </w:tcBorders>
          </w:tcPr>
          <w:p w14:paraId="3A1DD5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(0.075)</w:t>
            </w:r>
          </w:p>
        </w:tc>
      </w:tr>
      <w:tr w:rsidR="007C0A0E" w:rsidRPr="00BA0E8D" w14:paraId="353F889D" w14:textId="77777777" w:rsidTr="007C0A0E">
        <w:trPr>
          <w:trHeight w:val="25"/>
        </w:trPr>
        <w:tc>
          <w:tcPr>
            <w:tcW w:w="2255" w:type="dxa"/>
            <w:tcBorders>
              <w:top w:val="nil"/>
              <w:left w:val="nil"/>
              <w:bottom w:val="nil"/>
              <w:right w:val="nil"/>
            </w:tcBorders>
          </w:tcPr>
          <w:p w14:paraId="30EDBEA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 xml:space="preserve">Depth </w:t>
            </w:r>
          </w:p>
        </w:tc>
        <w:tc>
          <w:tcPr>
            <w:tcW w:w="1024" w:type="dxa"/>
            <w:tcBorders>
              <w:top w:val="nil"/>
              <w:left w:val="nil"/>
              <w:bottom w:val="nil"/>
              <w:right w:val="nil"/>
            </w:tcBorders>
          </w:tcPr>
          <w:p w14:paraId="2BB7FA7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C0F787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-0.578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88E89D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-0.630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F4BA21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39594F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C81587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92BD40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171E19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8E9326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531D0840" w14:textId="77777777" w:rsidTr="007C0A0E">
        <w:trPr>
          <w:trHeight w:val="25"/>
        </w:trPr>
        <w:tc>
          <w:tcPr>
            <w:tcW w:w="2255" w:type="dxa"/>
            <w:tcBorders>
              <w:top w:val="nil"/>
              <w:left w:val="nil"/>
              <w:bottom w:val="nil"/>
              <w:right w:val="nil"/>
            </w:tcBorders>
          </w:tcPr>
          <w:p w14:paraId="6168B7C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095FA8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(0.242)</w:t>
            </w:r>
          </w:p>
        </w:tc>
        <w:tc>
          <w:tcPr>
            <w:tcW w:w="1425" w:type="dxa"/>
            <w:tcBorders>
              <w:top w:val="nil"/>
              <w:left w:val="nil"/>
              <w:bottom w:val="nil"/>
              <w:right w:val="nil"/>
            </w:tcBorders>
          </w:tcPr>
          <w:p w14:paraId="35D155A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(0.242)</w:t>
            </w:r>
          </w:p>
        </w:tc>
        <w:tc>
          <w:tcPr>
            <w:tcW w:w="1425" w:type="dxa"/>
            <w:tcBorders>
              <w:top w:val="nil"/>
              <w:left w:val="nil"/>
              <w:bottom w:val="nil"/>
              <w:right w:val="nil"/>
            </w:tcBorders>
          </w:tcPr>
          <w:p w14:paraId="3AD0B9B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(0.268)</w:t>
            </w:r>
          </w:p>
        </w:tc>
        <w:tc>
          <w:tcPr>
            <w:tcW w:w="1425" w:type="dxa"/>
            <w:tcBorders>
              <w:top w:val="nil"/>
              <w:left w:val="nil"/>
              <w:bottom w:val="nil"/>
              <w:right w:val="nil"/>
            </w:tcBorders>
          </w:tcPr>
          <w:p w14:paraId="74729D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C0ED5B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029830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395852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A2123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44A57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6FA7C656" w14:textId="77777777" w:rsidTr="007C0A0E">
        <w:trPr>
          <w:trHeight w:val="25"/>
        </w:trPr>
        <w:tc>
          <w:tcPr>
            <w:tcW w:w="2255" w:type="dxa"/>
            <w:tcBorders>
              <w:top w:val="nil"/>
              <w:left w:val="nil"/>
              <w:bottom w:val="nil"/>
              <w:right w:val="nil"/>
            </w:tcBorders>
          </w:tcPr>
          <w:p w14:paraId="11DD73E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Registry</w:t>
            </w:r>
          </w:p>
        </w:tc>
        <w:tc>
          <w:tcPr>
            <w:tcW w:w="1024" w:type="dxa"/>
            <w:tcBorders>
              <w:top w:val="nil"/>
              <w:left w:val="nil"/>
              <w:bottom w:val="nil"/>
              <w:right w:val="nil"/>
            </w:tcBorders>
          </w:tcPr>
          <w:p w14:paraId="77B447B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A315AA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26EB03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B6B5D7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-0.131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0ED612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DB483C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-0.126</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1308A7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E3CC5F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C84045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7DF40FF0" w14:textId="77777777" w:rsidTr="007C0A0E">
        <w:trPr>
          <w:trHeight w:val="25"/>
        </w:trPr>
        <w:tc>
          <w:tcPr>
            <w:tcW w:w="2255" w:type="dxa"/>
            <w:tcBorders>
              <w:top w:val="nil"/>
              <w:left w:val="nil"/>
              <w:bottom w:val="nil"/>
              <w:right w:val="nil"/>
            </w:tcBorders>
          </w:tcPr>
          <w:p w14:paraId="1270C2C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0AEC6D8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B31F6A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6D164F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A1B96A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(0.052)</w:t>
            </w:r>
          </w:p>
        </w:tc>
        <w:tc>
          <w:tcPr>
            <w:tcW w:w="1425" w:type="dxa"/>
            <w:tcBorders>
              <w:top w:val="nil"/>
              <w:left w:val="nil"/>
              <w:bottom w:val="nil"/>
              <w:right w:val="nil"/>
            </w:tcBorders>
          </w:tcPr>
          <w:p w14:paraId="2F6F314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(0.052)</w:t>
            </w:r>
          </w:p>
        </w:tc>
        <w:tc>
          <w:tcPr>
            <w:tcW w:w="1425" w:type="dxa"/>
            <w:tcBorders>
              <w:top w:val="nil"/>
              <w:left w:val="nil"/>
              <w:bottom w:val="nil"/>
              <w:right w:val="nil"/>
            </w:tcBorders>
          </w:tcPr>
          <w:p w14:paraId="57C1410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p>
        </w:tc>
        <w:tc>
          <w:tcPr>
            <w:tcW w:w="1425" w:type="dxa"/>
            <w:tcBorders>
              <w:top w:val="nil"/>
              <w:left w:val="nil"/>
              <w:bottom w:val="nil"/>
              <w:right w:val="nil"/>
            </w:tcBorders>
          </w:tcPr>
          <w:p w14:paraId="2BE7E4F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A4869A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70AA1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7AD1050C" w14:textId="77777777" w:rsidTr="007C0A0E">
        <w:trPr>
          <w:trHeight w:val="25"/>
        </w:trPr>
        <w:tc>
          <w:tcPr>
            <w:tcW w:w="2255" w:type="dxa"/>
            <w:tcBorders>
              <w:top w:val="nil"/>
              <w:left w:val="nil"/>
              <w:bottom w:val="nil"/>
              <w:right w:val="nil"/>
            </w:tcBorders>
          </w:tcPr>
          <w:p w14:paraId="1E5A2C32"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Bureau</w:t>
            </w:r>
          </w:p>
        </w:tc>
        <w:tc>
          <w:tcPr>
            <w:tcW w:w="1024" w:type="dxa"/>
            <w:tcBorders>
              <w:top w:val="nil"/>
              <w:left w:val="nil"/>
              <w:bottom w:val="nil"/>
              <w:right w:val="nil"/>
            </w:tcBorders>
          </w:tcPr>
          <w:p w14:paraId="045E439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F53F8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36BA8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4300B3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22B0CB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893396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30EAA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-0.051</w:t>
            </w:r>
          </w:p>
        </w:tc>
        <w:tc>
          <w:tcPr>
            <w:tcW w:w="1425" w:type="dxa"/>
            <w:tcBorders>
              <w:top w:val="nil"/>
              <w:left w:val="nil"/>
              <w:bottom w:val="nil"/>
              <w:right w:val="nil"/>
            </w:tcBorders>
          </w:tcPr>
          <w:p w14:paraId="44B0725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0.002</w:t>
            </w:r>
          </w:p>
        </w:tc>
        <w:tc>
          <w:tcPr>
            <w:tcW w:w="1425" w:type="dxa"/>
            <w:tcBorders>
              <w:top w:val="nil"/>
              <w:left w:val="nil"/>
              <w:bottom w:val="nil"/>
              <w:right w:val="nil"/>
            </w:tcBorders>
          </w:tcPr>
          <w:p w14:paraId="401EDB5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p>
        </w:tc>
      </w:tr>
      <w:tr w:rsidR="007C0A0E" w:rsidRPr="00BA0E8D" w14:paraId="5B7297F3" w14:textId="77777777" w:rsidTr="007C0A0E">
        <w:trPr>
          <w:trHeight w:val="69"/>
        </w:trPr>
        <w:tc>
          <w:tcPr>
            <w:tcW w:w="2255" w:type="dxa"/>
            <w:tcBorders>
              <w:top w:val="nil"/>
              <w:left w:val="nil"/>
              <w:bottom w:val="nil"/>
              <w:right w:val="nil"/>
            </w:tcBorders>
          </w:tcPr>
          <w:p w14:paraId="3FBB8DE7"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193FAA2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A6FDF8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0DF28D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C2DAD8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F67A29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5D610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050DD9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(0.033)</w:t>
            </w:r>
          </w:p>
        </w:tc>
        <w:tc>
          <w:tcPr>
            <w:tcW w:w="1425" w:type="dxa"/>
            <w:tcBorders>
              <w:top w:val="nil"/>
              <w:left w:val="nil"/>
              <w:bottom w:val="nil"/>
              <w:right w:val="nil"/>
            </w:tcBorders>
          </w:tcPr>
          <w:p w14:paraId="39521A1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c>
          <w:tcPr>
            <w:tcW w:w="1425" w:type="dxa"/>
            <w:tcBorders>
              <w:top w:val="nil"/>
              <w:left w:val="nil"/>
              <w:bottom w:val="nil"/>
              <w:right w:val="nil"/>
            </w:tcBorders>
          </w:tcPr>
          <w:p w14:paraId="1DBFA03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(0.032)</w:t>
            </w:r>
          </w:p>
        </w:tc>
      </w:tr>
      <w:tr w:rsidR="007C0A0E" w:rsidRPr="00BA0E8D" w14:paraId="25841C76" w14:textId="77777777" w:rsidTr="007C0A0E">
        <w:trPr>
          <w:trHeight w:val="21"/>
        </w:trPr>
        <w:tc>
          <w:tcPr>
            <w:tcW w:w="2255" w:type="dxa"/>
            <w:tcBorders>
              <w:top w:val="nil"/>
              <w:left w:val="nil"/>
              <w:bottom w:val="nil"/>
              <w:right w:val="nil"/>
            </w:tcBorders>
          </w:tcPr>
          <w:p w14:paraId="3CFAC42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Size</w:t>
            </w:r>
          </w:p>
        </w:tc>
        <w:tc>
          <w:tcPr>
            <w:tcW w:w="1024" w:type="dxa"/>
            <w:tcBorders>
              <w:top w:val="nil"/>
              <w:left w:val="nil"/>
              <w:bottom w:val="nil"/>
              <w:right w:val="nil"/>
            </w:tcBorders>
          </w:tcPr>
          <w:p w14:paraId="7B42D5A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E0AE27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0.226</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2A00DF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144587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0.137</w:t>
            </w:r>
          </w:p>
        </w:tc>
        <w:tc>
          <w:tcPr>
            <w:tcW w:w="1425" w:type="dxa"/>
            <w:tcBorders>
              <w:top w:val="nil"/>
              <w:left w:val="nil"/>
              <w:bottom w:val="nil"/>
              <w:right w:val="nil"/>
            </w:tcBorders>
          </w:tcPr>
          <w:p w14:paraId="56023BE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EC1A82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65C845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64E8CF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0.126</w:t>
            </w:r>
          </w:p>
        </w:tc>
        <w:tc>
          <w:tcPr>
            <w:tcW w:w="1425" w:type="dxa"/>
            <w:tcBorders>
              <w:top w:val="nil"/>
              <w:left w:val="nil"/>
              <w:bottom w:val="nil"/>
              <w:right w:val="nil"/>
            </w:tcBorders>
          </w:tcPr>
          <w:p w14:paraId="7E83E8B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0.158</w:t>
            </w:r>
            <w:r w:rsidRPr="00BA0E8D">
              <w:rPr>
                <w:rFonts w:ascii="Times New Roman" w:hAnsi="Times New Roman"/>
                <w:sz w:val="20"/>
                <w:szCs w:val="20"/>
                <w:vertAlign w:val="superscript"/>
              </w:rPr>
              <w:t>*</w:t>
            </w:r>
          </w:p>
        </w:tc>
      </w:tr>
      <w:tr w:rsidR="007C0A0E" w:rsidRPr="00BA0E8D" w14:paraId="056D710C" w14:textId="77777777" w:rsidTr="007C0A0E">
        <w:trPr>
          <w:trHeight w:val="21"/>
        </w:trPr>
        <w:tc>
          <w:tcPr>
            <w:tcW w:w="2255" w:type="dxa"/>
            <w:tcBorders>
              <w:top w:val="nil"/>
              <w:left w:val="nil"/>
              <w:bottom w:val="nil"/>
              <w:right w:val="nil"/>
            </w:tcBorders>
          </w:tcPr>
          <w:p w14:paraId="58449C21"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5B267F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(0.091)</w:t>
            </w:r>
          </w:p>
        </w:tc>
        <w:tc>
          <w:tcPr>
            <w:tcW w:w="1425" w:type="dxa"/>
            <w:tcBorders>
              <w:top w:val="nil"/>
              <w:left w:val="nil"/>
              <w:bottom w:val="nil"/>
              <w:right w:val="nil"/>
            </w:tcBorders>
          </w:tcPr>
          <w:p w14:paraId="6F0363D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425" w:type="dxa"/>
            <w:tcBorders>
              <w:top w:val="nil"/>
              <w:left w:val="nil"/>
              <w:bottom w:val="nil"/>
              <w:right w:val="nil"/>
            </w:tcBorders>
          </w:tcPr>
          <w:p w14:paraId="701A68A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425" w:type="dxa"/>
            <w:tcBorders>
              <w:top w:val="nil"/>
              <w:left w:val="nil"/>
              <w:bottom w:val="nil"/>
              <w:right w:val="nil"/>
            </w:tcBorders>
          </w:tcPr>
          <w:p w14:paraId="402CB8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425" w:type="dxa"/>
            <w:tcBorders>
              <w:top w:val="nil"/>
              <w:left w:val="nil"/>
              <w:bottom w:val="nil"/>
              <w:right w:val="nil"/>
            </w:tcBorders>
          </w:tcPr>
          <w:p w14:paraId="0EAC735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425" w:type="dxa"/>
            <w:tcBorders>
              <w:top w:val="nil"/>
              <w:left w:val="nil"/>
              <w:bottom w:val="nil"/>
              <w:right w:val="nil"/>
            </w:tcBorders>
          </w:tcPr>
          <w:p w14:paraId="08D16B2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p>
        </w:tc>
        <w:tc>
          <w:tcPr>
            <w:tcW w:w="1425" w:type="dxa"/>
            <w:tcBorders>
              <w:top w:val="nil"/>
              <w:left w:val="nil"/>
              <w:bottom w:val="nil"/>
              <w:right w:val="nil"/>
            </w:tcBorders>
          </w:tcPr>
          <w:p w14:paraId="6507B6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425" w:type="dxa"/>
            <w:tcBorders>
              <w:top w:val="nil"/>
              <w:left w:val="nil"/>
              <w:bottom w:val="nil"/>
              <w:right w:val="nil"/>
            </w:tcBorders>
          </w:tcPr>
          <w:p w14:paraId="73EC04C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p>
        </w:tc>
        <w:tc>
          <w:tcPr>
            <w:tcW w:w="1425" w:type="dxa"/>
            <w:tcBorders>
              <w:top w:val="nil"/>
              <w:left w:val="nil"/>
              <w:bottom w:val="nil"/>
              <w:right w:val="nil"/>
            </w:tcBorders>
          </w:tcPr>
          <w:p w14:paraId="407FE47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r>
      <w:tr w:rsidR="007C0A0E" w:rsidRPr="00BA0E8D" w14:paraId="332C4281" w14:textId="77777777" w:rsidTr="007C0A0E">
        <w:trPr>
          <w:trHeight w:val="21"/>
        </w:trPr>
        <w:tc>
          <w:tcPr>
            <w:tcW w:w="2255" w:type="dxa"/>
            <w:tcBorders>
              <w:top w:val="nil"/>
              <w:left w:val="nil"/>
              <w:bottom w:val="nil"/>
              <w:right w:val="nil"/>
            </w:tcBorders>
          </w:tcPr>
          <w:p w14:paraId="69070B0D"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Liquidity</w:t>
            </w:r>
          </w:p>
        </w:tc>
        <w:tc>
          <w:tcPr>
            <w:tcW w:w="1024" w:type="dxa"/>
            <w:tcBorders>
              <w:top w:val="nil"/>
              <w:left w:val="nil"/>
              <w:bottom w:val="nil"/>
              <w:right w:val="nil"/>
            </w:tcBorders>
          </w:tcPr>
          <w:p w14:paraId="4E3FE2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3CF7E3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A28C82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992B23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BCCD1F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B9F913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39417A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35BF53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0.016</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9DB75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r w:rsidRPr="00BA0E8D">
              <w:rPr>
                <w:rFonts w:ascii="Times New Roman" w:hAnsi="Times New Roman"/>
                <w:sz w:val="20"/>
                <w:szCs w:val="20"/>
                <w:vertAlign w:val="superscript"/>
              </w:rPr>
              <w:t>*</w:t>
            </w:r>
          </w:p>
        </w:tc>
      </w:tr>
      <w:tr w:rsidR="007C0A0E" w:rsidRPr="00BA0E8D" w14:paraId="73AD7235" w14:textId="77777777" w:rsidTr="007C0A0E">
        <w:trPr>
          <w:trHeight w:val="21"/>
        </w:trPr>
        <w:tc>
          <w:tcPr>
            <w:tcW w:w="2255" w:type="dxa"/>
            <w:tcBorders>
              <w:top w:val="nil"/>
              <w:left w:val="nil"/>
              <w:bottom w:val="nil"/>
              <w:right w:val="nil"/>
            </w:tcBorders>
          </w:tcPr>
          <w:p w14:paraId="440016F2"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527D11B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231D5E1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38B0671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626E933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4711E2D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14375D3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2AFFF96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390F7F8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c>
          <w:tcPr>
            <w:tcW w:w="1425" w:type="dxa"/>
            <w:tcBorders>
              <w:top w:val="nil"/>
              <w:left w:val="nil"/>
              <w:bottom w:val="nil"/>
              <w:right w:val="nil"/>
            </w:tcBorders>
          </w:tcPr>
          <w:p w14:paraId="229CC7E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(0.009)</w:t>
            </w:r>
          </w:p>
        </w:tc>
      </w:tr>
      <w:tr w:rsidR="007C0A0E" w:rsidRPr="00BA0E8D" w14:paraId="75EFDAD3" w14:textId="77777777" w:rsidTr="007C0A0E">
        <w:trPr>
          <w:trHeight w:val="25"/>
        </w:trPr>
        <w:tc>
          <w:tcPr>
            <w:tcW w:w="2255" w:type="dxa"/>
            <w:tcBorders>
              <w:top w:val="nil"/>
              <w:left w:val="nil"/>
              <w:bottom w:val="nil"/>
              <w:right w:val="nil"/>
            </w:tcBorders>
          </w:tcPr>
          <w:p w14:paraId="778D3C7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Provisions</w:t>
            </w:r>
          </w:p>
        </w:tc>
        <w:tc>
          <w:tcPr>
            <w:tcW w:w="1024" w:type="dxa"/>
            <w:tcBorders>
              <w:top w:val="nil"/>
              <w:left w:val="nil"/>
              <w:bottom w:val="nil"/>
              <w:right w:val="nil"/>
            </w:tcBorders>
          </w:tcPr>
          <w:p w14:paraId="0056AD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84EC24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080667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78E7429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AF3889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BCB863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9E977E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CAA878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51F1ED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r w:rsidRPr="00BA0E8D">
              <w:rPr>
                <w:rFonts w:ascii="Times New Roman" w:hAnsi="Times New Roman"/>
                <w:sz w:val="20"/>
                <w:szCs w:val="20"/>
                <w:vertAlign w:val="superscript"/>
              </w:rPr>
              <w:t>*</w:t>
            </w:r>
          </w:p>
        </w:tc>
      </w:tr>
      <w:tr w:rsidR="007C0A0E" w:rsidRPr="00BA0E8D" w14:paraId="73D53683" w14:textId="77777777" w:rsidTr="007C0A0E">
        <w:trPr>
          <w:trHeight w:val="21"/>
        </w:trPr>
        <w:tc>
          <w:tcPr>
            <w:tcW w:w="2255" w:type="dxa"/>
            <w:tcBorders>
              <w:top w:val="nil"/>
              <w:left w:val="nil"/>
              <w:bottom w:val="nil"/>
              <w:right w:val="nil"/>
            </w:tcBorders>
          </w:tcPr>
          <w:p w14:paraId="0DAAC8F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6BED60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425" w:type="dxa"/>
            <w:tcBorders>
              <w:top w:val="nil"/>
              <w:left w:val="nil"/>
              <w:bottom w:val="nil"/>
              <w:right w:val="nil"/>
            </w:tcBorders>
          </w:tcPr>
          <w:p w14:paraId="0CAD89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p>
        </w:tc>
        <w:tc>
          <w:tcPr>
            <w:tcW w:w="1425" w:type="dxa"/>
            <w:tcBorders>
              <w:top w:val="nil"/>
              <w:left w:val="nil"/>
              <w:bottom w:val="nil"/>
              <w:right w:val="nil"/>
            </w:tcBorders>
          </w:tcPr>
          <w:p w14:paraId="786F56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p>
        </w:tc>
        <w:tc>
          <w:tcPr>
            <w:tcW w:w="1425" w:type="dxa"/>
            <w:tcBorders>
              <w:top w:val="nil"/>
              <w:left w:val="nil"/>
              <w:bottom w:val="nil"/>
              <w:right w:val="nil"/>
            </w:tcBorders>
          </w:tcPr>
          <w:p w14:paraId="6256F8E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p>
        </w:tc>
        <w:tc>
          <w:tcPr>
            <w:tcW w:w="1425" w:type="dxa"/>
            <w:tcBorders>
              <w:top w:val="nil"/>
              <w:left w:val="nil"/>
              <w:bottom w:val="nil"/>
              <w:right w:val="nil"/>
            </w:tcBorders>
          </w:tcPr>
          <w:p w14:paraId="3D97353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425" w:type="dxa"/>
            <w:tcBorders>
              <w:top w:val="nil"/>
              <w:left w:val="nil"/>
              <w:bottom w:val="nil"/>
              <w:right w:val="nil"/>
            </w:tcBorders>
          </w:tcPr>
          <w:p w14:paraId="6CE2735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p>
        </w:tc>
        <w:tc>
          <w:tcPr>
            <w:tcW w:w="1425" w:type="dxa"/>
            <w:tcBorders>
              <w:top w:val="nil"/>
              <w:left w:val="nil"/>
              <w:bottom w:val="nil"/>
              <w:right w:val="nil"/>
            </w:tcBorders>
          </w:tcPr>
          <w:p w14:paraId="4670FA4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c>
          <w:tcPr>
            <w:tcW w:w="1425" w:type="dxa"/>
            <w:tcBorders>
              <w:top w:val="nil"/>
              <w:left w:val="nil"/>
              <w:bottom w:val="nil"/>
              <w:right w:val="nil"/>
            </w:tcBorders>
          </w:tcPr>
          <w:p w14:paraId="773E258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c>
          <w:tcPr>
            <w:tcW w:w="1425" w:type="dxa"/>
            <w:tcBorders>
              <w:top w:val="nil"/>
              <w:left w:val="nil"/>
              <w:bottom w:val="nil"/>
              <w:right w:val="nil"/>
            </w:tcBorders>
          </w:tcPr>
          <w:p w14:paraId="263254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p>
        </w:tc>
      </w:tr>
      <w:tr w:rsidR="007C0A0E" w:rsidRPr="00BA0E8D" w14:paraId="6DBAED62" w14:textId="77777777" w:rsidTr="007C0A0E">
        <w:trPr>
          <w:trHeight w:val="25"/>
        </w:trPr>
        <w:tc>
          <w:tcPr>
            <w:tcW w:w="2255" w:type="dxa"/>
            <w:tcBorders>
              <w:top w:val="nil"/>
              <w:left w:val="nil"/>
              <w:bottom w:val="nil"/>
              <w:right w:val="nil"/>
            </w:tcBorders>
          </w:tcPr>
          <w:p w14:paraId="28D56157"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Lending</w:t>
            </w:r>
          </w:p>
        </w:tc>
        <w:tc>
          <w:tcPr>
            <w:tcW w:w="1024" w:type="dxa"/>
            <w:tcBorders>
              <w:top w:val="nil"/>
              <w:left w:val="nil"/>
              <w:bottom w:val="nil"/>
              <w:right w:val="nil"/>
            </w:tcBorders>
          </w:tcPr>
          <w:p w14:paraId="1D041E2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2046B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E8D5D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053378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386955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7D1B9C7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74D8E9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564144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B6B482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r w:rsidRPr="00BA0E8D">
              <w:rPr>
                <w:rFonts w:ascii="Times New Roman" w:hAnsi="Times New Roman"/>
                <w:sz w:val="20"/>
                <w:szCs w:val="20"/>
                <w:vertAlign w:val="superscript"/>
              </w:rPr>
              <w:t>***</w:t>
            </w:r>
          </w:p>
        </w:tc>
      </w:tr>
      <w:tr w:rsidR="007C0A0E" w:rsidRPr="00BA0E8D" w14:paraId="61F872F2" w14:textId="77777777" w:rsidTr="007C0A0E">
        <w:trPr>
          <w:trHeight w:val="21"/>
        </w:trPr>
        <w:tc>
          <w:tcPr>
            <w:tcW w:w="2255" w:type="dxa"/>
            <w:tcBorders>
              <w:top w:val="nil"/>
              <w:left w:val="nil"/>
              <w:bottom w:val="nil"/>
              <w:right w:val="nil"/>
            </w:tcBorders>
          </w:tcPr>
          <w:p w14:paraId="3731A8C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0725EFB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556AAD4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788751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7A3CE65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0D5C8AA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3240827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6FDAAA0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32B8FC3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c>
          <w:tcPr>
            <w:tcW w:w="1425" w:type="dxa"/>
            <w:tcBorders>
              <w:top w:val="nil"/>
              <w:left w:val="nil"/>
              <w:bottom w:val="nil"/>
              <w:right w:val="nil"/>
            </w:tcBorders>
          </w:tcPr>
          <w:p w14:paraId="7DAFF2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(0.010)</w:t>
            </w:r>
          </w:p>
        </w:tc>
      </w:tr>
      <w:tr w:rsidR="007C0A0E" w:rsidRPr="00BA0E8D" w14:paraId="2871543C" w14:textId="77777777" w:rsidTr="007C0A0E">
        <w:trPr>
          <w:trHeight w:val="21"/>
        </w:trPr>
        <w:tc>
          <w:tcPr>
            <w:tcW w:w="2255" w:type="dxa"/>
            <w:tcBorders>
              <w:top w:val="nil"/>
              <w:left w:val="nil"/>
              <w:bottom w:val="nil"/>
              <w:right w:val="nil"/>
            </w:tcBorders>
          </w:tcPr>
          <w:p w14:paraId="4C0B484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Deposits</w:t>
            </w:r>
          </w:p>
        </w:tc>
        <w:tc>
          <w:tcPr>
            <w:tcW w:w="1024" w:type="dxa"/>
            <w:tcBorders>
              <w:top w:val="nil"/>
              <w:left w:val="nil"/>
              <w:bottom w:val="nil"/>
              <w:right w:val="nil"/>
            </w:tcBorders>
          </w:tcPr>
          <w:p w14:paraId="67DF999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814F82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77FA02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425" w:type="dxa"/>
            <w:tcBorders>
              <w:top w:val="nil"/>
              <w:left w:val="nil"/>
              <w:bottom w:val="nil"/>
              <w:right w:val="nil"/>
            </w:tcBorders>
          </w:tcPr>
          <w:p w14:paraId="6630627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93E6F0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B3767A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78FEC9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425" w:type="dxa"/>
            <w:tcBorders>
              <w:top w:val="nil"/>
              <w:left w:val="nil"/>
              <w:bottom w:val="nil"/>
              <w:right w:val="nil"/>
            </w:tcBorders>
          </w:tcPr>
          <w:p w14:paraId="27738FC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75EBC7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r>
      <w:tr w:rsidR="007C0A0E" w:rsidRPr="00BA0E8D" w14:paraId="7D3DBC5A" w14:textId="77777777" w:rsidTr="007C0A0E">
        <w:trPr>
          <w:trHeight w:val="25"/>
        </w:trPr>
        <w:tc>
          <w:tcPr>
            <w:tcW w:w="2255" w:type="dxa"/>
            <w:tcBorders>
              <w:top w:val="nil"/>
              <w:left w:val="nil"/>
              <w:bottom w:val="nil"/>
              <w:right w:val="nil"/>
            </w:tcBorders>
          </w:tcPr>
          <w:p w14:paraId="1EB95951"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47A431E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425" w:type="dxa"/>
            <w:tcBorders>
              <w:top w:val="nil"/>
              <w:left w:val="nil"/>
              <w:bottom w:val="nil"/>
              <w:right w:val="nil"/>
            </w:tcBorders>
          </w:tcPr>
          <w:p w14:paraId="011B043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425" w:type="dxa"/>
            <w:tcBorders>
              <w:top w:val="nil"/>
              <w:left w:val="nil"/>
              <w:bottom w:val="nil"/>
              <w:right w:val="nil"/>
            </w:tcBorders>
          </w:tcPr>
          <w:p w14:paraId="047EA78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425" w:type="dxa"/>
            <w:tcBorders>
              <w:top w:val="nil"/>
              <w:left w:val="nil"/>
              <w:bottom w:val="nil"/>
              <w:right w:val="nil"/>
            </w:tcBorders>
          </w:tcPr>
          <w:p w14:paraId="09EC9F5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425" w:type="dxa"/>
            <w:tcBorders>
              <w:top w:val="nil"/>
              <w:left w:val="nil"/>
              <w:bottom w:val="nil"/>
              <w:right w:val="nil"/>
            </w:tcBorders>
          </w:tcPr>
          <w:p w14:paraId="55A9704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425" w:type="dxa"/>
            <w:tcBorders>
              <w:top w:val="nil"/>
              <w:left w:val="nil"/>
              <w:bottom w:val="nil"/>
              <w:right w:val="nil"/>
            </w:tcBorders>
          </w:tcPr>
          <w:p w14:paraId="604634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(0.012)</w:t>
            </w:r>
          </w:p>
        </w:tc>
        <w:tc>
          <w:tcPr>
            <w:tcW w:w="1425" w:type="dxa"/>
            <w:tcBorders>
              <w:top w:val="nil"/>
              <w:left w:val="nil"/>
              <w:bottom w:val="nil"/>
              <w:right w:val="nil"/>
            </w:tcBorders>
          </w:tcPr>
          <w:p w14:paraId="005A53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c>
          <w:tcPr>
            <w:tcW w:w="1425" w:type="dxa"/>
            <w:tcBorders>
              <w:top w:val="nil"/>
              <w:left w:val="nil"/>
              <w:bottom w:val="nil"/>
              <w:right w:val="nil"/>
            </w:tcBorders>
          </w:tcPr>
          <w:p w14:paraId="244C8AE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(0.013)</w:t>
            </w:r>
          </w:p>
        </w:tc>
        <w:tc>
          <w:tcPr>
            <w:tcW w:w="1425" w:type="dxa"/>
            <w:tcBorders>
              <w:top w:val="nil"/>
              <w:left w:val="nil"/>
              <w:bottom w:val="nil"/>
              <w:right w:val="nil"/>
            </w:tcBorders>
          </w:tcPr>
          <w:p w14:paraId="27798DB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(0.014)</w:t>
            </w:r>
          </w:p>
        </w:tc>
      </w:tr>
      <w:tr w:rsidR="007C0A0E" w:rsidRPr="00BA0E8D" w14:paraId="5B627EF2" w14:textId="77777777" w:rsidTr="007C0A0E">
        <w:trPr>
          <w:trHeight w:val="21"/>
        </w:trPr>
        <w:tc>
          <w:tcPr>
            <w:tcW w:w="2255" w:type="dxa"/>
            <w:tcBorders>
              <w:top w:val="nil"/>
              <w:left w:val="nil"/>
              <w:bottom w:val="nil"/>
              <w:right w:val="nil"/>
            </w:tcBorders>
          </w:tcPr>
          <w:p w14:paraId="6904894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Equity</w:t>
            </w:r>
          </w:p>
        </w:tc>
        <w:tc>
          <w:tcPr>
            <w:tcW w:w="1024" w:type="dxa"/>
            <w:tcBorders>
              <w:top w:val="nil"/>
              <w:left w:val="nil"/>
              <w:bottom w:val="nil"/>
              <w:right w:val="nil"/>
            </w:tcBorders>
          </w:tcPr>
          <w:p w14:paraId="6E13CEA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425" w:type="dxa"/>
            <w:tcBorders>
              <w:top w:val="nil"/>
              <w:left w:val="nil"/>
              <w:bottom w:val="nil"/>
              <w:right w:val="nil"/>
            </w:tcBorders>
          </w:tcPr>
          <w:p w14:paraId="08EC80D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425" w:type="dxa"/>
            <w:tcBorders>
              <w:top w:val="nil"/>
              <w:left w:val="nil"/>
              <w:bottom w:val="nil"/>
              <w:right w:val="nil"/>
            </w:tcBorders>
          </w:tcPr>
          <w:p w14:paraId="74168DC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425" w:type="dxa"/>
            <w:tcBorders>
              <w:top w:val="nil"/>
              <w:left w:val="nil"/>
              <w:bottom w:val="nil"/>
              <w:right w:val="nil"/>
            </w:tcBorders>
          </w:tcPr>
          <w:p w14:paraId="204A839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-0.005</w:t>
            </w:r>
          </w:p>
        </w:tc>
        <w:tc>
          <w:tcPr>
            <w:tcW w:w="1425" w:type="dxa"/>
            <w:tcBorders>
              <w:top w:val="nil"/>
              <w:left w:val="nil"/>
              <w:bottom w:val="nil"/>
              <w:right w:val="nil"/>
            </w:tcBorders>
          </w:tcPr>
          <w:p w14:paraId="65A7A9A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-0.005</w:t>
            </w:r>
          </w:p>
        </w:tc>
        <w:tc>
          <w:tcPr>
            <w:tcW w:w="1425" w:type="dxa"/>
            <w:tcBorders>
              <w:top w:val="nil"/>
              <w:left w:val="nil"/>
              <w:bottom w:val="nil"/>
              <w:right w:val="nil"/>
            </w:tcBorders>
          </w:tcPr>
          <w:p w14:paraId="6C24251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425" w:type="dxa"/>
            <w:tcBorders>
              <w:top w:val="nil"/>
              <w:left w:val="nil"/>
              <w:bottom w:val="nil"/>
              <w:right w:val="nil"/>
            </w:tcBorders>
          </w:tcPr>
          <w:p w14:paraId="41AEB5E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-0.004</w:t>
            </w:r>
          </w:p>
        </w:tc>
        <w:tc>
          <w:tcPr>
            <w:tcW w:w="1425" w:type="dxa"/>
            <w:tcBorders>
              <w:top w:val="nil"/>
              <w:left w:val="nil"/>
              <w:bottom w:val="nil"/>
              <w:right w:val="nil"/>
            </w:tcBorders>
          </w:tcPr>
          <w:p w14:paraId="6684FF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-0.002</w:t>
            </w:r>
          </w:p>
        </w:tc>
        <w:tc>
          <w:tcPr>
            <w:tcW w:w="1425" w:type="dxa"/>
            <w:tcBorders>
              <w:top w:val="nil"/>
              <w:left w:val="nil"/>
              <w:bottom w:val="nil"/>
              <w:right w:val="nil"/>
            </w:tcBorders>
          </w:tcPr>
          <w:p w14:paraId="17455F3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-0.002</w:t>
            </w:r>
          </w:p>
        </w:tc>
      </w:tr>
      <w:tr w:rsidR="007C0A0E" w:rsidRPr="00BA0E8D" w14:paraId="54F5657A" w14:textId="77777777" w:rsidTr="007C0A0E">
        <w:trPr>
          <w:trHeight w:val="25"/>
        </w:trPr>
        <w:tc>
          <w:tcPr>
            <w:tcW w:w="2255" w:type="dxa"/>
            <w:tcBorders>
              <w:top w:val="nil"/>
              <w:left w:val="nil"/>
              <w:bottom w:val="nil"/>
              <w:right w:val="nil"/>
            </w:tcBorders>
          </w:tcPr>
          <w:p w14:paraId="6CACEC11"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40E9466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425" w:type="dxa"/>
            <w:tcBorders>
              <w:top w:val="nil"/>
              <w:left w:val="nil"/>
              <w:bottom w:val="nil"/>
              <w:right w:val="nil"/>
            </w:tcBorders>
          </w:tcPr>
          <w:p w14:paraId="503FC65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39A91CC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27C0B21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425" w:type="dxa"/>
            <w:tcBorders>
              <w:top w:val="nil"/>
              <w:left w:val="nil"/>
              <w:bottom w:val="nil"/>
              <w:right w:val="nil"/>
            </w:tcBorders>
          </w:tcPr>
          <w:p w14:paraId="267DDD8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425" w:type="dxa"/>
            <w:tcBorders>
              <w:top w:val="nil"/>
              <w:left w:val="nil"/>
              <w:bottom w:val="nil"/>
              <w:right w:val="nil"/>
            </w:tcBorders>
          </w:tcPr>
          <w:p w14:paraId="45A73E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425" w:type="dxa"/>
            <w:tcBorders>
              <w:top w:val="nil"/>
              <w:left w:val="nil"/>
              <w:bottom w:val="nil"/>
              <w:right w:val="nil"/>
            </w:tcBorders>
          </w:tcPr>
          <w:p w14:paraId="3C19A89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425" w:type="dxa"/>
            <w:tcBorders>
              <w:top w:val="nil"/>
              <w:left w:val="nil"/>
              <w:bottom w:val="nil"/>
              <w:right w:val="nil"/>
            </w:tcBorders>
          </w:tcPr>
          <w:p w14:paraId="3F663C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425" w:type="dxa"/>
            <w:tcBorders>
              <w:top w:val="nil"/>
              <w:left w:val="nil"/>
              <w:bottom w:val="nil"/>
              <w:right w:val="nil"/>
            </w:tcBorders>
          </w:tcPr>
          <w:p w14:paraId="502C77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r>
      <w:tr w:rsidR="007C0A0E" w:rsidRPr="00BA0E8D" w14:paraId="4A6E6330" w14:textId="77777777" w:rsidTr="007C0A0E">
        <w:trPr>
          <w:trHeight w:val="21"/>
        </w:trPr>
        <w:tc>
          <w:tcPr>
            <w:tcW w:w="2255" w:type="dxa"/>
            <w:tcBorders>
              <w:top w:val="nil"/>
              <w:left w:val="nil"/>
              <w:bottom w:val="nil"/>
              <w:right w:val="nil"/>
            </w:tcBorders>
          </w:tcPr>
          <w:p w14:paraId="435827E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Fees</w:t>
            </w:r>
          </w:p>
        </w:tc>
        <w:tc>
          <w:tcPr>
            <w:tcW w:w="1024" w:type="dxa"/>
            <w:tcBorders>
              <w:top w:val="nil"/>
              <w:left w:val="nil"/>
              <w:bottom w:val="nil"/>
              <w:right w:val="nil"/>
            </w:tcBorders>
          </w:tcPr>
          <w:p w14:paraId="280017A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697F46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E87D6A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C41B5B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FE4A4B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18FD0A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75447E4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FADE5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D3AF8F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r w:rsidRPr="00BA0E8D">
              <w:rPr>
                <w:rFonts w:ascii="Times New Roman" w:hAnsi="Times New Roman"/>
                <w:sz w:val="20"/>
                <w:szCs w:val="20"/>
                <w:vertAlign w:val="superscript"/>
              </w:rPr>
              <w:t>***</w:t>
            </w:r>
          </w:p>
        </w:tc>
      </w:tr>
      <w:tr w:rsidR="007C0A0E" w:rsidRPr="00BA0E8D" w14:paraId="2CFD7E9E" w14:textId="77777777" w:rsidTr="007C0A0E">
        <w:trPr>
          <w:trHeight w:val="21"/>
        </w:trPr>
        <w:tc>
          <w:tcPr>
            <w:tcW w:w="2255" w:type="dxa"/>
            <w:tcBorders>
              <w:top w:val="nil"/>
              <w:left w:val="nil"/>
              <w:bottom w:val="nil"/>
              <w:right w:val="nil"/>
            </w:tcBorders>
          </w:tcPr>
          <w:p w14:paraId="07E0168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3ACC4C8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4AA1701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2E5655B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4123E14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1886C57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05529A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4D0CA77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7981787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c>
          <w:tcPr>
            <w:tcW w:w="1425" w:type="dxa"/>
            <w:tcBorders>
              <w:top w:val="nil"/>
              <w:left w:val="nil"/>
              <w:bottom w:val="nil"/>
              <w:right w:val="nil"/>
            </w:tcBorders>
          </w:tcPr>
          <w:p w14:paraId="76F841B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(0.011)</w:t>
            </w:r>
          </w:p>
        </w:tc>
      </w:tr>
      <w:tr w:rsidR="007C0A0E" w:rsidRPr="00BA0E8D" w14:paraId="70E0E160" w14:textId="77777777" w:rsidTr="007C0A0E">
        <w:trPr>
          <w:trHeight w:val="21"/>
        </w:trPr>
        <w:tc>
          <w:tcPr>
            <w:tcW w:w="2255" w:type="dxa"/>
            <w:tcBorders>
              <w:top w:val="nil"/>
              <w:left w:val="nil"/>
              <w:bottom w:val="nil"/>
              <w:right w:val="nil"/>
            </w:tcBorders>
          </w:tcPr>
          <w:p w14:paraId="4799D1C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Inefficiency</w:t>
            </w:r>
          </w:p>
        </w:tc>
        <w:tc>
          <w:tcPr>
            <w:tcW w:w="1024" w:type="dxa"/>
            <w:tcBorders>
              <w:top w:val="nil"/>
              <w:left w:val="nil"/>
              <w:bottom w:val="nil"/>
              <w:right w:val="nil"/>
            </w:tcBorders>
          </w:tcPr>
          <w:p w14:paraId="73109A2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EF6971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0.690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51048B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0.689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CC2871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0.706</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DC686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4289F1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0.700</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56B265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AA9D4C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054D0F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0.726</w:t>
            </w:r>
            <w:r w:rsidRPr="00BA0E8D">
              <w:rPr>
                <w:rFonts w:ascii="Times New Roman" w:hAnsi="Times New Roman"/>
                <w:sz w:val="20"/>
                <w:szCs w:val="20"/>
                <w:vertAlign w:val="superscript"/>
              </w:rPr>
              <w:t>***</w:t>
            </w:r>
          </w:p>
        </w:tc>
      </w:tr>
      <w:tr w:rsidR="007C0A0E" w:rsidRPr="00BA0E8D" w14:paraId="54BC011E" w14:textId="77777777" w:rsidTr="007C0A0E">
        <w:trPr>
          <w:trHeight w:val="21"/>
        </w:trPr>
        <w:tc>
          <w:tcPr>
            <w:tcW w:w="2255" w:type="dxa"/>
            <w:tcBorders>
              <w:top w:val="nil"/>
              <w:left w:val="nil"/>
              <w:bottom w:val="nil"/>
              <w:right w:val="nil"/>
            </w:tcBorders>
          </w:tcPr>
          <w:p w14:paraId="7E331DAD"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0A06752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425" w:type="dxa"/>
            <w:tcBorders>
              <w:top w:val="nil"/>
              <w:left w:val="nil"/>
              <w:bottom w:val="nil"/>
              <w:right w:val="nil"/>
            </w:tcBorders>
          </w:tcPr>
          <w:p w14:paraId="34C9240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425" w:type="dxa"/>
            <w:tcBorders>
              <w:top w:val="nil"/>
              <w:left w:val="nil"/>
              <w:bottom w:val="nil"/>
              <w:right w:val="nil"/>
            </w:tcBorders>
          </w:tcPr>
          <w:p w14:paraId="2377BF4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(0.094)</w:t>
            </w:r>
          </w:p>
        </w:tc>
        <w:tc>
          <w:tcPr>
            <w:tcW w:w="1425" w:type="dxa"/>
            <w:tcBorders>
              <w:top w:val="nil"/>
              <w:left w:val="nil"/>
              <w:bottom w:val="nil"/>
              <w:right w:val="nil"/>
            </w:tcBorders>
          </w:tcPr>
          <w:p w14:paraId="43F1595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(0.088)</w:t>
            </w:r>
          </w:p>
        </w:tc>
        <w:tc>
          <w:tcPr>
            <w:tcW w:w="1425" w:type="dxa"/>
            <w:tcBorders>
              <w:top w:val="nil"/>
              <w:left w:val="nil"/>
              <w:bottom w:val="nil"/>
              <w:right w:val="nil"/>
            </w:tcBorders>
          </w:tcPr>
          <w:p w14:paraId="1CFC221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425" w:type="dxa"/>
            <w:tcBorders>
              <w:top w:val="nil"/>
              <w:left w:val="nil"/>
              <w:bottom w:val="nil"/>
              <w:right w:val="nil"/>
            </w:tcBorders>
          </w:tcPr>
          <w:p w14:paraId="0FB47F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(0.090)</w:t>
            </w:r>
          </w:p>
        </w:tc>
        <w:tc>
          <w:tcPr>
            <w:tcW w:w="1425" w:type="dxa"/>
            <w:tcBorders>
              <w:top w:val="nil"/>
              <w:left w:val="nil"/>
              <w:bottom w:val="nil"/>
              <w:right w:val="nil"/>
            </w:tcBorders>
          </w:tcPr>
          <w:p w14:paraId="1A8D609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425" w:type="dxa"/>
            <w:tcBorders>
              <w:top w:val="nil"/>
              <w:left w:val="nil"/>
              <w:bottom w:val="nil"/>
              <w:right w:val="nil"/>
            </w:tcBorders>
          </w:tcPr>
          <w:p w14:paraId="3CBE848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(0.088)</w:t>
            </w:r>
          </w:p>
        </w:tc>
        <w:tc>
          <w:tcPr>
            <w:tcW w:w="1425" w:type="dxa"/>
            <w:tcBorders>
              <w:top w:val="nil"/>
              <w:left w:val="nil"/>
              <w:bottom w:val="nil"/>
              <w:right w:val="nil"/>
            </w:tcBorders>
          </w:tcPr>
          <w:p w14:paraId="73EFE1F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(0.088)</w:t>
            </w:r>
          </w:p>
        </w:tc>
      </w:tr>
      <w:tr w:rsidR="007C0A0E" w:rsidRPr="00BA0E8D" w14:paraId="50FCD3BB" w14:textId="77777777" w:rsidTr="007C0A0E">
        <w:trPr>
          <w:trHeight w:val="21"/>
        </w:trPr>
        <w:tc>
          <w:tcPr>
            <w:tcW w:w="2255" w:type="dxa"/>
            <w:tcBorders>
              <w:top w:val="nil"/>
              <w:left w:val="nil"/>
              <w:bottom w:val="nil"/>
              <w:right w:val="nil"/>
            </w:tcBorders>
          </w:tcPr>
          <w:p w14:paraId="7AEC6F4B"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GDP Growth</w:t>
            </w:r>
          </w:p>
        </w:tc>
        <w:tc>
          <w:tcPr>
            <w:tcW w:w="1024" w:type="dxa"/>
            <w:tcBorders>
              <w:top w:val="nil"/>
              <w:left w:val="nil"/>
              <w:bottom w:val="nil"/>
              <w:right w:val="nil"/>
            </w:tcBorders>
          </w:tcPr>
          <w:p w14:paraId="5B76799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B23A50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0.057</w:t>
            </w:r>
          </w:p>
        </w:tc>
        <w:tc>
          <w:tcPr>
            <w:tcW w:w="1425" w:type="dxa"/>
            <w:tcBorders>
              <w:top w:val="nil"/>
              <w:left w:val="nil"/>
              <w:bottom w:val="nil"/>
              <w:right w:val="nil"/>
            </w:tcBorders>
          </w:tcPr>
          <w:p w14:paraId="517F754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21C22BF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0.076</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11C4A3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556EF8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32FCA9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B7BAD5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2B5BC1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0.083</w:t>
            </w:r>
            <w:r w:rsidRPr="00BA0E8D">
              <w:rPr>
                <w:rFonts w:ascii="Times New Roman" w:hAnsi="Times New Roman"/>
                <w:sz w:val="20"/>
                <w:szCs w:val="20"/>
                <w:vertAlign w:val="superscript"/>
              </w:rPr>
              <w:t>**</w:t>
            </w:r>
          </w:p>
        </w:tc>
      </w:tr>
      <w:tr w:rsidR="007C0A0E" w:rsidRPr="00BA0E8D" w14:paraId="4CF0AB1B" w14:textId="77777777" w:rsidTr="007C0A0E">
        <w:trPr>
          <w:trHeight w:val="21"/>
        </w:trPr>
        <w:tc>
          <w:tcPr>
            <w:tcW w:w="2255" w:type="dxa"/>
            <w:tcBorders>
              <w:top w:val="nil"/>
              <w:left w:val="nil"/>
              <w:bottom w:val="nil"/>
              <w:right w:val="nil"/>
            </w:tcBorders>
          </w:tcPr>
          <w:p w14:paraId="0E539AE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386B68D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0BA0D0E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337BD40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(0.035)</w:t>
            </w:r>
          </w:p>
        </w:tc>
        <w:tc>
          <w:tcPr>
            <w:tcW w:w="1425" w:type="dxa"/>
            <w:tcBorders>
              <w:top w:val="nil"/>
              <w:left w:val="nil"/>
              <w:bottom w:val="nil"/>
              <w:right w:val="nil"/>
            </w:tcBorders>
          </w:tcPr>
          <w:p w14:paraId="30814E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6BB1702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1127FB2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45DA0A1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58C2CE4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(0.036)</w:t>
            </w:r>
          </w:p>
        </w:tc>
        <w:tc>
          <w:tcPr>
            <w:tcW w:w="1425" w:type="dxa"/>
            <w:tcBorders>
              <w:top w:val="nil"/>
              <w:left w:val="nil"/>
              <w:bottom w:val="nil"/>
              <w:right w:val="nil"/>
            </w:tcBorders>
          </w:tcPr>
          <w:p w14:paraId="4471630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(0.037)</w:t>
            </w:r>
          </w:p>
        </w:tc>
      </w:tr>
      <w:tr w:rsidR="007C0A0E" w:rsidRPr="00BA0E8D" w14:paraId="26C80DD5" w14:textId="77777777" w:rsidTr="007C0A0E">
        <w:trPr>
          <w:trHeight w:val="21"/>
        </w:trPr>
        <w:tc>
          <w:tcPr>
            <w:tcW w:w="2255" w:type="dxa"/>
            <w:tcBorders>
              <w:top w:val="nil"/>
              <w:left w:val="nil"/>
              <w:bottom w:val="nil"/>
              <w:right w:val="nil"/>
            </w:tcBorders>
          </w:tcPr>
          <w:p w14:paraId="7BEF321C"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Inflation</w:t>
            </w:r>
          </w:p>
        </w:tc>
        <w:tc>
          <w:tcPr>
            <w:tcW w:w="1024" w:type="dxa"/>
            <w:tcBorders>
              <w:top w:val="nil"/>
              <w:left w:val="nil"/>
              <w:bottom w:val="nil"/>
              <w:right w:val="nil"/>
            </w:tcBorders>
          </w:tcPr>
          <w:p w14:paraId="2262634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33872B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0.086</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3A27A7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B41D89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81DED4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F244BB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7E7917D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694C96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0.099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4FF721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0.103</w:t>
            </w:r>
            <w:r w:rsidRPr="00BA0E8D">
              <w:rPr>
                <w:rFonts w:ascii="Times New Roman" w:hAnsi="Times New Roman"/>
                <w:sz w:val="20"/>
                <w:szCs w:val="20"/>
                <w:vertAlign w:val="superscript"/>
              </w:rPr>
              <w:t>***</w:t>
            </w:r>
          </w:p>
        </w:tc>
      </w:tr>
      <w:tr w:rsidR="007C0A0E" w:rsidRPr="00BA0E8D" w14:paraId="0127EEBD" w14:textId="77777777" w:rsidTr="007C0A0E">
        <w:trPr>
          <w:trHeight w:val="21"/>
        </w:trPr>
        <w:tc>
          <w:tcPr>
            <w:tcW w:w="2255" w:type="dxa"/>
            <w:tcBorders>
              <w:top w:val="nil"/>
              <w:left w:val="nil"/>
              <w:bottom w:val="nil"/>
              <w:right w:val="nil"/>
            </w:tcBorders>
          </w:tcPr>
          <w:p w14:paraId="63C7706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753113C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76D1E2F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6CFCCD7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3962F67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249621E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2E9F594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3230179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p>
        </w:tc>
        <w:tc>
          <w:tcPr>
            <w:tcW w:w="1425" w:type="dxa"/>
            <w:tcBorders>
              <w:top w:val="nil"/>
              <w:left w:val="nil"/>
              <w:bottom w:val="nil"/>
              <w:right w:val="nil"/>
            </w:tcBorders>
          </w:tcPr>
          <w:p w14:paraId="7A06A55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6C0118F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p>
        </w:tc>
      </w:tr>
      <w:tr w:rsidR="007C0A0E" w:rsidRPr="00BA0E8D" w14:paraId="64145545" w14:textId="77777777" w:rsidTr="007C0A0E">
        <w:trPr>
          <w:trHeight w:val="25"/>
        </w:trPr>
        <w:tc>
          <w:tcPr>
            <w:tcW w:w="2255" w:type="dxa"/>
            <w:tcBorders>
              <w:top w:val="nil"/>
              <w:left w:val="nil"/>
              <w:bottom w:val="nil"/>
              <w:right w:val="nil"/>
            </w:tcBorders>
          </w:tcPr>
          <w:p w14:paraId="01C92588"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w:t>
            </w:r>
          </w:p>
        </w:tc>
        <w:tc>
          <w:tcPr>
            <w:tcW w:w="1024" w:type="dxa"/>
            <w:tcBorders>
              <w:top w:val="nil"/>
              <w:left w:val="nil"/>
              <w:bottom w:val="nil"/>
              <w:right w:val="nil"/>
            </w:tcBorders>
          </w:tcPr>
          <w:p w14:paraId="1CB181C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-1.873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0CBE7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-1.678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98BDC5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-1.723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590A62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-1.868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943415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-1.827</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42EADA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-1.984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DC7B9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-1.991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214FC7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-1.968</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A25B81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-1.514</w:t>
            </w:r>
            <w:r w:rsidRPr="00BA0E8D">
              <w:rPr>
                <w:rFonts w:ascii="Times New Roman" w:hAnsi="Times New Roman"/>
                <w:sz w:val="20"/>
                <w:szCs w:val="20"/>
                <w:vertAlign w:val="superscript"/>
              </w:rPr>
              <w:t>**</w:t>
            </w:r>
          </w:p>
        </w:tc>
      </w:tr>
      <w:tr w:rsidR="007C0A0E" w:rsidRPr="00BA0E8D" w14:paraId="4108472B" w14:textId="77777777" w:rsidTr="007C0A0E">
        <w:trPr>
          <w:trHeight w:val="21"/>
        </w:trPr>
        <w:tc>
          <w:tcPr>
            <w:tcW w:w="2255" w:type="dxa"/>
            <w:tcBorders>
              <w:top w:val="nil"/>
              <w:left w:val="nil"/>
              <w:bottom w:val="nil"/>
              <w:right w:val="nil"/>
            </w:tcBorders>
          </w:tcPr>
          <w:p w14:paraId="7B182F2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69D4D0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(0.778)</w:t>
            </w:r>
          </w:p>
        </w:tc>
        <w:tc>
          <w:tcPr>
            <w:tcW w:w="1425" w:type="dxa"/>
            <w:tcBorders>
              <w:top w:val="nil"/>
              <w:left w:val="nil"/>
              <w:bottom w:val="nil"/>
              <w:right w:val="nil"/>
            </w:tcBorders>
          </w:tcPr>
          <w:p w14:paraId="2450356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(0.876)</w:t>
            </w:r>
          </w:p>
        </w:tc>
        <w:tc>
          <w:tcPr>
            <w:tcW w:w="1425" w:type="dxa"/>
            <w:tcBorders>
              <w:top w:val="nil"/>
              <w:left w:val="nil"/>
              <w:bottom w:val="nil"/>
              <w:right w:val="nil"/>
            </w:tcBorders>
          </w:tcPr>
          <w:p w14:paraId="341D043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(0.799)</w:t>
            </w:r>
          </w:p>
        </w:tc>
        <w:tc>
          <w:tcPr>
            <w:tcW w:w="1425" w:type="dxa"/>
            <w:tcBorders>
              <w:top w:val="nil"/>
              <w:left w:val="nil"/>
              <w:bottom w:val="nil"/>
              <w:right w:val="nil"/>
            </w:tcBorders>
          </w:tcPr>
          <w:p w14:paraId="58375F0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(0.717)</w:t>
            </w:r>
          </w:p>
        </w:tc>
        <w:tc>
          <w:tcPr>
            <w:tcW w:w="1425" w:type="dxa"/>
            <w:tcBorders>
              <w:top w:val="nil"/>
              <w:left w:val="nil"/>
              <w:bottom w:val="nil"/>
              <w:right w:val="nil"/>
            </w:tcBorders>
          </w:tcPr>
          <w:p w14:paraId="5F44D64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(0.735)</w:t>
            </w:r>
          </w:p>
        </w:tc>
        <w:tc>
          <w:tcPr>
            <w:tcW w:w="1425" w:type="dxa"/>
            <w:tcBorders>
              <w:top w:val="nil"/>
              <w:left w:val="nil"/>
              <w:bottom w:val="nil"/>
              <w:right w:val="nil"/>
            </w:tcBorders>
          </w:tcPr>
          <w:p w14:paraId="6EDE042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(0.729)</w:t>
            </w:r>
          </w:p>
        </w:tc>
        <w:tc>
          <w:tcPr>
            <w:tcW w:w="1425" w:type="dxa"/>
            <w:tcBorders>
              <w:top w:val="nil"/>
              <w:left w:val="nil"/>
              <w:bottom w:val="nil"/>
              <w:right w:val="nil"/>
            </w:tcBorders>
          </w:tcPr>
          <w:p w14:paraId="5651AD7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(0.761)</w:t>
            </w:r>
          </w:p>
        </w:tc>
        <w:tc>
          <w:tcPr>
            <w:tcW w:w="1425" w:type="dxa"/>
            <w:tcBorders>
              <w:top w:val="nil"/>
              <w:left w:val="nil"/>
              <w:bottom w:val="nil"/>
              <w:right w:val="nil"/>
            </w:tcBorders>
          </w:tcPr>
          <w:p w14:paraId="1677DCA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(0.812)</w:t>
            </w:r>
          </w:p>
        </w:tc>
        <w:tc>
          <w:tcPr>
            <w:tcW w:w="1425" w:type="dxa"/>
            <w:tcBorders>
              <w:top w:val="nil"/>
              <w:left w:val="nil"/>
              <w:bottom w:val="nil"/>
              <w:right w:val="nil"/>
            </w:tcBorders>
          </w:tcPr>
          <w:p w14:paraId="0F58141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(0.751)</w:t>
            </w:r>
          </w:p>
        </w:tc>
      </w:tr>
      <w:tr w:rsidR="007C0A0E" w:rsidRPr="00BA0E8D" w14:paraId="45820559" w14:textId="77777777" w:rsidTr="00894076">
        <w:trPr>
          <w:trHeight w:val="25"/>
        </w:trPr>
        <w:tc>
          <w:tcPr>
            <w:tcW w:w="2255" w:type="dxa"/>
            <w:tcBorders>
              <w:top w:val="nil"/>
              <w:left w:val="nil"/>
              <w:bottom w:val="nil"/>
              <w:right w:val="nil"/>
            </w:tcBorders>
          </w:tcPr>
          <w:p w14:paraId="1AA4A7EB" w14:textId="77777777" w:rsidR="00B647BB" w:rsidRPr="00BA0E8D" w:rsidRDefault="00B647BB" w:rsidP="000A55F1">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w:t>
            </w:r>
          </w:p>
        </w:tc>
        <w:tc>
          <w:tcPr>
            <w:tcW w:w="1024" w:type="dxa"/>
            <w:tcBorders>
              <w:top w:val="nil"/>
              <w:left w:val="nil"/>
              <w:bottom w:val="nil"/>
              <w:right w:val="nil"/>
            </w:tcBorders>
          </w:tcPr>
          <w:p w14:paraId="39CA9D0A"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0.294</w:t>
            </w:r>
          </w:p>
        </w:tc>
        <w:tc>
          <w:tcPr>
            <w:tcW w:w="1425" w:type="dxa"/>
            <w:tcBorders>
              <w:top w:val="nil"/>
              <w:left w:val="nil"/>
              <w:bottom w:val="nil"/>
              <w:right w:val="nil"/>
            </w:tcBorders>
          </w:tcPr>
          <w:p w14:paraId="2CF76B17"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AD41EC2"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6ACC44E"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-0.066</w:t>
            </w:r>
          </w:p>
        </w:tc>
        <w:tc>
          <w:tcPr>
            <w:tcW w:w="1425" w:type="dxa"/>
            <w:tcBorders>
              <w:top w:val="nil"/>
              <w:left w:val="nil"/>
              <w:bottom w:val="nil"/>
              <w:right w:val="nil"/>
            </w:tcBorders>
          </w:tcPr>
          <w:p w14:paraId="4CF3B748"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CCB21EB"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7E10944"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-0.543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F2D47D2"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729467D"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0CD7764D" w14:textId="77777777" w:rsidTr="00894076">
        <w:trPr>
          <w:trHeight w:val="21"/>
        </w:trPr>
        <w:tc>
          <w:tcPr>
            <w:tcW w:w="2255" w:type="dxa"/>
            <w:tcBorders>
              <w:top w:val="nil"/>
              <w:left w:val="nil"/>
              <w:bottom w:val="nil"/>
              <w:right w:val="nil"/>
            </w:tcBorders>
          </w:tcPr>
          <w:p w14:paraId="2813FC4D" w14:textId="77777777" w:rsidR="00B647BB" w:rsidRPr="00BA0E8D" w:rsidRDefault="00B647BB" w:rsidP="000A55F1">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21C2EF11"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(0.315)</w:t>
            </w:r>
          </w:p>
        </w:tc>
        <w:tc>
          <w:tcPr>
            <w:tcW w:w="1425" w:type="dxa"/>
            <w:tcBorders>
              <w:top w:val="nil"/>
              <w:left w:val="nil"/>
              <w:bottom w:val="nil"/>
              <w:right w:val="nil"/>
            </w:tcBorders>
          </w:tcPr>
          <w:p w14:paraId="4E5A1187"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05F4447"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1CB48A3"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(0.289)</w:t>
            </w:r>
          </w:p>
        </w:tc>
        <w:tc>
          <w:tcPr>
            <w:tcW w:w="1425" w:type="dxa"/>
            <w:tcBorders>
              <w:top w:val="nil"/>
              <w:left w:val="nil"/>
              <w:bottom w:val="nil"/>
              <w:right w:val="nil"/>
            </w:tcBorders>
          </w:tcPr>
          <w:p w14:paraId="3EAE5DF8"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257DB3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F82C5CC"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(0.234)</w:t>
            </w:r>
          </w:p>
        </w:tc>
        <w:tc>
          <w:tcPr>
            <w:tcW w:w="1425" w:type="dxa"/>
            <w:tcBorders>
              <w:top w:val="nil"/>
              <w:left w:val="nil"/>
              <w:bottom w:val="nil"/>
              <w:right w:val="nil"/>
            </w:tcBorders>
          </w:tcPr>
          <w:p w14:paraId="16EAE8A5"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CEBCAF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44C3A5E" w14:textId="77777777" w:rsidTr="007C0A0E">
        <w:trPr>
          <w:trHeight w:val="21"/>
        </w:trPr>
        <w:tc>
          <w:tcPr>
            <w:tcW w:w="2255" w:type="dxa"/>
            <w:tcBorders>
              <w:top w:val="nil"/>
              <w:left w:val="nil"/>
              <w:bottom w:val="nil"/>
              <w:right w:val="nil"/>
            </w:tcBorders>
          </w:tcPr>
          <w:p w14:paraId="63A8E51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w:t>
            </w:r>
          </w:p>
        </w:tc>
        <w:tc>
          <w:tcPr>
            <w:tcW w:w="1024" w:type="dxa"/>
            <w:tcBorders>
              <w:top w:val="nil"/>
              <w:left w:val="nil"/>
              <w:bottom w:val="nil"/>
              <w:right w:val="nil"/>
            </w:tcBorders>
          </w:tcPr>
          <w:p w14:paraId="616A09F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C0DE5D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0.089</w:t>
            </w:r>
          </w:p>
        </w:tc>
        <w:tc>
          <w:tcPr>
            <w:tcW w:w="1425" w:type="dxa"/>
            <w:tcBorders>
              <w:top w:val="nil"/>
              <w:left w:val="nil"/>
              <w:bottom w:val="nil"/>
              <w:right w:val="nil"/>
            </w:tcBorders>
          </w:tcPr>
          <w:p w14:paraId="7C36FBA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4626A9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E9F68F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-0.020</w:t>
            </w:r>
          </w:p>
        </w:tc>
        <w:tc>
          <w:tcPr>
            <w:tcW w:w="1425" w:type="dxa"/>
            <w:tcBorders>
              <w:top w:val="nil"/>
              <w:left w:val="nil"/>
              <w:bottom w:val="nil"/>
              <w:right w:val="nil"/>
            </w:tcBorders>
          </w:tcPr>
          <w:p w14:paraId="3489895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B67AE3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3946B3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-0.563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FE236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7E9040BC" w14:textId="77777777" w:rsidTr="007C0A0E">
        <w:trPr>
          <w:trHeight w:val="21"/>
        </w:trPr>
        <w:tc>
          <w:tcPr>
            <w:tcW w:w="2255" w:type="dxa"/>
            <w:tcBorders>
              <w:top w:val="nil"/>
              <w:left w:val="nil"/>
              <w:bottom w:val="nil"/>
              <w:right w:val="nil"/>
            </w:tcBorders>
          </w:tcPr>
          <w:p w14:paraId="3B6804E9"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2091338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D73074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(0.495)</w:t>
            </w:r>
          </w:p>
        </w:tc>
        <w:tc>
          <w:tcPr>
            <w:tcW w:w="1425" w:type="dxa"/>
            <w:tcBorders>
              <w:top w:val="nil"/>
              <w:left w:val="nil"/>
              <w:bottom w:val="nil"/>
              <w:right w:val="nil"/>
            </w:tcBorders>
          </w:tcPr>
          <w:p w14:paraId="40EA257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1AB88B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CA8A97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(0.349)</w:t>
            </w:r>
          </w:p>
        </w:tc>
        <w:tc>
          <w:tcPr>
            <w:tcW w:w="1425" w:type="dxa"/>
            <w:tcBorders>
              <w:top w:val="nil"/>
              <w:left w:val="nil"/>
              <w:bottom w:val="nil"/>
              <w:right w:val="nil"/>
            </w:tcBorders>
          </w:tcPr>
          <w:p w14:paraId="4D797A0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84AD21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96B29C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(0.318)</w:t>
            </w:r>
          </w:p>
        </w:tc>
        <w:tc>
          <w:tcPr>
            <w:tcW w:w="1425" w:type="dxa"/>
            <w:tcBorders>
              <w:top w:val="nil"/>
              <w:left w:val="nil"/>
              <w:bottom w:val="nil"/>
              <w:right w:val="nil"/>
            </w:tcBorders>
          </w:tcPr>
          <w:p w14:paraId="1F2F8F1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62730CD" w14:textId="77777777" w:rsidTr="007C0A0E">
        <w:trPr>
          <w:trHeight w:val="21"/>
        </w:trPr>
        <w:tc>
          <w:tcPr>
            <w:tcW w:w="2255" w:type="dxa"/>
            <w:tcBorders>
              <w:top w:val="nil"/>
              <w:left w:val="nil"/>
              <w:bottom w:val="nil"/>
              <w:right w:val="nil"/>
            </w:tcBorders>
          </w:tcPr>
          <w:p w14:paraId="0EF21ECB"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w:t>
            </w:r>
          </w:p>
        </w:tc>
        <w:tc>
          <w:tcPr>
            <w:tcW w:w="1024" w:type="dxa"/>
            <w:tcBorders>
              <w:top w:val="nil"/>
              <w:left w:val="nil"/>
              <w:bottom w:val="nil"/>
              <w:right w:val="nil"/>
            </w:tcBorders>
          </w:tcPr>
          <w:p w14:paraId="79940AF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F76836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09C954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0.761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217DD3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88DB28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F0716C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0.306</w:t>
            </w:r>
          </w:p>
        </w:tc>
        <w:tc>
          <w:tcPr>
            <w:tcW w:w="1425" w:type="dxa"/>
            <w:tcBorders>
              <w:top w:val="nil"/>
              <w:left w:val="nil"/>
              <w:bottom w:val="nil"/>
              <w:right w:val="nil"/>
            </w:tcBorders>
          </w:tcPr>
          <w:p w14:paraId="7E017E1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A4E782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F63E3C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-0.053</w:t>
            </w:r>
          </w:p>
        </w:tc>
      </w:tr>
      <w:tr w:rsidR="007C0A0E" w:rsidRPr="00BA0E8D" w14:paraId="15DBFE93" w14:textId="77777777" w:rsidTr="007C0A0E">
        <w:trPr>
          <w:trHeight w:val="21"/>
        </w:trPr>
        <w:tc>
          <w:tcPr>
            <w:tcW w:w="2255" w:type="dxa"/>
            <w:tcBorders>
              <w:top w:val="nil"/>
              <w:left w:val="nil"/>
              <w:bottom w:val="nil"/>
              <w:right w:val="nil"/>
            </w:tcBorders>
          </w:tcPr>
          <w:p w14:paraId="6887EF94"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41FEE91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B40050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20D747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(0.330)</w:t>
            </w:r>
          </w:p>
        </w:tc>
        <w:tc>
          <w:tcPr>
            <w:tcW w:w="1425" w:type="dxa"/>
            <w:tcBorders>
              <w:top w:val="nil"/>
              <w:left w:val="nil"/>
              <w:bottom w:val="nil"/>
              <w:right w:val="nil"/>
            </w:tcBorders>
          </w:tcPr>
          <w:p w14:paraId="293A0FE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381423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0D56F3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(0.269)</w:t>
            </w:r>
          </w:p>
        </w:tc>
        <w:tc>
          <w:tcPr>
            <w:tcW w:w="1425" w:type="dxa"/>
            <w:tcBorders>
              <w:top w:val="nil"/>
              <w:left w:val="nil"/>
              <w:bottom w:val="nil"/>
              <w:right w:val="nil"/>
            </w:tcBorders>
          </w:tcPr>
          <w:p w14:paraId="1718CF9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DE0FE0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B7DD83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(0.255)</w:t>
            </w:r>
          </w:p>
        </w:tc>
      </w:tr>
      <w:tr w:rsidR="007C0A0E" w:rsidRPr="00BA0E8D" w14:paraId="4027A671" w14:textId="77777777" w:rsidTr="007C0A0E">
        <w:trPr>
          <w:trHeight w:val="21"/>
        </w:trPr>
        <w:tc>
          <w:tcPr>
            <w:tcW w:w="2255" w:type="dxa"/>
            <w:tcBorders>
              <w:top w:val="nil"/>
              <w:left w:val="nil"/>
              <w:bottom w:val="nil"/>
              <w:right w:val="nil"/>
            </w:tcBorders>
          </w:tcPr>
          <w:p w14:paraId="1BEB890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 X Depth</w:t>
            </w:r>
          </w:p>
        </w:tc>
        <w:tc>
          <w:tcPr>
            <w:tcW w:w="1024" w:type="dxa"/>
            <w:tcBorders>
              <w:top w:val="nil"/>
              <w:left w:val="nil"/>
              <w:bottom w:val="nil"/>
              <w:right w:val="nil"/>
            </w:tcBorders>
          </w:tcPr>
          <w:p w14:paraId="35F3810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0.773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9A9633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0.483</w:t>
            </w:r>
          </w:p>
        </w:tc>
        <w:tc>
          <w:tcPr>
            <w:tcW w:w="1425" w:type="dxa"/>
            <w:tcBorders>
              <w:top w:val="nil"/>
              <w:left w:val="nil"/>
              <w:bottom w:val="nil"/>
              <w:right w:val="nil"/>
            </w:tcBorders>
          </w:tcPr>
          <w:p w14:paraId="52515E3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0.475</w:t>
            </w:r>
          </w:p>
        </w:tc>
        <w:tc>
          <w:tcPr>
            <w:tcW w:w="1425" w:type="dxa"/>
            <w:tcBorders>
              <w:top w:val="nil"/>
              <w:left w:val="nil"/>
              <w:bottom w:val="nil"/>
              <w:right w:val="nil"/>
            </w:tcBorders>
          </w:tcPr>
          <w:p w14:paraId="16979D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172A8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6B1E14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11C7DC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D11B6A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B98CE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6F4BDB00" w14:textId="77777777" w:rsidTr="007C0A0E">
        <w:trPr>
          <w:trHeight w:val="25"/>
        </w:trPr>
        <w:tc>
          <w:tcPr>
            <w:tcW w:w="2255" w:type="dxa"/>
            <w:tcBorders>
              <w:top w:val="nil"/>
              <w:left w:val="nil"/>
              <w:bottom w:val="nil"/>
              <w:right w:val="nil"/>
            </w:tcBorders>
          </w:tcPr>
          <w:p w14:paraId="4C29259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6193612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(0.359)</w:t>
            </w:r>
          </w:p>
        </w:tc>
        <w:tc>
          <w:tcPr>
            <w:tcW w:w="1425" w:type="dxa"/>
            <w:tcBorders>
              <w:top w:val="nil"/>
              <w:left w:val="nil"/>
              <w:bottom w:val="nil"/>
              <w:right w:val="nil"/>
            </w:tcBorders>
          </w:tcPr>
          <w:p w14:paraId="6E02EC7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(0.372)</w:t>
            </w:r>
          </w:p>
        </w:tc>
        <w:tc>
          <w:tcPr>
            <w:tcW w:w="1425" w:type="dxa"/>
            <w:tcBorders>
              <w:top w:val="nil"/>
              <w:left w:val="nil"/>
              <w:bottom w:val="nil"/>
              <w:right w:val="nil"/>
            </w:tcBorders>
          </w:tcPr>
          <w:p w14:paraId="013635C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(0.387)</w:t>
            </w:r>
          </w:p>
        </w:tc>
        <w:tc>
          <w:tcPr>
            <w:tcW w:w="1425" w:type="dxa"/>
            <w:tcBorders>
              <w:top w:val="nil"/>
              <w:left w:val="nil"/>
              <w:bottom w:val="nil"/>
              <w:right w:val="nil"/>
            </w:tcBorders>
          </w:tcPr>
          <w:p w14:paraId="17BA9F2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D78CFB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EC6AE4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7190B4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6D3483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286252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384DC0DD" w14:textId="77777777" w:rsidTr="00894076">
        <w:trPr>
          <w:trHeight w:val="21"/>
        </w:trPr>
        <w:tc>
          <w:tcPr>
            <w:tcW w:w="2255" w:type="dxa"/>
            <w:tcBorders>
              <w:top w:val="nil"/>
              <w:left w:val="nil"/>
              <w:bottom w:val="nil"/>
              <w:right w:val="nil"/>
            </w:tcBorders>
          </w:tcPr>
          <w:p w14:paraId="2013BC19" w14:textId="77777777" w:rsidR="00B647BB" w:rsidRPr="00BA0E8D" w:rsidRDefault="00B647BB" w:rsidP="000A55F1">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 X Registry</w:t>
            </w:r>
          </w:p>
        </w:tc>
        <w:tc>
          <w:tcPr>
            <w:tcW w:w="1024" w:type="dxa"/>
            <w:tcBorders>
              <w:top w:val="nil"/>
              <w:left w:val="nil"/>
              <w:bottom w:val="nil"/>
              <w:right w:val="nil"/>
            </w:tcBorders>
          </w:tcPr>
          <w:p w14:paraId="3023D75C"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A09BAD0"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250A7F7"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B485F82"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0.185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284E194"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0.181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ECEE56D"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0.185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2444757"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07185B0"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E226370"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0B0BECA2" w14:textId="77777777" w:rsidTr="00894076">
        <w:trPr>
          <w:trHeight w:val="21"/>
        </w:trPr>
        <w:tc>
          <w:tcPr>
            <w:tcW w:w="2255" w:type="dxa"/>
            <w:tcBorders>
              <w:top w:val="nil"/>
              <w:left w:val="nil"/>
              <w:bottom w:val="nil"/>
              <w:right w:val="nil"/>
            </w:tcBorders>
          </w:tcPr>
          <w:p w14:paraId="19ECBDD2" w14:textId="77777777" w:rsidR="00B647BB" w:rsidRPr="00BA0E8D" w:rsidRDefault="00B647BB" w:rsidP="000A55F1">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2A3AEB78"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1682DB1"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4ADA3A4"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46B70D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p>
        </w:tc>
        <w:tc>
          <w:tcPr>
            <w:tcW w:w="1425" w:type="dxa"/>
            <w:tcBorders>
              <w:top w:val="nil"/>
              <w:left w:val="nil"/>
              <w:bottom w:val="nil"/>
              <w:right w:val="nil"/>
            </w:tcBorders>
          </w:tcPr>
          <w:p w14:paraId="78D5C784"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(0.071)</w:t>
            </w:r>
          </w:p>
        </w:tc>
        <w:tc>
          <w:tcPr>
            <w:tcW w:w="1425" w:type="dxa"/>
            <w:tcBorders>
              <w:top w:val="nil"/>
              <w:left w:val="nil"/>
              <w:bottom w:val="nil"/>
              <w:right w:val="nil"/>
            </w:tcBorders>
          </w:tcPr>
          <w:p w14:paraId="3C540F1C"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(0.061)</w:t>
            </w:r>
          </w:p>
        </w:tc>
        <w:tc>
          <w:tcPr>
            <w:tcW w:w="1425" w:type="dxa"/>
            <w:tcBorders>
              <w:top w:val="nil"/>
              <w:left w:val="nil"/>
              <w:bottom w:val="nil"/>
              <w:right w:val="nil"/>
            </w:tcBorders>
          </w:tcPr>
          <w:p w14:paraId="7FD47E42"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5FCA90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8EE5A53"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5573F2BC" w14:textId="77777777" w:rsidTr="00894076">
        <w:trPr>
          <w:trHeight w:val="21"/>
        </w:trPr>
        <w:tc>
          <w:tcPr>
            <w:tcW w:w="2255" w:type="dxa"/>
            <w:tcBorders>
              <w:top w:val="nil"/>
              <w:left w:val="nil"/>
              <w:bottom w:val="nil"/>
              <w:right w:val="nil"/>
            </w:tcBorders>
          </w:tcPr>
          <w:p w14:paraId="44B0EFCC" w14:textId="77777777" w:rsidR="00B647BB" w:rsidRPr="00BA0E8D" w:rsidRDefault="00B647BB" w:rsidP="000A55F1">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Concentration X Bureau</w:t>
            </w:r>
          </w:p>
        </w:tc>
        <w:tc>
          <w:tcPr>
            <w:tcW w:w="1024" w:type="dxa"/>
            <w:tcBorders>
              <w:top w:val="nil"/>
              <w:left w:val="nil"/>
              <w:bottom w:val="nil"/>
              <w:right w:val="nil"/>
            </w:tcBorders>
          </w:tcPr>
          <w:p w14:paraId="52EC307D"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A0CFAE9"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F028BC4"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FB8D736"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12519F3"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7611EE7"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3EB2A0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0.059</w:t>
            </w:r>
          </w:p>
        </w:tc>
        <w:tc>
          <w:tcPr>
            <w:tcW w:w="1425" w:type="dxa"/>
            <w:tcBorders>
              <w:top w:val="nil"/>
              <w:left w:val="nil"/>
              <w:bottom w:val="nil"/>
              <w:right w:val="nil"/>
            </w:tcBorders>
          </w:tcPr>
          <w:p w14:paraId="5FB951E2"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p>
        </w:tc>
        <w:tc>
          <w:tcPr>
            <w:tcW w:w="1425" w:type="dxa"/>
            <w:tcBorders>
              <w:top w:val="nil"/>
              <w:left w:val="nil"/>
              <w:bottom w:val="nil"/>
              <w:right w:val="nil"/>
            </w:tcBorders>
          </w:tcPr>
          <w:p w14:paraId="638737C9"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0.018</w:t>
            </w:r>
          </w:p>
        </w:tc>
      </w:tr>
      <w:tr w:rsidR="007C0A0E" w:rsidRPr="00BA0E8D" w14:paraId="0859B100" w14:textId="77777777" w:rsidTr="00894076">
        <w:trPr>
          <w:trHeight w:val="25"/>
        </w:trPr>
        <w:tc>
          <w:tcPr>
            <w:tcW w:w="2255" w:type="dxa"/>
            <w:tcBorders>
              <w:top w:val="nil"/>
              <w:left w:val="nil"/>
              <w:bottom w:val="nil"/>
              <w:right w:val="nil"/>
            </w:tcBorders>
          </w:tcPr>
          <w:p w14:paraId="5C33F288" w14:textId="77777777" w:rsidR="00B647BB" w:rsidRPr="00BA0E8D" w:rsidRDefault="00B647BB" w:rsidP="000A55F1">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4FEC3C3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4D02BDB"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12F4AC6"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E545C14"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55D566B"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8C8F0C1"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FC90A8E"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(0.044)</w:t>
            </w:r>
          </w:p>
        </w:tc>
        <w:tc>
          <w:tcPr>
            <w:tcW w:w="1425" w:type="dxa"/>
            <w:tcBorders>
              <w:top w:val="nil"/>
              <w:left w:val="nil"/>
              <w:bottom w:val="nil"/>
              <w:right w:val="nil"/>
            </w:tcBorders>
          </w:tcPr>
          <w:p w14:paraId="5EA6DFBF"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(0.054)</w:t>
            </w:r>
          </w:p>
        </w:tc>
        <w:tc>
          <w:tcPr>
            <w:tcW w:w="1425" w:type="dxa"/>
            <w:tcBorders>
              <w:top w:val="nil"/>
              <w:left w:val="nil"/>
              <w:bottom w:val="nil"/>
              <w:right w:val="nil"/>
            </w:tcBorders>
          </w:tcPr>
          <w:p w14:paraId="42E28D76" w14:textId="77777777" w:rsidR="00B647BB" w:rsidRPr="00BA0E8D" w:rsidRDefault="00B647BB" w:rsidP="000A55F1">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(0.045)</w:t>
            </w:r>
          </w:p>
        </w:tc>
      </w:tr>
      <w:tr w:rsidR="007C0A0E" w:rsidRPr="00BA0E8D" w14:paraId="09B4BC05" w14:textId="77777777" w:rsidTr="007C0A0E">
        <w:trPr>
          <w:trHeight w:val="21"/>
        </w:trPr>
        <w:tc>
          <w:tcPr>
            <w:tcW w:w="2255" w:type="dxa"/>
            <w:tcBorders>
              <w:top w:val="nil"/>
              <w:left w:val="nil"/>
              <w:bottom w:val="nil"/>
              <w:right w:val="nil"/>
            </w:tcBorders>
          </w:tcPr>
          <w:p w14:paraId="382837C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 X Depth</w:t>
            </w:r>
          </w:p>
        </w:tc>
        <w:tc>
          <w:tcPr>
            <w:tcW w:w="1024" w:type="dxa"/>
            <w:tcBorders>
              <w:top w:val="nil"/>
              <w:left w:val="nil"/>
              <w:bottom w:val="nil"/>
              <w:right w:val="nil"/>
            </w:tcBorders>
          </w:tcPr>
          <w:p w14:paraId="79EF877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0.174</w:t>
            </w:r>
          </w:p>
        </w:tc>
        <w:tc>
          <w:tcPr>
            <w:tcW w:w="1425" w:type="dxa"/>
            <w:tcBorders>
              <w:top w:val="nil"/>
              <w:left w:val="nil"/>
              <w:bottom w:val="nil"/>
              <w:right w:val="nil"/>
            </w:tcBorders>
          </w:tcPr>
          <w:p w14:paraId="752D7C8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D0E66C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C8911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1619FD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93E82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E120EB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5CB523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41D78E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3D5C64CA" w14:textId="77777777" w:rsidTr="007C0A0E">
        <w:trPr>
          <w:trHeight w:val="25"/>
        </w:trPr>
        <w:tc>
          <w:tcPr>
            <w:tcW w:w="2255" w:type="dxa"/>
            <w:tcBorders>
              <w:top w:val="nil"/>
              <w:left w:val="nil"/>
              <w:bottom w:val="nil"/>
              <w:right w:val="nil"/>
            </w:tcBorders>
          </w:tcPr>
          <w:p w14:paraId="759DCDD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41EE18D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(0.120)</w:t>
            </w:r>
          </w:p>
        </w:tc>
        <w:tc>
          <w:tcPr>
            <w:tcW w:w="1425" w:type="dxa"/>
            <w:tcBorders>
              <w:top w:val="nil"/>
              <w:left w:val="nil"/>
              <w:bottom w:val="nil"/>
              <w:right w:val="nil"/>
            </w:tcBorders>
          </w:tcPr>
          <w:p w14:paraId="663B5C8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E5A576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AD7DD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659D54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F5844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84A0EA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C207F6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5C3388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199E684C" w14:textId="77777777" w:rsidTr="007C0A0E">
        <w:trPr>
          <w:trHeight w:val="21"/>
        </w:trPr>
        <w:tc>
          <w:tcPr>
            <w:tcW w:w="2255" w:type="dxa"/>
            <w:tcBorders>
              <w:top w:val="nil"/>
              <w:left w:val="nil"/>
              <w:bottom w:val="nil"/>
              <w:right w:val="nil"/>
            </w:tcBorders>
          </w:tcPr>
          <w:p w14:paraId="1A9F5C2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 X Depth</w:t>
            </w:r>
          </w:p>
        </w:tc>
        <w:tc>
          <w:tcPr>
            <w:tcW w:w="1024" w:type="dxa"/>
            <w:tcBorders>
              <w:top w:val="nil"/>
              <w:left w:val="nil"/>
              <w:bottom w:val="nil"/>
              <w:right w:val="nil"/>
            </w:tcBorders>
          </w:tcPr>
          <w:p w14:paraId="6E9DF8C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D5F1E7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0.244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52008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8ED581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459135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847D82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73C516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00C5C5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54094F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58E24A32" w14:textId="77777777" w:rsidTr="007C0A0E">
        <w:trPr>
          <w:trHeight w:val="21"/>
        </w:trPr>
        <w:tc>
          <w:tcPr>
            <w:tcW w:w="2255" w:type="dxa"/>
            <w:tcBorders>
              <w:top w:val="nil"/>
              <w:left w:val="nil"/>
              <w:bottom w:val="nil"/>
              <w:right w:val="nil"/>
            </w:tcBorders>
          </w:tcPr>
          <w:p w14:paraId="6D13EC6C"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3061C9A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28193B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(0.137)</w:t>
            </w:r>
          </w:p>
        </w:tc>
        <w:tc>
          <w:tcPr>
            <w:tcW w:w="1425" w:type="dxa"/>
            <w:tcBorders>
              <w:top w:val="nil"/>
              <w:left w:val="nil"/>
              <w:bottom w:val="nil"/>
              <w:right w:val="nil"/>
            </w:tcBorders>
          </w:tcPr>
          <w:p w14:paraId="300B8B2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5E5095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EA429B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AE14CE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04F809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505493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6D6C8C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13411D7A" w14:textId="77777777" w:rsidTr="007C0A0E">
        <w:trPr>
          <w:trHeight w:val="25"/>
        </w:trPr>
        <w:tc>
          <w:tcPr>
            <w:tcW w:w="2255" w:type="dxa"/>
            <w:tcBorders>
              <w:top w:val="nil"/>
              <w:left w:val="nil"/>
              <w:bottom w:val="nil"/>
              <w:right w:val="nil"/>
            </w:tcBorders>
          </w:tcPr>
          <w:p w14:paraId="6A68BBE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 X Depth</w:t>
            </w:r>
          </w:p>
        </w:tc>
        <w:tc>
          <w:tcPr>
            <w:tcW w:w="1024" w:type="dxa"/>
            <w:tcBorders>
              <w:top w:val="nil"/>
              <w:left w:val="nil"/>
              <w:bottom w:val="nil"/>
              <w:right w:val="nil"/>
            </w:tcBorders>
          </w:tcPr>
          <w:p w14:paraId="4EFC791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6BE0C5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3ED680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0.129</w:t>
            </w:r>
          </w:p>
        </w:tc>
        <w:tc>
          <w:tcPr>
            <w:tcW w:w="1425" w:type="dxa"/>
            <w:tcBorders>
              <w:top w:val="nil"/>
              <w:left w:val="nil"/>
              <w:bottom w:val="nil"/>
              <w:right w:val="nil"/>
            </w:tcBorders>
          </w:tcPr>
          <w:p w14:paraId="45BC0A3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9E0B2A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C318B6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3BCC74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C34D93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27EBDB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0DE9CBF2" w14:textId="77777777" w:rsidTr="007C0A0E">
        <w:trPr>
          <w:trHeight w:val="21"/>
        </w:trPr>
        <w:tc>
          <w:tcPr>
            <w:tcW w:w="2255" w:type="dxa"/>
            <w:tcBorders>
              <w:top w:val="nil"/>
              <w:left w:val="nil"/>
              <w:bottom w:val="nil"/>
              <w:right w:val="nil"/>
            </w:tcBorders>
          </w:tcPr>
          <w:p w14:paraId="44149ECC"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661CCAE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9A0F51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EE7E9F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(0.114)</w:t>
            </w:r>
          </w:p>
        </w:tc>
        <w:tc>
          <w:tcPr>
            <w:tcW w:w="1425" w:type="dxa"/>
            <w:tcBorders>
              <w:top w:val="nil"/>
              <w:left w:val="nil"/>
              <w:bottom w:val="nil"/>
              <w:right w:val="nil"/>
            </w:tcBorders>
          </w:tcPr>
          <w:p w14:paraId="1206BA5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728464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F1C9FA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825BAA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A76BBE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814B82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D4C94C8" w14:textId="77777777" w:rsidTr="007C0A0E">
        <w:trPr>
          <w:trHeight w:val="21"/>
        </w:trPr>
        <w:tc>
          <w:tcPr>
            <w:tcW w:w="2255" w:type="dxa"/>
            <w:tcBorders>
              <w:top w:val="nil"/>
              <w:left w:val="nil"/>
              <w:bottom w:val="nil"/>
              <w:right w:val="nil"/>
            </w:tcBorders>
          </w:tcPr>
          <w:p w14:paraId="758C4F9C"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 X Registry</w:t>
            </w:r>
          </w:p>
        </w:tc>
        <w:tc>
          <w:tcPr>
            <w:tcW w:w="1024" w:type="dxa"/>
            <w:tcBorders>
              <w:top w:val="nil"/>
              <w:left w:val="nil"/>
              <w:bottom w:val="nil"/>
              <w:right w:val="nil"/>
            </w:tcBorders>
          </w:tcPr>
          <w:p w14:paraId="22D7110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FB50F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00EAF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E7A212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0.026</w:t>
            </w:r>
          </w:p>
        </w:tc>
        <w:tc>
          <w:tcPr>
            <w:tcW w:w="1425" w:type="dxa"/>
            <w:tcBorders>
              <w:top w:val="nil"/>
              <w:left w:val="nil"/>
              <w:bottom w:val="nil"/>
              <w:right w:val="nil"/>
            </w:tcBorders>
          </w:tcPr>
          <w:p w14:paraId="0E5700C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AC4C44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9ABB62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B7803D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638D4E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316C3CF8" w14:textId="77777777" w:rsidTr="007C0A0E">
        <w:trPr>
          <w:trHeight w:val="21"/>
        </w:trPr>
        <w:tc>
          <w:tcPr>
            <w:tcW w:w="2255" w:type="dxa"/>
            <w:tcBorders>
              <w:top w:val="nil"/>
              <w:left w:val="nil"/>
              <w:bottom w:val="nil"/>
              <w:right w:val="nil"/>
            </w:tcBorders>
          </w:tcPr>
          <w:p w14:paraId="0DF4A7F5"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7DDC19A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FD1DA1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0A9637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D5A0A2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425" w:type="dxa"/>
            <w:tcBorders>
              <w:top w:val="nil"/>
              <w:left w:val="nil"/>
              <w:bottom w:val="nil"/>
              <w:right w:val="nil"/>
            </w:tcBorders>
          </w:tcPr>
          <w:p w14:paraId="3245256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1B9D91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1C9D89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786EA2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DD1B72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A683EEA" w14:textId="77777777" w:rsidTr="007C0A0E">
        <w:trPr>
          <w:trHeight w:val="25"/>
        </w:trPr>
        <w:tc>
          <w:tcPr>
            <w:tcW w:w="2255" w:type="dxa"/>
            <w:tcBorders>
              <w:top w:val="nil"/>
              <w:left w:val="nil"/>
              <w:bottom w:val="nil"/>
              <w:right w:val="nil"/>
            </w:tcBorders>
          </w:tcPr>
          <w:p w14:paraId="77000DC2" w14:textId="4CED89F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 X Registry</w:t>
            </w:r>
          </w:p>
        </w:tc>
        <w:tc>
          <w:tcPr>
            <w:tcW w:w="1024" w:type="dxa"/>
            <w:tcBorders>
              <w:top w:val="nil"/>
              <w:left w:val="nil"/>
              <w:bottom w:val="nil"/>
              <w:right w:val="nil"/>
            </w:tcBorders>
          </w:tcPr>
          <w:p w14:paraId="581CB49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0494BC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6ED680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CBD117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C52CC6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1F77852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73BC97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BAC98B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76BB76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0E7D3343" w14:textId="77777777" w:rsidTr="007C0A0E">
        <w:trPr>
          <w:trHeight w:val="21"/>
        </w:trPr>
        <w:tc>
          <w:tcPr>
            <w:tcW w:w="2255" w:type="dxa"/>
            <w:tcBorders>
              <w:top w:val="nil"/>
              <w:left w:val="nil"/>
              <w:bottom w:val="nil"/>
              <w:right w:val="nil"/>
            </w:tcBorders>
          </w:tcPr>
          <w:p w14:paraId="1C4275F2"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3CB37DB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CEA7CD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AC345A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052F3F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9658F8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(0.021)</w:t>
            </w:r>
          </w:p>
        </w:tc>
        <w:tc>
          <w:tcPr>
            <w:tcW w:w="1425" w:type="dxa"/>
            <w:tcBorders>
              <w:top w:val="nil"/>
              <w:left w:val="nil"/>
              <w:bottom w:val="nil"/>
              <w:right w:val="nil"/>
            </w:tcBorders>
          </w:tcPr>
          <w:p w14:paraId="284067F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9E054F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E28DF2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10596F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E812CF5" w14:textId="77777777" w:rsidTr="007C0A0E">
        <w:trPr>
          <w:trHeight w:val="25"/>
        </w:trPr>
        <w:tc>
          <w:tcPr>
            <w:tcW w:w="2255" w:type="dxa"/>
            <w:tcBorders>
              <w:top w:val="nil"/>
              <w:left w:val="nil"/>
              <w:bottom w:val="nil"/>
              <w:right w:val="nil"/>
            </w:tcBorders>
          </w:tcPr>
          <w:p w14:paraId="06770A0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 X Registry</w:t>
            </w:r>
          </w:p>
        </w:tc>
        <w:tc>
          <w:tcPr>
            <w:tcW w:w="1024" w:type="dxa"/>
            <w:tcBorders>
              <w:top w:val="nil"/>
              <w:left w:val="nil"/>
              <w:bottom w:val="nil"/>
              <w:right w:val="nil"/>
            </w:tcBorders>
          </w:tcPr>
          <w:p w14:paraId="1FC981A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0805B0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730260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D30C81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37A095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BC5B59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0.022</w:t>
            </w:r>
          </w:p>
        </w:tc>
        <w:tc>
          <w:tcPr>
            <w:tcW w:w="1425" w:type="dxa"/>
            <w:tcBorders>
              <w:top w:val="nil"/>
              <w:left w:val="nil"/>
              <w:bottom w:val="nil"/>
              <w:right w:val="nil"/>
            </w:tcBorders>
          </w:tcPr>
          <w:p w14:paraId="3AD4FB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7BEC26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C3453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3E27B74" w14:textId="77777777" w:rsidTr="007C0A0E">
        <w:trPr>
          <w:trHeight w:val="21"/>
        </w:trPr>
        <w:tc>
          <w:tcPr>
            <w:tcW w:w="2255" w:type="dxa"/>
            <w:tcBorders>
              <w:top w:val="nil"/>
              <w:left w:val="nil"/>
              <w:bottom w:val="nil"/>
              <w:right w:val="nil"/>
            </w:tcBorders>
          </w:tcPr>
          <w:p w14:paraId="4CA68247"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2AE0BE6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AF447E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8768F3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761940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5781F2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C50738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(0.023)</w:t>
            </w:r>
          </w:p>
        </w:tc>
        <w:tc>
          <w:tcPr>
            <w:tcW w:w="1425" w:type="dxa"/>
            <w:tcBorders>
              <w:top w:val="nil"/>
              <w:left w:val="nil"/>
              <w:bottom w:val="nil"/>
              <w:right w:val="nil"/>
            </w:tcBorders>
          </w:tcPr>
          <w:p w14:paraId="356E24F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D8D06D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64C9AF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4771674C" w14:textId="77777777" w:rsidTr="007C0A0E">
        <w:trPr>
          <w:trHeight w:val="21"/>
        </w:trPr>
        <w:tc>
          <w:tcPr>
            <w:tcW w:w="2255" w:type="dxa"/>
            <w:tcBorders>
              <w:top w:val="nil"/>
              <w:left w:val="nil"/>
              <w:bottom w:val="nil"/>
              <w:right w:val="nil"/>
            </w:tcBorders>
          </w:tcPr>
          <w:p w14:paraId="31BD53ED"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Law X Bureau</w:t>
            </w:r>
          </w:p>
        </w:tc>
        <w:tc>
          <w:tcPr>
            <w:tcW w:w="1024" w:type="dxa"/>
            <w:tcBorders>
              <w:top w:val="nil"/>
              <w:left w:val="nil"/>
              <w:bottom w:val="nil"/>
              <w:right w:val="nil"/>
            </w:tcBorders>
          </w:tcPr>
          <w:p w14:paraId="47498A2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B46F3C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C0411A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326428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DD42A5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F68FC8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9ACDEB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0.063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7E8451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4AEF81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19BD6641" w14:textId="77777777" w:rsidTr="007C0A0E">
        <w:trPr>
          <w:trHeight w:val="21"/>
        </w:trPr>
        <w:tc>
          <w:tcPr>
            <w:tcW w:w="2255" w:type="dxa"/>
            <w:tcBorders>
              <w:top w:val="nil"/>
              <w:left w:val="nil"/>
              <w:bottom w:val="nil"/>
              <w:right w:val="nil"/>
            </w:tcBorders>
          </w:tcPr>
          <w:p w14:paraId="6494A4A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357C7C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3AF9DB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343638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B4D31C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B7B073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9D1BA9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DF0812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(0.028)</w:t>
            </w:r>
          </w:p>
        </w:tc>
        <w:tc>
          <w:tcPr>
            <w:tcW w:w="1425" w:type="dxa"/>
            <w:tcBorders>
              <w:top w:val="nil"/>
              <w:left w:val="nil"/>
              <w:bottom w:val="nil"/>
              <w:right w:val="nil"/>
            </w:tcBorders>
          </w:tcPr>
          <w:p w14:paraId="7E96D15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AEAB8B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6A129854" w14:textId="77777777" w:rsidTr="007C0A0E">
        <w:trPr>
          <w:trHeight w:val="21"/>
        </w:trPr>
        <w:tc>
          <w:tcPr>
            <w:tcW w:w="2255" w:type="dxa"/>
            <w:tcBorders>
              <w:top w:val="nil"/>
              <w:left w:val="nil"/>
              <w:bottom w:val="nil"/>
              <w:right w:val="nil"/>
            </w:tcBorders>
          </w:tcPr>
          <w:p w14:paraId="4D410B1F"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Regulation X Bureau</w:t>
            </w:r>
          </w:p>
        </w:tc>
        <w:tc>
          <w:tcPr>
            <w:tcW w:w="1024" w:type="dxa"/>
            <w:tcBorders>
              <w:top w:val="nil"/>
              <w:left w:val="nil"/>
              <w:bottom w:val="nil"/>
              <w:right w:val="nil"/>
            </w:tcBorders>
          </w:tcPr>
          <w:p w14:paraId="5354937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EA9B84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00EA42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CBB4C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8613BD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54128D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FC82DA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D8D057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0.053</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261761E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718EEB49" w14:textId="77777777" w:rsidTr="007C0A0E">
        <w:trPr>
          <w:trHeight w:val="21"/>
        </w:trPr>
        <w:tc>
          <w:tcPr>
            <w:tcW w:w="2255" w:type="dxa"/>
            <w:tcBorders>
              <w:top w:val="nil"/>
              <w:left w:val="nil"/>
              <w:bottom w:val="nil"/>
              <w:right w:val="nil"/>
            </w:tcBorders>
          </w:tcPr>
          <w:p w14:paraId="666AB311"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26648A3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A1811A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86B6A6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BDCABD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BB8E4B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F2C291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5C31FA2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0456821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(0.024)</w:t>
            </w:r>
          </w:p>
        </w:tc>
        <w:tc>
          <w:tcPr>
            <w:tcW w:w="1425" w:type="dxa"/>
            <w:tcBorders>
              <w:top w:val="nil"/>
              <w:left w:val="nil"/>
              <w:bottom w:val="nil"/>
              <w:right w:val="nil"/>
            </w:tcBorders>
          </w:tcPr>
          <w:p w14:paraId="05C855C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r>
      <w:tr w:rsidR="007C0A0E" w:rsidRPr="00BA0E8D" w14:paraId="093A74C3" w14:textId="77777777" w:rsidTr="007C0A0E">
        <w:trPr>
          <w:trHeight w:val="21"/>
        </w:trPr>
        <w:tc>
          <w:tcPr>
            <w:tcW w:w="2255" w:type="dxa"/>
            <w:tcBorders>
              <w:top w:val="nil"/>
              <w:left w:val="nil"/>
              <w:bottom w:val="nil"/>
              <w:right w:val="nil"/>
            </w:tcBorders>
          </w:tcPr>
          <w:p w14:paraId="21D29A75"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Corruption X Bureau</w:t>
            </w:r>
          </w:p>
        </w:tc>
        <w:tc>
          <w:tcPr>
            <w:tcW w:w="1024" w:type="dxa"/>
            <w:tcBorders>
              <w:top w:val="nil"/>
              <w:left w:val="nil"/>
              <w:bottom w:val="nil"/>
              <w:right w:val="nil"/>
            </w:tcBorders>
          </w:tcPr>
          <w:p w14:paraId="277C406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64BFE80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135B70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4BC4B6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6A4CA6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AF525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9A9FBB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2929DCD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60A03A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0.034</w:t>
            </w:r>
            <w:r w:rsidRPr="00BA0E8D">
              <w:rPr>
                <w:rFonts w:ascii="Times New Roman" w:hAnsi="Times New Roman"/>
                <w:sz w:val="20"/>
                <w:szCs w:val="20"/>
                <w:vertAlign w:val="superscript"/>
              </w:rPr>
              <w:t>**</w:t>
            </w:r>
          </w:p>
        </w:tc>
      </w:tr>
      <w:tr w:rsidR="007C0A0E" w:rsidRPr="00BA0E8D" w14:paraId="67FF9481" w14:textId="77777777" w:rsidTr="007C0A0E">
        <w:trPr>
          <w:trHeight w:val="21"/>
        </w:trPr>
        <w:tc>
          <w:tcPr>
            <w:tcW w:w="2255" w:type="dxa"/>
            <w:tcBorders>
              <w:top w:val="nil"/>
              <w:left w:val="nil"/>
              <w:bottom w:val="nil"/>
              <w:right w:val="nil"/>
            </w:tcBorders>
          </w:tcPr>
          <w:p w14:paraId="229E099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23E210B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2A8EF5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15F1A2F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204809D"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1C7066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B4DE24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35EDB7F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7BB7958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p>
        </w:tc>
        <w:tc>
          <w:tcPr>
            <w:tcW w:w="1425" w:type="dxa"/>
            <w:tcBorders>
              <w:top w:val="nil"/>
              <w:left w:val="nil"/>
              <w:bottom w:val="nil"/>
              <w:right w:val="nil"/>
            </w:tcBorders>
          </w:tcPr>
          <w:p w14:paraId="4CF181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(0.017)</w:t>
            </w:r>
          </w:p>
        </w:tc>
      </w:tr>
      <w:tr w:rsidR="007C0A0E" w:rsidRPr="00BA0E8D" w14:paraId="258924E2" w14:textId="77777777" w:rsidTr="007C0A0E">
        <w:trPr>
          <w:trHeight w:val="21"/>
        </w:trPr>
        <w:tc>
          <w:tcPr>
            <w:tcW w:w="2255" w:type="dxa"/>
            <w:tcBorders>
              <w:top w:val="nil"/>
              <w:left w:val="nil"/>
              <w:bottom w:val="nil"/>
              <w:right w:val="nil"/>
            </w:tcBorders>
          </w:tcPr>
          <w:p w14:paraId="52F10B81"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nil"/>
              <w:right w:val="nil"/>
            </w:tcBorders>
          </w:tcPr>
          <w:p w14:paraId="04532A42"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0588EA04"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70864C3B"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6B2756C9"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5F3957D3"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35EB2EC4"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1A6DEB60"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05EB7102"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425" w:type="dxa"/>
            <w:tcBorders>
              <w:top w:val="nil"/>
              <w:left w:val="nil"/>
              <w:bottom w:val="nil"/>
              <w:right w:val="nil"/>
            </w:tcBorders>
          </w:tcPr>
          <w:p w14:paraId="345B16DE"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r>
      <w:tr w:rsidR="007C0A0E" w:rsidRPr="00BA0E8D" w14:paraId="43DC0C4F" w14:textId="77777777" w:rsidTr="007C0A0E">
        <w:trPr>
          <w:trHeight w:val="25"/>
        </w:trPr>
        <w:tc>
          <w:tcPr>
            <w:tcW w:w="2255" w:type="dxa"/>
            <w:tcBorders>
              <w:top w:val="nil"/>
              <w:left w:val="nil"/>
              <w:bottom w:val="nil"/>
              <w:right w:val="nil"/>
            </w:tcBorders>
          </w:tcPr>
          <w:p w14:paraId="1958AA9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Constant</w:t>
            </w:r>
          </w:p>
        </w:tc>
        <w:tc>
          <w:tcPr>
            <w:tcW w:w="1024" w:type="dxa"/>
            <w:tcBorders>
              <w:top w:val="nil"/>
              <w:left w:val="nil"/>
              <w:bottom w:val="nil"/>
              <w:right w:val="nil"/>
            </w:tcBorders>
          </w:tcPr>
          <w:p w14:paraId="799587C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5.124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788688C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4.769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5C39151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4.324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14EA665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5.162</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7F64519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5.331</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469C27F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5.125</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6FB500A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5.369</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DE7A233"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5.614</w:t>
            </w:r>
            <w:r w:rsidRPr="00BA0E8D">
              <w:rPr>
                <w:rFonts w:ascii="Times New Roman" w:hAnsi="Times New Roman"/>
                <w:sz w:val="20"/>
                <w:szCs w:val="20"/>
                <w:vertAlign w:val="superscript"/>
              </w:rPr>
              <w:t>***</w:t>
            </w:r>
          </w:p>
        </w:tc>
        <w:tc>
          <w:tcPr>
            <w:tcW w:w="1425" w:type="dxa"/>
            <w:tcBorders>
              <w:top w:val="nil"/>
              <w:left w:val="nil"/>
              <w:bottom w:val="nil"/>
              <w:right w:val="nil"/>
            </w:tcBorders>
          </w:tcPr>
          <w:p w14:paraId="0A463E9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4.931</w:t>
            </w:r>
            <w:r w:rsidRPr="00BA0E8D">
              <w:rPr>
                <w:rFonts w:ascii="Times New Roman" w:hAnsi="Times New Roman"/>
                <w:sz w:val="20"/>
                <w:szCs w:val="20"/>
                <w:vertAlign w:val="superscript"/>
              </w:rPr>
              <w:t>**</w:t>
            </w:r>
          </w:p>
        </w:tc>
      </w:tr>
      <w:tr w:rsidR="007C0A0E" w:rsidRPr="00BA0E8D" w14:paraId="7A5D7F8F" w14:textId="77777777" w:rsidTr="007C0A0E">
        <w:trPr>
          <w:trHeight w:val="21"/>
        </w:trPr>
        <w:tc>
          <w:tcPr>
            <w:tcW w:w="2255" w:type="dxa"/>
            <w:tcBorders>
              <w:top w:val="nil"/>
              <w:left w:val="nil"/>
              <w:bottom w:val="single" w:sz="4" w:space="0" w:color="auto"/>
              <w:right w:val="nil"/>
            </w:tcBorders>
          </w:tcPr>
          <w:p w14:paraId="6BD10A4A" w14:textId="77777777" w:rsidR="00216743" w:rsidRPr="00BA0E8D" w:rsidRDefault="00216743" w:rsidP="0056122B">
            <w:pPr>
              <w:widowControl w:val="0"/>
              <w:autoSpaceDE w:val="0"/>
              <w:autoSpaceDN w:val="0"/>
              <w:adjustRightInd w:val="0"/>
              <w:spacing w:after="0" w:line="240" w:lineRule="auto"/>
              <w:rPr>
                <w:rFonts w:ascii="Times New Roman" w:hAnsi="Times New Roman"/>
                <w:sz w:val="20"/>
                <w:szCs w:val="20"/>
              </w:rPr>
            </w:pPr>
          </w:p>
        </w:tc>
        <w:tc>
          <w:tcPr>
            <w:tcW w:w="1024" w:type="dxa"/>
            <w:tcBorders>
              <w:top w:val="nil"/>
              <w:left w:val="nil"/>
              <w:bottom w:val="single" w:sz="4" w:space="0" w:color="auto"/>
              <w:right w:val="nil"/>
            </w:tcBorders>
          </w:tcPr>
          <w:p w14:paraId="4D849FA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(2.130)</w:t>
            </w:r>
          </w:p>
        </w:tc>
        <w:tc>
          <w:tcPr>
            <w:tcW w:w="1425" w:type="dxa"/>
            <w:tcBorders>
              <w:top w:val="nil"/>
              <w:left w:val="nil"/>
              <w:bottom w:val="single" w:sz="4" w:space="0" w:color="auto"/>
              <w:right w:val="nil"/>
            </w:tcBorders>
          </w:tcPr>
          <w:p w14:paraId="73EEDE8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(2.122)</w:t>
            </w:r>
          </w:p>
        </w:tc>
        <w:tc>
          <w:tcPr>
            <w:tcW w:w="1425" w:type="dxa"/>
            <w:tcBorders>
              <w:top w:val="nil"/>
              <w:left w:val="nil"/>
              <w:bottom w:val="single" w:sz="4" w:space="0" w:color="auto"/>
              <w:right w:val="nil"/>
            </w:tcBorders>
          </w:tcPr>
          <w:p w14:paraId="2DDAE437"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(2.070)</w:t>
            </w:r>
          </w:p>
        </w:tc>
        <w:tc>
          <w:tcPr>
            <w:tcW w:w="1425" w:type="dxa"/>
            <w:tcBorders>
              <w:top w:val="nil"/>
              <w:left w:val="nil"/>
              <w:bottom w:val="single" w:sz="4" w:space="0" w:color="auto"/>
              <w:right w:val="nil"/>
            </w:tcBorders>
          </w:tcPr>
          <w:p w14:paraId="4171D471"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(1.902)</w:t>
            </w:r>
          </w:p>
        </w:tc>
        <w:tc>
          <w:tcPr>
            <w:tcW w:w="1425" w:type="dxa"/>
            <w:tcBorders>
              <w:top w:val="nil"/>
              <w:left w:val="nil"/>
              <w:bottom w:val="single" w:sz="4" w:space="0" w:color="auto"/>
              <w:right w:val="nil"/>
            </w:tcBorders>
          </w:tcPr>
          <w:p w14:paraId="46EFD14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(1.936)</w:t>
            </w:r>
          </w:p>
        </w:tc>
        <w:tc>
          <w:tcPr>
            <w:tcW w:w="1425" w:type="dxa"/>
            <w:tcBorders>
              <w:top w:val="nil"/>
              <w:left w:val="nil"/>
              <w:bottom w:val="single" w:sz="4" w:space="0" w:color="auto"/>
              <w:right w:val="nil"/>
            </w:tcBorders>
          </w:tcPr>
          <w:p w14:paraId="793DB0DE"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(1.953)</w:t>
            </w:r>
          </w:p>
        </w:tc>
        <w:tc>
          <w:tcPr>
            <w:tcW w:w="1425" w:type="dxa"/>
            <w:tcBorders>
              <w:top w:val="nil"/>
              <w:left w:val="nil"/>
              <w:bottom w:val="single" w:sz="4" w:space="0" w:color="auto"/>
              <w:right w:val="nil"/>
            </w:tcBorders>
          </w:tcPr>
          <w:p w14:paraId="4EB7277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(2.155)</w:t>
            </w:r>
          </w:p>
        </w:tc>
        <w:tc>
          <w:tcPr>
            <w:tcW w:w="1425" w:type="dxa"/>
            <w:tcBorders>
              <w:top w:val="nil"/>
              <w:left w:val="nil"/>
              <w:bottom w:val="single" w:sz="4" w:space="0" w:color="auto"/>
              <w:right w:val="nil"/>
            </w:tcBorders>
          </w:tcPr>
          <w:p w14:paraId="6370D80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(2.120)</w:t>
            </w:r>
          </w:p>
        </w:tc>
        <w:tc>
          <w:tcPr>
            <w:tcW w:w="1425" w:type="dxa"/>
            <w:tcBorders>
              <w:top w:val="nil"/>
              <w:left w:val="nil"/>
              <w:bottom w:val="single" w:sz="4" w:space="0" w:color="auto"/>
              <w:right w:val="nil"/>
            </w:tcBorders>
          </w:tcPr>
          <w:p w14:paraId="7B1BF39B"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(2.140)</w:t>
            </w:r>
          </w:p>
        </w:tc>
      </w:tr>
      <w:tr w:rsidR="007C0A0E" w:rsidRPr="00BA0E8D" w14:paraId="46940A3D" w14:textId="77777777" w:rsidTr="007C0A0E">
        <w:trPr>
          <w:trHeight w:val="17"/>
        </w:trPr>
        <w:tc>
          <w:tcPr>
            <w:tcW w:w="2255" w:type="dxa"/>
            <w:tcBorders>
              <w:top w:val="single" w:sz="4" w:space="0" w:color="auto"/>
              <w:left w:val="nil"/>
              <w:bottom w:val="nil"/>
              <w:right w:val="nil"/>
            </w:tcBorders>
          </w:tcPr>
          <w:p w14:paraId="6FF393B2" w14:textId="4FD2AA96" w:rsidR="00216743" w:rsidRPr="00BA0E8D" w:rsidRDefault="003F7FA2"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18"/>
                <w:szCs w:val="18"/>
              </w:rPr>
              <w:t>No. of observations</w:t>
            </w:r>
          </w:p>
        </w:tc>
        <w:tc>
          <w:tcPr>
            <w:tcW w:w="1024" w:type="dxa"/>
            <w:tcBorders>
              <w:top w:val="single" w:sz="4" w:space="0" w:color="auto"/>
              <w:left w:val="nil"/>
              <w:bottom w:val="nil"/>
              <w:right w:val="nil"/>
            </w:tcBorders>
          </w:tcPr>
          <w:p w14:paraId="6E761284"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42B13FB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24E67A18"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38E6B50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05BC6E65"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28E3D4C9"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4766F06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53222B1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c>
          <w:tcPr>
            <w:tcW w:w="1425" w:type="dxa"/>
            <w:tcBorders>
              <w:top w:val="single" w:sz="4" w:space="0" w:color="auto"/>
              <w:left w:val="nil"/>
              <w:bottom w:val="nil"/>
              <w:right w:val="nil"/>
            </w:tcBorders>
          </w:tcPr>
          <w:p w14:paraId="60DAD7C2"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1156</w:t>
            </w:r>
          </w:p>
        </w:tc>
      </w:tr>
      <w:tr w:rsidR="007C0A0E" w:rsidRPr="00BA0E8D" w14:paraId="7FFD7F18" w14:textId="77777777" w:rsidTr="007C0A0E">
        <w:trPr>
          <w:trHeight w:val="21"/>
        </w:trPr>
        <w:tc>
          <w:tcPr>
            <w:tcW w:w="2255" w:type="dxa"/>
            <w:tcBorders>
              <w:top w:val="nil"/>
              <w:left w:val="nil"/>
              <w:bottom w:val="nil"/>
              <w:right w:val="nil"/>
            </w:tcBorders>
          </w:tcPr>
          <w:p w14:paraId="4A4B56D8" w14:textId="5FE71EDF" w:rsidR="00216743" w:rsidRPr="00BA0E8D" w:rsidRDefault="003F7FA2" w:rsidP="0056122B">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18"/>
                <w:szCs w:val="18"/>
              </w:rPr>
              <w:t>Hansen test p-value</w:t>
            </w:r>
          </w:p>
        </w:tc>
        <w:tc>
          <w:tcPr>
            <w:tcW w:w="1024" w:type="dxa"/>
            <w:tcBorders>
              <w:top w:val="nil"/>
              <w:left w:val="nil"/>
              <w:bottom w:val="nil"/>
              <w:right w:val="nil"/>
            </w:tcBorders>
          </w:tcPr>
          <w:p w14:paraId="474F70E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0.327</w:t>
            </w:r>
          </w:p>
        </w:tc>
        <w:tc>
          <w:tcPr>
            <w:tcW w:w="1425" w:type="dxa"/>
            <w:tcBorders>
              <w:top w:val="nil"/>
              <w:left w:val="nil"/>
              <w:bottom w:val="nil"/>
              <w:right w:val="nil"/>
            </w:tcBorders>
          </w:tcPr>
          <w:p w14:paraId="4DAB8FAF"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0.384</w:t>
            </w:r>
          </w:p>
        </w:tc>
        <w:tc>
          <w:tcPr>
            <w:tcW w:w="1425" w:type="dxa"/>
            <w:tcBorders>
              <w:top w:val="nil"/>
              <w:left w:val="nil"/>
              <w:bottom w:val="nil"/>
              <w:right w:val="nil"/>
            </w:tcBorders>
          </w:tcPr>
          <w:p w14:paraId="49B3FBC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0.360</w:t>
            </w:r>
          </w:p>
        </w:tc>
        <w:tc>
          <w:tcPr>
            <w:tcW w:w="1425" w:type="dxa"/>
            <w:tcBorders>
              <w:top w:val="nil"/>
              <w:left w:val="nil"/>
              <w:bottom w:val="nil"/>
              <w:right w:val="nil"/>
            </w:tcBorders>
          </w:tcPr>
          <w:p w14:paraId="18CEB48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0.650</w:t>
            </w:r>
          </w:p>
        </w:tc>
        <w:tc>
          <w:tcPr>
            <w:tcW w:w="1425" w:type="dxa"/>
            <w:tcBorders>
              <w:top w:val="nil"/>
              <w:left w:val="nil"/>
              <w:bottom w:val="nil"/>
              <w:right w:val="nil"/>
            </w:tcBorders>
          </w:tcPr>
          <w:p w14:paraId="4CF11BA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0.430</w:t>
            </w:r>
          </w:p>
        </w:tc>
        <w:tc>
          <w:tcPr>
            <w:tcW w:w="1425" w:type="dxa"/>
            <w:tcBorders>
              <w:top w:val="nil"/>
              <w:left w:val="nil"/>
              <w:bottom w:val="nil"/>
              <w:right w:val="nil"/>
            </w:tcBorders>
          </w:tcPr>
          <w:p w14:paraId="58BDAEE0"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0.408</w:t>
            </w:r>
          </w:p>
        </w:tc>
        <w:tc>
          <w:tcPr>
            <w:tcW w:w="1425" w:type="dxa"/>
            <w:tcBorders>
              <w:top w:val="nil"/>
              <w:left w:val="nil"/>
              <w:bottom w:val="nil"/>
              <w:right w:val="nil"/>
            </w:tcBorders>
          </w:tcPr>
          <w:p w14:paraId="7FEABAD6"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0.633</w:t>
            </w:r>
          </w:p>
        </w:tc>
        <w:tc>
          <w:tcPr>
            <w:tcW w:w="1425" w:type="dxa"/>
            <w:tcBorders>
              <w:top w:val="nil"/>
              <w:left w:val="nil"/>
              <w:bottom w:val="nil"/>
              <w:right w:val="nil"/>
            </w:tcBorders>
          </w:tcPr>
          <w:p w14:paraId="6B0EA06C"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0.616</w:t>
            </w:r>
          </w:p>
        </w:tc>
        <w:tc>
          <w:tcPr>
            <w:tcW w:w="1425" w:type="dxa"/>
            <w:tcBorders>
              <w:top w:val="nil"/>
              <w:left w:val="nil"/>
              <w:bottom w:val="nil"/>
              <w:right w:val="nil"/>
            </w:tcBorders>
          </w:tcPr>
          <w:p w14:paraId="2B2D32AA" w14:textId="77777777" w:rsidR="00216743" w:rsidRPr="00BA0E8D" w:rsidRDefault="00216743" w:rsidP="0056122B">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0.623</w:t>
            </w:r>
          </w:p>
        </w:tc>
      </w:tr>
      <w:tr w:rsidR="007C0A0E" w:rsidRPr="00BA0E8D" w14:paraId="5198592A" w14:textId="77777777" w:rsidTr="007C0A0E">
        <w:trPr>
          <w:trHeight w:val="21"/>
        </w:trPr>
        <w:tc>
          <w:tcPr>
            <w:tcW w:w="2255" w:type="dxa"/>
            <w:tcBorders>
              <w:top w:val="nil"/>
              <w:left w:val="nil"/>
              <w:right w:val="nil"/>
            </w:tcBorders>
          </w:tcPr>
          <w:p w14:paraId="3B01A5AB" w14:textId="40983DCF" w:rsidR="003F7FA2" w:rsidRPr="00BA0E8D" w:rsidRDefault="003F7FA2" w:rsidP="003F7FA2">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1) test p-value</w:t>
            </w:r>
          </w:p>
        </w:tc>
        <w:tc>
          <w:tcPr>
            <w:tcW w:w="1024" w:type="dxa"/>
            <w:tcBorders>
              <w:top w:val="nil"/>
              <w:left w:val="nil"/>
              <w:right w:val="nil"/>
            </w:tcBorders>
          </w:tcPr>
          <w:p w14:paraId="493D64F7"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425" w:type="dxa"/>
            <w:tcBorders>
              <w:top w:val="nil"/>
              <w:left w:val="nil"/>
              <w:right w:val="nil"/>
            </w:tcBorders>
          </w:tcPr>
          <w:p w14:paraId="53573B62"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425" w:type="dxa"/>
            <w:tcBorders>
              <w:top w:val="nil"/>
              <w:left w:val="nil"/>
              <w:right w:val="nil"/>
            </w:tcBorders>
          </w:tcPr>
          <w:p w14:paraId="548E0EC5"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425" w:type="dxa"/>
            <w:tcBorders>
              <w:top w:val="nil"/>
              <w:left w:val="nil"/>
              <w:right w:val="nil"/>
            </w:tcBorders>
          </w:tcPr>
          <w:p w14:paraId="68D9722E"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425" w:type="dxa"/>
            <w:tcBorders>
              <w:top w:val="nil"/>
              <w:left w:val="nil"/>
              <w:right w:val="nil"/>
            </w:tcBorders>
          </w:tcPr>
          <w:p w14:paraId="78FE4E03"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425" w:type="dxa"/>
            <w:tcBorders>
              <w:top w:val="nil"/>
              <w:left w:val="nil"/>
              <w:right w:val="nil"/>
            </w:tcBorders>
          </w:tcPr>
          <w:p w14:paraId="4F03BA3B"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0.000</w:t>
            </w:r>
          </w:p>
        </w:tc>
        <w:tc>
          <w:tcPr>
            <w:tcW w:w="1425" w:type="dxa"/>
            <w:tcBorders>
              <w:top w:val="nil"/>
              <w:left w:val="nil"/>
              <w:right w:val="nil"/>
            </w:tcBorders>
          </w:tcPr>
          <w:p w14:paraId="5D0C4E10"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425" w:type="dxa"/>
            <w:tcBorders>
              <w:top w:val="nil"/>
              <w:left w:val="nil"/>
              <w:right w:val="nil"/>
            </w:tcBorders>
          </w:tcPr>
          <w:p w14:paraId="3C1B937B"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c>
          <w:tcPr>
            <w:tcW w:w="1425" w:type="dxa"/>
            <w:tcBorders>
              <w:top w:val="nil"/>
              <w:left w:val="nil"/>
              <w:right w:val="nil"/>
            </w:tcBorders>
          </w:tcPr>
          <w:p w14:paraId="08F59D18"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0.001</w:t>
            </w:r>
          </w:p>
        </w:tc>
      </w:tr>
      <w:tr w:rsidR="007C0A0E" w:rsidRPr="00BA0E8D" w14:paraId="796E1F98" w14:textId="77777777" w:rsidTr="007C0A0E">
        <w:trPr>
          <w:trHeight w:val="25"/>
        </w:trPr>
        <w:tc>
          <w:tcPr>
            <w:tcW w:w="2255" w:type="dxa"/>
            <w:tcBorders>
              <w:top w:val="nil"/>
              <w:left w:val="nil"/>
              <w:bottom w:val="single" w:sz="4" w:space="0" w:color="auto"/>
              <w:right w:val="nil"/>
            </w:tcBorders>
          </w:tcPr>
          <w:p w14:paraId="5CA189FB" w14:textId="2B87FE26" w:rsidR="003F7FA2" w:rsidRPr="00BA0E8D" w:rsidRDefault="003F7FA2" w:rsidP="003F7FA2">
            <w:pPr>
              <w:widowControl w:val="0"/>
              <w:autoSpaceDE w:val="0"/>
              <w:autoSpaceDN w:val="0"/>
              <w:adjustRightInd w:val="0"/>
              <w:spacing w:after="0" w:line="240" w:lineRule="auto"/>
              <w:rPr>
                <w:rFonts w:ascii="Times New Roman" w:hAnsi="Times New Roman"/>
                <w:sz w:val="20"/>
                <w:szCs w:val="20"/>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2) test p-value</w:t>
            </w:r>
          </w:p>
        </w:tc>
        <w:tc>
          <w:tcPr>
            <w:tcW w:w="1024" w:type="dxa"/>
            <w:tcBorders>
              <w:top w:val="nil"/>
              <w:left w:val="nil"/>
              <w:bottom w:val="single" w:sz="4" w:space="0" w:color="auto"/>
              <w:right w:val="nil"/>
            </w:tcBorders>
          </w:tcPr>
          <w:p w14:paraId="3C374756"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0.943</w:t>
            </w:r>
          </w:p>
        </w:tc>
        <w:tc>
          <w:tcPr>
            <w:tcW w:w="1425" w:type="dxa"/>
            <w:tcBorders>
              <w:top w:val="nil"/>
              <w:left w:val="nil"/>
              <w:bottom w:val="single" w:sz="4" w:space="0" w:color="auto"/>
              <w:right w:val="nil"/>
            </w:tcBorders>
          </w:tcPr>
          <w:p w14:paraId="2FB89053"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0.842</w:t>
            </w:r>
          </w:p>
        </w:tc>
        <w:tc>
          <w:tcPr>
            <w:tcW w:w="1425" w:type="dxa"/>
            <w:tcBorders>
              <w:top w:val="nil"/>
              <w:left w:val="nil"/>
              <w:bottom w:val="single" w:sz="4" w:space="0" w:color="auto"/>
              <w:right w:val="nil"/>
            </w:tcBorders>
          </w:tcPr>
          <w:p w14:paraId="56859113"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0.867</w:t>
            </w:r>
          </w:p>
        </w:tc>
        <w:tc>
          <w:tcPr>
            <w:tcW w:w="1425" w:type="dxa"/>
            <w:tcBorders>
              <w:top w:val="nil"/>
              <w:left w:val="nil"/>
              <w:bottom w:val="single" w:sz="4" w:space="0" w:color="auto"/>
              <w:right w:val="nil"/>
            </w:tcBorders>
          </w:tcPr>
          <w:p w14:paraId="5D1B6655"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0.877</w:t>
            </w:r>
          </w:p>
        </w:tc>
        <w:tc>
          <w:tcPr>
            <w:tcW w:w="1425" w:type="dxa"/>
            <w:tcBorders>
              <w:top w:val="nil"/>
              <w:left w:val="nil"/>
              <w:bottom w:val="single" w:sz="4" w:space="0" w:color="auto"/>
              <w:right w:val="nil"/>
            </w:tcBorders>
          </w:tcPr>
          <w:p w14:paraId="7F31C250"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0.853</w:t>
            </w:r>
          </w:p>
        </w:tc>
        <w:tc>
          <w:tcPr>
            <w:tcW w:w="1425" w:type="dxa"/>
            <w:tcBorders>
              <w:top w:val="nil"/>
              <w:left w:val="nil"/>
              <w:bottom w:val="single" w:sz="4" w:space="0" w:color="auto"/>
              <w:right w:val="nil"/>
            </w:tcBorders>
          </w:tcPr>
          <w:p w14:paraId="32F8656F"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0.839</w:t>
            </w:r>
          </w:p>
        </w:tc>
        <w:tc>
          <w:tcPr>
            <w:tcW w:w="1425" w:type="dxa"/>
            <w:tcBorders>
              <w:top w:val="nil"/>
              <w:left w:val="nil"/>
              <w:bottom w:val="single" w:sz="4" w:space="0" w:color="auto"/>
              <w:right w:val="nil"/>
            </w:tcBorders>
          </w:tcPr>
          <w:p w14:paraId="7E581C3A"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0.950</w:t>
            </w:r>
          </w:p>
        </w:tc>
        <w:tc>
          <w:tcPr>
            <w:tcW w:w="1425" w:type="dxa"/>
            <w:tcBorders>
              <w:top w:val="nil"/>
              <w:left w:val="nil"/>
              <w:bottom w:val="single" w:sz="4" w:space="0" w:color="auto"/>
              <w:right w:val="nil"/>
            </w:tcBorders>
          </w:tcPr>
          <w:p w14:paraId="153FD329"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0.900</w:t>
            </w:r>
          </w:p>
        </w:tc>
        <w:tc>
          <w:tcPr>
            <w:tcW w:w="1425" w:type="dxa"/>
            <w:tcBorders>
              <w:top w:val="nil"/>
              <w:left w:val="nil"/>
              <w:bottom w:val="single" w:sz="4" w:space="0" w:color="auto"/>
              <w:right w:val="nil"/>
            </w:tcBorders>
          </w:tcPr>
          <w:p w14:paraId="4C94898F" w14:textId="77777777" w:rsidR="003F7FA2" w:rsidRPr="00BA0E8D" w:rsidRDefault="003F7FA2" w:rsidP="003F7FA2">
            <w:pPr>
              <w:widowControl w:val="0"/>
              <w:autoSpaceDE w:val="0"/>
              <w:autoSpaceDN w:val="0"/>
              <w:adjustRightInd w:val="0"/>
              <w:spacing w:after="0" w:line="240" w:lineRule="auto"/>
              <w:jc w:val="center"/>
              <w:rPr>
                <w:rFonts w:ascii="Times New Roman" w:hAnsi="Times New Roman"/>
                <w:sz w:val="20"/>
                <w:szCs w:val="20"/>
              </w:rPr>
            </w:pPr>
            <w:r w:rsidRPr="00BA0E8D">
              <w:rPr>
                <w:rFonts w:ascii="Times New Roman" w:hAnsi="Times New Roman"/>
                <w:sz w:val="20"/>
                <w:szCs w:val="20"/>
              </w:rPr>
              <w:t>0.913</w:t>
            </w:r>
          </w:p>
        </w:tc>
      </w:tr>
    </w:tbl>
    <w:p w14:paraId="2C193568" w14:textId="2856E766" w:rsidR="007C0A0E" w:rsidRPr="00BA0E8D" w:rsidRDefault="007C0A0E" w:rsidP="007C0A0E">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This table shows the dynamic system GMM estimation results for the effect of credit information on bank credit intermediation cost. Time ﬁxed</w:t>
      </w:r>
      <w:r w:rsidR="00025B5C">
        <w:rPr>
          <w:rFonts w:ascii="Times New Roman" w:hAnsi="Times New Roman"/>
          <w:sz w:val="20"/>
          <w:szCs w:val="20"/>
        </w:rPr>
        <w:t>-</w:t>
      </w:r>
      <w:r w:rsidR="0031463E">
        <w:rPr>
          <w:rFonts w:ascii="Times New Roman" w:hAnsi="Times New Roman"/>
          <w:sz w:val="20"/>
          <w:szCs w:val="20"/>
        </w:rPr>
        <w:t>effects</w:t>
      </w:r>
      <w:r w:rsidR="0031463E" w:rsidRPr="00BA0E8D">
        <w:rPr>
          <w:rFonts w:ascii="Times New Roman" w:hAnsi="Times New Roman"/>
          <w:sz w:val="20"/>
          <w:szCs w:val="20"/>
        </w:rPr>
        <w:t xml:space="preserve"> </w:t>
      </w:r>
      <w:r w:rsidRPr="00BA0E8D">
        <w:rPr>
          <w:rFonts w:ascii="Times New Roman" w:hAnsi="Times New Roman"/>
          <w:sz w:val="20"/>
          <w:szCs w:val="20"/>
        </w:rPr>
        <w:t xml:space="preserve">are included in all estimations. All variables are as described in Table 1. Robust </w:t>
      </w:r>
      <w:proofErr w:type="spellStart"/>
      <w:r w:rsidRPr="00BA0E8D">
        <w:rPr>
          <w:rFonts w:ascii="Times New Roman" w:hAnsi="Times New Roman"/>
          <w:sz w:val="20"/>
          <w:szCs w:val="20"/>
        </w:rPr>
        <w:t>Windmeijer</w:t>
      </w:r>
      <w:proofErr w:type="spellEnd"/>
      <w:r w:rsidRPr="00BA0E8D">
        <w:rPr>
          <w:rFonts w:ascii="Times New Roman" w:hAnsi="Times New Roman"/>
          <w:sz w:val="20"/>
          <w:szCs w:val="20"/>
        </w:rPr>
        <w:t xml:space="preserve"> (2005) ﬁnite-sample corrected standard errors are in parentheses.</w:t>
      </w:r>
    </w:p>
    <w:p w14:paraId="5E22AED2" w14:textId="77777777" w:rsidR="007C0A0E" w:rsidRPr="00BA0E8D" w:rsidRDefault="007C0A0E" w:rsidP="007C0A0E">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10%</w:t>
      </w:r>
    </w:p>
    <w:p w14:paraId="73999889" w14:textId="77777777" w:rsidR="007C0A0E" w:rsidRPr="00BA0E8D" w:rsidRDefault="007C0A0E" w:rsidP="007C0A0E">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 xml:space="preserve">**    </w:t>
      </w:r>
      <w:r w:rsidRPr="00BA0E8D">
        <w:rPr>
          <w:rFonts w:ascii="Times New Roman" w:hAnsi="Times New Roman"/>
          <w:iCs/>
          <w:sz w:val="20"/>
          <w:szCs w:val="20"/>
        </w:rPr>
        <w:t>Indicates signiﬁcance at 5%</w:t>
      </w:r>
      <w:r w:rsidRPr="00BA0E8D">
        <w:rPr>
          <w:rFonts w:ascii="Times New Roman" w:hAnsi="Times New Roman"/>
          <w:sz w:val="20"/>
          <w:szCs w:val="20"/>
        </w:rPr>
        <w:t xml:space="preserve"> </w:t>
      </w:r>
    </w:p>
    <w:p w14:paraId="667DAF56" w14:textId="77777777" w:rsidR="007C0A0E" w:rsidRPr="00BA0E8D" w:rsidRDefault="007C0A0E" w:rsidP="007C0A0E">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w:t>
      </w:r>
    </w:p>
    <w:p w14:paraId="6909A609" w14:textId="77777777" w:rsidR="006469BC" w:rsidRPr="00BA0E8D" w:rsidRDefault="006469BC" w:rsidP="00763F96">
      <w:pPr>
        <w:spacing w:after="0" w:line="240" w:lineRule="auto"/>
        <w:jc w:val="both"/>
        <w:rPr>
          <w:rFonts w:ascii="Times New Roman" w:hAnsi="Times New Roman"/>
          <w:sz w:val="20"/>
          <w:szCs w:val="20"/>
        </w:rPr>
        <w:sectPr w:rsidR="006469BC" w:rsidRPr="00BA0E8D" w:rsidSect="00216743">
          <w:pgSz w:w="16838" w:h="11906" w:orient="landscape" w:code="9"/>
          <w:pgMar w:top="1440" w:right="1440" w:bottom="1440" w:left="1440" w:header="709" w:footer="709" w:gutter="0"/>
          <w:cols w:space="708"/>
          <w:docGrid w:linePitch="360"/>
        </w:sectPr>
      </w:pPr>
    </w:p>
    <w:p w14:paraId="6A7FAA19" w14:textId="3ED2585D" w:rsidR="009A6387" w:rsidRPr="0031463E" w:rsidRDefault="009A6387" w:rsidP="009A6387">
      <w:pPr>
        <w:jc w:val="both"/>
        <w:rPr>
          <w:rFonts w:ascii="Times New Roman" w:hAnsi="Times New Roman"/>
          <w:b/>
          <w:color w:val="000000" w:themeColor="text1"/>
          <w:sz w:val="24"/>
          <w:szCs w:val="24"/>
        </w:rPr>
      </w:pPr>
      <w:r w:rsidRPr="0031463E">
        <w:rPr>
          <w:rFonts w:ascii="Times New Roman" w:hAnsi="Times New Roman"/>
          <w:b/>
          <w:color w:val="000000" w:themeColor="text1"/>
          <w:sz w:val="24"/>
          <w:szCs w:val="24"/>
        </w:rPr>
        <w:lastRenderedPageBreak/>
        <w:t xml:space="preserve">Table 9: </w:t>
      </w:r>
      <w:r w:rsidR="002F599E" w:rsidRPr="0031463E">
        <w:rPr>
          <w:rFonts w:ascii="Times New Roman" w:hAnsi="Times New Roman"/>
          <w:b/>
          <w:color w:val="000000" w:themeColor="text1"/>
          <w:sz w:val="24"/>
          <w:szCs w:val="24"/>
        </w:rPr>
        <w:t>Regression results of depth of credit information sharing and credit intermediation cost at specified levels of concentration and governance</w:t>
      </w:r>
    </w:p>
    <w:tbl>
      <w:tblPr>
        <w:tblStyle w:val="LightShading-Accent1"/>
        <w:tblW w:w="5473" w:type="pct"/>
        <w:tblLayout w:type="fixed"/>
        <w:tblLook w:val="0660" w:firstRow="1" w:lastRow="1" w:firstColumn="0" w:lastColumn="0" w:noHBand="1" w:noVBand="1"/>
      </w:tblPr>
      <w:tblGrid>
        <w:gridCol w:w="2337"/>
        <w:gridCol w:w="1377"/>
        <w:gridCol w:w="1512"/>
        <w:gridCol w:w="1514"/>
        <w:gridCol w:w="1239"/>
        <w:gridCol w:w="1901"/>
      </w:tblGrid>
      <w:tr w:rsidR="009A6387" w:rsidRPr="00911DA1" w14:paraId="7D1C97F9" w14:textId="77777777" w:rsidTr="00894076">
        <w:trPr>
          <w:cnfStyle w:val="100000000000" w:firstRow="1" w:lastRow="0" w:firstColumn="0" w:lastColumn="0" w:oddVBand="0" w:evenVBand="0" w:oddHBand="0" w:evenHBand="0" w:firstRowFirstColumn="0" w:firstRowLastColumn="0" w:lastRowFirstColumn="0" w:lastRowLastColumn="0"/>
          <w:trHeight w:val="682"/>
        </w:trPr>
        <w:tc>
          <w:tcPr>
            <w:tcW w:w="1183" w:type="pct"/>
            <w:tcBorders>
              <w:top w:val="single" w:sz="4" w:space="0" w:color="auto"/>
              <w:bottom w:val="single" w:sz="4" w:space="0" w:color="auto"/>
            </w:tcBorders>
          </w:tcPr>
          <w:p w14:paraId="3EAD5DEB"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Concentration</w:t>
            </w:r>
          </w:p>
          <w:p w14:paraId="1BF8DC3C"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At:</w:t>
            </w:r>
          </w:p>
        </w:tc>
        <w:tc>
          <w:tcPr>
            <w:tcW w:w="697" w:type="pct"/>
            <w:tcBorders>
              <w:top w:val="single" w:sz="4" w:space="0" w:color="auto"/>
              <w:bottom w:val="single" w:sz="4" w:space="0" w:color="auto"/>
            </w:tcBorders>
          </w:tcPr>
          <w:p w14:paraId="3525B7CC"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25</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765" w:type="pct"/>
            <w:tcBorders>
              <w:top w:val="single" w:sz="4" w:space="0" w:color="auto"/>
              <w:bottom w:val="single" w:sz="4" w:space="0" w:color="auto"/>
            </w:tcBorders>
          </w:tcPr>
          <w:p w14:paraId="0308EA53"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50</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766" w:type="pct"/>
            <w:tcBorders>
              <w:top w:val="single" w:sz="4" w:space="0" w:color="auto"/>
              <w:bottom w:val="single" w:sz="4" w:space="0" w:color="auto"/>
            </w:tcBorders>
          </w:tcPr>
          <w:p w14:paraId="08122422"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75</w:t>
            </w:r>
            <w:r w:rsidRPr="0031463E">
              <w:rPr>
                <w:rFonts w:ascii="Times New Roman" w:hAnsi="Times New Roman"/>
                <w:color w:val="000000" w:themeColor="text1"/>
                <w:vertAlign w:val="superscript"/>
              </w:rPr>
              <w:t>th</w:t>
            </w:r>
            <w:r w:rsidRPr="0031463E">
              <w:rPr>
                <w:rFonts w:ascii="Times New Roman" w:hAnsi="Times New Roman"/>
                <w:color w:val="000000" w:themeColor="text1"/>
              </w:rPr>
              <w:t xml:space="preserve"> percentile</w:t>
            </w:r>
          </w:p>
        </w:tc>
        <w:tc>
          <w:tcPr>
            <w:tcW w:w="627" w:type="pct"/>
            <w:tcBorders>
              <w:top w:val="single" w:sz="4" w:space="0" w:color="auto"/>
              <w:bottom w:val="single" w:sz="4" w:space="0" w:color="auto"/>
            </w:tcBorders>
          </w:tcPr>
          <w:p w14:paraId="3B00E5C0"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Change</w:t>
            </w:r>
          </w:p>
        </w:tc>
        <w:tc>
          <w:tcPr>
            <w:tcW w:w="962" w:type="pct"/>
            <w:tcBorders>
              <w:top w:val="single" w:sz="4" w:space="0" w:color="auto"/>
              <w:bottom w:val="single" w:sz="4" w:space="0" w:color="auto"/>
            </w:tcBorders>
          </w:tcPr>
          <w:p w14:paraId="2C7AC677" w14:textId="77777777" w:rsidR="009A6387" w:rsidRPr="0031463E" w:rsidRDefault="009A6387" w:rsidP="00161E52">
            <w:pPr>
              <w:rPr>
                <w:rFonts w:ascii="Times New Roman" w:hAnsi="Times New Roman" w:cs="Times New Roman"/>
                <w:color w:val="000000" w:themeColor="text1"/>
                <w:lang w:val="en-GB"/>
              </w:rPr>
            </w:pPr>
            <w:r w:rsidRPr="0031463E">
              <w:rPr>
                <w:rFonts w:ascii="Times New Roman" w:hAnsi="Times New Roman"/>
                <w:color w:val="000000" w:themeColor="text1"/>
              </w:rPr>
              <w:t>Based on</w:t>
            </w:r>
          </w:p>
        </w:tc>
      </w:tr>
      <w:tr w:rsidR="009A6387" w:rsidRPr="00911DA1" w14:paraId="03FCD555" w14:textId="77777777" w:rsidTr="00894076">
        <w:trPr>
          <w:trHeight w:val="426"/>
        </w:trPr>
        <w:tc>
          <w:tcPr>
            <w:tcW w:w="1183" w:type="pct"/>
            <w:tcBorders>
              <w:top w:val="single" w:sz="4" w:space="0" w:color="auto"/>
            </w:tcBorders>
          </w:tcPr>
          <w:p w14:paraId="4CFF1601"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Rule of Law at:</w:t>
            </w:r>
          </w:p>
        </w:tc>
        <w:tc>
          <w:tcPr>
            <w:tcW w:w="697" w:type="pct"/>
            <w:tcBorders>
              <w:top w:val="single" w:sz="4" w:space="0" w:color="auto"/>
            </w:tcBorders>
          </w:tcPr>
          <w:p w14:paraId="70FC0997"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5" w:type="pct"/>
            <w:tcBorders>
              <w:top w:val="single" w:sz="4" w:space="0" w:color="auto"/>
            </w:tcBorders>
          </w:tcPr>
          <w:p w14:paraId="1008CEE8"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6" w:type="pct"/>
            <w:tcBorders>
              <w:top w:val="single" w:sz="4" w:space="0" w:color="auto"/>
            </w:tcBorders>
          </w:tcPr>
          <w:p w14:paraId="3CF6673C"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627" w:type="pct"/>
            <w:tcBorders>
              <w:top w:val="single" w:sz="4" w:space="0" w:color="auto"/>
            </w:tcBorders>
          </w:tcPr>
          <w:p w14:paraId="53E3312D"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top w:val="single" w:sz="4" w:space="0" w:color="auto"/>
            </w:tcBorders>
          </w:tcPr>
          <w:p w14:paraId="4DE27705"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r>
      <w:tr w:rsidR="009A6387" w:rsidRPr="00911DA1" w14:paraId="4D1F55A1" w14:textId="77777777" w:rsidTr="00894076">
        <w:trPr>
          <w:trHeight w:val="438"/>
        </w:trPr>
        <w:tc>
          <w:tcPr>
            <w:tcW w:w="1183" w:type="pct"/>
            <w:tcBorders>
              <w:bottom w:val="nil"/>
            </w:tcBorders>
          </w:tcPr>
          <w:p w14:paraId="1590E18B"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25</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722945CB"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bottom w:val="nil"/>
            </w:tcBorders>
          </w:tcPr>
          <w:p w14:paraId="346774B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-0.492***</w:t>
            </w:r>
          </w:p>
          <w:p w14:paraId="7FF5163F"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(0.097)</w:t>
            </w:r>
          </w:p>
        </w:tc>
        <w:tc>
          <w:tcPr>
            <w:tcW w:w="765" w:type="pct"/>
            <w:tcBorders>
              <w:bottom w:val="nil"/>
            </w:tcBorders>
          </w:tcPr>
          <w:p w14:paraId="78636E9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-0.426***</w:t>
            </w:r>
          </w:p>
          <w:p w14:paraId="199577EF"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(0.089)</w:t>
            </w:r>
          </w:p>
        </w:tc>
        <w:tc>
          <w:tcPr>
            <w:tcW w:w="766" w:type="pct"/>
            <w:tcBorders>
              <w:bottom w:val="nil"/>
            </w:tcBorders>
          </w:tcPr>
          <w:p w14:paraId="1626DBC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-0.312***</w:t>
            </w:r>
          </w:p>
          <w:p w14:paraId="6BCA0D8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(0.082)</w:t>
            </w:r>
          </w:p>
        </w:tc>
        <w:tc>
          <w:tcPr>
            <w:tcW w:w="627" w:type="pct"/>
            <w:tcBorders>
              <w:bottom w:val="nil"/>
            </w:tcBorders>
          </w:tcPr>
          <w:p w14:paraId="4174C7C8"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-0.181**</w:t>
            </w:r>
          </w:p>
          <w:p w14:paraId="38212D3B"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962" w:type="pct"/>
            <w:tcBorders>
              <w:bottom w:val="nil"/>
            </w:tcBorders>
          </w:tcPr>
          <w:p w14:paraId="6BD107A6" w14:textId="4C7CA247"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1</w:t>
            </w:r>
          </w:p>
        </w:tc>
      </w:tr>
      <w:tr w:rsidR="009A6387" w:rsidRPr="00911DA1" w14:paraId="1AFFD9E3" w14:textId="77777777" w:rsidTr="00894076">
        <w:trPr>
          <w:trHeight w:val="438"/>
        </w:trPr>
        <w:tc>
          <w:tcPr>
            <w:tcW w:w="1183" w:type="pct"/>
            <w:tcBorders>
              <w:bottom w:val="nil"/>
            </w:tcBorders>
          </w:tcPr>
          <w:p w14:paraId="4624D1BD"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50</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0D8F07BF"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bottom w:val="nil"/>
            </w:tcBorders>
          </w:tcPr>
          <w:p w14:paraId="4328D3D2"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-0.440***</w:t>
            </w:r>
          </w:p>
          <w:p w14:paraId="10530A4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765" w:type="pct"/>
            <w:tcBorders>
              <w:bottom w:val="nil"/>
            </w:tcBorders>
          </w:tcPr>
          <w:p w14:paraId="5CBE7B0B"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-0.374***</w:t>
            </w:r>
          </w:p>
          <w:p w14:paraId="12833DC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(0.073)</w:t>
            </w:r>
          </w:p>
        </w:tc>
        <w:tc>
          <w:tcPr>
            <w:tcW w:w="766" w:type="pct"/>
            <w:tcBorders>
              <w:bottom w:val="nil"/>
            </w:tcBorders>
          </w:tcPr>
          <w:p w14:paraId="4FE49FAD"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-0.259***</w:t>
            </w:r>
          </w:p>
          <w:p w14:paraId="10CEA12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(0.082)</w:t>
            </w:r>
          </w:p>
        </w:tc>
        <w:tc>
          <w:tcPr>
            <w:tcW w:w="627" w:type="pct"/>
            <w:tcBorders>
              <w:bottom w:val="nil"/>
            </w:tcBorders>
          </w:tcPr>
          <w:p w14:paraId="6208AE21"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-0.181**</w:t>
            </w:r>
          </w:p>
          <w:p w14:paraId="020D0FD8"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962" w:type="pct"/>
            <w:tcBorders>
              <w:bottom w:val="nil"/>
            </w:tcBorders>
          </w:tcPr>
          <w:p w14:paraId="4A257B81" w14:textId="646A4DF7"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Table</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1</w:t>
            </w:r>
          </w:p>
        </w:tc>
      </w:tr>
      <w:tr w:rsidR="009A6387" w:rsidRPr="00911DA1" w14:paraId="63BCC82B" w14:textId="77777777" w:rsidTr="00894076">
        <w:trPr>
          <w:trHeight w:val="438"/>
        </w:trPr>
        <w:tc>
          <w:tcPr>
            <w:tcW w:w="1183" w:type="pct"/>
            <w:tcBorders>
              <w:bottom w:val="nil"/>
            </w:tcBorders>
          </w:tcPr>
          <w:p w14:paraId="645691A9"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75</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681EE313"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bottom w:val="nil"/>
            </w:tcBorders>
          </w:tcPr>
          <w:p w14:paraId="03FA3236"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-0.381***</w:t>
            </w:r>
          </w:p>
          <w:p w14:paraId="3065011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(0.086)</w:t>
            </w:r>
          </w:p>
        </w:tc>
        <w:tc>
          <w:tcPr>
            <w:tcW w:w="765" w:type="pct"/>
            <w:tcBorders>
              <w:bottom w:val="nil"/>
            </w:tcBorders>
          </w:tcPr>
          <w:p w14:paraId="2DE756B3"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-0.314***</w:t>
            </w:r>
          </w:p>
          <w:p w14:paraId="1EF5E33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(0.074)</w:t>
            </w:r>
          </w:p>
        </w:tc>
        <w:tc>
          <w:tcPr>
            <w:tcW w:w="766" w:type="pct"/>
            <w:tcBorders>
              <w:bottom w:val="nil"/>
            </w:tcBorders>
          </w:tcPr>
          <w:p w14:paraId="5A1AE583"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-0.200***</w:t>
            </w:r>
          </w:p>
          <w:p w14:paraId="54E3AA5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(0.081)</w:t>
            </w:r>
          </w:p>
        </w:tc>
        <w:tc>
          <w:tcPr>
            <w:tcW w:w="627" w:type="pct"/>
            <w:tcBorders>
              <w:bottom w:val="nil"/>
            </w:tcBorders>
          </w:tcPr>
          <w:p w14:paraId="3D0A4D41"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-0.181**</w:t>
            </w:r>
          </w:p>
          <w:p w14:paraId="4F42904D"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962" w:type="pct"/>
            <w:tcBorders>
              <w:bottom w:val="nil"/>
            </w:tcBorders>
          </w:tcPr>
          <w:p w14:paraId="47A6C412" w14:textId="5D3DE434"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1</w:t>
            </w:r>
          </w:p>
        </w:tc>
      </w:tr>
      <w:tr w:rsidR="009A6387" w:rsidRPr="00911DA1" w14:paraId="31C21721" w14:textId="77777777" w:rsidTr="00894076">
        <w:trPr>
          <w:trHeight w:val="438"/>
        </w:trPr>
        <w:tc>
          <w:tcPr>
            <w:tcW w:w="1183" w:type="pct"/>
            <w:tcBorders>
              <w:bottom w:val="nil"/>
            </w:tcBorders>
          </w:tcPr>
          <w:p w14:paraId="5C580D75" w14:textId="77777777" w:rsidR="009A6387" w:rsidRPr="0031463E" w:rsidRDefault="009A6387" w:rsidP="00161E52">
            <w:pPr>
              <w:pStyle w:val="DecimalAligned"/>
              <w:tabs>
                <w:tab w:val="right" w:pos="1960"/>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Change:</w:t>
            </w:r>
            <w:r w:rsidRPr="0031463E">
              <w:rPr>
                <w:rFonts w:ascii="Times New Roman" w:hAnsi="Times New Roman"/>
                <w:color w:val="000000" w:themeColor="text1"/>
                <w:lang w:val="en-GB"/>
              </w:rPr>
              <w:tab/>
            </w:r>
          </w:p>
          <w:p w14:paraId="39093AAA" w14:textId="77777777" w:rsidR="009A6387" w:rsidRPr="0031463E" w:rsidRDefault="009A6387" w:rsidP="00161E52">
            <w:pPr>
              <w:pStyle w:val="DecimalAligned"/>
              <w:tabs>
                <w:tab w:val="center" w:pos="981"/>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r w:rsidRPr="0031463E">
              <w:rPr>
                <w:rFonts w:ascii="Times New Roman" w:hAnsi="Times New Roman"/>
                <w:color w:val="000000" w:themeColor="text1"/>
                <w:lang w:val="en-GB"/>
              </w:rPr>
              <w:tab/>
            </w:r>
          </w:p>
        </w:tc>
        <w:tc>
          <w:tcPr>
            <w:tcW w:w="697" w:type="pct"/>
            <w:tcBorders>
              <w:bottom w:val="nil"/>
            </w:tcBorders>
          </w:tcPr>
          <w:p w14:paraId="321C5A9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-0.111</w:t>
            </w:r>
          </w:p>
          <w:p w14:paraId="04CBE34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(0.077)</w:t>
            </w:r>
          </w:p>
        </w:tc>
        <w:tc>
          <w:tcPr>
            <w:tcW w:w="765" w:type="pct"/>
            <w:tcBorders>
              <w:bottom w:val="nil"/>
            </w:tcBorders>
          </w:tcPr>
          <w:p w14:paraId="1CDA791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-0. 111</w:t>
            </w:r>
          </w:p>
          <w:p w14:paraId="0463B1C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(0.077)</w:t>
            </w:r>
          </w:p>
        </w:tc>
        <w:tc>
          <w:tcPr>
            <w:tcW w:w="766" w:type="pct"/>
            <w:tcBorders>
              <w:bottom w:val="nil"/>
            </w:tcBorders>
          </w:tcPr>
          <w:p w14:paraId="7FA8245D"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-0. 111</w:t>
            </w:r>
          </w:p>
          <w:p w14:paraId="7087F466"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(0.077)</w:t>
            </w:r>
          </w:p>
        </w:tc>
        <w:tc>
          <w:tcPr>
            <w:tcW w:w="627" w:type="pct"/>
            <w:tcBorders>
              <w:bottom w:val="nil"/>
            </w:tcBorders>
          </w:tcPr>
          <w:p w14:paraId="2AB7ED8F"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bottom w:val="nil"/>
            </w:tcBorders>
          </w:tcPr>
          <w:p w14:paraId="6D214E34" w14:textId="2A68992D"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Column 1</w:t>
            </w:r>
          </w:p>
        </w:tc>
      </w:tr>
      <w:tr w:rsidR="009A6387" w:rsidRPr="00911DA1" w14:paraId="3F59A4A6" w14:textId="77777777" w:rsidTr="00894076">
        <w:trPr>
          <w:trHeight w:val="438"/>
        </w:trPr>
        <w:tc>
          <w:tcPr>
            <w:tcW w:w="1183" w:type="pct"/>
            <w:tcBorders>
              <w:bottom w:val="nil"/>
            </w:tcBorders>
          </w:tcPr>
          <w:p w14:paraId="7DFE18BD"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Regulatory quality at:</w:t>
            </w:r>
          </w:p>
        </w:tc>
        <w:tc>
          <w:tcPr>
            <w:tcW w:w="697" w:type="pct"/>
            <w:tcBorders>
              <w:bottom w:val="nil"/>
            </w:tcBorders>
          </w:tcPr>
          <w:p w14:paraId="1807FD01"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5" w:type="pct"/>
            <w:tcBorders>
              <w:bottom w:val="nil"/>
            </w:tcBorders>
          </w:tcPr>
          <w:p w14:paraId="0581CA09"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6" w:type="pct"/>
            <w:tcBorders>
              <w:bottom w:val="nil"/>
            </w:tcBorders>
          </w:tcPr>
          <w:p w14:paraId="5F30775C"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627" w:type="pct"/>
            <w:tcBorders>
              <w:bottom w:val="nil"/>
            </w:tcBorders>
          </w:tcPr>
          <w:p w14:paraId="615FF82F"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bottom w:val="nil"/>
            </w:tcBorders>
          </w:tcPr>
          <w:p w14:paraId="39C11544"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r>
      <w:tr w:rsidR="009A6387" w:rsidRPr="00911DA1" w14:paraId="3916C74F" w14:textId="77777777" w:rsidTr="00894076">
        <w:trPr>
          <w:trHeight w:val="438"/>
        </w:trPr>
        <w:tc>
          <w:tcPr>
            <w:tcW w:w="1183" w:type="pct"/>
            <w:tcBorders>
              <w:bottom w:val="nil"/>
            </w:tcBorders>
          </w:tcPr>
          <w:p w14:paraId="6D0E5110"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25</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5948CE11"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bottom w:val="nil"/>
            </w:tcBorders>
          </w:tcPr>
          <w:p w14:paraId="59165ABC"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-0.444***</w:t>
            </w:r>
          </w:p>
          <w:p w14:paraId="49A3C21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(0.076)</w:t>
            </w:r>
          </w:p>
        </w:tc>
        <w:tc>
          <w:tcPr>
            <w:tcW w:w="765" w:type="pct"/>
            <w:tcBorders>
              <w:bottom w:val="nil"/>
            </w:tcBorders>
          </w:tcPr>
          <w:p w14:paraId="2A5A373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-0.403***</w:t>
            </w:r>
          </w:p>
          <w:p w14:paraId="6203FAD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(0.066)</w:t>
            </w:r>
          </w:p>
        </w:tc>
        <w:tc>
          <w:tcPr>
            <w:tcW w:w="766" w:type="pct"/>
            <w:tcBorders>
              <w:bottom w:val="nil"/>
            </w:tcBorders>
          </w:tcPr>
          <w:p w14:paraId="4DB9D74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-0.331***</w:t>
            </w:r>
          </w:p>
          <w:p w14:paraId="6D839C5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(0.083)</w:t>
            </w:r>
          </w:p>
        </w:tc>
        <w:tc>
          <w:tcPr>
            <w:tcW w:w="627" w:type="pct"/>
            <w:tcBorders>
              <w:bottom w:val="nil"/>
            </w:tcBorders>
          </w:tcPr>
          <w:p w14:paraId="6D11E3F6"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-0.113</w:t>
            </w:r>
          </w:p>
          <w:p w14:paraId="62634848"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(0.086)</w:t>
            </w:r>
          </w:p>
        </w:tc>
        <w:tc>
          <w:tcPr>
            <w:tcW w:w="962" w:type="pct"/>
            <w:tcBorders>
              <w:bottom w:val="nil"/>
            </w:tcBorders>
          </w:tcPr>
          <w:p w14:paraId="15D8CC00" w14:textId="09C9179C"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2</w:t>
            </w:r>
          </w:p>
        </w:tc>
      </w:tr>
      <w:tr w:rsidR="009A6387" w:rsidRPr="00911DA1" w14:paraId="4DDC6464" w14:textId="77777777" w:rsidTr="00894076">
        <w:trPr>
          <w:trHeight w:val="438"/>
        </w:trPr>
        <w:tc>
          <w:tcPr>
            <w:tcW w:w="1183" w:type="pct"/>
            <w:tcBorders>
              <w:bottom w:val="nil"/>
            </w:tcBorders>
          </w:tcPr>
          <w:p w14:paraId="39E8FB17"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50</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39F56F95"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bottom w:val="nil"/>
            </w:tcBorders>
          </w:tcPr>
          <w:p w14:paraId="17C672E2"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-0.400***</w:t>
            </w:r>
          </w:p>
          <w:p w14:paraId="3332141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(0.073)</w:t>
            </w:r>
          </w:p>
        </w:tc>
        <w:tc>
          <w:tcPr>
            <w:tcW w:w="765" w:type="pct"/>
            <w:tcBorders>
              <w:bottom w:val="nil"/>
            </w:tcBorders>
          </w:tcPr>
          <w:p w14:paraId="23392426"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-0.359***</w:t>
            </w:r>
          </w:p>
          <w:p w14:paraId="622C9A52"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(0.062)</w:t>
            </w:r>
          </w:p>
        </w:tc>
        <w:tc>
          <w:tcPr>
            <w:tcW w:w="766" w:type="pct"/>
            <w:tcBorders>
              <w:bottom w:val="nil"/>
            </w:tcBorders>
          </w:tcPr>
          <w:p w14:paraId="642937CB"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-0.287***</w:t>
            </w:r>
          </w:p>
          <w:p w14:paraId="1C4E5831"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(0.079)</w:t>
            </w:r>
          </w:p>
        </w:tc>
        <w:tc>
          <w:tcPr>
            <w:tcW w:w="627" w:type="pct"/>
            <w:tcBorders>
              <w:bottom w:val="nil"/>
            </w:tcBorders>
          </w:tcPr>
          <w:p w14:paraId="049A036E"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-0.113</w:t>
            </w:r>
          </w:p>
          <w:p w14:paraId="23824C3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(0.086)</w:t>
            </w:r>
          </w:p>
        </w:tc>
        <w:tc>
          <w:tcPr>
            <w:tcW w:w="962" w:type="pct"/>
            <w:tcBorders>
              <w:bottom w:val="nil"/>
            </w:tcBorders>
          </w:tcPr>
          <w:p w14:paraId="58B25E66" w14:textId="029B815C"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2</w:t>
            </w:r>
          </w:p>
        </w:tc>
      </w:tr>
      <w:tr w:rsidR="009A6387" w:rsidRPr="00911DA1" w14:paraId="6CA95562" w14:textId="77777777" w:rsidTr="00894076">
        <w:trPr>
          <w:trHeight w:val="426"/>
        </w:trPr>
        <w:tc>
          <w:tcPr>
            <w:tcW w:w="1183" w:type="pct"/>
            <w:tcBorders>
              <w:top w:val="nil"/>
              <w:bottom w:val="nil"/>
            </w:tcBorders>
          </w:tcPr>
          <w:p w14:paraId="1B043B67" w14:textId="77777777" w:rsidR="009A6387" w:rsidRPr="0031463E" w:rsidRDefault="009A6387" w:rsidP="00161E52">
            <w:pPr>
              <w:pStyle w:val="DecimalAligned"/>
              <w:tabs>
                <w:tab w:val="right" w:pos="1960"/>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75</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r w:rsidRPr="0031463E">
              <w:rPr>
                <w:rFonts w:ascii="Times New Roman" w:hAnsi="Times New Roman"/>
                <w:color w:val="000000" w:themeColor="text1"/>
                <w:lang w:val="en-GB"/>
              </w:rPr>
              <w:tab/>
            </w:r>
          </w:p>
          <w:p w14:paraId="0C67A78D"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top w:val="nil"/>
              <w:bottom w:val="nil"/>
            </w:tcBorders>
          </w:tcPr>
          <w:p w14:paraId="7F938A7C"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-0.342***</w:t>
            </w:r>
          </w:p>
          <w:p w14:paraId="5A34B513"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(0.082)</w:t>
            </w:r>
          </w:p>
        </w:tc>
        <w:tc>
          <w:tcPr>
            <w:tcW w:w="765" w:type="pct"/>
            <w:tcBorders>
              <w:top w:val="nil"/>
              <w:bottom w:val="nil"/>
            </w:tcBorders>
          </w:tcPr>
          <w:p w14:paraId="331387D3"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-0.300***</w:t>
            </w:r>
          </w:p>
          <w:p w14:paraId="0F4E6F0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(0.072)</w:t>
            </w:r>
          </w:p>
        </w:tc>
        <w:tc>
          <w:tcPr>
            <w:tcW w:w="766" w:type="pct"/>
            <w:tcBorders>
              <w:top w:val="nil"/>
              <w:bottom w:val="nil"/>
            </w:tcBorders>
          </w:tcPr>
          <w:p w14:paraId="4F068DC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-0.229***</w:t>
            </w:r>
          </w:p>
          <w:p w14:paraId="4978E4A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(0.085)</w:t>
            </w:r>
          </w:p>
        </w:tc>
        <w:tc>
          <w:tcPr>
            <w:tcW w:w="627" w:type="pct"/>
            <w:tcBorders>
              <w:top w:val="nil"/>
              <w:bottom w:val="nil"/>
            </w:tcBorders>
          </w:tcPr>
          <w:p w14:paraId="3DE8B5B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-0.113</w:t>
            </w:r>
          </w:p>
          <w:p w14:paraId="238FAED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(0.086)</w:t>
            </w:r>
          </w:p>
        </w:tc>
        <w:tc>
          <w:tcPr>
            <w:tcW w:w="962" w:type="pct"/>
            <w:tcBorders>
              <w:top w:val="nil"/>
              <w:bottom w:val="nil"/>
            </w:tcBorders>
          </w:tcPr>
          <w:p w14:paraId="5A32DF32" w14:textId="22BE570D"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2</w:t>
            </w:r>
          </w:p>
        </w:tc>
      </w:tr>
      <w:tr w:rsidR="009A6387" w:rsidRPr="00911DA1" w14:paraId="4089419F" w14:textId="77777777" w:rsidTr="00894076">
        <w:trPr>
          <w:trHeight w:val="426"/>
        </w:trPr>
        <w:tc>
          <w:tcPr>
            <w:tcW w:w="1183" w:type="pct"/>
            <w:tcBorders>
              <w:top w:val="nil"/>
              <w:bottom w:val="nil"/>
            </w:tcBorders>
          </w:tcPr>
          <w:p w14:paraId="373D70BC" w14:textId="77777777" w:rsidR="009A6387" w:rsidRPr="0031463E" w:rsidRDefault="009A6387" w:rsidP="00161E52">
            <w:pPr>
              <w:pStyle w:val="DecimalAligned"/>
              <w:tabs>
                <w:tab w:val="right" w:pos="1960"/>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Change:</w:t>
            </w:r>
            <w:r w:rsidRPr="0031463E">
              <w:rPr>
                <w:rFonts w:ascii="Times New Roman" w:hAnsi="Times New Roman"/>
                <w:color w:val="000000" w:themeColor="text1"/>
                <w:lang w:val="en-GB"/>
              </w:rPr>
              <w:tab/>
            </w:r>
          </w:p>
          <w:p w14:paraId="4B1AB7EF" w14:textId="77777777" w:rsidR="009A6387" w:rsidRPr="0031463E" w:rsidRDefault="009A6387" w:rsidP="00161E52">
            <w:pPr>
              <w:pStyle w:val="DecimalAligned"/>
              <w:tabs>
                <w:tab w:val="center" w:pos="981"/>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r w:rsidRPr="0031463E">
              <w:rPr>
                <w:rFonts w:ascii="Times New Roman" w:hAnsi="Times New Roman"/>
                <w:color w:val="000000" w:themeColor="text1"/>
                <w:lang w:val="en-GB"/>
              </w:rPr>
              <w:tab/>
            </w:r>
          </w:p>
        </w:tc>
        <w:tc>
          <w:tcPr>
            <w:tcW w:w="697" w:type="pct"/>
            <w:tcBorders>
              <w:top w:val="nil"/>
              <w:bottom w:val="nil"/>
            </w:tcBorders>
          </w:tcPr>
          <w:p w14:paraId="5B0F2B48"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-0.102*</w:t>
            </w:r>
          </w:p>
          <w:p w14:paraId="6FFC52B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(0.057)</w:t>
            </w:r>
          </w:p>
        </w:tc>
        <w:tc>
          <w:tcPr>
            <w:tcW w:w="765" w:type="pct"/>
            <w:tcBorders>
              <w:top w:val="nil"/>
              <w:bottom w:val="nil"/>
            </w:tcBorders>
          </w:tcPr>
          <w:p w14:paraId="3DFEA72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 102*</w:t>
            </w:r>
          </w:p>
          <w:p w14:paraId="6D5F4720"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(0.072)</w:t>
            </w:r>
          </w:p>
        </w:tc>
        <w:tc>
          <w:tcPr>
            <w:tcW w:w="766" w:type="pct"/>
            <w:tcBorders>
              <w:top w:val="nil"/>
              <w:bottom w:val="nil"/>
            </w:tcBorders>
          </w:tcPr>
          <w:p w14:paraId="7B388D2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 102*</w:t>
            </w:r>
          </w:p>
          <w:p w14:paraId="438C458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(0.085)</w:t>
            </w:r>
          </w:p>
        </w:tc>
        <w:tc>
          <w:tcPr>
            <w:tcW w:w="627" w:type="pct"/>
            <w:tcBorders>
              <w:top w:val="nil"/>
              <w:bottom w:val="nil"/>
            </w:tcBorders>
          </w:tcPr>
          <w:p w14:paraId="7753E13F"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top w:val="nil"/>
              <w:bottom w:val="nil"/>
            </w:tcBorders>
          </w:tcPr>
          <w:p w14:paraId="67F5173C" w14:textId="7B1E6324"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2</w:t>
            </w:r>
          </w:p>
        </w:tc>
      </w:tr>
      <w:tr w:rsidR="009A6387" w:rsidRPr="00911DA1" w14:paraId="133191C5" w14:textId="77777777" w:rsidTr="00894076">
        <w:trPr>
          <w:trHeight w:val="426"/>
        </w:trPr>
        <w:tc>
          <w:tcPr>
            <w:tcW w:w="1183" w:type="pct"/>
            <w:tcBorders>
              <w:top w:val="nil"/>
              <w:bottom w:val="nil"/>
            </w:tcBorders>
          </w:tcPr>
          <w:p w14:paraId="6CA74F05" w14:textId="77777777" w:rsidR="009A6387" w:rsidRPr="0031463E" w:rsidRDefault="009A6387" w:rsidP="00161E52">
            <w:pPr>
              <w:pStyle w:val="DecimalAligned"/>
              <w:tabs>
                <w:tab w:val="right" w:pos="1960"/>
              </w:tabs>
              <w:spacing w:after="0"/>
              <w:rPr>
                <w:rFonts w:ascii="Times New Roman" w:hAnsi="Times New Roman" w:cs="Times New Roman"/>
                <w:color w:val="000000" w:themeColor="text1"/>
                <w:lang w:val="en-GB"/>
              </w:rPr>
            </w:pPr>
          </w:p>
        </w:tc>
        <w:tc>
          <w:tcPr>
            <w:tcW w:w="697" w:type="pct"/>
            <w:tcBorders>
              <w:top w:val="nil"/>
              <w:bottom w:val="nil"/>
            </w:tcBorders>
          </w:tcPr>
          <w:p w14:paraId="698F5FFC"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5" w:type="pct"/>
            <w:tcBorders>
              <w:top w:val="nil"/>
              <w:bottom w:val="nil"/>
            </w:tcBorders>
          </w:tcPr>
          <w:p w14:paraId="3C62396A"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6" w:type="pct"/>
            <w:tcBorders>
              <w:top w:val="nil"/>
              <w:bottom w:val="nil"/>
            </w:tcBorders>
          </w:tcPr>
          <w:p w14:paraId="1F415C72"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627" w:type="pct"/>
            <w:tcBorders>
              <w:top w:val="nil"/>
              <w:bottom w:val="nil"/>
            </w:tcBorders>
          </w:tcPr>
          <w:p w14:paraId="29843916"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top w:val="nil"/>
              <w:bottom w:val="nil"/>
            </w:tcBorders>
          </w:tcPr>
          <w:p w14:paraId="508ED942"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r>
      <w:tr w:rsidR="009A6387" w:rsidRPr="00911DA1" w14:paraId="06951A00" w14:textId="77777777" w:rsidTr="00894076">
        <w:trPr>
          <w:trHeight w:val="426"/>
        </w:trPr>
        <w:tc>
          <w:tcPr>
            <w:tcW w:w="1183" w:type="pct"/>
            <w:tcBorders>
              <w:top w:val="nil"/>
              <w:bottom w:val="nil"/>
            </w:tcBorders>
          </w:tcPr>
          <w:p w14:paraId="6FB1EF68"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Control of corruption at:</w:t>
            </w:r>
          </w:p>
        </w:tc>
        <w:tc>
          <w:tcPr>
            <w:tcW w:w="697" w:type="pct"/>
            <w:tcBorders>
              <w:top w:val="nil"/>
              <w:bottom w:val="nil"/>
            </w:tcBorders>
          </w:tcPr>
          <w:p w14:paraId="183A5581"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5" w:type="pct"/>
            <w:tcBorders>
              <w:top w:val="nil"/>
              <w:bottom w:val="nil"/>
            </w:tcBorders>
          </w:tcPr>
          <w:p w14:paraId="10EEFEEC"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766" w:type="pct"/>
            <w:tcBorders>
              <w:top w:val="nil"/>
              <w:bottom w:val="nil"/>
            </w:tcBorders>
          </w:tcPr>
          <w:p w14:paraId="3BB65B08"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627" w:type="pct"/>
            <w:tcBorders>
              <w:top w:val="nil"/>
              <w:bottom w:val="nil"/>
            </w:tcBorders>
          </w:tcPr>
          <w:p w14:paraId="5DCF1DB1"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top w:val="nil"/>
              <w:bottom w:val="nil"/>
            </w:tcBorders>
          </w:tcPr>
          <w:p w14:paraId="6DB2FCB2"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r>
      <w:tr w:rsidR="009A6387" w:rsidRPr="00911DA1" w14:paraId="5A2A9F2A" w14:textId="77777777" w:rsidTr="00894076">
        <w:trPr>
          <w:trHeight w:val="426"/>
        </w:trPr>
        <w:tc>
          <w:tcPr>
            <w:tcW w:w="1183" w:type="pct"/>
            <w:tcBorders>
              <w:top w:val="nil"/>
              <w:bottom w:val="nil"/>
            </w:tcBorders>
          </w:tcPr>
          <w:p w14:paraId="211323AE"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25</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764C8E18"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top w:val="nil"/>
              <w:bottom w:val="nil"/>
            </w:tcBorders>
          </w:tcPr>
          <w:p w14:paraId="71F41E4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-0.495***</w:t>
            </w:r>
          </w:p>
          <w:p w14:paraId="3D3AC231"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(0.085)</w:t>
            </w:r>
          </w:p>
        </w:tc>
        <w:tc>
          <w:tcPr>
            <w:tcW w:w="765" w:type="pct"/>
            <w:tcBorders>
              <w:top w:val="nil"/>
              <w:bottom w:val="nil"/>
            </w:tcBorders>
          </w:tcPr>
          <w:p w14:paraId="1238AC6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-0.454***</w:t>
            </w:r>
          </w:p>
          <w:p w14:paraId="233A42F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(0.083)</w:t>
            </w:r>
          </w:p>
        </w:tc>
        <w:tc>
          <w:tcPr>
            <w:tcW w:w="766" w:type="pct"/>
            <w:tcBorders>
              <w:top w:val="nil"/>
              <w:bottom w:val="nil"/>
            </w:tcBorders>
          </w:tcPr>
          <w:p w14:paraId="0D27878D"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-0.384***</w:t>
            </w:r>
          </w:p>
          <w:p w14:paraId="4087D7D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(0.107)</w:t>
            </w:r>
          </w:p>
        </w:tc>
        <w:tc>
          <w:tcPr>
            <w:tcW w:w="627" w:type="pct"/>
            <w:tcBorders>
              <w:top w:val="nil"/>
              <w:bottom w:val="nil"/>
            </w:tcBorders>
          </w:tcPr>
          <w:p w14:paraId="366FD548"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-0.111</w:t>
            </w:r>
          </w:p>
          <w:p w14:paraId="7B55E8E5"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(0.091)</w:t>
            </w:r>
          </w:p>
        </w:tc>
        <w:tc>
          <w:tcPr>
            <w:tcW w:w="962" w:type="pct"/>
            <w:tcBorders>
              <w:top w:val="nil"/>
              <w:bottom w:val="nil"/>
            </w:tcBorders>
          </w:tcPr>
          <w:p w14:paraId="29D48CCF" w14:textId="57CE4F9E"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3</w:t>
            </w:r>
          </w:p>
        </w:tc>
      </w:tr>
      <w:tr w:rsidR="009A6387" w:rsidRPr="00911DA1" w14:paraId="0EDCFC63" w14:textId="77777777" w:rsidTr="00894076">
        <w:trPr>
          <w:trHeight w:val="426"/>
        </w:trPr>
        <w:tc>
          <w:tcPr>
            <w:tcW w:w="1183" w:type="pct"/>
            <w:tcBorders>
              <w:top w:val="nil"/>
              <w:bottom w:val="nil"/>
            </w:tcBorders>
          </w:tcPr>
          <w:p w14:paraId="3028F06A"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50</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p>
          <w:p w14:paraId="2D9BEA66"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top w:val="nil"/>
              <w:bottom w:val="nil"/>
            </w:tcBorders>
          </w:tcPr>
          <w:p w14:paraId="517C275E"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-0.454***</w:t>
            </w:r>
          </w:p>
          <w:p w14:paraId="22FF129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(0.078)</w:t>
            </w:r>
          </w:p>
        </w:tc>
        <w:tc>
          <w:tcPr>
            <w:tcW w:w="765" w:type="pct"/>
            <w:tcBorders>
              <w:top w:val="nil"/>
              <w:bottom w:val="nil"/>
            </w:tcBorders>
          </w:tcPr>
          <w:p w14:paraId="2E793C11"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-0.413***</w:t>
            </w:r>
          </w:p>
          <w:p w14:paraId="7C0232C3"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(0.070)</w:t>
            </w:r>
          </w:p>
        </w:tc>
        <w:tc>
          <w:tcPr>
            <w:tcW w:w="766" w:type="pct"/>
            <w:tcBorders>
              <w:top w:val="nil"/>
              <w:bottom w:val="nil"/>
            </w:tcBorders>
          </w:tcPr>
          <w:p w14:paraId="7B6253D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-0.343***</w:t>
            </w:r>
          </w:p>
          <w:p w14:paraId="0636E8ED"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(0.088)</w:t>
            </w:r>
          </w:p>
        </w:tc>
        <w:tc>
          <w:tcPr>
            <w:tcW w:w="627" w:type="pct"/>
            <w:tcBorders>
              <w:top w:val="nil"/>
              <w:bottom w:val="nil"/>
            </w:tcBorders>
          </w:tcPr>
          <w:p w14:paraId="039277C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-0.111</w:t>
            </w:r>
          </w:p>
          <w:p w14:paraId="250A098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(0.091)</w:t>
            </w:r>
          </w:p>
        </w:tc>
        <w:tc>
          <w:tcPr>
            <w:tcW w:w="962" w:type="pct"/>
            <w:tcBorders>
              <w:top w:val="nil"/>
              <w:bottom w:val="nil"/>
            </w:tcBorders>
          </w:tcPr>
          <w:p w14:paraId="0D1C39AB" w14:textId="20D13DD6"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3</w:t>
            </w:r>
          </w:p>
        </w:tc>
      </w:tr>
      <w:tr w:rsidR="009A6387" w:rsidRPr="00911DA1" w14:paraId="124778E0" w14:textId="77777777" w:rsidTr="00894076">
        <w:trPr>
          <w:trHeight w:val="426"/>
        </w:trPr>
        <w:tc>
          <w:tcPr>
            <w:tcW w:w="1183" w:type="pct"/>
            <w:tcBorders>
              <w:top w:val="nil"/>
              <w:bottom w:val="nil"/>
            </w:tcBorders>
          </w:tcPr>
          <w:p w14:paraId="4ECB1C55" w14:textId="77777777" w:rsidR="009A6387" w:rsidRPr="0031463E" w:rsidRDefault="009A6387" w:rsidP="00161E52">
            <w:pPr>
              <w:pStyle w:val="DecimalAligned"/>
              <w:tabs>
                <w:tab w:val="right" w:pos="1960"/>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75</w:t>
            </w:r>
            <w:r w:rsidRPr="0031463E">
              <w:rPr>
                <w:rFonts w:ascii="Times New Roman" w:hAnsi="Times New Roman"/>
                <w:color w:val="000000" w:themeColor="text1"/>
                <w:vertAlign w:val="superscript"/>
                <w:lang w:val="en-GB"/>
              </w:rPr>
              <w:t>th</w:t>
            </w:r>
            <w:r w:rsidRPr="0031463E">
              <w:rPr>
                <w:rFonts w:ascii="Times New Roman" w:hAnsi="Times New Roman"/>
                <w:color w:val="000000" w:themeColor="text1"/>
                <w:lang w:val="en-GB"/>
              </w:rPr>
              <w:t xml:space="preserve"> percentile:</w:t>
            </w:r>
            <w:r w:rsidRPr="0031463E">
              <w:rPr>
                <w:rFonts w:ascii="Times New Roman" w:hAnsi="Times New Roman"/>
                <w:color w:val="000000" w:themeColor="text1"/>
                <w:lang w:val="en-GB"/>
              </w:rPr>
              <w:tab/>
            </w:r>
          </w:p>
          <w:p w14:paraId="610AD5D3" w14:textId="77777777" w:rsidR="009A6387" w:rsidRPr="0031463E" w:rsidRDefault="009A6387" w:rsidP="00161E52">
            <w:pPr>
              <w:pStyle w:val="DecimalAligned"/>
              <w:tabs>
                <w:tab w:val="right" w:pos="2017"/>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p>
        </w:tc>
        <w:tc>
          <w:tcPr>
            <w:tcW w:w="697" w:type="pct"/>
            <w:tcBorders>
              <w:top w:val="nil"/>
              <w:bottom w:val="nil"/>
            </w:tcBorders>
          </w:tcPr>
          <w:p w14:paraId="77B9DD89"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-0.399***</w:t>
            </w:r>
          </w:p>
          <w:p w14:paraId="3074C17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(0.093)</w:t>
            </w:r>
          </w:p>
        </w:tc>
        <w:tc>
          <w:tcPr>
            <w:tcW w:w="765" w:type="pct"/>
            <w:tcBorders>
              <w:top w:val="nil"/>
              <w:bottom w:val="nil"/>
            </w:tcBorders>
          </w:tcPr>
          <w:p w14:paraId="0A2EACE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-0.359***</w:t>
            </w:r>
          </w:p>
          <w:p w14:paraId="3BABD603"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(0.079)</w:t>
            </w:r>
          </w:p>
        </w:tc>
        <w:tc>
          <w:tcPr>
            <w:tcW w:w="766" w:type="pct"/>
            <w:tcBorders>
              <w:top w:val="nil"/>
              <w:bottom w:val="nil"/>
            </w:tcBorders>
          </w:tcPr>
          <w:p w14:paraId="4A3DFE7E"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-0.288***</w:t>
            </w:r>
          </w:p>
          <w:p w14:paraId="4758F39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(0.085)</w:t>
            </w:r>
          </w:p>
        </w:tc>
        <w:tc>
          <w:tcPr>
            <w:tcW w:w="627" w:type="pct"/>
            <w:tcBorders>
              <w:top w:val="nil"/>
              <w:bottom w:val="nil"/>
            </w:tcBorders>
          </w:tcPr>
          <w:p w14:paraId="3A862DE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-0.111</w:t>
            </w:r>
          </w:p>
          <w:p w14:paraId="489B6097"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(0.091)</w:t>
            </w:r>
          </w:p>
        </w:tc>
        <w:tc>
          <w:tcPr>
            <w:tcW w:w="962" w:type="pct"/>
            <w:tcBorders>
              <w:top w:val="nil"/>
              <w:bottom w:val="nil"/>
            </w:tcBorders>
          </w:tcPr>
          <w:p w14:paraId="0BD555C1" w14:textId="163E01A1"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 xml:space="preserve">Table </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3</w:t>
            </w:r>
          </w:p>
        </w:tc>
      </w:tr>
      <w:tr w:rsidR="009A6387" w:rsidRPr="00911DA1" w14:paraId="7B3A636B" w14:textId="77777777" w:rsidTr="00894076">
        <w:trPr>
          <w:trHeight w:val="438"/>
        </w:trPr>
        <w:tc>
          <w:tcPr>
            <w:tcW w:w="1183" w:type="pct"/>
            <w:tcBorders>
              <w:top w:val="nil"/>
              <w:bottom w:val="nil"/>
            </w:tcBorders>
          </w:tcPr>
          <w:p w14:paraId="5AF4DFD9" w14:textId="77777777" w:rsidR="009A6387" w:rsidRPr="0031463E" w:rsidRDefault="009A6387" w:rsidP="00161E52">
            <w:pPr>
              <w:pStyle w:val="DecimalAligned"/>
              <w:tabs>
                <w:tab w:val="right" w:pos="1960"/>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Change:</w:t>
            </w:r>
            <w:r w:rsidRPr="0031463E">
              <w:rPr>
                <w:rFonts w:ascii="Times New Roman" w:hAnsi="Times New Roman"/>
                <w:color w:val="000000" w:themeColor="text1"/>
                <w:lang w:val="en-GB"/>
              </w:rPr>
              <w:tab/>
            </w:r>
          </w:p>
          <w:p w14:paraId="7F3C63B1" w14:textId="77777777" w:rsidR="009A6387" w:rsidRPr="0031463E" w:rsidRDefault="009A6387" w:rsidP="00161E52">
            <w:pPr>
              <w:pStyle w:val="DecimalAligned"/>
              <w:tabs>
                <w:tab w:val="center" w:pos="981"/>
              </w:tabs>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ab/>
            </w:r>
            <w:r w:rsidRPr="0031463E">
              <w:rPr>
                <w:rFonts w:ascii="Times New Roman" w:hAnsi="Times New Roman"/>
                <w:color w:val="000000" w:themeColor="text1"/>
                <w:lang w:val="en-GB"/>
              </w:rPr>
              <w:tab/>
            </w:r>
          </w:p>
        </w:tc>
        <w:tc>
          <w:tcPr>
            <w:tcW w:w="697" w:type="pct"/>
            <w:tcBorders>
              <w:top w:val="nil"/>
              <w:bottom w:val="nil"/>
            </w:tcBorders>
          </w:tcPr>
          <w:p w14:paraId="4AC971A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-0.096</w:t>
            </w:r>
          </w:p>
          <w:p w14:paraId="2D1A640C"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765" w:type="pct"/>
            <w:tcBorders>
              <w:top w:val="nil"/>
              <w:bottom w:val="nil"/>
            </w:tcBorders>
          </w:tcPr>
          <w:p w14:paraId="687CD94E"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-0. 096</w:t>
            </w:r>
          </w:p>
          <w:p w14:paraId="18A960FA"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766" w:type="pct"/>
            <w:tcBorders>
              <w:top w:val="nil"/>
              <w:bottom w:val="nil"/>
            </w:tcBorders>
          </w:tcPr>
          <w:p w14:paraId="34FA0FEB"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-0. 096</w:t>
            </w:r>
          </w:p>
          <w:p w14:paraId="78416D94" w14:textId="77777777" w:rsidR="009A6387" w:rsidRPr="0031463E" w:rsidRDefault="009A6387" w:rsidP="00161E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(0.084)</w:t>
            </w:r>
          </w:p>
        </w:tc>
        <w:tc>
          <w:tcPr>
            <w:tcW w:w="627" w:type="pct"/>
            <w:tcBorders>
              <w:top w:val="nil"/>
              <w:bottom w:val="nil"/>
            </w:tcBorders>
          </w:tcPr>
          <w:p w14:paraId="0115C459" w14:textId="77777777" w:rsidR="009A6387" w:rsidRPr="0031463E" w:rsidRDefault="009A6387" w:rsidP="00161E52">
            <w:pPr>
              <w:pStyle w:val="DecimalAligned"/>
              <w:spacing w:after="0"/>
              <w:rPr>
                <w:rFonts w:ascii="Times New Roman" w:hAnsi="Times New Roman" w:cs="Times New Roman"/>
                <w:color w:val="000000" w:themeColor="text1"/>
                <w:lang w:val="en-GB"/>
              </w:rPr>
            </w:pPr>
          </w:p>
        </w:tc>
        <w:tc>
          <w:tcPr>
            <w:tcW w:w="962" w:type="pct"/>
            <w:tcBorders>
              <w:top w:val="nil"/>
              <w:bottom w:val="nil"/>
            </w:tcBorders>
          </w:tcPr>
          <w:p w14:paraId="3B1A4E4B" w14:textId="63D12A85" w:rsidR="009A6387" w:rsidRPr="0031463E" w:rsidRDefault="009A6387" w:rsidP="005F3452">
            <w:pPr>
              <w:pStyle w:val="DecimalAligned"/>
              <w:spacing w:after="0"/>
              <w:rPr>
                <w:rFonts w:ascii="Times New Roman" w:hAnsi="Times New Roman" w:cs="Times New Roman"/>
                <w:color w:val="000000" w:themeColor="text1"/>
                <w:lang w:val="en-GB"/>
              </w:rPr>
            </w:pPr>
            <w:r w:rsidRPr="0031463E">
              <w:rPr>
                <w:rFonts w:ascii="Times New Roman" w:hAnsi="Times New Roman"/>
                <w:color w:val="000000" w:themeColor="text1"/>
                <w:lang w:val="en-GB"/>
              </w:rPr>
              <w:t>Table</w:t>
            </w:r>
            <w:r w:rsidR="005F3452" w:rsidRPr="0031463E">
              <w:rPr>
                <w:rFonts w:ascii="Times New Roman" w:hAnsi="Times New Roman"/>
                <w:color w:val="000000" w:themeColor="text1"/>
                <w:lang w:val="en-GB"/>
              </w:rPr>
              <w:t>8</w:t>
            </w:r>
            <w:r w:rsidRPr="0031463E">
              <w:rPr>
                <w:rFonts w:ascii="Times New Roman" w:hAnsi="Times New Roman"/>
                <w:color w:val="000000" w:themeColor="text1"/>
                <w:lang w:val="en-GB"/>
              </w:rPr>
              <w:t>, Column 3</w:t>
            </w:r>
          </w:p>
        </w:tc>
      </w:tr>
      <w:tr w:rsidR="009A6387" w:rsidRPr="00911DA1" w14:paraId="625084B8" w14:textId="77777777" w:rsidTr="00894076">
        <w:trPr>
          <w:cnfStyle w:val="010000000000" w:firstRow="0" w:lastRow="1" w:firstColumn="0" w:lastColumn="0" w:oddVBand="0" w:evenVBand="0" w:oddHBand="0" w:evenHBand="0" w:firstRowFirstColumn="0" w:firstRowLastColumn="0" w:lastRowFirstColumn="0" w:lastRowLastColumn="0"/>
          <w:trHeight w:val="438"/>
        </w:trPr>
        <w:tc>
          <w:tcPr>
            <w:tcW w:w="1183" w:type="pct"/>
            <w:tcBorders>
              <w:top w:val="nil"/>
              <w:bottom w:val="single" w:sz="4" w:space="0" w:color="auto"/>
            </w:tcBorders>
          </w:tcPr>
          <w:p w14:paraId="0A04F2D1" w14:textId="77777777" w:rsidR="009A6387" w:rsidRPr="0031463E" w:rsidRDefault="009A6387" w:rsidP="00161E52">
            <w:pPr>
              <w:pStyle w:val="DecimalAligned"/>
              <w:tabs>
                <w:tab w:val="right" w:pos="2017"/>
              </w:tabs>
              <w:spacing w:after="0"/>
              <w:rPr>
                <w:rFonts w:ascii="Times New Roman" w:hAnsi="Times New Roman" w:cs="Times New Roman"/>
                <w:b w:val="0"/>
                <w:color w:val="000000" w:themeColor="text1"/>
                <w:lang w:val="en-GB"/>
              </w:rPr>
            </w:pPr>
          </w:p>
        </w:tc>
        <w:tc>
          <w:tcPr>
            <w:tcW w:w="697" w:type="pct"/>
            <w:tcBorders>
              <w:top w:val="nil"/>
              <w:bottom w:val="single" w:sz="4" w:space="0" w:color="auto"/>
            </w:tcBorders>
          </w:tcPr>
          <w:p w14:paraId="7AE3E19D" w14:textId="77777777" w:rsidR="009A6387" w:rsidRPr="0031463E" w:rsidRDefault="009A6387" w:rsidP="00161E52">
            <w:pPr>
              <w:pStyle w:val="DecimalAligned"/>
              <w:spacing w:after="0"/>
              <w:rPr>
                <w:rFonts w:ascii="Times New Roman" w:hAnsi="Times New Roman" w:cs="Times New Roman"/>
                <w:b w:val="0"/>
                <w:color w:val="000000" w:themeColor="text1"/>
                <w:lang w:val="en-GB"/>
              </w:rPr>
            </w:pPr>
          </w:p>
        </w:tc>
        <w:tc>
          <w:tcPr>
            <w:tcW w:w="765" w:type="pct"/>
            <w:tcBorders>
              <w:top w:val="nil"/>
              <w:bottom w:val="single" w:sz="4" w:space="0" w:color="auto"/>
            </w:tcBorders>
          </w:tcPr>
          <w:p w14:paraId="13532BE4" w14:textId="77777777" w:rsidR="009A6387" w:rsidRPr="0031463E" w:rsidRDefault="009A6387" w:rsidP="00161E52">
            <w:pPr>
              <w:pStyle w:val="DecimalAligned"/>
              <w:spacing w:after="0"/>
              <w:rPr>
                <w:rFonts w:ascii="Times New Roman" w:hAnsi="Times New Roman" w:cs="Times New Roman"/>
                <w:b w:val="0"/>
                <w:color w:val="000000" w:themeColor="text1"/>
                <w:lang w:val="en-GB"/>
              </w:rPr>
            </w:pPr>
          </w:p>
        </w:tc>
        <w:tc>
          <w:tcPr>
            <w:tcW w:w="766" w:type="pct"/>
            <w:tcBorders>
              <w:top w:val="nil"/>
              <w:bottom w:val="single" w:sz="4" w:space="0" w:color="auto"/>
            </w:tcBorders>
          </w:tcPr>
          <w:p w14:paraId="78C77402" w14:textId="77777777" w:rsidR="009A6387" w:rsidRPr="0031463E" w:rsidRDefault="009A6387" w:rsidP="00161E52">
            <w:pPr>
              <w:pStyle w:val="DecimalAligned"/>
              <w:spacing w:after="0"/>
              <w:rPr>
                <w:rFonts w:ascii="Times New Roman" w:hAnsi="Times New Roman" w:cs="Times New Roman"/>
                <w:b w:val="0"/>
                <w:color w:val="000000" w:themeColor="text1"/>
                <w:lang w:val="en-GB"/>
              </w:rPr>
            </w:pPr>
          </w:p>
        </w:tc>
        <w:tc>
          <w:tcPr>
            <w:tcW w:w="627" w:type="pct"/>
            <w:tcBorders>
              <w:top w:val="nil"/>
              <w:bottom w:val="single" w:sz="4" w:space="0" w:color="auto"/>
            </w:tcBorders>
          </w:tcPr>
          <w:p w14:paraId="16BA7B0C" w14:textId="77777777" w:rsidR="009A6387" w:rsidRPr="0031463E" w:rsidRDefault="009A6387" w:rsidP="00161E52">
            <w:pPr>
              <w:pStyle w:val="DecimalAligned"/>
              <w:spacing w:after="0"/>
              <w:rPr>
                <w:rFonts w:ascii="Times New Roman" w:hAnsi="Times New Roman" w:cs="Times New Roman"/>
                <w:b w:val="0"/>
                <w:color w:val="000000" w:themeColor="text1"/>
                <w:lang w:val="en-GB"/>
              </w:rPr>
            </w:pPr>
          </w:p>
        </w:tc>
        <w:tc>
          <w:tcPr>
            <w:tcW w:w="962" w:type="pct"/>
            <w:tcBorders>
              <w:top w:val="nil"/>
              <w:bottom w:val="single" w:sz="4" w:space="0" w:color="auto"/>
            </w:tcBorders>
          </w:tcPr>
          <w:p w14:paraId="0B0F3AD4" w14:textId="77777777" w:rsidR="009A6387" w:rsidRPr="0031463E" w:rsidRDefault="009A6387" w:rsidP="00161E52">
            <w:pPr>
              <w:pStyle w:val="DecimalAligned"/>
              <w:spacing w:after="0"/>
              <w:rPr>
                <w:rFonts w:ascii="Times New Roman" w:hAnsi="Times New Roman" w:cs="Times New Roman"/>
                <w:b w:val="0"/>
                <w:color w:val="000000" w:themeColor="text1"/>
                <w:lang w:val="en-GB"/>
              </w:rPr>
            </w:pPr>
          </w:p>
        </w:tc>
      </w:tr>
    </w:tbl>
    <w:p w14:paraId="74FA46DA"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47027A9E"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7CDDD9C5"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3E289431"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6B6DB16F"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1540C649"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4432765F"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50BB2493"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1E7C8BB6" w14:textId="77777777" w:rsidR="009A6387" w:rsidRPr="00BA0E8D" w:rsidRDefault="009A6387" w:rsidP="003F7FA2">
      <w:pPr>
        <w:keepNext/>
        <w:widowControl w:val="0"/>
        <w:autoSpaceDE w:val="0"/>
        <w:autoSpaceDN w:val="0"/>
        <w:adjustRightInd w:val="0"/>
        <w:spacing w:after="0" w:line="240" w:lineRule="auto"/>
        <w:rPr>
          <w:rFonts w:ascii="Times New Roman" w:hAnsi="Times New Roman"/>
          <w:b/>
          <w:sz w:val="18"/>
          <w:szCs w:val="18"/>
        </w:rPr>
      </w:pPr>
    </w:p>
    <w:p w14:paraId="64A28925" w14:textId="77777777" w:rsidR="00911DA1" w:rsidRDefault="00911DA1">
      <w:pPr>
        <w:spacing w:after="0" w:line="240" w:lineRule="auto"/>
        <w:rPr>
          <w:rFonts w:ascii="Times New Roman" w:hAnsi="Times New Roman"/>
          <w:b/>
          <w:sz w:val="18"/>
          <w:szCs w:val="18"/>
        </w:rPr>
      </w:pPr>
      <w:r>
        <w:rPr>
          <w:rFonts w:ascii="Times New Roman" w:hAnsi="Times New Roman"/>
          <w:b/>
          <w:sz w:val="18"/>
          <w:szCs w:val="18"/>
        </w:rPr>
        <w:br w:type="page"/>
      </w:r>
    </w:p>
    <w:p w14:paraId="7212EA31" w14:textId="28F7EAFB" w:rsidR="003F7FA2" w:rsidRPr="0031463E" w:rsidRDefault="009A6387" w:rsidP="003F7FA2">
      <w:pPr>
        <w:keepNext/>
        <w:widowControl w:val="0"/>
        <w:autoSpaceDE w:val="0"/>
        <w:autoSpaceDN w:val="0"/>
        <w:adjustRightInd w:val="0"/>
        <w:spacing w:after="0" w:line="240" w:lineRule="auto"/>
        <w:rPr>
          <w:rFonts w:ascii="Times New Roman" w:hAnsi="Times New Roman"/>
          <w:b/>
          <w:sz w:val="24"/>
          <w:szCs w:val="24"/>
        </w:rPr>
      </w:pPr>
      <w:r w:rsidRPr="0031463E">
        <w:rPr>
          <w:rFonts w:ascii="Times New Roman" w:hAnsi="Times New Roman"/>
          <w:b/>
          <w:sz w:val="24"/>
          <w:szCs w:val="24"/>
        </w:rPr>
        <w:lastRenderedPageBreak/>
        <w:t>Table 10</w:t>
      </w:r>
      <w:r w:rsidR="003F7FA2" w:rsidRPr="0031463E">
        <w:rPr>
          <w:rFonts w:ascii="Times New Roman" w:hAnsi="Times New Roman"/>
          <w:b/>
          <w:sz w:val="24"/>
          <w:szCs w:val="24"/>
        </w:rPr>
        <w:t xml:space="preserve">: </w:t>
      </w:r>
      <w:r w:rsidR="002F599E" w:rsidRPr="0031463E">
        <w:rPr>
          <w:rFonts w:ascii="Times New Roman" w:hAnsi="Times New Roman"/>
          <w:b/>
          <w:sz w:val="24"/>
          <w:szCs w:val="24"/>
        </w:rPr>
        <w:t xml:space="preserve">Effects of information sharing on credit intermediation: </w:t>
      </w:r>
      <w:r w:rsidR="00025B5C">
        <w:rPr>
          <w:rFonts w:ascii="Times New Roman" w:hAnsi="Times New Roman"/>
          <w:b/>
          <w:sz w:val="24"/>
          <w:szCs w:val="24"/>
        </w:rPr>
        <w:t>C</w:t>
      </w:r>
      <w:r w:rsidR="002F599E" w:rsidRPr="0031463E">
        <w:rPr>
          <w:rFonts w:ascii="Times New Roman" w:hAnsi="Times New Roman"/>
          <w:b/>
          <w:sz w:val="24"/>
          <w:szCs w:val="24"/>
        </w:rPr>
        <w:t>ontrolling for endogeneity</w:t>
      </w:r>
    </w:p>
    <w:tbl>
      <w:tblPr>
        <w:tblW w:w="10076" w:type="dxa"/>
        <w:tblLayout w:type="fixed"/>
        <w:tblLook w:val="0000" w:firstRow="0" w:lastRow="0" w:firstColumn="0" w:lastColumn="0" w:noHBand="0" w:noVBand="0"/>
      </w:tblPr>
      <w:tblGrid>
        <w:gridCol w:w="2468"/>
        <w:gridCol w:w="1902"/>
        <w:gridCol w:w="1902"/>
        <w:gridCol w:w="1902"/>
        <w:gridCol w:w="1902"/>
      </w:tblGrid>
      <w:tr w:rsidR="007F2AA9" w:rsidRPr="00BA0E8D" w14:paraId="057E3567" w14:textId="77777777" w:rsidTr="00894076">
        <w:trPr>
          <w:trHeight w:val="208"/>
        </w:trPr>
        <w:tc>
          <w:tcPr>
            <w:tcW w:w="2468" w:type="dxa"/>
            <w:tcBorders>
              <w:top w:val="single" w:sz="4" w:space="0" w:color="auto"/>
              <w:left w:val="nil"/>
              <w:bottom w:val="nil"/>
              <w:right w:val="nil"/>
            </w:tcBorders>
          </w:tcPr>
          <w:p w14:paraId="5AAF5F06"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single" w:sz="4" w:space="0" w:color="auto"/>
              <w:left w:val="nil"/>
              <w:bottom w:val="nil"/>
              <w:right w:val="nil"/>
            </w:tcBorders>
          </w:tcPr>
          <w:p w14:paraId="14DD4186"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w:t>
            </w:r>
          </w:p>
        </w:tc>
        <w:tc>
          <w:tcPr>
            <w:tcW w:w="1902" w:type="dxa"/>
            <w:tcBorders>
              <w:top w:val="single" w:sz="4" w:space="0" w:color="auto"/>
              <w:left w:val="nil"/>
              <w:bottom w:val="nil"/>
              <w:right w:val="nil"/>
            </w:tcBorders>
          </w:tcPr>
          <w:p w14:paraId="07276B1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(2)</w:t>
            </w:r>
          </w:p>
        </w:tc>
        <w:tc>
          <w:tcPr>
            <w:tcW w:w="1902" w:type="dxa"/>
            <w:tcBorders>
              <w:top w:val="single" w:sz="4" w:space="0" w:color="auto"/>
              <w:left w:val="nil"/>
              <w:bottom w:val="nil"/>
              <w:right w:val="nil"/>
            </w:tcBorders>
          </w:tcPr>
          <w:p w14:paraId="0E4396F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(3)</w:t>
            </w:r>
          </w:p>
        </w:tc>
        <w:tc>
          <w:tcPr>
            <w:tcW w:w="1902" w:type="dxa"/>
            <w:tcBorders>
              <w:top w:val="single" w:sz="4" w:space="0" w:color="auto"/>
              <w:left w:val="nil"/>
              <w:bottom w:val="nil"/>
              <w:right w:val="nil"/>
            </w:tcBorders>
          </w:tcPr>
          <w:p w14:paraId="52042EA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(4)</w:t>
            </w:r>
          </w:p>
        </w:tc>
      </w:tr>
      <w:tr w:rsidR="007F2AA9" w:rsidRPr="00BA0E8D" w14:paraId="3FF692C4" w14:textId="77777777" w:rsidTr="00894076">
        <w:trPr>
          <w:trHeight w:val="224"/>
        </w:trPr>
        <w:tc>
          <w:tcPr>
            <w:tcW w:w="2468" w:type="dxa"/>
            <w:tcBorders>
              <w:top w:val="single" w:sz="4" w:space="0" w:color="auto"/>
              <w:left w:val="nil"/>
              <w:bottom w:val="nil"/>
              <w:right w:val="nil"/>
            </w:tcBorders>
          </w:tcPr>
          <w:p w14:paraId="55D37281"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L.spread2</w:t>
            </w:r>
          </w:p>
        </w:tc>
        <w:tc>
          <w:tcPr>
            <w:tcW w:w="1902" w:type="dxa"/>
            <w:tcBorders>
              <w:top w:val="single" w:sz="4" w:space="0" w:color="auto"/>
              <w:left w:val="nil"/>
              <w:bottom w:val="nil"/>
              <w:right w:val="nil"/>
            </w:tcBorders>
          </w:tcPr>
          <w:p w14:paraId="2BDCA0A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0.210</w:t>
            </w:r>
            <w:r w:rsidRPr="00BA0E8D">
              <w:rPr>
                <w:rFonts w:ascii="Times New Roman" w:hAnsi="Times New Roman"/>
                <w:sz w:val="18"/>
                <w:szCs w:val="18"/>
                <w:vertAlign w:val="superscript"/>
              </w:rPr>
              <w:t>***</w:t>
            </w:r>
          </w:p>
        </w:tc>
        <w:tc>
          <w:tcPr>
            <w:tcW w:w="1902" w:type="dxa"/>
            <w:tcBorders>
              <w:top w:val="single" w:sz="4" w:space="0" w:color="auto"/>
              <w:left w:val="nil"/>
              <w:bottom w:val="nil"/>
              <w:right w:val="nil"/>
            </w:tcBorders>
          </w:tcPr>
          <w:p w14:paraId="4A0BB55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0.228</w:t>
            </w:r>
            <w:r w:rsidRPr="00BA0E8D">
              <w:rPr>
                <w:rFonts w:ascii="Times New Roman" w:hAnsi="Times New Roman"/>
                <w:sz w:val="18"/>
                <w:szCs w:val="18"/>
                <w:vertAlign w:val="superscript"/>
              </w:rPr>
              <w:t>**</w:t>
            </w:r>
          </w:p>
        </w:tc>
        <w:tc>
          <w:tcPr>
            <w:tcW w:w="1902" w:type="dxa"/>
            <w:tcBorders>
              <w:top w:val="single" w:sz="4" w:space="0" w:color="auto"/>
              <w:left w:val="nil"/>
              <w:bottom w:val="nil"/>
              <w:right w:val="nil"/>
            </w:tcBorders>
          </w:tcPr>
          <w:p w14:paraId="3E392E9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0.162</w:t>
            </w:r>
            <w:r w:rsidRPr="00BA0E8D">
              <w:rPr>
                <w:rFonts w:ascii="Times New Roman" w:hAnsi="Times New Roman"/>
                <w:sz w:val="18"/>
                <w:szCs w:val="18"/>
                <w:vertAlign w:val="superscript"/>
              </w:rPr>
              <w:t>**</w:t>
            </w:r>
          </w:p>
        </w:tc>
        <w:tc>
          <w:tcPr>
            <w:tcW w:w="1902" w:type="dxa"/>
            <w:tcBorders>
              <w:top w:val="single" w:sz="4" w:space="0" w:color="auto"/>
              <w:left w:val="nil"/>
              <w:bottom w:val="nil"/>
              <w:right w:val="nil"/>
            </w:tcBorders>
          </w:tcPr>
          <w:p w14:paraId="32BE0C9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0.231</w:t>
            </w:r>
            <w:r w:rsidRPr="00BA0E8D">
              <w:rPr>
                <w:rFonts w:ascii="Times New Roman" w:hAnsi="Times New Roman"/>
                <w:sz w:val="18"/>
                <w:szCs w:val="18"/>
                <w:vertAlign w:val="superscript"/>
              </w:rPr>
              <w:t>**</w:t>
            </w:r>
          </w:p>
        </w:tc>
      </w:tr>
      <w:tr w:rsidR="007F2AA9" w:rsidRPr="00BA0E8D" w14:paraId="42C65D69" w14:textId="77777777" w:rsidTr="00894076">
        <w:trPr>
          <w:trHeight w:val="224"/>
        </w:trPr>
        <w:tc>
          <w:tcPr>
            <w:tcW w:w="2468" w:type="dxa"/>
            <w:tcBorders>
              <w:top w:val="nil"/>
              <w:left w:val="nil"/>
              <w:bottom w:val="nil"/>
              <w:right w:val="nil"/>
            </w:tcBorders>
          </w:tcPr>
          <w:p w14:paraId="716937BA"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6C8BC23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(0.075)</w:t>
            </w:r>
          </w:p>
        </w:tc>
        <w:tc>
          <w:tcPr>
            <w:tcW w:w="1902" w:type="dxa"/>
            <w:tcBorders>
              <w:top w:val="nil"/>
              <w:left w:val="nil"/>
              <w:bottom w:val="nil"/>
              <w:right w:val="nil"/>
            </w:tcBorders>
          </w:tcPr>
          <w:p w14:paraId="48A5DA1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(0.093)</w:t>
            </w:r>
          </w:p>
        </w:tc>
        <w:tc>
          <w:tcPr>
            <w:tcW w:w="1902" w:type="dxa"/>
            <w:tcBorders>
              <w:top w:val="nil"/>
              <w:left w:val="nil"/>
              <w:bottom w:val="nil"/>
              <w:right w:val="nil"/>
            </w:tcBorders>
          </w:tcPr>
          <w:p w14:paraId="1DACB42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(0.074)</w:t>
            </w:r>
          </w:p>
        </w:tc>
        <w:tc>
          <w:tcPr>
            <w:tcW w:w="1902" w:type="dxa"/>
            <w:tcBorders>
              <w:top w:val="nil"/>
              <w:left w:val="nil"/>
              <w:bottom w:val="nil"/>
              <w:right w:val="nil"/>
            </w:tcBorders>
          </w:tcPr>
          <w:p w14:paraId="0587B8B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(0.095)</w:t>
            </w:r>
          </w:p>
        </w:tc>
      </w:tr>
      <w:tr w:rsidR="007F2AA9" w:rsidRPr="00BA0E8D" w14:paraId="106B6645" w14:textId="77777777" w:rsidTr="00894076">
        <w:trPr>
          <w:trHeight w:val="224"/>
        </w:trPr>
        <w:tc>
          <w:tcPr>
            <w:tcW w:w="2468" w:type="dxa"/>
            <w:tcBorders>
              <w:top w:val="nil"/>
              <w:left w:val="nil"/>
              <w:bottom w:val="nil"/>
              <w:right w:val="nil"/>
            </w:tcBorders>
          </w:tcPr>
          <w:p w14:paraId="2AB359CB"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Depth</w:t>
            </w:r>
          </w:p>
        </w:tc>
        <w:tc>
          <w:tcPr>
            <w:tcW w:w="1902" w:type="dxa"/>
            <w:tcBorders>
              <w:top w:val="nil"/>
              <w:left w:val="nil"/>
              <w:bottom w:val="nil"/>
              <w:right w:val="nil"/>
            </w:tcBorders>
          </w:tcPr>
          <w:p w14:paraId="3D88868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-0.617</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399CE0D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-1.032</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5269CFF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-0.277</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405B7A3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-1.541</w:t>
            </w:r>
            <w:r w:rsidRPr="00BA0E8D">
              <w:rPr>
                <w:rFonts w:ascii="Times New Roman" w:hAnsi="Times New Roman"/>
                <w:sz w:val="18"/>
                <w:szCs w:val="18"/>
                <w:vertAlign w:val="superscript"/>
              </w:rPr>
              <w:t>**</w:t>
            </w:r>
          </w:p>
        </w:tc>
      </w:tr>
      <w:tr w:rsidR="007F2AA9" w:rsidRPr="00BA0E8D" w14:paraId="7C26E325" w14:textId="77777777" w:rsidTr="00894076">
        <w:trPr>
          <w:trHeight w:val="224"/>
        </w:trPr>
        <w:tc>
          <w:tcPr>
            <w:tcW w:w="2468" w:type="dxa"/>
            <w:tcBorders>
              <w:top w:val="nil"/>
              <w:left w:val="nil"/>
              <w:bottom w:val="nil"/>
              <w:right w:val="nil"/>
            </w:tcBorders>
          </w:tcPr>
          <w:p w14:paraId="033F2EF3"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29F8D78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(0.182)</w:t>
            </w:r>
          </w:p>
        </w:tc>
        <w:tc>
          <w:tcPr>
            <w:tcW w:w="1902" w:type="dxa"/>
            <w:tcBorders>
              <w:top w:val="nil"/>
              <w:left w:val="nil"/>
              <w:bottom w:val="nil"/>
              <w:right w:val="nil"/>
            </w:tcBorders>
          </w:tcPr>
          <w:p w14:paraId="4A701E5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(0.342)</w:t>
            </w:r>
          </w:p>
        </w:tc>
        <w:tc>
          <w:tcPr>
            <w:tcW w:w="1902" w:type="dxa"/>
            <w:tcBorders>
              <w:top w:val="nil"/>
              <w:left w:val="nil"/>
              <w:bottom w:val="nil"/>
              <w:right w:val="nil"/>
            </w:tcBorders>
          </w:tcPr>
          <w:p w14:paraId="4A4811F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(0.155)</w:t>
            </w:r>
          </w:p>
        </w:tc>
        <w:tc>
          <w:tcPr>
            <w:tcW w:w="1902" w:type="dxa"/>
            <w:tcBorders>
              <w:top w:val="nil"/>
              <w:left w:val="nil"/>
              <w:bottom w:val="nil"/>
              <w:right w:val="nil"/>
            </w:tcBorders>
          </w:tcPr>
          <w:p w14:paraId="49E548C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(0.628)</w:t>
            </w:r>
          </w:p>
        </w:tc>
      </w:tr>
      <w:tr w:rsidR="007F2AA9" w:rsidRPr="00BA0E8D" w14:paraId="3075B626" w14:textId="77777777" w:rsidTr="00894076">
        <w:trPr>
          <w:trHeight w:val="224"/>
        </w:trPr>
        <w:tc>
          <w:tcPr>
            <w:tcW w:w="2468" w:type="dxa"/>
            <w:tcBorders>
              <w:top w:val="nil"/>
              <w:left w:val="nil"/>
              <w:bottom w:val="nil"/>
              <w:right w:val="nil"/>
            </w:tcBorders>
          </w:tcPr>
          <w:p w14:paraId="10026357"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Size</w:t>
            </w:r>
          </w:p>
        </w:tc>
        <w:tc>
          <w:tcPr>
            <w:tcW w:w="1902" w:type="dxa"/>
            <w:tcBorders>
              <w:top w:val="nil"/>
              <w:left w:val="nil"/>
              <w:bottom w:val="nil"/>
              <w:right w:val="nil"/>
            </w:tcBorders>
          </w:tcPr>
          <w:p w14:paraId="46A9AB9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0.350</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762989E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0.269</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329CB4B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0.267</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40CDC11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0.244</w:t>
            </w:r>
            <w:r w:rsidRPr="00BA0E8D">
              <w:rPr>
                <w:rFonts w:ascii="Times New Roman" w:hAnsi="Times New Roman"/>
                <w:sz w:val="18"/>
                <w:szCs w:val="18"/>
                <w:vertAlign w:val="superscript"/>
              </w:rPr>
              <w:t>**</w:t>
            </w:r>
          </w:p>
        </w:tc>
      </w:tr>
      <w:tr w:rsidR="007F2AA9" w:rsidRPr="00BA0E8D" w14:paraId="7E4236CB" w14:textId="77777777" w:rsidTr="00894076">
        <w:trPr>
          <w:trHeight w:val="208"/>
        </w:trPr>
        <w:tc>
          <w:tcPr>
            <w:tcW w:w="2468" w:type="dxa"/>
            <w:tcBorders>
              <w:top w:val="nil"/>
              <w:left w:val="nil"/>
              <w:bottom w:val="nil"/>
              <w:right w:val="nil"/>
            </w:tcBorders>
          </w:tcPr>
          <w:p w14:paraId="2ED99005"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6B76DCD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(0.098)</w:t>
            </w:r>
          </w:p>
        </w:tc>
        <w:tc>
          <w:tcPr>
            <w:tcW w:w="1902" w:type="dxa"/>
            <w:tcBorders>
              <w:top w:val="nil"/>
              <w:left w:val="nil"/>
              <w:bottom w:val="nil"/>
              <w:right w:val="nil"/>
            </w:tcBorders>
          </w:tcPr>
          <w:p w14:paraId="4A0319D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(0.092)</w:t>
            </w:r>
          </w:p>
        </w:tc>
        <w:tc>
          <w:tcPr>
            <w:tcW w:w="1902" w:type="dxa"/>
            <w:tcBorders>
              <w:top w:val="nil"/>
              <w:left w:val="nil"/>
              <w:bottom w:val="nil"/>
              <w:right w:val="nil"/>
            </w:tcBorders>
          </w:tcPr>
          <w:p w14:paraId="74024E8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(0.098)</w:t>
            </w:r>
          </w:p>
        </w:tc>
        <w:tc>
          <w:tcPr>
            <w:tcW w:w="1902" w:type="dxa"/>
            <w:tcBorders>
              <w:top w:val="nil"/>
              <w:left w:val="nil"/>
              <w:bottom w:val="nil"/>
              <w:right w:val="nil"/>
            </w:tcBorders>
          </w:tcPr>
          <w:p w14:paraId="178C591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(0.094)</w:t>
            </w:r>
          </w:p>
        </w:tc>
      </w:tr>
      <w:tr w:rsidR="007F2AA9" w:rsidRPr="00BA0E8D" w14:paraId="70995E52" w14:textId="77777777" w:rsidTr="00894076">
        <w:trPr>
          <w:trHeight w:val="224"/>
        </w:trPr>
        <w:tc>
          <w:tcPr>
            <w:tcW w:w="2468" w:type="dxa"/>
            <w:tcBorders>
              <w:top w:val="nil"/>
              <w:left w:val="nil"/>
              <w:bottom w:val="nil"/>
              <w:right w:val="nil"/>
            </w:tcBorders>
          </w:tcPr>
          <w:p w14:paraId="15FF2B84"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Liquidity</w:t>
            </w:r>
          </w:p>
        </w:tc>
        <w:tc>
          <w:tcPr>
            <w:tcW w:w="1902" w:type="dxa"/>
            <w:tcBorders>
              <w:top w:val="nil"/>
              <w:left w:val="nil"/>
              <w:bottom w:val="nil"/>
              <w:right w:val="nil"/>
            </w:tcBorders>
          </w:tcPr>
          <w:p w14:paraId="79352C4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0.024</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7EFE0D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0.028</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1891F53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0.021</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3279400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0.027</w:t>
            </w:r>
            <w:r w:rsidRPr="00BA0E8D">
              <w:rPr>
                <w:rFonts w:ascii="Times New Roman" w:hAnsi="Times New Roman"/>
                <w:sz w:val="18"/>
                <w:szCs w:val="18"/>
                <w:vertAlign w:val="superscript"/>
              </w:rPr>
              <w:t>***</w:t>
            </w:r>
          </w:p>
        </w:tc>
      </w:tr>
      <w:tr w:rsidR="007F2AA9" w:rsidRPr="00BA0E8D" w14:paraId="1D1B1F33" w14:textId="77777777" w:rsidTr="00894076">
        <w:trPr>
          <w:trHeight w:val="224"/>
        </w:trPr>
        <w:tc>
          <w:tcPr>
            <w:tcW w:w="2468" w:type="dxa"/>
            <w:tcBorders>
              <w:top w:val="nil"/>
              <w:left w:val="nil"/>
              <w:bottom w:val="nil"/>
              <w:right w:val="nil"/>
            </w:tcBorders>
          </w:tcPr>
          <w:p w14:paraId="46C46893"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77ECA1B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(0.009)</w:t>
            </w:r>
          </w:p>
        </w:tc>
        <w:tc>
          <w:tcPr>
            <w:tcW w:w="1902" w:type="dxa"/>
            <w:tcBorders>
              <w:top w:val="nil"/>
              <w:left w:val="nil"/>
              <w:bottom w:val="nil"/>
              <w:right w:val="nil"/>
            </w:tcBorders>
          </w:tcPr>
          <w:p w14:paraId="4C060E2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(0.009)</w:t>
            </w:r>
          </w:p>
        </w:tc>
        <w:tc>
          <w:tcPr>
            <w:tcW w:w="1902" w:type="dxa"/>
            <w:tcBorders>
              <w:top w:val="nil"/>
              <w:left w:val="nil"/>
              <w:bottom w:val="nil"/>
              <w:right w:val="nil"/>
            </w:tcBorders>
          </w:tcPr>
          <w:p w14:paraId="1F58D7A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(0.009)</w:t>
            </w:r>
          </w:p>
        </w:tc>
        <w:tc>
          <w:tcPr>
            <w:tcW w:w="1902" w:type="dxa"/>
            <w:tcBorders>
              <w:top w:val="nil"/>
              <w:left w:val="nil"/>
              <w:bottom w:val="nil"/>
              <w:right w:val="nil"/>
            </w:tcBorders>
          </w:tcPr>
          <w:p w14:paraId="2E55654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(0.009)</w:t>
            </w:r>
          </w:p>
        </w:tc>
      </w:tr>
      <w:tr w:rsidR="007F2AA9" w:rsidRPr="00BA0E8D" w14:paraId="7A9725D6" w14:textId="77777777" w:rsidTr="00894076">
        <w:trPr>
          <w:trHeight w:val="208"/>
        </w:trPr>
        <w:tc>
          <w:tcPr>
            <w:tcW w:w="2468" w:type="dxa"/>
            <w:tcBorders>
              <w:top w:val="nil"/>
              <w:left w:val="nil"/>
              <w:bottom w:val="nil"/>
              <w:right w:val="nil"/>
            </w:tcBorders>
          </w:tcPr>
          <w:p w14:paraId="038A78F2"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Provisions</w:t>
            </w:r>
          </w:p>
        </w:tc>
        <w:tc>
          <w:tcPr>
            <w:tcW w:w="1902" w:type="dxa"/>
            <w:tcBorders>
              <w:top w:val="nil"/>
              <w:left w:val="nil"/>
              <w:bottom w:val="nil"/>
              <w:right w:val="nil"/>
            </w:tcBorders>
          </w:tcPr>
          <w:p w14:paraId="724E8CB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0.059</w:t>
            </w:r>
          </w:p>
        </w:tc>
        <w:tc>
          <w:tcPr>
            <w:tcW w:w="1902" w:type="dxa"/>
            <w:tcBorders>
              <w:top w:val="nil"/>
              <w:left w:val="nil"/>
              <w:bottom w:val="nil"/>
              <w:right w:val="nil"/>
            </w:tcBorders>
          </w:tcPr>
          <w:p w14:paraId="4A7845A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0.077</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315127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0.061</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5A72A0F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0.086</w:t>
            </w:r>
            <w:r w:rsidRPr="00BA0E8D">
              <w:rPr>
                <w:rFonts w:ascii="Times New Roman" w:hAnsi="Times New Roman"/>
                <w:sz w:val="18"/>
                <w:szCs w:val="18"/>
                <w:vertAlign w:val="superscript"/>
              </w:rPr>
              <w:t>**</w:t>
            </w:r>
          </w:p>
        </w:tc>
      </w:tr>
      <w:tr w:rsidR="007F2AA9" w:rsidRPr="00BA0E8D" w14:paraId="771F41D1" w14:textId="77777777" w:rsidTr="00894076">
        <w:trPr>
          <w:trHeight w:val="224"/>
        </w:trPr>
        <w:tc>
          <w:tcPr>
            <w:tcW w:w="2468" w:type="dxa"/>
            <w:tcBorders>
              <w:top w:val="nil"/>
              <w:left w:val="nil"/>
              <w:bottom w:val="nil"/>
              <w:right w:val="nil"/>
            </w:tcBorders>
          </w:tcPr>
          <w:p w14:paraId="1393735D"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1ABD6A9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(0.036)</w:t>
            </w:r>
          </w:p>
        </w:tc>
        <w:tc>
          <w:tcPr>
            <w:tcW w:w="1902" w:type="dxa"/>
            <w:tcBorders>
              <w:top w:val="nil"/>
              <w:left w:val="nil"/>
              <w:bottom w:val="nil"/>
              <w:right w:val="nil"/>
            </w:tcBorders>
          </w:tcPr>
          <w:p w14:paraId="6FADDD7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(0.040)</w:t>
            </w:r>
          </w:p>
        </w:tc>
        <w:tc>
          <w:tcPr>
            <w:tcW w:w="1902" w:type="dxa"/>
            <w:tcBorders>
              <w:top w:val="nil"/>
              <w:left w:val="nil"/>
              <w:bottom w:val="nil"/>
              <w:right w:val="nil"/>
            </w:tcBorders>
          </w:tcPr>
          <w:p w14:paraId="7C171A0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(0.036)</w:t>
            </w:r>
          </w:p>
        </w:tc>
        <w:tc>
          <w:tcPr>
            <w:tcW w:w="1902" w:type="dxa"/>
            <w:tcBorders>
              <w:top w:val="nil"/>
              <w:left w:val="nil"/>
              <w:bottom w:val="nil"/>
              <w:right w:val="nil"/>
            </w:tcBorders>
          </w:tcPr>
          <w:p w14:paraId="1D4EE7C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(0.042)</w:t>
            </w:r>
          </w:p>
        </w:tc>
      </w:tr>
      <w:tr w:rsidR="007F2AA9" w:rsidRPr="00BA0E8D" w14:paraId="783168E6" w14:textId="77777777" w:rsidTr="00894076">
        <w:trPr>
          <w:trHeight w:val="224"/>
        </w:trPr>
        <w:tc>
          <w:tcPr>
            <w:tcW w:w="2468" w:type="dxa"/>
            <w:tcBorders>
              <w:top w:val="nil"/>
              <w:left w:val="nil"/>
              <w:bottom w:val="nil"/>
              <w:right w:val="nil"/>
            </w:tcBorders>
          </w:tcPr>
          <w:p w14:paraId="0092D007"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Lending</w:t>
            </w:r>
          </w:p>
        </w:tc>
        <w:tc>
          <w:tcPr>
            <w:tcW w:w="1902" w:type="dxa"/>
            <w:tcBorders>
              <w:top w:val="nil"/>
              <w:left w:val="nil"/>
              <w:bottom w:val="nil"/>
              <w:right w:val="nil"/>
            </w:tcBorders>
          </w:tcPr>
          <w:p w14:paraId="1B43586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-0.037</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1A3930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-0.040</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7B4B710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-0.051</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183D068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-0.046</w:t>
            </w:r>
            <w:r w:rsidRPr="00BA0E8D">
              <w:rPr>
                <w:rFonts w:ascii="Times New Roman" w:hAnsi="Times New Roman"/>
                <w:sz w:val="18"/>
                <w:szCs w:val="18"/>
                <w:vertAlign w:val="superscript"/>
              </w:rPr>
              <w:t>***</w:t>
            </w:r>
          </w:p>
        </w:tc>
      </w:tr>
      <w:tr w:rsidR="007F2AA9" w:rsidRPr="00BA0E8D" w14:paraId="7A2B10EC" w14:textId="77777777" w:rsidTr="00894076">
        <w:trPr>
          <w:trHeight w:val="224"/>
        </w:trPr>
        <w:tc>
          <w:tcPr>
            <w:tcW w:w="2468" w:type="dxa"/>
            <w:tcBorders>
              <w:top w:val="nil"/>
              <w:left w:val="nil"/>
              <w:bottom w:val="nil"/>
              <w:right w:val="nil"/>
            </w:tcBorders>
          </w:tcPr>
          <w:p w14:paraId="1A922E4D"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7507056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(0.010)</w:t>
            </w:r>
          </w:p>
        </w:tc>
        <w:tc>
          <w:tcPr>
            <w:tcW w:w="1902" w:type="dxa"/>
            <w:tcBorders>
              <w:top w:val="nil"/>
              <w:left w:val="nil"/>
              <w:bottom w:val="nil"/>
              <w:right w:val="nil"/>
            </w:tcBorders>
          </w:tcPr>
          <w:p w14:paraId="2968356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(0.011)</w:t>
            </w:r>
          </w:p>
        </w:tc>
        <w:tc>
          <w:tcPr>
            <w:tcW w:w="1902" w:type="dxa"/>
            <w:tcBorders>
              <w:top w:val="nil"/>
              <w:left w:val="nil"/>
              <w:bottom w:val="nil"/>
              <w:right w:val="nil"/>
            </w:tcBorders>
          </w:tcPr>
          <w:p w14:paraId="1DD5DF1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(0.011)</w:t>
            </w:r>
          </w:p>
        </w:tc>
        <w:tc>
          <w:tcPr>
            <w:tcW w:w="1902" w:type="dxa"/>
            <w:tcBorders>
              <w:top w:val="nil"/>
              <w:left w:val="nil"/>
              <w:bottom w:val="nil"/>
              <w:right w:val="nil"/>
            </w:tcBorders>
          </w:tcPr>
          <w:p w14:paraId="30DBC54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(0.012)</w:t>
            </w:r>
          </w:p>
        </w:tc>
      </w:tr>
      <w:tr w:rsidR="007F2AA9" w:rsidRPr="00BA0E8D" w14:paraId="2DF57FF3" w14:textId="77777777" w:rsidTr="00894076">
        <w:trPr>
          <w:trHeight w:val="224"/>
        </w:trPr>
        <w:tc>
          <w:tcPr>
            <w:tcW w:w="2468" w:type="dxa"/>
            <w:tcBorders>
              <w:top w:val="nil"/>
              <w:left w:val="nil"/>
              <w:bottom w:val="nil"/>
              <w:right w:val="nil"/>
            </w:tcBorders>
          </w:tcPr>
          <w:p w14:paraId="6DBC3111"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Deposits</w:t>
            </w:r>
          </w:p>
        </w:tc>
        <w:tc>
          <w:tcPr>
            <w:tcW w:w="1902" w:type="dxa"/>
            <w:tcBorders>
              <w:top w:val="nil"/>
              <w:left w:val="nil"/>
              <w:bottom w:val="nil"/>
              <w:right w:val="nil"/>
            </w:tcBorders>
          </w:tcPr>
          <w:p w14:paraId="67B338D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-0.016</w:t>
            </w:r>
          </w:p>
        </w:tc>
        <w:tc>
          <w:tcPr>
            <w:tcW w:w="1902" w:type="dxa"/>
            <w:tcBorders>
              <w:top w:val="nil"/>
              <w:left w:val="nil"/>
              <w:bottom w:val="nil"/>
              <w:right w:val="nil"/>
            </w:tcBorders>
          </w:tcPr>
          <w:p w14:paraId="6199281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-0.025</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4BA4B25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-0.025</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85B346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-0.016</w:t>
            </w:r>
          </w:p>
        </w:tc>
      </w:tr>
      <w:tr w:rsidR="007F2AA9" w:rsidRPr="00BA0E8D" w14:paraId="3A70EE6F" w14:textId="77777777" w:rsidTr="00894076">
        <w:trPr>
          <w:trHeight w:val="224"/>
        </w:trPr>
        <w:tc>
          <w:tcPr>
            <w:tcW w:w="2468" w:type="dxa"/>
            <w:tcBorders>
              <w:top w:val="nil"/>
              <w:left w:val="nil"/>
              <w:bottom w:val="nil"/>
              <w:right w:val="nil"/>
            </w:tcBorders>
          </w:tcPr>
          <w:p w14:paraId="3E3A59C8"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5F93129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(0.016)</w:t>
            </w:r>
          </w:p>
        </w:tc>
        <w:tc>
          <w:tcPr>
            <w:tcW w:w="1902" w:type="dxa"/>
            <w:tcBorders>
              <w:top w:val="nil"/>
              <w:left w:val="nil"/>
              <w:bottom w:val="nil"/>
              <w:right w:val="nil"/>
            </w:tcBorders>
          </w:tcPr>
          <w:p w14:paraId="283D08E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(0.012)</w:t>
            </w:r>
          </w:p>
        </w:tc>
        <w:tc>
          <w:tcPr>
            <w:tcW w:w="1902" w:type="dxa"/>
            <w:tcBorders>
              <w:top w:val="nil"/>
              <w:left w:val="nil"/>
              <w:bottom w:val="nil"/>
              <w:right w:val="nil"/>
            </w:tcBorders>
          </w:tcPr>
          <w:p w14:paraId="488AEB1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(0.013)</w:t>
            </w:r>
          </w:p>
        </w:tc>
        <w:tc>
          <w:tcPr>
            <w:tcW w:w="1902" w:type="dxa"/>
            <w:tcBorders>
              <w:top w:val="nil"/>
              <w:left w:val="nil"/>
              <w:bottom w:val="nil"/>
              <w:right w:val="nil"/>
            </w:tcBorders>
          </w:tcPr>
          <w:p w14:paraId="1469D08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(0.013)</w:t>
            </w:r>
          </w:p>
        </w:tc>
      </w:tr>
      <w:tr w:rsidR="007F2AA9" w:rsidRPr="00BA0E8D" w14:paraId="61D3BAEE" w14:textId="77777777" w:rsidTr="00894076">
        <w:trPr>
          <w:trHeight w:val="224"/>
        </w:trPr>
        <w:tc>
          <w:tcPr>
            <w:tcW w:w="2468" w:type="dxa"/>
            <w:tcBorders>
              <w:top w:val="nil"/>
              <w:left w:val="nil"/>
              <w:bottom w:val="nil"/>
              <w:right w:val="nil"/>
            </w:tcBorders>
          </w:tcPr>
          <w:p w14:paraId="640AA630"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Equity</w:t>
            </w:r>
          </w:p>
        </w:tc>
        <w:tc>
          <w:tcPr>
            <w:tcW w:w="1902" w:type="dxa"/>
            <w:tcBorders>
              <w:top w:val="nil"/>
              <w:left w:val="nil"/>
              <w:bottom w:val="nil"/>
              <w:right w:val="nil"/>
            </w:tcBorders>
          </w:tcPr>
          <w:p w14:paraId="079660D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0.013</w:t>
            </w:r>
          </w:p>
        </w:tc>
        <w:tc>
          <w:tcPr>
            <w:tcW w:w="1902" w:type="dxa"/>
            <w:tcBorders>
              <w:top w:val="nil"/>
              <w:left w:val="nil"/>
              <w:bottom w:val="nil"/>
              <w:right w:val="nil"/>
            </w:tcBorders>
          </w:tcPr>
          <w:p w14:paraId="2F0E1D6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-0.003</w:t>
            </w:r>
          </w:p>
        </w:tc>
        <w:tc>
          <w:tcPr>
            <w:tcW w:w="1902" w:type="dxa"/>
            <w:tcBorders>
              <w:top w:val="nil"/>
              <w:left w:val="nil"/>
              <w:bottom w:val="nil"/>
              <w:right w:val="nil"/>
            </w:tcBorders>
          </w:tcPr>
          <w:p w14:paraId="4B8AD79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0.013</w:t>
            </w:r>
          </w:p>
        </w:tc>
        <w:tc>
          <w:tcPr>
            <w:tcW w:w="1902" w:type="dxa"/>
            <w:tcBorders>
              <w:top w:val="nil"/>
              <w:left w:val="nil"/>
              <w:bottom w:val="nil"/>
              <w:right w:val="nil"/>
            </w:tcBorders>
          </w:tcPr>
          <w:p w14:paraId="287D167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-0.000</w:t>
            </w:r>
          </w:p>
        </w:tc>
      </w:tr>
      <w:tr w:rsidR="007F2AA9" w:rsidRPr="00BA0E8D" w14:paraId="6A766B93" w14:textId="77777777" w:rsidTr="00894076">
        <w:trPr>
          <w:trHeight w:val="208"/>
        </w:trPr>
        <w:tc>
          <w:tcPr>
            <w:tcW w:w="2468" w:type="dxa"/>
            <w:tcBorders>
              <w:top w:val="nil"/>
              <w:left w:val="nil"/>
              <w:bottom w:val="nil"/>
              <w:right w:val="nil"/>
            </w:tcBorders>
          </w:tcPr>
          <w:p w14:paraId="12B7254A"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171E3FC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(0.024)</w:t>
            </w:r>
          </w:p>
        </w:tc>
        <w:tc>
          <w:tcPr>
            <w:tcW w:w="1902" w:type="dxa"/>
            <w:tcBorders>
              <w:top w:val="nil"/>
              <w:left w:val="nil"/>
              <w:bottom w:val="nil"/>
              <w:right w:val="nil"/>
            </w:tcBorders>
          </w:tcPr>
          <w:p w14:paraId="7E81A276"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(0.025)</w:t>
            </w:r>
          </w:p>
        </w:tc>
        <w:tc>
          <w:tcPr>
            <w:tcW w:w="1902" w:type="dxa"/>
            <w:tcBorders>
              <w:top w:val="nil"/>
              <w:left w:val="nil"/>
              <w:bottom w:val="nil"/>
              <w:right w:val="nil"/>
            </w:tcBorders>
          </w:tcPr>
          <w:p w14:paraId="4E427BA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(0.023)</w:t>
            </w:r>
          </w:p>
        </w:tc>
        <w:tc>
          <w:tcPr>
            <w:tcW w:w="1902" w:type="dxa"/>
            <w:tcBorders>
              <w:top w:val="nil"/>
              <w:left w:val="nil"/>
              <w:bottom w:val="nil"/>
              <w:right w:val="nil"/>
            </w:tcBorders>
          </w:tcPr>
          <w:p w14:paraId="678EC05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(0.025)</w:t>
            </w:r>
          </w:p>
        </w:tc>
      </w:tr>
      <w:tr w:rsidR="007F2AA9" w:rsidRPr="00BA0E8D" w14:paraId="19AE95E6" w14:textId="77777777" w:rsidTr="00894076">
        <w:trPr>
          <w:trHeight w:val="224"/>
        </w:trPr>
        <w:tc>
          <w:tcPr>
            <w:tcW w:w="2468" w:type="dxa"/>
            <w:tcBorders>
              <w:top w:val="nil"/>
              <w:left w:val="nil"/>
              <w:bottom w:val="nil"/>
              <w:right w:val="nil"/>
            </w:tcBorders>
          </w:tcPr>
          <w:p w14:paraId="4504F5CD"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Fees</w:t>
            </w:r>
          </w:p>
        </w:tc>
        <w:tc>
          <w:tcPr>
            <w:tcW w:w="1902" w:type="dxa"/>
            <w:tcBorders>
              <w:top w:val="nil"/>
              <w:left w:val="nil"/>
              <w:bottom w:val="nil"/>
              <w:right w:val="nil"/>
            </w:tcBorders>
          </w:tcPr>
          <w:p w14:paraId="6A568B5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-0.043</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152D837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-0.026</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E186E4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-0.044</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5A4B66A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-0.031</w:t>
            </w:r>
            <w:r w:rsidRPr="00BA0E8D">
              <w:rPr>
                <w:rFonts w:ascii="Times New Roman" w:hAnsi="Times New Roman"/>
                <w:sz w:val="18"/>
                <w:szCs w:val="18"/>
                <w:vertAlign w:val="superscript"/>
              </w:rPr>
              <w:t>***</w:t>
            </w:r>
          </w:p>
        </w:tc>
      </w:tr>
      <w:tr w:rsidR="007F2AA9" w:rsidRPr="00BA0E8D" w14:paraId="1437CC00" w14:textId="77777777" w:rsidTr="00894076">
        <w:trPr>
          <w:trHeight w:val="224"/>
        </w:trPr>
        <w:tc>
          <w:tcPr>
            <w:tcW w:w="2468" w:type="dxa"/>
            <w:tcBorders>
              <w:top w:val="nil"/>
              <w:left w:val="nil"/>
              <w:bottom w:val="nil"/>
              <w:right w:val="nil"/>
            </w:tcBorders>
          </w:tcPr>
          <w:p w14:paraId="59B961FC"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37F0DAB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(0.010)</w:t>
            </w:r>
          </w:p>
        </w:tc>
        <w:tc>
          <w:tcPr>
            <w:tcW w:w="1902" w:type="dxa"/>
            <w:tcBorders>
              <w:top w:val="nil"/>
              <w:left w:val="nil"/>
              <w:bottom w:val="nil"/>
              <w:right w:val="nil"/>
            </w:tcBorders>
          </w:tcPr>
          <w:p w14:paraId="2E02591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(0.009)</w:t>
            </w:r>
          </w:p>
        </w:tc>
        <w:tc>
          <w:tcPr>
            <w:tcW w:w="1902" w:type="dxa"/>
            <w:tcBorders>
              <w:top w:val="nil"/>
              <w:left w:val="nil"/>
              <w:bottom w:val="nil"/>
              <w:right w:val="nil"/>
            </w:tcBorders>
          </w:tcPr>
          <w:p w14:paraId="2B21C32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(0.011)</w:t>
            </w:r>
          </w:p>
        </w:tc>
        <w:tc>
          <w:tcPr>
            <w:tcW w:w="1902" w:type="dxa"/>
            <w:tcBorders>
              <w:top w:val="nil"/>
              <w:left w:val="nil"/>
              <w:bottom w:val="nil"/>
              <w:right w:val="nil"/>
            </w:tcBorders>
          </w:tcPr>
          <w:p w14:paraId="4949185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(0.009)</w:t>
            </w:r>
          </w:p>
        </w:tc>
      </w:tr>
      <w:tr w:rsidR="007F2AA9" w:rsidRPr="00BA0E8D" w14:paraId="27E653EA" w14:textId="77777777" w:rsidTr="00894076">
        <w:trPr>
          <w:trHeight w:val="224"/>
        </w:trPr>
        <w:tc>
          <w:tcPr>
            <w:tcW w:w="2468" w:type="dxa"/>
            <w:tcBorders>
              <w:top w:val="nil"/>
              <w:left w:val="nil"/>
              <w:bottom w:val="nil"/>
              <w:right w:val="nil"/>
            </w:tcBorders>
          </w:tcPr>
          <w:p w14:paraId="146C3BD2"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Inefficiency</w:t>
            </w:r>
          </w:p>
        </w:tc>
        <w:tc>
          <w:tcPr>
            <w:tcW w:w="1902" w:type="dxa"/>
            <w:tcBorders>
              <w:top w:val="nil"/>
              <w:left w:val="nil"/>
              <w:bottom w:val="nil"/>
              <w:right w:val="nil"/>
            </w:tcBorders>
          </w:tcPr>
          <w:p w14:paraId="173FB46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0.713</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1F836A6"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0.646</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2A553B5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0.746</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22D386C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0.639</w:t>
            </w:r>
            <w:r w:rsidRPr="00BA0E8D">
              <w:rPr>
                <w:rFonts w:ascii="Times New Roman" w:hAnsi="Times New Roman"/>
                <w:sz w:val="18"/>
                <w:szCs w:val="18"/>
                <w:vertAlign w:val="superscript"/>
              </w:rPr>
              <w:t>***</w:t>
            </w:r>
          </w:p>
        </w:tc>
      </w:tr>
      <w:tr w:rsidR="007F2AA9" w:rsidRPr="00BA0E8D" w14:paraId="3E7D28BF" w14:textId="77777777" w:rsidTr="00894076">
        <w:trPr>
          <w:trHeight w:val="224"/>
        </w:trPr>
        <w:tc>
          <w:tcPr>
            <w:tcW w:w="2468" w:type="dxa"/>
            <w:tcBorders>
              <w:top w:val="nil"/>
              <w:left w:val="nil"/>
              <w:bottom w:val="nil"/>
              <w:right w:val="nil"/>
            </w:tcBorders>
          </w:tcPr>
          <w:p w14:paraId="4A2E06C2"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62C616A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(0.092)</w:t>
            </w:r>
          </w:p>
        </w:tc>
        <w:tc>
          <w:tcPr>
            <w:tcW w:w="1902" w:type="dxa"/>
            <w:tcBorders>
              <w:top w:val="nil"/>
              <w:left w:val="nil"/>
              <w:bottom w:val="nil"/>
              <w:right w:val="nil"/>
            </w:tcBorders>
          </w:tcPr>
          <w:p w14:paraId="645F8D6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(0.099)</w:t>
            </w:r>
          </w:p>
        </w:tc>
        <w:tc>
          <w:tcPr>
            <w:tcW w:w="1902" w:type="dxa"/>
            <w:tcBorders>
              <w:top w:val="nil"/>
              <w:left w:val="nil"/>
              <w:bottom w:val="nil"/>
              <w:right w:val="nil"/>
            </w:tcBorders>
          </w:tcPr>
          <w:p w14:paraId="40C1BED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(0.095)</w:t>
            </w:r>
          </w:p>
        </w:tc>
        <w:tc>
          <w:tcPr>
            <w:tcW w:w="1902" w:type="dxa"/>
            <w:tcBorders>
              <w:top w:val="nil"/>
              <w:left w:val="nil"/>
              <w:bottom w:val="nil"/>
              <w:right w:val="nil"/>
            </w:tcBorders>
          </w:tcPr>
          <w:p w14:paraId="63C2AD3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(0.098)</w:t>
            </w:r>
          </w:p>
        </w:tc>
      </w:tr>
      <w:tr w:rsidR="007F2AA9" w:rsidRPr="00BA0E8D" w14:paraId="7B4677BA" w14:textId="77777777" w:rsidTr="00894076">
        <w:trPr>
          <w:trHeight w:val="224"/>
        </w:trPr>
        <w:tc>
          <w:tcPr>
            <w:tcW w:w="2468" w:type="dxa"/>
            <w:tcBorders>
              <w:top w:val="nil"/>
              <w:left w:val="nil"/>
              <w:bottom w:val="nil"/>
              <w:right w:val="nil"/>
            </w:tcBorders>
          </w:tcPr>
          <w:p w14:paraId="67A6D374"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GDP Growth</w:t>
            </w:r>
          </w:p>
        </w:tc>
        <w:tc>
          <w:tcPr>
            <w:tcW w:w="1902" w:type="dxa"/>
            <w:tcBorders>
              <w:top w:val="nil"/>
              <w:left w:val="nil"/>
              <w:bottom w:val="nil"/>
              <w:right w:val="nil"/>
            </w:tcBorders>
          </w:tcPr>
          <w:p w14:paraId="060AFC0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0.019</w:t>
            </w:r>
          </w:p>
        </w:tc>
        <w:tc>
          <w:tcPr>
            <w:tcW w:w="1902" w:type="dxa"/>
            <w:tcBorders>
              <w:top w:val="nil"/>
              <w:left w:val="nil"/>
              <w:bottom w:val="nil"/>
              <w:right w:val="nil"/>
            </w:tcBorders>
          </w:tcPr>
          <w:p w14:paraId="6E729DA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0.001</w:t>
            </w:r>
          </w:p>
        </w:tc>
        <w:tc>
          <w:tcPr>
            <w:tcW w:w="1902" w:type="dxa"/>
            <w:tcBorders>
              <w:top w:val="nil"/>
              <w:left w:val="nil"/>
              <w:bottom w:val="nil"/>
              <w:right w:val="nil"/>
            </w:tcBorders>
          </w:tcPr>
          <w:p w14:paraId="3E173A6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0.067</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1C29664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0.008</w:t>
            </w:r>
          </w:p>
        </w:tc>
      </w:tr>
      <w:tr w:rsidR="007F2AA9" w:rsidRPr="00BA0E8D" w14:paraId="55454921" w14:textId="77777777" w:rsidTr="00894076">
        <w:trPr>
          <w:trHeight w:val="208"/>
        </w:trPr>
        <w:tc>
          <w:tcPr>
            <w:tcW w:w="2468" w:type="dxa"/>
            <w:tcBorders>
              <w:top w:val="nil"/>
              <w:left w:val="nil"/>
              <w:bottom w:val="nil"/>
              <w:right w:val="nil"/>
            </w:tcBorders>
          </w:tcPr>
          <w:p w14:paraId="596C2004"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241526A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(0.041)</w:t>
            </w:r>
          </w:p>
        </w:tc>
        <w:tc>
          <w:tcPr>
            <w:tcW w:w="1902" w:type="dxa"/>
            <w:tcBorders>
              <w:top w:val="nil"/>
              <w:left w:val="nil"/>
              <w:bottom w:val="nil"/>
              <w:right w:val="nil"/>
            </w:tcBorders>
          </w:tcPr>
          <w:p w14:paraId="5A77948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(0.043)</w:t>
            </w:r>
          </w:p>
        </w:tc>
        <w:tc>
          <w:tcPr>
            <w:tcW w:w="1902" w:type="dxa"/>
            <w:tcBorders>
              <w:top w:val="nil"/>
              <w:left w:val="nil"/>
              <w:bottom w:val="nil"/>
              <w:right w:val="nil"/>
            </w:tcBorders>
          </w:tcPr>
          <w:p w14:paraId="388AC98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(0.035)</w:t>
            </w:r>
          </w:p>
        </w:tc>
        <w:tc>
          <w:tcPr>
            <w:tcW w:w="1902" w:type="dxa"/>
            <w:tcBorders>
              <w:top w:val="nil"/>
              <w:left w:val="nil"/>
              <w:bottom w:val="nil"/>
              <w:right w:val="nil"/>
            </w:tcBorders>
          </w:tcPr>
          <w:p w14:paraId="3F63086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(0.036)</w:t>
            </w:r>
          </w:p>
        </w:tc>
      </w:tr>
      <w:tr w:rsidR="007F2AA9" w:rsidRPr="00BA0E8D" w14:paraId="3E95FC5E" w14:textId="77777777" w:rsidTr="00894076">
        <w:trPr>
          <w:trHeight w:val="224"/>
        </w:trPr>
        <w:tc>
          <w:tcPr>
            <w:tcW w:w="2468" w:type="dxa"/>
            <w:tcBorders>
              <w:top w:val="nil"/>
              <w:left w:val="nil"/>
              <w:bottom w:val="nil"/>
              <w:right w:val="nil"/>
            </w:tcBorders>
          </w:tcPr>
          <w:p w14:paraId="5932F21F"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Inflation</w:t>
            </w:r>
          </w:p>
        </w:tc>
        <w:tc>
          <w:tcPr>
            <w:tcW w:w="1902" w:type="dxa"/>
            <w:tcBorders>
              <w:top w:val="nil"/>
              <w:left w:val="nil"/>
              <w:bottom w:val="nil"/>
              <w:right w:val="nil"/>
            </w:tcBorders>
          </w:tcPr>
          <w:p w14:paraId="127F652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0.102</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3C5782F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0.106</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4485816"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0.099</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6667FE5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0.090</w:t>
            </w:r>
            <w:r w:rsidRPr="00BA0E8D">
              <w:rPr>
                <w:rFonts w:ascii="Times New Roman" w:hAnsi="Times New Roman"/>
                <w:sz w:val="18"/>
                <w:szCs w:val="18"/>
                <w:vertAlign w:val="superscript"/>
              </w:rPr>
              <w:t>***</w:t>
            </w:r>
          </w:p>
        </w:tc>
      </w:tr>
      <w:tr w:rsidR="007F2AA9" w:rsidRPr="00BA0E8D" w14:paraId="4377A72D" w14:textId="77777777" w:rsidTr="00894076">
        <w:trPr>
          <w:trHeight w:val="224"/>
        </w:trPr>
        <w:tc>
          <w:tcPr>
            <w:tcW w:w="2468" w:type="dxa"/>
            <w:tcBorders>
              <w:top w:val="nil"/>
              <w:left w:val="nil"/>
              <w:bottom w:val="nil"/>
              <w:right w:val="nil"/>
            </w:tcBorders>
          </w:tcPr>
          <w:p w14:paraId="1AFF8009"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56DFA39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(0.023)</w:t>
            </w:r>
          </w:p>
        </w:tc>
        <w:tc>
          <w:tcPr>
            <w:tcW w:w="1902" w:type="dxa"/>
            <w:tcBorders>
              <w:top w:val="nil"/>
              <w:left w:val="nil"/>
              <w:bottom w:val="nil"/>
              <w:right w:val="nil"/>
            </w:tcBorders>
          </w:tcPr>
          <w:p w14:paraId="5C94059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(0.023)</w:t>
            </w:r>
          </w:p>
        </w:tc>
        <w:tc>
          <w:tcPr>
            <w:tcW w:w="1902" w:type="dxa"/>
            <w:tcBorders>
              <w:top w:val="nil"/>
              <w:left w:val="nil"/>
              <w:bottom w:val="nil"/>
              <w:right w:val="nil"/>
            </w:tcBorders>
          </w:tcPr>
          <w:p w14:paraId="35A83A7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(0.023)</w:t>
            </w:r>
          </w:p>
        </w:tc>
        <w:tc>
          <w:tcPr>
            <w:tcW w:w="1902" w:type="dxa"/>
            <w:tcBorders>
              <w:top w:val="nil"/>
              <w:left w:val="nil"/>
              <w:bottom w:val="nil"/>
              <w:right w:val="nil"/>
            </w:tcBorders>
          </w:tcPr>
          <w:p w14:paraId="11D8C12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(0.024)</w:t>
            </w:r>
          </w:p>
        </w:tc>
      </w:tr>
      <w:tr w:rsidR="007F2AA9" w:rsidRPr="00BA0E8D" w14:paraId="69F7B777" w14:textId="77777777" w:rsidTr="00894076">
        <w:trPr>
          <w:trHeight w:val="208"/>
        </w:trPr>
        <w:tc>
          <w:tcPr>
            <w:tcW w:w="2468" w:type="dxa"/>
            <w:tcBorders>
              <w:top w:val="nil"/>
              <w:left w:val="nil"/>
              <w:bottom w:val="nil"/>
              <w:right w:val="nil"/>
            </w:tcBorders>
          </w:tcPr>
          <w:p w14:paraId="473889B9"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Law</w:t>
            </w:r>
          </w:p>
        </w:tc>
        <w:tc>
          <w:tcPr>
            <w:tcW w:w="1902" w:type="dxa"/>
            <w:tcBorders>
              <w:top w:val="nil"/>
              <w:left w:val="nil"/>
              <w:bottom w:val="nil"/>
              <w:right w:val="nil"/>
            </w:tcBorders>
          </w:tcPr>
          <w:p w14:paraId="5F085B7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1.272</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5EAAD01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1.118</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59FD9144"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-0.012</w:t>
            </w:r>
          </w:p>
        </w:tc>
        <w:tc>
          <w:tcPr>
            <w:tcW w:w="1902" w:type="dxa"/>
            <w:tcBorders>
              <w:top w:val="nil"/>
              <w:left w:val="nil"/>
              <w:bottom w:val="nil"/>
              <w:right w:val="nil"/>
            </w:tcBorders>
          </w:tcPr>
          <w:p w14:paraId="6FBABD2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0.292</w:t>
            </w:r>
          </w:p>
        </w:tc>
      </w:tr>
      <w:tr w:rsidR="007F2AA9" w:rsidRPr="00BA0E8D" w14:paraId="71630CF2" w14:textId="77777777" w:rsidTr="00894076">
        <w:trPr>
          <w:trHeight w:val="224"/>
        </w:trPr>
        <w:tc>
          <w:tcPr>
            <w:tcW w:w="2468" w:type="dxa"/>
            <w:tcBorders>
              <w:top w:val="nil"/>
              <w:left w:val="nil"/>
              <w:bottom w:val="nil"/>
              <w:right w:val="nil"/>
            </w:tcBorders>
          </w:tcPr>
          <w:p w14:paraId="5F464DE2"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2726C86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(0.515)</w:t>
            </w:r>
          </w:p>
        </w:tc>
        <w:tc>
          <w:tcPr>
            <w:tcW w:w="1902" w:type="dxa"/>
            <w:tcBorders>
              <w:top w:val="nil"/>
              <w:left w:val="nil"/>
              <w:bottom w:val="nil"/>
              <w:right w:val="nil"/>
            </w:tcBorders>
          </w:tcPr>
          <w:p w14:paraId="15E296B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(0.481)</w:t>
            </w:r>
          </w:p>
        </w:tc>
        <w:tc>
          <w:tcPr>
            <w:tcW w:w="1902" w:type="dxa"/>
            <w:tcBorders>
              <w:top w:val="nil"/>
              <w:left w:val="nil"/>
              <w:bottom w:val="nil"/>
              <w:right w:val="nil"/>
            </w:tcBorders>
          </w:tcPr>
          <w:p w14:paraId="30BDDEE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(0.525)</w:t>
            </w:r>
          </w:p>
        </w:tc>
        <w:tc>
          <w:tcPr>
            <w:tcW w:w="1902" w:type="dxa"/>
            <w:tcBorders>
              <w:top w:val="nil"/>
              <w:left w:val="nil"/>
              <w:bottom w:val="nil"/>
              <w:right w:val="nil"/>
            </w:tcBorders>
          </w:tcPr>
          <w:p w14:paraId="7F1C07C5"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(0.711)</w:t>
            </w:r>
          </w:p>
        </w:tc>
      </w:tr>
      <w:tr w:rsidR="007F2AA9" w:rsidRPr="00BA0E8D" w14:paraId="4FA0A0E8" w14:textId="77777777" w:rsidTr="00894076">
        <w:trPr>
          <w:trHeight w:val="224"/>
        </w:trPr>
        <w:tc>
          <w:tcPr>
            <w:tcW w:w="2468" w:type="dxa"/>
            <w:tcBorders>
              <w:top w:val="nil"/>
              <w:left w:val="nil"/>
              <w:bottom w:val="nil"/>
              <w:right w:val="nil"/>
            </w:tcBorders>
          </w:tcPr>
          <w:p w14:paraId="03A4FFC4"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Concentration</w:t>
            </w:r>
          </w:p>
        </w:tc>
        <w:tc>
          <w:tcPr>
            <w:tcW w:w="1902" w:type="dxa"/>
            <w:tcBorders>
              <w:top w:val="nil"/>
              <w:left w:val="nil"/>
              <w:bottom w:val="nil"/>
              <w:right w:val="nil"/>
            </w:tcBorders>
          </w:tcPr>
          <w:p w14:paraId="6BF4C3C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-0.158</w:t>
            </w:r>
          </w:p>
        </w:tc>
        <w:tc>
          <w:tcPr>
            <w:tcW w:w="1902" w:type="dxa"/>
            <w:tcBorders>
              <w:top w:val="nil"/>
              <w:left w:val="nil"/>
              <w:bottom w:val="nil"/>
              <w:right w:val="nil"/>
            </w:tcBorders>
          </w:tcPr>
          <w:p w14:paraId="28070D9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-1.401</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31A06C16"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-0.407</w:t>
            </w:r>
          </w:p>
        </w:tc>
        <w:tc>
          <w:tcPr>
            <w:tcW w:w="1902" w:type="dxa"/>
            <w:tcBorders>
              <w:top w:val="nil"/>
              <w:left w:val="nil"/>
              <w:bottom w:val="nil"/>
              <w:right w:val="nil"/>
            </w:tcBorders>
          </w:tcPr>
          <w:p w14:paraId="725F5DD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-2.532</w:t>
            </w:r>
            <w:r w:rsidRPr="00BA0E8D">
              <w:rPr>
                <w:rFonts w:ascii="Times New Roman" w:hAnsi="Times New Roman"/>
                <w:sz w:val="18"/>
                <w:szCs w:val="18"/>
                <w:vertAlign w:val="superscript"/>
              </w:rPr>
              <w:t>**</w:t>
            </w:r>
          </w:p>
        </w:tc>
      </w:tr>
      <w:tr w:rsidR="007F2AA9" w:rsidRPr="00BA0E8D" w14:paraId="709B64DC" w14:textId="77777777" w:rsidTr="00894076">
        <w:trPr>
          <w:trHeight w:val="224"/>
        </w:trPr>
        <w:tc>
          <w:tcPr>
            <w:tcW w:w="2468" w:type="dxa"/>
            <w:tcBorders>
              <w:top w:val="nil"/>
              <w:left w:val="nil"/>
              <w:bottom w:val="nil"/>
              <w:right w:val="nil"/>
            </w:tcBorders>
          </w:tcPr>
          <w:p w14:paraId="6049B1FB"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063DD1E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(0.743)</w:t>
            </w:r>
          </w:p>
        </w:tc>
        <w:tc>
          <w:tcPr>
            <w:tcW w:w="1902" w:type="dxa"/>
            <w:tcBorders>
              <w:top w:val="nil"/>
              <w:left w:val="nil"/>
              <w:bottom w:val="nil"/>
              <w:right w:val="nil"/>
            </w:tcBorders>
          </w:tcPr>
          <w:p w14:paraId="0CA9B3E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(0.728)</w:t>
            </w:r>
          </w:p>
        </w:tc>
        <w:tc>
          <w:tcPr>
            <w:tcW w:w="1902" w:type="dxa"/>
            <w:tcBorders>
              <w:top w:val="nil"/>
              <w:left w:val="nil"/>
              <w:bottom w:val="nil"/>
              <w:right w:val="nil"/>
            </w:tcBorders>
          </w:tcPr>
          <w:p w14:paraId="6568695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(0.774)</w:t>
            </w:r>
          </w:p>
        </w:tc>
        <w:tc>
          <w:tcPr>
            <w:tcW w:w="1902" w:type="dxa"/>
            <w:tcBorders>
              <w:top w:val="nil"/>
              <w:left w:val="nil"/>
              <w:bottom w:val="nil"/>
              <w:right w:val="nil"/>
            </w:tcBorders>
          </w:tcPr>
          <w:p w14:paraId="719EB53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(1.185)</w:t>
            </w:r>
          </w:p>
        </w:tc>
      </w:tr>
      <w:tr w:rsidR="007F2AA9" w:rsidRPr="00BA0E8D" w14:paraId="446362F5" w14:textId="77777777" w:rsidTr="00894076">
        <w:trPr>
          <w:trHeight w:val="224"/>
        </w:trPr>
        <w:tc>
          <w:tcPr>
            <w:tcW w:w="2468" w:type="dxa"/>
            <w:tcBorders>
              <w:top w:val="nil"/>
              <w:left w:val="nil"/>
              <w:bottom w:val="nil"/>
              <w:right w:val="nil"/>
            </w:tcBorders>
          </w:tcPr>
          <w:p w14:paraId="346480D2"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Concentration X Depth</w:t>
            </w:r>
          </w:p>
        </w:tc>
        <w:tc>
          <w:tcPr>
            <w:tcW w:w="1902" w:type="dxa"/>
            <w:tcBorders>
              <w:top w:val="nil"/>
              <w:left w:val="nil"/>
              <w:bottom w:val="nil"/>
              <w:right w:val="nil"/>
            </w:tcBorders>
          </w:tcPr>
          <w:p w14:paraId="0EAEC4C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61C064A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0.758</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2CE3453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25E45A2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1.652</w:t>
            </w:r>
            <w:r w:rsidRPr="00BA0E8D">
              <w:rPr>
                <w:rFonts w:ascii="Times New Roman" w:hAnsi="Times New Roman"/>
                <w:sz w:val="18"/>
                <w:szCs w:val="18"/>
                <w:vertAlign w:val="superscript"/>
              </w:rPr>
              <w:t>**</w:t>
            </w:r>
          </w:p>
        </w:tc>
      </w:tr>
      <w:tr w:rsidR="007F2AA9" w:rsidRPr="00BA0E8D" w14:paraId="6CB0EA47" w14:textId="77777777" w:rsidTr="00894076">
        <w:trPr>
          <w:trHeight w:val="224"/>
        </w:trPr>
        <w:tc>
          <w:tcPr>
            <w:tcW w:w="2468" w:type="dxa"/>
            <w:tcBorders>
              <w:top w:val="nil"/>
              <w:left w:val="nil"/>
              <w:bottom w:val="nil"/>
              <w:right w:val="nil"/>
            </w:tcBorders>
          </w:tcPr>
          <w:p w14:paraId="33D83436"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0857C1F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29B95CC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(0.413)</w:t>
            </w:r>
          </w:p>
        </w:tc>
        <w:tc>
          <w:tcPr>
            <w:tcW w:w="1902" w:type="dxa"/>
            <w:tcBorders>
              <w:top w:val="nil"/>
              <w:left w:val="nil"/>
              <w:bottom w:val="nil"/>
              <w:right w:val="nil"/>
            </w:tcBorders>
          </w:tcPr>
          <w:p w14:paraId="4729FB2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30955A2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(0.777)</w:t>
            </w:r>
          </w:p>
        </w:tc>
      </w:tr>
      <w:tr w:rsidR="007F2AA9" w:rsidRPr="00BA0E8D" w14:paraId="6B831B02" w14:textId="77777777" w:rsidTr="00894076">
        <w:trPr>
          <w:trHeight w:val="224"/>
        </w:trPr>
        <w:tc>
          <w:tcPr>
            <w:tcW w:w="2468" w:type="dxa"/>
            <w:tcBorders>
              <w:top w:val="nil"/>
              <w:left w:val="nil"/>
              <w:bottom w:val="nil"/>
              <w:right w:val="nil"/>
            </w:tcBorders>
          </w:tcPr>
          <w:p w14:paraId="0B649BFE"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Law X Depth</w:t>
            </w:r>
          </w:p>
        </w:tc>
        <w:tc>
          <w:tcPr>
            <w:tcW w:w="1902" w:type="dxa"/>
            <w:tcBorders>
              <w:top w:val="nil"/>
              <w:left w:val="nil"/>
              <w:bottom w:val="nil"/>
              <w:right w:val="nil"/>
            </w:tcBorders>
          </w:tcPr>
          <w:p w14:paraId="2DC11E7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64B98D3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3D6C8C9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0.471</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085978F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0.666</w:t>
            </w:r>
            <w:r w:rsidRPr="00BA0E8D">
              <w:rPr>
                <w:rFonts w:ascii="Times New Roman" w:hAnsi="Times New Roman"/>
                <w:sz w:val="18"/>
                <w:szCs w:val="18"/>
                <w:vertAlign w:val="superscript"/>
              </w:rPr>
              <w:t>*</w:t>
            </w:r>
          </w:p>
        </w:tc>
      </w:tr>
      <w:tr w:rsidR="007F2AA9" w:rsidRPr="00BA0E8D" w14:paraId="382C2749" w14:textId="77777777" w:rsidTr="00894076">
        <w:trPr>
          <w:trHeight w:val="208"/>
        </w:trPr>
        <w:tc>
          <w:tcPr>
            <w:tcW w:w="2468" w:type="dxa"/>
            <w:tcBorders>
              <w:top w:val="nil"/>
              <w:left w:val="nil"/>
              <w:bottom w:val="nil"/>
              <w:right w:val="nil"/>
            </w:tcBorders>
          </w:tcPr>
          <w:p w14:paraId="1FB01629"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nil"/>
              <w:right w:val="nil"/>
            </w:tcBorders>
          </w:tcPr>
          <w:p w14:paraId="414EF53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0D2316E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p>
        </w:tc>
        <w:tc>
          <w:tcPr>
            <w:tcW w:w="1902" w:type="dxa"/>
            <w:tcBorders>
              <w:top w:val="nil"/>
              <w:left w:val="nil"/>
              <w:bottom w:val="nil"/>
              <w:right w:val="nil"/>
            </w:tcBorders>
          </w:tcPr>
          <w:p w14:paraId="16326B6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(0.237)</w:t>
            </w:r>
          </w:p>
        </w:tc>
        <w:tc>
          <w:tcPr>
            <w:tcW w:w="1902" w:type="dxa"/>
            <w:tcBorders>
              <w:top w:val="nil"/>
              <w:left w:val="nil"/>
              <w:bottom w:val="nil"/>
              <w:right w:val="nil"/>
            </w:tcBorders>
          </w:tcPr>
          <w:p w14:paraId="274FB6F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(0.362)</w:t>
            </w:r>
          </w:p>
        </w:tc>
      </w:tr>
      <w:tr w:rsidR="007F2AA9" w:rsidRPr="00BA0E8D" w14:paraId="2B375700" w14:textId="77777777" w:rsidTr="00894076">
        <w:trPr>
          <w:trHeight w:val="224"/>
        </w:trPr>
        <w:tc>
          <w:tcPr>
            <w:tcW w:w="2468" w:type="dxa"/>
            <w:tcBorders>
              <w:top w:val="nil"/>
              <w:left w:val="nil"/>
              <w:bottom w:val="nil"/>
              <w:right w:val="nil"/>
            </w:tcBorders>
          </w:tcPr>
          <w:p w14:paraId="3906CACC"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Constant</w:t>
            </w:r>
          </w:p>
        </w:tc>
        <w:tc>
          <w:tcPr>
            <w:tcW w:w="1902" w:type="dxa"/>
            <w:tcBorders>
              <w:top w:val="nil"/>
              <w:left w:val="nil"/>
              <w:bottom w:val="nil"/>
              <w:right w:val="nil"/>
            </w:tcBorders>
          </w:tcPr>
          <w:p w14:paraId="549EC28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2.041</w:t>
            </w:r>
          </w:p>
        </w:tc>
        <w:tc>
          <w:tcPr>
            <w:tcW w:w="1902" w:type="dxa"/>
            <w:tcBorders>
              <w:top w:val="nil"/>
              <w:left w:val="nil"/>
              <w:bottom w:val="nil"/>
              <w:right w:val="nil"/>
            </w:tcBorders>
          </w:tcPr>
          <w:p w14:paraId="699AC89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4.624</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720EC84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3.695</w:t>
            </w:r>
            <w:r w:rsidRPr="00BA0E8D">
              <w:rPr>
                <w:rFonts w:ascii="Times New Roman" w:hAnsi="Times New Roman"/>
                <w:sz w:val="18"/>
                <w:szCs w:val="18"/>
                <w:vertAlign w:val="superscript"/>
              </w:rPr>
              <w:t>*</w:t>
            </w:r>
          </w:p>
        </w:tc>
        <w:tc>
          <w:tcPr>
            <w:tcW w:w="1902" w:type="dxa"/>
            <w:tcBorders>
              <w:top w:val="nil"/>
              <w:left w:val="nil"/>
              <w:bottom w:val="nil"/>
              <w:right w:val="nil"/>
            </w:tcBorders>
          </w:tcPr>
          <w:p w14:paraId="3C267A87"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4.866</w:t>
            </w:r>
            <w:r w:rsidRPr="00BA0E8D">
              <w:rPr>
                <w:rFonts w:ascii="Times New Roman" w:hAnsi="Times New Roman"/>
                <w:sz w:val="18"/>
                <w:szCs w:val="18"/>
                <w:vertAlign w:val="superscript"/>
              </w:rPr>
              <w:t>**</w:t>
            </w:r>
          </w:p>
        </w:tc>
      </w:tr>
      <w:tr w:rsidR="007F2AA9" w:rsidRPr="00BA0E8D" w14:paraId="060E9393" w14:textId="77777777" w:rsidTr="00894076">
        <w:trPr>
          <w:trHeight w:val="224"/>
        </w:trPr>
        <w:tc>
          <w:tcPr>
            <w:tcW w:w="2468" w:type="dxa"/>
            <w:tcBorders>
              <w:top w:val="nil"/>
              <w:left w:val="nil"/>
              <w:bottom w:val="single" w:sz="4" w:space="0" w:color="auto"/>
              <w:right w:val="nil"/>
            </w:tcBorders>
          </w:tcPr>
          <w:p w14:paraId="05115932"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
        </w:tc>
        <w:tc>
          <w:tcPr>
            <w:tcW w:w="1902" w:type="dxa"/>
            <w:tcBorders>
              <w:top w:val="nil"/>
              <w:left w:val="nil"/>
              <w:bottom w:val="single" w:sz="4" w:space="0" w:color="auto"/>
              <w:right w:val="nil"/>
            </w:tcBorders>
          </w:tcPr>
          <w:p w14:paraId="05977D81"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(2.099)</w:t>
            </w:r>
          </w:p>
        </w:tc>
        <w:tc>
          <w:tcPr>
            <w:tcW w:w="1902" w:type="dxa"/>
            <w:tcBorders>
              <w:top w:val="nil"/>
              <w:left w:val="nil"/>
              <w:bottom w:val="single" w:sz="4" w:space="0" w:color="auto"/>
              <w:right w:val="nil"/>
            </w:tcBorders>
          </w:tcPr>
          <w:p w14:paraId="1FB66308"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(1.997)</w:t>
            </w:r>
          </w:p>
        </w:tc>
        <w:tc>
          <w:tcPr>
            <w:tcW w:w="1902" w:type="dxa"/>
            <w:tcBorders>
              <w:top w:val="nil"/>
              <w:left w:val="nil"/>
              <w:bottom w:val="single" w:sz="4" w:space="0" w:color="auto"/>
              <w:right w:val="nil"/>
            </w:tcBorders>
          </w:tcPr>
          <w:p w14:paraId="3301E0F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(2.081)</w:t>
            </w:r>
          </w:p>
        </w:tc>
        <w:tc>
          <w:tcPr>
            <w:tcW w:w="1902" w:type="dxa"/>
            <w:tcBorders>
              <w:top w:val="nil"/>
              <w:left w:val="nil"/>
              <w:bottom w:val="single" w:sz="4" w:space="0" w:color="auto"/>
              <w:right w:val="nil"/>
            </w:tcBorders>
          </w:tcPr>
          <w:p w14:paraId="6A20C41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(2.122)</w:t>
            </w:r>
          </w:p>
        </w:tc>
      </w:tr>
      <w:tr w:rsidR="007F2AA9" w:rsidRPr="00BA0E8D" w14:paraId="7ECB158D" w14:textId="77777777" w:rsidTr="00894076">
        <w:trPr>
          <w:trHeight w:val="208"/>
        </w:trPr>
        <w:tc>
          <w:tcPr>
            <w:tcW w:w="2468" w:type="dxa"/>
            <w:tcBorders>
              <w:top w:val="single" w:sz="4" w:space="0" w:color="auto"/>
              <w:left w:val="nil"/>
              <w:bottom w:val="nil"/>
              <w:right w:val="nil"/>
            </w:tcBorders>
          </w:tcPr>
          <w:p w14:paraId="7840283E"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No. of observations</w:t>
            </w:r>
          </w:p>
        </w:tc>
        <w:tc>
          <w:tcPr>
            <w:tcW w:w="1902" w:type="dxa"/>
            <w:tcBorders>
              <w:top w:val="single" w:sz="4" w:space="0" w:color="auto"/>
              <w:left w:val="nil"/>
              <w:bottom w:val="nil"/>
              <w:right w:val="nil"/>
            </w:tcBorders>
          </w:tcPr>
          <w:p w14:paraId="5054DB6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1156</w:t>
            </w:r>
          </w:p>
        </w:tc>
        <w:tc>
          <w:tcPr>
            <w:tcW w:w="1902" w:type="dxa"/>
            <w:tcBorders>
              <w:top w:val="single" w:sz="4" w:space="0" w:color="auto"/>
              <w:left w:val="nil"/>
              <w:bottom w:val="nil"/>
              <w:right w:val="nil"/>
            </w:tcBorders>
          </w:tcPr>
          <w:p w14:paraId="62726C5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1156</w:t>
            </w:r>
          </w:p>
        </w:tc>
        <w:tc>
          <w:tcPr>
            <w:tcW w:w="1902" w:type="dxa"/>
            <w:tcBorders>
              <w:top w:val="single" w:sz="4" w:space="0" w:color="auto"/>
              <w:left w:val="nil"/>
              <w:bottom w:val="nil"/>
              <w:right w:val="nil"/>
            </w:tcBorders>
          </w:tcPr>
          <w:p w14:paraId="5AB22E1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1156</w:t>
            </w:r>
          </w:p>
        </w:tc>
        <w:tc>
          <w:tcPr>
            <w:tcW w:w="1902" w:type="dxa"/>
            <w:tcBorders>
              <w:top w:val="single" w:sz="4" w:space="0" w:color="auto"/>
              <w:left w:val="nil"/>
              <w:bottom w:val="nil"/>
              <w:right w:val="nil"/>
            </w:tcBorders>
          </w:tcPr>
          <w:p w14:paraId="009F6AA6"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1156</w:t>
            </w:r>
          </w:p>
        </w:tc>
      </w:tr>
      <w:tr w:rsidR="007F2AA9" w:rsidRPr="00BA0E8D" w14:paraId="5266CE82" w14:textId="77777777" w:rsidTr="00894076">
        <w:trPr>
          <w:trHeight w:val="224"/>
        </w:trPr>
        <w:tc>
          <w:tcPr>
            <w:tcW w:w="2468" w:type="dxa"/>
            <w:tcBorders>
              <w:top w:val="nil"/>
              <w:left w:val="nil"/>
              <w:bottom w:val="nil"/>
              <w:right w:val="nil"/>
            </w:tcBorders>
          </w:tcPr>
          <w:p w14:paraId="5006CBB7" w14:textId="77777777"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r w:rsidRPr="00BA0E8D">
              <w:rPr>
                <w:rFonts w:ascii="Times New Roman" w:hAnsi="Times New Roman"/>
                <w:sz w:val="18"/>
                <w:szCs w:val="18"/>
              </w:rPr>
              <w:t>Hansen test p-value</w:t>
            </w:r>
          </w:p>
        </w:tc>
        <w:tc>
          <w:tcPr>
            <w:tcW w:w="1902" w:type="dxa"/>
            <w:tcBorders>
              <w:top w:val="nil"/>
              <w:left w:val="nil"/>
              <w:bottom w:val="nil"/>
              <w:right w:val="nil"/>
            </w:tcBorders>
          </w:tcPr>
          <w:p w14:paraId="2FC21CD9"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0.309</w:t>
            </w:r>
          </w:p>
        </w:tc>
        <w:tc>
          <w:tcPr>
            <w:tcW w:w="1902" w:type="dxa"/>
            <w:tcBorders>
              <w:top w:val="nil"/>
              <w:left w:val="nil"/>
              <w:bottom w:val="nil"/>
              <w:right w:val="nil"/>
            </w:tcBorders>
          </w:tcPr>
          <w:p w14:paraId="44D983DA"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0.177</w:t>
            </w:r>
          </w:p>
        </w:tc>
        <w:tc>
          <w:tcPr>
            <w:tcW w:w="1902" w:type="dxa"/>
            <w:tcBorders>
              <w:top w:val="nil"/>
              <w:left w:val="nil"/>
              <w:bottom w:val="nil"/>
              <w:right w:val="nil"/>
            </w:tcBorders>
          </w:tcPr>
          <w:p w14:paraId="67A425EC"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0.517</w:t>
            </w:r>
          </w:p>
        </w:tc>
        <w:tc>
          <w:tcPr>
            <w:tcW w:w="1902" w:type="dxa"/>
            <w:tcBorders>
              <w:top w:val="nil"/>
              <w:left w:val="nil"/>
              <w:bottom w:val="nil"/>
              <w:right w:val="nil"/>
            </w:tcBorders>
          </w:tcPr>
          <w:p w14:paraId="1F4FC5D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0.150</w:t>
            </w:r>
          </w:p>
        </w:tc>
      </w:tr>
      <w:tr w:rsidR="007F2AA9" w:rsidRPr="00BA0E8D" w14:paraId="79EF86DC" w14:textId="77777777" w:rsidTr="00894076">
        <w:trPr>
          <w:trHeight w:val="224"/>
        </w:trPr>
        <w:tc>
          <w:tcPr>
            <w:tcW w:w="2468" w:type="dxa"/>
            <w:tcBorders>
              <w:top w:val="nil"/>
              <w:left w:val="nil"/>
              <w:right w:val="nil"/>
            </w:tcBorders>
          </w:tcPr>
          <w:p w14:paraId="4D0D2A8A" w14:textId="4A95EBF0"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1) test p-value</w:t>
            </w:r>
          </w:p>
        </w:tc>
        <w:tc>
          <w:tcPr>
            <w:tcW w:w="1902" w:type="dxa"/>
            <w:tcBorders>
              <w:top w:val="nil"/>
              <w:left w:val="nil"/>
              <w:right w:val="nil"/>
            </w:tcBorders>
          </w:tcPr>
          <w:p w14:paraId="0D25DDC2"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0.000</w:t>
            </w:r>
          </w:p>
        </w:tc>
        <w:tc>
          <w:tcPr>
            <w:tcW w:w="1902" w:type="dxa"/>
            <w:tcBorders>
              <w:top w:val="nil"/>
              <w:left w:val="nil"/>
              <w:right w:val="nil"/>
            </w:tcBorders>
          </w:tcPr>
          <w:p w14:paraId="00B904FE"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0.003</w:t>
            </w:r>
          </w:p>
        </w:tc>
        <w:tc>
          <w:tcPr>
            <w:tcW w:w="1902" w:type="dxa"/>
            <w:tcBorders>
              <w:top w:val="nil"/>
              <w:left w:val="nil"/>
              <w:right w:val="nil"/>
            </w:tcBorders>
          </w:tcPr>
          <w:p w14:paraId="55012983"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0.001</w:t>
            </w:r>
          </w:p>
        </w:tc>
        <w:tc>
          <w:tcPr>
            <w:tcW w:w="1902" w:type="dxa"/>
            <w:tcBorders>
              <w:top w:val="nil"/>
              <w:left w:val="nil"/>
              <w:right w:val="nil"/>
            </w:tcBorders>
          </w:tcPr>
          <w:p w14:paraId="28A26AF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0.004</w:t>
            </w:r>
          </w:p>
        </w:tc>
      </w:tr>
      <w:tr w:rsidR="007F2AA9" w:rsidRPr="00BA0E8D" w14:paraId="10FA45DE" w14:textId="77777777" w:rsidTr="00894076">
        <w:trPr>
          <w:trHeight w:val="224"/>
        </w:trPr>
        <w:tc>
          <w:tcPr>
            <w:tcW w:w="2468" w:type="dxa"/>
            <w:tcBorders>
              <w:top w:val="nil"/>
              <w:left w:val="nil"/>
              <w:bottom w:val="single" w:sz="4" w:space="0" w:color="auto"/>
              <w:right w:val="nil"/>
            </w:tcBorders>
          </w:tcPr>
          <w:p w14:paraId="75159809" w14:textId="187FB3AC" w:rsidR="003F7FA2" w:rsidRPr="00BA0E8D" w:rsidRDefault="003F7FA2" w:rsidP="000A55F1">
            <w:pPr>
              <w:widowControl w:val="0"/>
              <w:autoSpaceDE w:val="0"/>
              <w:autoSpaceDN w:val="0"/>
              <w:adjustRightInd w:val="0"/>
              <w:spacing w:after="0" w:line="240" w:lineRule="auto"/>
              <w:rPr>
                <w:rFonts w:ascii="Times New Roman" w:hAnsi="Times New Roman"/>
                <w:sz w:val="18"/>
                <w:szCs w:val="18"/>
              </w:rPr>
            </w:pPr>
            <w:proofErr w:type="gramStart"/>
            <w:r w:rsidRPr="00BA0E8D">
              <w:rPr>
                <w:rFonts w:ascii="Times New Roman" w:hAnsi="Times New Roman"/>
                <w:sz w:val="18"/>
                <w:szCs w:val="18"/>
              </w:rPr>
              <w:t>AR(</w:t>
            </w:r>
            <w:proofErr w:type="gramEnd"/>
            <w:r w:rsidRPr="00BA0E8D">
              <w:rPr>
                <w:rFonts w:ascii="Times New Roman" w:hAnsi="Times New Roman"/>
                <w:sz w:val="18"/>
                <w:szCs w:val="18"/>
              </w:rPr>
              <w:t>2) test p-value</w:t>
            </w:r>
          </w:p>
        </w:tc>
        <w:tc>
          <w:tcPr>
            <w:tcW w:w="1902" w:type="dxa"/>
            <w:tcBorders>
              <w:top w:val="nil"/>
              <w:left w:val="nil"/>
              <w:bottom w:val="single" w:sz="4" w:space="0" w:color="auto"/>
              <w:right w:val="nil"/>
            </w:tcBorders>
          </w:tcPr>
          <w:p w14:paraId="587683AF"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0.866</w:t>
            </w:r>
          </w:p>
        </w:tc>
        <w:tc>
          <w:tcPr>
            <w:tcW w:w="1902" w:type="dxa"/>
            <w:tcBorders>
              <w:top w:val="nil"/>
              <w:left w:val="nil"/>
              <w:bottom w:val="single" w:sz="4" w:space="0" w:color="auto"/>
              <w:right w:val="nil"/>
            </w:tcBorders>
          </w:tcPr>
          <w:p w14:paraId="55A6B880"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0.848</w:t>
            </w:r>
          </w:p>
        </w:tc>
        <w:tc>
          <w:tcPr>
            <w:tcW w:w="1902" w:type="dxa"/>
            <w:tcBorders>
              <w:top w:val="nil"/>
              <w:left w:val="nil"/>
              <w:bottom w:val="single" w:sz="4" w:space="0" w:color="auto"/>
              <w:right w:val="nil"/>
            </w:tcBorders>
          </w:tcPr>
          <w:p w14:paraId="7800DDDD"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0.974</w:t>
            </w:r>
          </w:p>
        </w:tc>
        <w:tc>
          <w:tcPr>
            <w:tcW w:w="1902" w:type="dxa"/>
            <w:tcBorders>
              <w:top w:val="nil"/>
              <w:left w:val="nil"/>
              <w:bottom w:val="single" w:sz="4" w:space="0" w:color="auto"/>
              <w:right w:val="nil"/>
            </w:tcBorders>
          </w:tcPr>
          <w:p w14:paraId="544C5F8B" w14:textId="77777777" w:rsidR="003F7FA2" w:rsidRPr="00BA0E8D" w:rsidRDefault="003F7FA2" w:rsidP="000A55F1">
            <w:pPr>
              <w:widowControl w:val="0"/>
              <w:autoSpaceDE w:val="0"/>
              <w:autoSpaceDN w:val="0"/>
              <w:adjustRightInd w:val="0"/>
              <w:spacing w:after="0" w:line="240" w:lineRule="auto"/>
              <w:jc w:val="center"/>
              <w:rPr>
                <w:rFonts w:ascii="Times New Roman" w:hAnsi="Times New Roman"/>
                <w:sz w:val="18"/>
                <w:szCs w:val="18"/>
              </w:rPr>
            </w:pPr>
            <w:r w:rsidRPr="00BA0E8D">
              <w:rPr>
                <w:rFonts w:ascii="Times New Roman" w:hAnsi="Times New Roman"/>
                <w:sz w:val="18"/>
                <w:szCs w:val="18"/>
              </w:rPr>
              <w:t>0.864</w:t>
            </w:r>
          </w:p>
        </w:tc>
      </w:tr>
    </w:tbl>
    <w:p w14:paraId="78482CEB" w14:textId="49FE5821" w:rsidR="007F2AA9" w:rsidRPr="00BA0E8D" w:rsidRDefault="007F2AA9" w:rsidP="007F2AA9">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rPr>
        <w:t>This table shows the dynamic system GMM estimation results for the effect of credit information on bank credit intermediation cost. Time</w:t>
      </w:r>
      <w:r w:rsidR="0031463E">
        <w:rPr>
          <w:rFonts w:ascii="Times New Roman" w:hAnsi="Times New Roman"/>
          <w:sz w:val="20"/>
          <w:szCs w:val="20"/>
        </w:rPr>
        <w:t xml:space="preserve"> </w:t>
      </w:r>
      <w:r w:rsidRPr="00BA0E8D">
        <w:rPr>
          <w:rFonts w:ascii="Times New Roman" w:hAnsi="Times New Roman"/>
          <w:sz w:val="20"/>
          <w:szCs w:val="20"/>
        </w:rPr>
        <w:t>ﬁxed</w:t>
      </w:r>
      <w:r w:rsidR="00025B5C">
        <w:rPr>
          <w:rFonts w:ascii="Times New Roman" w:hAnsi="Times New Roman"/>
          <w:sz w:val="20"/>
          <w:szCs w:val="20"/>
        </w:rPr>
        <w:t>-</w:t>
      </w:r>
      <w:r w:rsidR="0031463E">
        <w:rPr>
          <w:rFonts w:ascii="Times New Roman" w:hAnsi="Times New Roman"/>
          <w:sz w:val="20"/>
          <w:szCs w:val="20"/>
        </w:rPr>
        <w:t>effects</w:t>
      </w:r>
      <w:r w:rsidR="0031463E" w:rsidRPr="00BA0E8D">
        <w:rPr>
          <w:rFonts w:ascii="Times New Roman" w:hAnsi="Times New Roman"/>
          <w:sz w:val="20"/>
          <w:szCs w:val="20"/>
        </w:rPr>
        <w:t xml:space="preserve"> </w:t>
      </w:r>
      <w:r w:rsidRPr="00BA0E8D">
        <w:rPr>
          <w:rFonts w:ascii="Times New Roman" w:hAnsi="Times New Roman"/>
          <w:sz w:val="20"/>
          <w:szCs w:val="20"/>
        </w:rPr>
        <w:t xml:space="preserve">are included in all estimations. All variables are as described in Table 1. Robust </w:t>
      </w:r>
      <w:proofErr w:type="spellStart"/>
      <w:r w:rsidRPr="00BA0E8D">
        <w:rPr>
          <w:rFonts w:ascii="Times New Roman" w:hAnsi="Times New Roman"/>
          <w:sz w:val="20"/>
          <w:szCs w:val="20"/>
        </w:rPr>
        <w:t>Windmeijer</w:t>
      </w:r>
      <w:proofErr w:type="spellEnd"/>
      <w:r w:rsidRPr="00BA0E8D">
        <w:rPr>
          <w:rFonts w:ascii="Times New Roman" w:hAnsi="Times New Roman"/>
          <w:sz w:val="20"/>
          <w:szCs w:val="20"/>
        </w:rPr>
        <w:t xml:space="preserve"> (2005) ﬁnite-sample corrected standard errors are in parentheses.</w:t>
      </w:r>
    </w:p>
    <w:p w14:paraId="03F026B1" w14:textId="77777777" w:rsidR="007F2AA9" w:rsidRPr="00BA0E8D" w:rsidRDefault="007F2AA9" w:rsidP="007F2AA9">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10%</w:t>
      </w:r>
    </w:p>
    <w:p w14:paraId="2F08F665" w14:textId="77777777" w:rsidR="007F2AA9" w:rsidRPr="00BA0E8D" w:rsidRDefault="007F2AA9" w:rsidP="007F2AA9">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 xml:space="preserve">**    </w:t>
      </w:r>
      <w:r w:rsidRPr="00BA0E8D">
        <w:rPr>
          <w:rFonts w:ascii="Times New Roman" w:hAnsi="Times New Roman"/>
          <w:iCs/>
          <w:sz w:val="20"/>
          <w:szCs w:val="20"/>
        </w:rPr>
        <w:t>Indicates signiﬁcance at 5%</w:t>
      </w:r>
      <w:r w:rsidRPr="00BA0E8D">
        <w:rPr>
          <w:rFonts w:ascii="Times New Roman" w:hAnsi="Times New Roman"/>
          <w:sz w:val="20"/>
          <w:szCs w:val="20"/>
        </w:rPr>
        <w:t xml:space="preserve"> </w:t>
      </w:r>
    </w:p>
    <w:p w14:paraId="05E14CF9" w14:textId="77777777" w:rsidR="007F2AA9" w:rsidRPr="00BA0E8D" w:rsidRDefault="007F2AA9" w:rsidP="007F2AA9">
      <w:pPr>
        <w:widowControl w:val="0"/>
        <w:autoSpaceDE w:val="0"/>
        <w:autoSpaceDN w:val="0"/>
        <w:adjustRightInd w:val="0"/>
        <w:spacing w:after="0" w:line="240" w:lineRule="auto"/>
        <w:rPr>
          <w:rFonts w:ascii="Times New Roman" w:hAnsi="Times New Roman"/>
          <w:sz w:val="20"/>
          <w:szCs w:val="20"/>
        </w:rPr>
      </w:pPr>
      <w:r w:rsidRPr="00BA0E8D">
        <w:rPr>
          <w:rFonts w:ascii="Times New Roman" w:hAnsi="Times New Roman"/>
          <w:sz w:val="20"/>
          <w:szCs w:val="20"/>
          <w:vertAlign w:val="superscript"/>
        </w:rPr>
        <w:t>***</w:t>
      </w:r>
      <w:r w:rsidRPr="00BA0E8D">
        <w:rPr>
          <w:rFonts w:ascii="Times New Roman" w:hAnsi="Times New Roman"/>
          <w:sz w:val="20"/>
          <w:szCs w:val="20"/>
        </w:rPr>
        <w:t xml:space="preserve"> Indicates signiﬁcance at 1%</w:t>
      </w:r>
    </w:p>
    <w:p w14:paraId="5B2B39E9" w14:textId="77777777" w:rsidR="003F7FA2" w:rsidRPr="00BA0E8D" w:rsidRDefault="003F7FA2" w:rsidP="003F7FA2">
      <w:pPr>
        <w:widowControl w:val="0"/>
        <w:autoSpaceDE w:val="0"/>
        <w:autoSpaceDN w:val="0"/>
        <w:adjustRightInd w:val="0"/>
        <w:spacing w:after="0" w:line="240" w:lineRule="auto"/>
        <w:rPr>
          <w:rFonts w:ascii="Times New Roman" w:hAnsi="Times New Roman"/>
          <w:sz w:val="18"/>
          <w:szCs w:val="18"/>
        </w:rPr>
      </w:pPr>
    </w:p>
    <w:p w14:paraId="5FB51F96" w14:textId="77777777" w:rsidR="00336867" w:rsidRDefault="00336867" w:rsidP="00763F96">
      <w:pPr>
        <w:spacing w:after="0" w:line="240" w:lineRule="auto"/>
        <w:jc w:val="both"/>
        <w:rPr>
          <w:rFonts w:ascii="Times New Roman" w:hAnsi="Times New Roman"/>
          <w:sz w:val="20"/>
          <w:szCs w:val="20"/>
        </w:rPr>
      </w:pPr>
    </w:p>
    <w:p w14:paraId="38872F9D" w14:textId="77777777" w:rsidR="00336867" w:rsidRDefault="00336867" w:rsidP="00763F96">
      <w:pPr>
        <w:spacing w:after="0" w:line="240" w:lineRule="auto"/>
        <w:jc w:val="both"/>
        <w:rPr>
          <w:rFonts w:ascii="Times New Roman" w:hAnsi="Times New Roman"/>
          <w:sz w:val="20"/>
          <w:szCs w:val="20"/>
        </w:rPr>
      </w:pPr>
    </w:p>
    <w:p w14:paraId="1DB2F31A" w14:textId="77777777" w:rsidR="00336867" w:rsidRDefault="00336867" w:rsidP="00763F96">
      <w:pPr>
        <w:spacing w:after="0" w:line="240" w:lineRule="auto"/>
        <w:jc w:val="both"/>
        <w:rPr>
          <w:rFonts w:ascii="Times New Roman" w:hAnsi="Times New Roman"/>
          <w:sz w:val="20"/>
          <w:szCs w:val="20"/>
        </w:rPr>
      </w:pPr>
    </w:p>
    <w:p w14:paraId="259A90C9" w14:textId="77777777" w:rsidR="00336867" w:rsidRDefault="00336867" w:rsidP="00763F96">
      <w:pPr>
        <w:spacing w:after="0" w:line="240" w:lineRule="auto"/>
        <w:jc w:val="both"/>
        <w:rPr>
          <w:rFonts w:ascii="Times New Roman" w:hAnsi="Times New Roman"/>
          <w:sz w:val="20"/>
          <w:szCs w:val="20"/>
        </w:rPr>
      </w:pPr>
    </w:p>
    <w:p w14:paraId="67E12FAB" w14:textId="77777777" w:rsidR="00336867" w:rsidRDefault="00336867" w:rsidP="00763F96">
      <w:pPr>
        <w:spacing w:after="0" w:line="240" w:lineRule="auto"/>
        <w:jc w:val="both"/>
        <w:rPr>
          <w:rFonts w:ascii="Times New Roman" w:hAnsi="Times New Roman"/>
          <w:sz w:val="20"/>
          <w:szCs w:val="20"/>
        </w:rPr>
      </w:pPr>
    </w:p>
    <w:p w14:paraId="11CD2693" w14:textId="77777777" w:rsidR="00336867" w:rsidRDefault="00336867" w:rsidP="00763F96">
      <w:pPr>
        <w:spacing w:after="0" w:line="240" w:lineRule="auto"/>
        <w:jc w:val="both"/>
        <w:rPr>
          <w:rFonts w:ascii="Times New Roman" w:hAnsi="Times New Roman"/>
          <w:sz w:val="20"/>
          <w:szCs w:val="20"/>
        </w:rPr>
      </w:pPr>
    </w:p>
    <w:p w14:paraId="65C88595" w14:textId="77777777" w:rsidR="00336867" w:rsidRDefault="00336867" w:rsidP="00763F96">
      <w:pPr>
        <w:spacing w:after="0" w:line="240" w:lineRule="auto"/>
        <w:jc w:val="both"/>
        <w:rPr>
          <w:rFonts w:ascii="Times New Roman" w:hAnsi="Times New Roman"/>
          <w:sz w:val="20"/>
          <w:szCs w:val="20"/>
        </w:rPr>
      </w:pPr>
    </w:p>
    <w:p w14:paraId="6392D05C" w14:textId="77777777" w:rsidR="00336867" w:rsidRDefault="00336867" w:rsidP="00763F96">
      <w:pPr>
        <w:spacing w:after="0" w:line="240" w:lineRule="auto"/>
        <w:jc w:val="both"/>
        <w:rPr>
          <w:rFonts w:ascii="Times New Roman" w:hAnsi="Times New Roman"/>
          <w:sz w:val="20"/>
          <w:szCs w:val="20"/>
        </w:rPr>
      </w:pPr>
    </w:p>
    <w:p w14:paraId="2F4623E7" w14:textId="77777777" w:rsidR="00336867" w:rsidRDefault="00336867" w:rsidP="00763F96">
      <w:pPr>
        <w:spacing w:after="0" w:line="240" w:lineRule="auto"/>
        <w:jc w:val="both"/>
        <w:rPr>
          <w:rFonts w:ascii="Times New Roman" w:hAnsi="Times New Roman"/>
          <w:sz w:val="20"/>
          <w:szCs w:val="20"/>
        </w:rPr>
      </w:pPr>
    </w:p>
    <w:p w14:paraId="077C76DD" w14:textId="77777777" w:rsidR="00336867" w:rsidRDefault="00336867" w:rsidP="00763F96">
      <w:pPr>
        <w:spacing w:after="0" w:line="240" w:lineRule="auto"/>
        <w:jc w:val="both"/>
        <w:rPr>
          <w:rFonts w:ascii="Times New Roman" w:hAnsi="Times New Roman"/>
          <w:sz w:val="20"/>
          <w:szCs w:val="20"/>
        </w:rPr>
      </w:pPr>
    </w:p>
    <w:p w14:paraId="14BA2861" w14:textId="77777777" w:rsidR="00336867" w:rsidRDefault="00336867" w:rsidP="00763F96">
      <w:pPr>
        <w:spacing w:after="0" w:line="240" w:lineRule="auto"/>
        <w:jc w:val="both"/>
        <w:rPr>
          <w:rFonts w:ascii="Times New Roman" w:hAnsi="Times New Roman"/>
          <w:sz w:val="20"/>
          <w:szCs w:val="20"/>
        </w:rPr>
      </w:pPr>
    </w:p>
    <w:p w14:paraId="72A4C79A" w14:textId="77777777" w:rsidR="00336867" w:rsidRPr="00BA0E8D" w:rsidRDefault="00336867" w:rsidP="00763F96">
      <w:pPr>
        <w:spacing w:after="0" w:line="240" w:lineRule="auto"/>
        <w:jc w:val="both"/>
        <w:rPr>
          <w:rFonts w:ascii="Times New Roman" w:hAnsi="Times New Roman"/>
          <w:sz w:val="20"/>
          <w:szCs w:val="20"/>
        </w:rPr>
      </w:pPr>
      <w:bookmarkStart w:id="5" w:name="_Hlk36548096"/>
    </w:p>
    <w:tbl>
      <w:tblPr>
        <w:tblW w:w="10882" w:type="dxa"/>
        <w:jc w:val="center"/>
        <w:tblLook w:val="04A0" w:firstRow="1" w:lastRow="0" w:firstColumn="1" w:lastColumn="0" w:noHBand="0" w:noVBand="1"/>
      </w:tblPr>
      <w:tblGrid>
        <w:gridCol w:w="4678"/>
        <w:gridCol w:w="992"/>
        <w:gridCol w:w="1479"/>
        <w:gridCol w:w="3733"/>
      </w:tblGrid>
      <w:tr w:rsidR="00336867" w:rsidRPr="00336867" w14:paraId="4016315B" w14:textId="77777777" w:rsidTr="00336867">
        <w:trPr>
          <w:trHeight w:val="265"/>
          <w:jc w:val="center"/>
        </w:trPr>
        <w:tc>
          <w:tcPr>
            <w:tcW w:w="4678" w:type="dxa"/>
            <w:tcBorders>
              <w:top w:val="nil"/>
              <w:left w:val="nil"/>
              <w:bottom w:val="nil"/>
              <w:right w:val="nil"/>
            </w:tcBorders>
            <w:shd w:val="clear" w:color="000000" w:fill="FFFFFF"/>
            <w:noWrap/>
            <w:hideMark/>
          </w:tcPr>
          <w:p w14:paraId="0E38CCCB" w14:textId="77777777" w:rsidR="00336867" w:rsidRPr="00336867" w:rsidRDefault="00336867" w:rsidP="00336867">
            <w:pPr>
              <w:spacing w:after="0" w:line="240" w:lineRule="auto"/>
              <w:rPr>
                <w:rFonts w:ascii="Times New Roman" w:eastAsia="Times New Roman" w:hAnsi="Times New Roman"/>
                <w:b/>
                <w:bCs/>
                <w:color w:val="000000"/>
                <w:sz w:val="18"/>
                <w:szCs w:val="18"/>
                <w:lang w:eastAsia="en-GB"/>
              </w:rPr>
            </w:pPr>
            <w:r w:rsidRPr="00336867">
              <w:rPr>
                <w:rFonts w:ascii="Times New Roman" w:eastAsia="Times New Roman" w:hAnsi="Times New Roman"/>
                <w:b/>
                <w:bCs/>
                <w:color w:val="000000"/>
                <w:sz w:val="18"/>
                <w:szCs w:val="18"/>
                <w:lang w:eastAsia="en-GB"/>
              </w:rPr>
              <w:lastRenderedPageBreak/>
              <w:t>Table A1: Sample construction</w:t>
            </w:r>
          </w:p>
        </w:tc>
        <w:tc>
          <w:tcPr>
            <w:tcW w:w="992" w:type="dxa"/>
            <w:tcBorders>
              <w:top w:val="nil"/>
              <w:left w:val="nil"/>
              <w:bottom w:val="nil"/>
              <w:right w:val="nil"/>
            </w:tcBorders>
            <w:shd w:val="clear" w:color="000000" w:fill="FFFFFF"/>
            <w:noWrap/>
            <w:hideMark/>
          </w:tcPr>
          <w:p w14:paraId="3415317B"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 </w:t>
            </w:r>
          </w:p>
        </w:tc>
        <w:tc>
          <w:tcPr>
            <w:tcW w:w="1479" w:type="dxa"/>
            <w:tcBorders>
              <w:top w:val="nil"/>
              <w:left w:val="nil"/>
              <w:bottom w:val="nil"/>
              <w:right w:val="nil"/>
            </w:tcBorders>
            <w:shd w:val="clear" w:color="000000" w:fill="FFFFFF"/>
            <w:noWrap/>
            <w:hideMark/>
          </w:tcPr>
          <w:p w14:paraId="2C181C31"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 </w:t>
            </w:r>
          </w:p>
        </w:tc>
        <w:tc>
          <w:tcPr>
            <w:tcW w:w="3733" w:type="dxa"/>
            <w:tcBorders>
              <w:top w:val="nil"/>
              <w:left w:val="nil"/>
              <w:bottom w:val="nil"/>
              <w:right w:val="nil"/>
            </w:tcBorders>
            <w:shd w:val="clear" w:color="000000" w:fill="FFFFFF"/>
            <w:noWrap/>
            <w:hideMark/>
          </w:tcPr>
          <w:p w14:paraId="33FE5BD8"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 </w:t>
            </w:r>
          </w:p>
        </w:tc>
      </w:tr>
      <w:tr w:rsidR="00336867" w:rsidRPr="00336867" w14:paraId="3801698E" w14:textId="77777777" w:rsidTr="00336867">
        <w:trPr>
          <w:trHeight w:val="265"/>
          <w:jc w:val="center"/>
        </w:trPr>
        <w:tc>
          <w:tcPr>
            <w:tcW w:w="4678" w:type="dxa"/>
            <w:tcBorders>
              <w:top w:val="single" w:sz="4" w:space="0" w:color="auto"/>
              <w:left w:val="nil"/>
              <w:bottom w:val="single" w:sz="4" w:space="0" w:color="auto"/>
              <w:right w:val="nil"/>
            </w:tcBorders>
            <w:shd w:val="clear" w:color="000000" w:fill="FFFFFF"/>
            <w:noWrap/>
            <w:hideMark/>
          </w:tcPr>
          <w:p w14:paraId="2E703944"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Description</w:t>
            </w:r>
          </w:p>
        </w:tc>
        <w:tc>
          <w:tcPr>
            <w:tcW w:w="992" w:type="dxa"/>
            <w:tcBorders>
              <w:top w:val="single" w:sz="4" w:space="0" w:color="auto"/>
              <w:left w:val="nil"/>
              <w:bottom w:val="single" w:sz="4" w:space="0" w:color="auto"/>
              <w:right w:val="nil"/>
            </w:tcBorders>
            <w:shd w:val="clear" w:color="000000" w:fill="FFFFFF"/>
            <w:noWrap/>
            <w:hideMark/>
          </w:tcPr>
          <w:p w14:paraId="2251AAF0"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Countries</w:t>
            </w:r>
          </w:p>
        </w:tc>
        <w:tc>
          <w:tcPr>
            <w:tcW w:w="1479" w:type="dxa"/>
            <w:tcBorders>
              <w:top w:val="single" w:sz="4" w:space="0" w:color="auto"/>
              <w:left w:val="nil"/>
              <w:bottom w:val="single" w:sz="4" w:space="0" w:color="auto"/>
              <w:right w:val="nil"/>
            </w:tcBorders>
            <w:shd w:val="clear" w:color="000000" w:fill="FFFFFF"/>
            <w:noWrap/>
            <w:hideMark/>
          </w:tcPr>
          <w:p w14:paraId="32178CBC" w14:textId="69C92663"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Banks</w:t>
            </w:r>
          </w:p>
        </w:tc>
        <w:tc>
          <w:tcPr>
            <w:tcW w:w="3733" w:type="dxa"/>
            <w:tcBorders>
              <w:top w:val="single" w:sz="4" w:space="0" w:color="auto"/>
              <w:left w:val="nil"/>
              <w:bottom w:val="single" w:sz="4" w:space="0" w:color="auto"/>
              <w:right w:val="nil"/>
            </w:tcBorders>
            <w:shd w:val="clear" w:color="000000" w:fill="FFFFFF"/>
            <w:noWrap/>
            <w:hideMark/>
          </w:tcPr>
          <w:p w14:paraId="4C7ED014"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Justification</w:t>
            </w:r>
          </w:p>
        </w:tc>
      </w:tr>
      <w:tr w:rsidR="00336867" w:rsidRPr="00336867" w14:paraId="3D99A871" w14:textId="77777777" w:rsidTr="00336867">
        <w:trPr>
          <w:trHeight w:val="265"/>
          <w:jc w:val="center"/>
        </w:trPr>
        <w:tc>
          <w:tcPr>
            <w:tcW w:w="4678" w:type="dxa"/>
            <w:tcBorders>
              <w:top w:val="nil"/>
              <w:left w:val="nil"/>
              <w:bottom w:val="nil"/>
              <w:right w:val="nil"/>
            </w:tcBorders>
            <w:shd w:val="clear" w:color="000000" w:fill="FFFFFF"/>
            <w:noWrap/>
            <w:hideMark/>
          </w:tcPr>
          <w:p w14:paraId="293B41B5"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 xml:space="preserve">Full initial sample </w:t>
            </w:r>
          </w:p>
        </w:tc>
        <w:tc>
          <w:tcPr>
            <w:tcW w:w="992" w:type="dxa"/>
            <w:tcBorders>
              <w:top w:val="nil"/>
              <w:left w:val="nil"/>
              <w:bottom w:val="nil"/>
              <w:right w:val="nil"/>
            </w:tcBorders>
            <w:shd w:val="clear" w:color="000000" w:fill="FFFFFF"/>
            <w:noWrap/>
            <w:hideMark/>
          </w:tcPr>
          <w:p w14:paraId="61547D6A"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33</w:t>
            </w:r>
          </w:p>
        </w:tc>
        <w:tc>
          <w:tcPr>
            <w:tcW w:w="1479" w:type="dxa"/>
            <w:tcBorders>
              <w:top w:val="nil"/>
              <w:left w:val="nil"/>
              <w:bottom w:val="nil"/>
              <w:right w:val="nil"/>
            </w:tcBorders>
            <w:shd w:val="clear" w:color="000000" w:fill="FFFFFF"/>
            <w:noWrap/>
            <w:hideMark/>
          </w:tcPr>
          <w:p w14:paraId="015C4259"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463</w:t>
            </w:r>
          </w:p>
        </w:tc>
        <w:tc>
          <w:tcPr>
            <w:tcW w:w="3733" w:type="dxa"/>
            <w:tcBorders>
              <w:top w:val="nil"/>
              <w:left w:val="nil"/>
              <w:bottom w:val="nil"/>
              <w:right w:val="nil"/>
            </w:tcBorders>
            <w:shd w:val="clear" w:color="000000" w:fill="FFFFFF"/>
            <w:noWrap/>
            <w:hideMark/>
          </w:tcPr>
          <w:p w14:paraId="4B6A06F4"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To permit analysis</w:t>
            </w:r>
          </w:p>
        </w:tc>
      </w:tr>
      <w:tr w:rsidR="00336867" w:rsidRPr="00336867" w14:paraId="4258D567" w14:textId="77777777" w:rsidTr="00336867">
        <w:trPr>
          <w:trHeight w:val="265"/>
          <w:jc w:val="center"/>
        </w:trPr>
        <w:tc>
          <w:tcPr>
            <w:tcW w:w="4678" w:type="dxa"/>
            <w:tcBorders>
              <w:top w:val="nil"/>
              <w:left w:val="nil"/>
              <w:bottom w:val="nil"/>
              <w:right w:val="nil"/>
            </w:tcBorders>
            <w:shd w:val="clear" w:color="000000" w:fill="FFFFFF"/>
            <w:noWrap/>
            <w:hideMark/>
          </w:tcPr>
          <w:p w14:paraId="4ADFC846"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Less: Missing observations</w:t>
            </w:r>
          </w:p>
        </w:tc>
        <w:tc>
          <w:tcPr>
            <w:tcW w:w="992" w:type="dxa"/>
            <w:tcBorders>
              <w:top w:val="nil"/>
              <w:left w:val="nil"/>
              <w:bottom w:val="nil"/>
              <w:right w:val="nil"/>
            </w:tcBorders>
            <w:shd w:val="clear" w:color="000000" w:fill="FFFFFF"/>
            <w:noWrap/>
            <w:hideMark/>
          </w:tcPr>
          <w:p w14:paraId="0612FB60"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1</w:t>
            </w:r>
          </w:p>
        </w:tc>
        <w:tc>
          <w:tcPr>
            <w:tcW w:w="1479" w:type="dxa"/>
            <w:tcBorders>
              <w:top w:val="nil"/>
              <w:left w:val="nil"/>
              <w:bottom w:val="nil"/>
              <w:right w:val="nil"/>
            </w:tcBorders>
            <w:shd w:val="clear" w:color="000000" w:fill="FFFFFF"/>
            <w:noWrap/>
            <w:hideMark/>
          </w:tcPr>
          <w:p w14:paraId="21425277"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89</w:t>
            </w:r>
          </w:p>
        </w:tc>
        <w:tc>
          <w:tcPr>
            <w:tcW w:w="3733" w:type="dxa"/>
            <w:tcBorders>
              <w:top w:val="nil"/>
              <w:left w:val="nil"/>
              <w:bottom w:val="nil"/>
              <w:right w:val="nil"/>
            </w:tcBorders>
            <w:shd w:val="clear" w:color="000000" w:fill="FFFFFF"/>
            <w:noWrap/>
            <w:hideMark/>
          </w:tcPr>
          <w:p w14:paraId="086268BD"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To permit regression analysis</w:t>
            </w:r>
          </w:p>
        </w:tc>
      </w:tr>
      <w:tr w:rsidR="00336867" w:rsidRPr="00336867" w14:paraId="6E7DD954" w14:textId="77777777" w:rsidTr="00336867">
        <w:trPr>
          <w:trHeight w:val="265"/>
          <w:jc w:val="center"/>
        </w:trPr>
        <w:tc>
          <w:tcPr>
            <w:tcW w:w="4678" w:type="dxa"/>
            <w:tcBorders>
              <w:top w:val="nil"/>
              <w:left w:val="nil"/>
              <w:bottom w:val="nil"/>
              <w:right w:val="nil"/>
            </w:tcBorders>
            <w:shd w:val="clear" w:color="000000" w:fill="FFFFFF"/>
            <w:noWrap/>
            <w:hideMark/>
          </w:tcPr>
          <w:p w14:paraId="64FFB9D7"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Less: Banks with less than 3 consecutive years of observation</w:t>
            </w:r>
          </w:p>
        </w:tc>
        <w:tc>
          <w:tcPr>
            <w:tcW w:w="992" w:type="dxa"/>
            <w:tcBorders>
              <w:top w:val="nil"/>
              <w:left w:val="nil"/>
              <w:bottom w:val="nil"/>
              <w:right w:val="nil"/>
            </w:tcBorders>
            <w:shd w:val="clear" w:color="000000" w:fill="FFFFFF"/>
            <w:noWrap/>
            <w:hideMark/>
          </w:tcPr>
          <w:p w14:paraId="41895CC0"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2</w:t>
            </w:r>
          </w:p>
        </w:tc>
        <w:tc>
          <w:tcPr>
            <w:tcW w:w="1479" w:type="dxa"/>
            <w:tcBorders>
              <w:top w:val="nil"/>
              <w:left w:val="nil"/>
              <w:bottom w:val="nil"/>
              <w:right w:val="nil"/>
            </w:tcBorders>
            <w:shd w:val="clear" w:color="000000" w:fill="FFFFFF"/>
            <w:noWrap/>
            <w:hideMark/>
          </w:tcPr>
          <w:p w14:paraId="4DB7FDF4"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97</w:t>
            </w:r>
          </w:p>
        </w:tc>
        <w:tc>
          <w:tcPr>
            <w:tcW w:w="3733" w:type="dxa"/>
            <w:tcBorders>
              <w:top w:val="nil"/>
              <w:left w:val="nil"/>
              <w:bottom w:val="nil"/>
              <w:right w:val="nil"/>
            </w:tcBorders>
            <w:shd w:val="clear" w:color="auto" w:fill="auto"/>
            <w:noWrap/>
            <w:hideMark/>
          </w:tcPr>
          <w:p w14:paraId="26964911"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To permit GMM estimation (after differencing)</w:t>
            </w:r>
          </w:p>
        </w:tc>
      </w:tr>
      <w:tr w:rsidR="00336867" w:rsidRPr="00336867" w14:paraId="17D6D416" w14:textId="77777777" w:rsidTr="00336867">
        <w:trPr>
          <w:trHeight w:val="265"/>
          <w:jc w:val="center"/>
        </w:trPr>
        <w:tc>
          <w:tcPr>
            <w:tcW w:w="4678" w:type="dxa"/>
            <w:tcBorders>
              <w:top w:val="nil"/>
              <w:left w:val="nil"/>
              <w:bottom w:val="nil"/>
              <w:right w:val="nil"/>
            </w:tcBorders>
            <w:shd w:val="clear" w:color="000000" w:fill="FFFFFF"/>
            <w:noWrap/>
            <w:hideMark/>
          </w:tcPr>
          <w:p w14:paraId="6D0768A5"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Less: Countries less than 10 bank-year observations</w:t>
            </w:r>
          </w:p>
        </w:tc>
        <w:tc>
          <w:tcPr>
            <w:tcW w:w="992" w:type="dxa"/>
            <w:tcBorders>
              <w:top w:val="nil"/>
              <w:left w:val="nil"/>
              <w:bottom w:val="nil"/>
              <w:right w:val="nil"/>
            </w:tcBorders>
            <w:shd w:val="clear" w:color="000000" w:fill="FFFFFF"/>
            <w:noWrap/>
            <w:hideMark/>
          </w:tcPr>
          <w:p w14:paraId="504668F8"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3</w:t>
            </w:r>
          </w:p>
        </w:tc>
        <w:tc>
          <w:tcPr>
            <w:tcW w:w="1479" w:type="dxa"/>
            <w:tcBorders>
              <w:top w:val="nil"/>
              <w:left w:val="nil"/>
              <w:bottom w:val="nil"/>
              <w:right w:val="nil"/>
            </w:tcBorders>
            <w:shd w:val="clear" w:color="000000" w:fill="FFFFFF"/>
            <w:noWrap/>
            <w:hideMark/>
          </w:tcPr>
          <w:p w14:paraId="3835C2A4"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5</w:t>
            </w:r>
          </w:p>
        </w:tc>
        <w:tc>
          <w:tcPr>
            <w:tcW w:w="3733" w:type="dxa"/>
            <w:tcBorders>
              <w:top w:val="nil"/>
              <w:left w:val="nil"/>
              <w:bottom w:val="nil"/>
              <w:right w:val="nil"/>
            </w:tcBorders>
            <w:shd w:val="clear" w:color="auto" w:fill="auto"/>
            <w:noWrap/>
            <w:hideMark/>
          </w:tcPr>
          <w:p w14:paraId="0178F189"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To permit robust estimation</w:t>
            </w:r>
          </w:p>
        </w:tc>
      </w:tr>
      <w:tr w:rsidR="00336867" w:rsidRPr="00336867" w14:paraId="2D718DBD" w14:textId="77777777" w:rsidTr="00336867">
        <w:trPr>
          <w:trHeight w:val="265"/>
          <w:jc w:val="center"/>
        </w:trPr>
        <w:tc>
          <w:tcPr>
            <w:tcW w:w="4678" w:type="dxa"/>
            <w:tcBorders>
              <w:top w:val="nil"/>
              <w:left w:val="nil"/>
              <w:bottom w:val="single" w:sz="4" w:space="0" w:color="auto"/>
              <w:right w:val="nil"/>
            </w:tcBorders>
            <w:shd w:val="clear" w:color="000000" w:fill="FFFFFF"/>
            <w:noWrap/>
            <w:hideMark/>
          </w:tcPr>
          <w:p w14:paraId="27931621"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Final sample</w:t>
            </w:r>
          </w:p>
        </w:tc>
        <w:tc>
          <w:tcPr>
            <w:tcW w:w="992" w:type="dxa"/>
            <w:tcBorders>
              <w:top w:val="nil"/>
              <w:left w:val="nil"/>
              <w:bottom w:val="single" w:sz="4" w:space="0" w:color="auto"/>
              <w:right w:val="nil"/>
            </w:tcBorders>
            <w:shd w:val="clear" w:color="000000" w:fill="FFFFFF"/>
            <w:noWrap/>
            <w:hideMark/>
          </w:tcPr>
          <w:p w14:paraId="50C4AF90"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27</w:t>
            </w:r>
          </w:p>
        </w:tc>
        <w:tc>
          <w:tcPr>
            <w:tcW w:w="1479" w:type="dxa"/>
            <w:tcBorders>
              <w:top w:val="nil"/>
              <w:left w:val="nil"/>
              <w:bottom w:val="single" w:sz="4" w:space="0" w:color="auto"/>
              <w:right w:val="nil"/>
            </w:tcBorders>
            <w:shd w:val="clear" w:color="000000" w:fill="FFFFFF"/>
            <w:noWrap/>
            <w:hideMark/>
          </w:tcPr>
          <w:p w14:paraId="24901905"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272</w:t>
            </w:r>
          </w:p>
        </w:tc>
        <w:tc>
          <w:tcPr>
            <w:tcW w:w="3733" w:type="dxa"/>
            <w:tcBorders>
              <w:top w:val="nil"/>
              <w:left w:val="nil"/>
              <w:bottom w:val="single" w:sz="4" w:space="0" w:color="auto"/>
              <w:right w:val="nil"/>
            </w:tcBorders>
            <w:shd w:val="clear" w:color="000000" w:fill="FFFFFF"/>
            <w:noWrap/>
            <w:hideMark/>
          </w:tcPr>
          <w:p w14:paraId="471C8D9D" w14:textId="77777777" w:rsidR="00336867" w:rsidRPr="00336867" w:rsidRDefault="00336867" w:rsidP="00336867">
            <w:pPr>
              <w:spacing w:after="0" w:line="240" w:lineRule="auto"/>
              <w:rPr>
                <w:rFonts w:ascii="Times New Roman" w:eastAsia="Times New Roman" w:hAnsi="Times New Roman"/>
                <w:color w:val="000000"/>
                <w:sz w:val="18"/>
                <w:szCs w:val="18"/>
                <w:lang w:eastAsia="en-GB"/>
              </w:rPr>
            </w:pPr>
            <w:r w:rsidRPr="00336867">
              <w:rPr>
                <w:rFonts w:ascii="Times New Roman" w:eastAsia="Times New Roman" w:hAnsi="Times New Roman"/>
                <w:color w:val="000000"/>
                <w:sz w:val="18"/>
                <w:szCs w:val="18"/>
                <w:lang w:eastAsia="en-GB"/>
              </w:rPr>
              <w:t>For analysis</w:t>
            </w:r>
          </w:p>
        </w:tc>
      </w:tr>
    </w:tbl>
    <w:p w14:paraId="1A14B7A3" w14:textId="6E9F354A" w:rsidR="002F462B" w:rsidRDefault="002F462B" w:rsidP="00763F96">
      <w:pPr>
        <w:spacing w:after="0" w:line="240" w:lineRule="auto"/>
        <w:jc w:val="both"/>
        <w:rPr>
          <w:rFonts w:ascii="Times New Roman" w:hAnsi="Times New Roman"/>
          <w:sz w:val="24"/>
          <w:szCs w:val="24"/>
        </w:rPr>
      </w:pPr>
    </w:p>
    <w:p w14:paraId="6CCC37CA" w14:textId="71852D67" w:rsidR="00951637" w:rsidRDefault="00951637" w:rsidP="00763F96">
      <w:pPr>
        <w:spacing w:after="0" w:line="240" w:lineRule="auto"/>
        <w:jc w:val="both"/>
        <w:rPr>
          <w:rFonts w:ascii="Times New Roman" w:hAnsi="Times New Roman"/>
          <w:sz w:val="24"/>
          <w:szCs w:val="24"/>
        </w:rPr>
      </w:pPr>
    </w:p>
    <w:tbl>
      <w:tblPr>
        <w:tblW w:w="10452" w:type="dxa"/>
        <w:jc w:val="center"/>
        <w:tblLook w:val="04A0" w:firstRow="1" w:lastRow="0" w:firstColumn="1" w:lastColumn="0" w:noHBand="0" w:noVBand="1"/>
      </w:tblPr>
      <w:tblGrid>
        <w:gridCol w:w="2878"/>
        <w:gridCol w:w="322"/>
        <w:gridCol w:w="612"/>
        <w:gridCol w:w="805"/>
        <w:gridCol w:w="1570"/>
        <w:gridCol w:w="1388"/>
        <w:gridCol w:w="2877"/>
      </w:tblGrid>
      <w:tr w:rsidR="00951637" w:rsidRPr="00951637" w14:paraId="73FB79D1" w14:textId="77777777" w:rsidTr="00E93D40">
        <w:trPr>
          <w:gridAfter w:val="1"/>
          <w:wAfter w:w="2878" w:type="dxa"/>
          <w:trHeight w:val="178"/>
          <w:jc w:val="center"/>
        </w:trPr>
        <w:tc>
          <w:tcPr>
            <w:tcW w:w="6187" w:type="dxa"/>
            <w:gridSpan w:val="5"/>
            <w:tcBorders>
              <w:top w:val="nil"/>
              <w:left w:val="nil"/>
              <w:bottom w:val="nil"/>
              <w:right w:val="nil"/>
            </w:tcBorders>
            <w:shd w:val="clear" w:color="auto" w:fill="auto"/>
            <w:noWrap/>
            <w:vAlign w:val="center"/>
            <w:hideMark/>
          </w:tcPr>
          <w:p w14:paraId="513B3071" w14:textId="77777777" w:rsidR="00951637" w:rsidRDefault="00951637" w:rsidP="00951637">
            <w:pPr>
              <w:spacing w:after="0" w:line="240" w:lineRule="auto"/>
              <w:rPr>
                <w:rFonts w:ascii="Times New Roman" w:eastAsia="Times New Roman" w:hAnsi="Times New Roman"/>
                <w:b/>
                <w:bCs/>
                <w:color w:val="000000"/>
                <w:sz w:val="18"/>
                <w:szCs w:val="18"/>
                <w:lang w:eastAsia="en-GB"/>
              </w:rPr>
            </w:pPr>
          </w:p>
          <w:p w14:paraId="19E0A082" w14:textId="4D172153" w:rsidR="00E93D40"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w:t>
            </w:r>
          </w:p>
          <w:p w14:paraId="5C5B54DE" w14:textId="6A3B152B" w:rsidR="00951637" w:rsidRPr="00951637" w:rsidRDefault="00951637" w:rsidP="00951637">
            <w:pPr>
              <w:spacing w:after="0" w:line="240" w:lineRule="auto"/>
              <w:rPr>
                <w:rFonts w:ascii="Times New Roman" w:eastAsia="Times New Roman" w:hAnsi="Times New Roman"/>
                <w:b/>
                <w:bCs/>
                <w:color w:val="000000"/>
                <w:sz w:val="18"/>
                <w:szCs w:val="18"/>
                <w:lang w:eastAsia="en-GB"/>
              </w:rPr>
            </w:pPr>
            <w:r w:rsidRPr="00951637">
              <w:rPr>
                <w:rFonts w:ascii="Times New Roman" w:eastAsia="Times New Roman" w:hAnsi="Times New Roman"/>
                <w:color w:val="000000"/>
                <w:sz w:val="18"/>
                <w:szCs w:val="18"/>
                <w:lang w:eastAsia="en-GB"/>
              </w:rPr>
              <w:t> </w:t>
            </w:r>
            <w:r w:rsidRPr="00951637">
              <w:rPr>
                <w:rFonts w:ascii="Times New Roman" w:eastAsia="Times New Roman" w:hAnsi="Times New Roman"/>
                <w:b/>
                <w:bCs/>
                <w:color w:val="000000"/>
                <w:sz w:val="18"/>
                <w:szCs w:val="18"/>
                <w:lang w:eastAsia="en-GB"/>
              </w:rPr>
              <w:t>Table A2: List of countries and cross-sectional sample distribution</w:t>
            </w:r>
          </w:p>
        </w:tc>
        <w:tc>
          <w:tcPr>
            <w:tcW w:w="1387" w:type="dxa"/>
            <w:tcBorders>
              <w:top w:val="nil"/>
              <w:left w:val="nil"/>
              <w:bottom w:val="nil"/>
              <w:right w:val="nil"/>
            </w:tcBorders>
            <w:shd w:val="clear" w:color="000000" w:fill="FFFFFF"/>
            <w:noWrap/>
            <w:vAlign w:val="bottom"/>
            <w:hideMark/>
          </w:tcPr>
          <w:p w14:paraId="36D3BCB7"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w:t>
            </w:r>
          </w:p>
        </w:tc>
      </w:tr>
      <w:tr w:rsidR="0012641C" w:rsidRPr="00951637" w14:paraId="4B1F7CB7" w14:textId="77777777" w:rsidTr="00E93D40">
        <w:trPr>
          <w:gridAfter w:val="1"/>
          <w:wAfter w:w="2879" w:type="dxa"/>
          <w:trHeight w:val="178"/>
          <w:jc w:val="center"/>
        </w:trPr>
        <w:tc>
          <w:tcPr>
            <w:tcW w:w="2878" w:type="dxa"/>
            <w:tcBorders>
              <w:top w:val="single" w:sz="4" w:space="0" w:color="auto"/>
              <w:left w:val="nil"/>
              <w:bottom w:val="single" w:sz="4" w:space="0" w:color="auto"/>
              <w:right w:val="nil"/>
            </w:tcBorders>
            <w:shd w:val="clear" w:color="000000" w:fill="FFFFFF"/>
            <w:noWrap/>
            <w:vAlign w:val="bottom"/>
            <w:hideMark/>
          </w:tcPr>
          <w:p w14:paraId="117D2FC1"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xml:space="preserve">Country </w:t>
            </w:r>
          </w:p>
        </w:tc>
        <w:tc>
          <w:tcPr>
            <w:tcW w:w="934" w:type="dxa"/>
            <w:gridSpan w:val="2"/>
            <w:tcBorders>
              <w:top w:val="single" w:sz="4" w:space="0" w:color="auto"/>
              <w:left w:val="nil"/>
              <w:bottom w:val="single" w:sz="4" w:space="0" w:color="auto"/>
              <w:right w:val="nil"/>
            </w:tcBorders>
            <w:shd w:val="clear" w:color="000000" w:fill="FFFFFF"/>
            <w:noWrap/>
            <w:vAlign w:val="bottom"/>
            <w:hideMark/>
          </w:tcPr>
          <w:p w14:paraId="0A9DB717"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No. of banks</w:t>
            </w:r>
          </w:p>
        </w:tc>
        <w:tc>
          <w:tcPr>
            <w:tcW w:w="2374" w:type="dxa"/>
            <w:gridSpan w:val="2"/>
            <w:tcBorders>
              <w:top w:val="single" w:sz="4" w:space="0" w:color="auto"/>
              <w:left w:val="nil"/>
              <w:bottom w:val="single" w:sz="4" w:space="0" w:color="auto"/>
              <w:right w:val="nil"/>
            </w:tcBorders>
            <w:shd w:val="clear" w:color="000000" w:fill="FFFFFF"/>
            <w:noWrap/>
            <w:vAlign w:val="bottom"/>
            <w:hideMark/>
          </w:tcPr>
          <w:p w14:paraId="5F8594C4"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xml:space="preserve">Country </w:t>
            </w:r>
          </w:p>
        </w:tc>
        <w:tc>
          <w:tcPr>
            <w:tcW w:w="1387" w:type="dxa"/>
            <w:tcBorders>
              <w:top w:val="single" w:sz="4" w:space="0" w:color="auto"/>
              <w:left w:val="nil"/>
              <w:bottom w:val="single" w:sz="4" w:space="0" w:color="auto"/>
              <w:right w:val="nil"/>
            </w:tcBorders>
            <w:shd w:val="clear" w:color="000000" w:fill="FFFFFF"/>
            <w:noWrap/>
            <w:vAlign w:val="bottom"/>
            <w:hideMark/>
          </w:tcPr>
          <w:p w14:paraId="22A911E0"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No. of banks</w:t>
            </w:r>
          </w:p>
        </w:tc>
      </w:tr>
      <w:tr w:rsidR="0012641C" w:rsidRPr="00951637" w14:paraId="3F2C5942"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1200571E"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Algeria</w:t>
            </w:r>
          </w:p>
        </w:tc>
        <w:tc>
          <w:tcPr>
            <w:tcW w:w="934" w:type="dxa"/>
            <w:gridSpan w:val="2"/>
            <w:tcBorders>
              <w:top w:val="nil"/>
              <w:left w:val="nil"/>
              <w:bottom w:val="nil"/>
              <w:right w:val="nil"/>
            </w:tcBorders>
            <w:shd w:val="clear" w:color="000000" w:fill="FFFFFF"/>
            <w:noWrap/>
            <w:vAlign w:val="bottom"/>
            <w:hideMark/>
          </w:tcPr>
          <w:p w14:paraId="321ADD2F"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69</w:t>
            </w:r>
          </w:p>
        </w:tc>
        <w:tc>
          <w:tcPr>
            <w:tcW w:w="2374" w:type="dxa"/>
            <w:gridSpan w:val="2"/>
            <w:tcBorders>
              <w:top w:val="nil"/>
              <w:left w:val="nil"/>
              <w:bottom w:val="nil"/>
              <w:right w:val="nil"/>
            </w:tcBorders>
            <w:shd w:val="clear" w:color="000000" w:fill="FFFFFF"/>
            <w:noWrap/>
            <w:vAlign w:val="bottom"/>
            <w:hideMark/>
          </w:tcPr>
          <w:p w14:paraId="4BA43242"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Mozambique</w:t>
            </w:r>
          </w:p>
        </w:tc>
        <w:tc>
          <w:tcPr>
            <w:tcW w:w="1387" w:type="dxa"/>
            <w:tcBorders>
              <w:top w:val="nil"/>
              <w:left w:val="nil"/>
              <w:bottom w:val="nil"/>
              <w:right w:val="nil"/>
            </w:tcBorders>
            <w:shd w:val="clear" w:color="000000" w:fill="FFFFFF"/>
            <w:noWrap/>
            <w:vAlign w:val="bottom"/>
            <w:hideMark/>
          </w:tcPr>
          <w:p w14:paraId="7528F42D"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50</w:t>
            </w:r>
          </w:p>
        </w:tc>
      </w:tr>
      <w:tr w:rsidR="0012641C" w:rsidRPr="00951637" w14:paraId="2FC12C83"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23691D02"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Angola</w:t>
            </w:r>
          </w:p>
        </w:tc>
        <w:tc>
          <w:tcPr>
            <w:tcW w:w="934" w:type="dxa"/>
            <w:gridSpan w:val="2"/>
            <w:tcBorders>
              <w:top w:val="nil"/>
              <w:left w:val="nil"/>
              <w:bottom w:val="nil"/>
              <w:right w:val="nil"/>
            </w:tcBorders>
            <w:shd w:val="clear" w:color="000000" w:fill="FFFFFF"/>
            <w:noWrap/>
            <w:vAlign w:val="bottom"/>
            <w:hideMark/>
          </w:tcPr>
          <w:p w14:paraId="128A9C03"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49</w:t>
            </w:r>
          </w:p>
        </w:tc>
        <w:tc>
          <w:tcPr>
            <w:tcW w:w="2374" w:type="dxa"/>
            <w:gridSpan w:val="2"/>
            <w:tcBorders>
              <w:top w:val="nil"/>
              <w:left w:val="nil"/>
              <w:bottom w:val="nil"/>
              <w:right w:val="nil"/>
            </w:tcBorders>
            <w:shd w:val="clear" w:color="000000" w:fill="FFFFFF"/>
            <w:noWrap/>
            <w:vAlign w:val="bottom"/>
            <w:hideMark/>
          </w:tcPr>
          <w:p w14:paraId="6A8FE119"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Namibia</w:t>
            </w:r>
          </w:p>
        </w:tc>
        <w:tc>
          <w:tcPr>
            <w:tcW w:w="1387" w:type="dxa"/>
            <w:tcBorders>
              <w:top w:val="nil"/>
              <w:left w:val="nil"/>
              <w:bottom w:val="nil"/>
              <w:right w:val="nil"/>
            </w:tcBorders>
            <w:shd w:val="clear" w:color="000000" w:fill="FFFFFF"/>
            <w:noWrap/>
            <w:vAlign w:val="bottom"/>
            <w:hideMark/>
          </w:tcPr>
          <w:p w14:paraId="2CBB7D43"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42</w:t>
            </w:r>
          </w:p>
        </w:tc>
      </w:tr>
      <w:tr w:rsidR="0012641C" w:rsidRPr="00951637" w14:paraId="5D183D75"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20D567C5"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Benin</w:t>
            </w:r>
          </w:p>
        </w:tc>
        <w:tc>
          <w:tcPr>
            <w:tcW w:w="934" w:type="dxa"/>
            <w:gridSpan w:val="2"/>
            <w:tcBorders>
              <w:top w:val="nil"/>
              <w:left w:val="nil"/>
              <w:bottom w:val="nil"/>
              <w:right w:val="nil"/>
            </w:tcBorders>
            <w:shd w:val="clear" w:color="000000" w:fill="FFFFFF"/>
            <w:noWrap/>
            <w:vAlign w:val="bottom"/>
            <w:hideMark/>
          </w:tcPr>
          <w:p w14:paraId="35FAC3AA"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37</w:t>
            </w:r>
          </w:p>
        </w:tc>
        <w:tc>
          <w:tcPr>
            <w:tcW w:w="2374" w:type="dxa"/>
            <w:gridSpan w:val="2"/>
            <w:tcBorders>
              <w:top w:val="nil"/>
              <w:left w:val="nil"/>
              <w:bottom w:val="nil"/>
              <w:right w:val="nil"/>
            </w:tcBorders>
            <w:shd w:val="clear" w:color="000000" w:fill="FFFFFF"/>
            <w:noWrap/>
            <w:vAlign w:val="bottom"/>
            <w:hideMark/>
          </w:tcPr>
          <w:p w14:paraId="70311517"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Niger</w:t>
            </w:r>
          </w:p>
        </w:tc>
        <w:tc>
          <w:tcPr>
            <w:tcW w:w="1387" w:type="dxa"/>
            <w:tcBorders>
              <w:top w:val="nil"/>
              <w:left w:val="nil"/>
              <w:bottom w:val="nil"/>
              <w:right w:val="nil"/>
            </w:tcBorders>
            <w:shd w:val="clear" w:color="000000" w:fill="FFFFFF"/>
            <w:noWrap/>
            <w:vAlign w:val="bottom"/>
            <w:hideMark/>
          </w:tcPr>
          <w:p w14:paraId="2603065F"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20</w:t>
            </w:r>
          </w:p>
        </w:tc>
      </w:tr>
      <w:tr w:rsidR="0012641C" w:rsidRPr="00951637" w14:paraId="29714902"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05FA8E45"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Botswana</w:t>
            </w:r>
          </w:p>
        </w:tc>
        <w:tc>
          <w:tcPr>
            <w:tcW w:w="934" w:type="dxa"/>
            <w:gridSpan w:val="2"/>
            <w:tcBorders>
              <w:top w:val="nil"/>
              <w:left w:val="nil"/>
              <w:bottom w:val="nil"/>
              <w:right w:val="nil"/>
            </w:tcBorders>
            <w:shd w:val="clear" w:color="000000" w:fill="FFFFFF"/>
            <w:noWrap/>
            <w:vAlign w:val="bottom"/>
            <w:hideMark/>
          </w:tcPr>
          <w:p w14:paraId="78309B98"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47</w:t>
            </w:r>
          </w:p>
        </w:tc>
        <w:tc>
          <w:tcPr>
            <w:tcW w:w="2374" w:type="dxa"/>
            <w:gridSpan w:val="2"/>
            <w:tcBorders>
              <w:top w:val="nil"/>
              <w:left w:val="nil"/>
              <w:bottom w:val="nil"/>
              <w:right w:val="nil"/>
            </w:tcBorders>
            <w:shd w:val="clear" w:color="000000" w:fill="FFFFFF"/>
            <w:noWrap/>
            <w:vAlign w:val="bottom"/>
            <w:hideMark/>
          </w:tcPr>
          <w:p w14:paraId="7BCE0EB3"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Nigeria</w:t>
            </w:r>
          </w:p>
        </w:tc>
        <w:tc>
          <w:tcPr>
            <w:tcW w:w="1387" w:type="dxa"/>
            <w:tcBorders>
              <w:top w:val="nil"/>
              <w:left w:val="nil"/>
              <w:bottom w:val="nil"/>
              <w:right w:val="nil"/>
            </w:tcBorders>
            <w:shd w:val="clear" w:color="000000" w:fill="FFFFFF"/>
            <w:noWrap/>
            <w:vAlign w:val="bottom"/>
            <w:hideMark/>
          </w:tcPr>
          <w:p w14:paraId="2B16EC3A"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27</w:t>
            </w:r>
          </w:p>
        </w:tc>
      </w:tr>
      <w:tr w:rsidR="0012641C" w:rsidRPr="00951637" w14:paraId="202171FC"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7A0AA6B1"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Burkina Faso</w:t>
            </w:r>
          </w:p>
        </w:tc>
        <w:tc>
          <w:tcPr>
            <w:tcW w:w="934" w:type="dxa"/>
            <w:gridSpan w:val="2"/>
            <w:tcBorders>
              <w:top w:val="nil"/>
              <w:left w:val="nil"/>
              <w:bottom w:val="nil"/>
              <w:right w:val="nil"/>
            </w:tcBorders>
            <w:shd w:val="clear" w:color="000000" w:fill="FFFFFF"/>
            <w:noWrap/>
            <w:vAlign w:val="bottom"/>
            <w:hideMark/>
          </w:tcPr>
          <w:p w14:paraId="05A9D3C2"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51</w:t>
            </w:r>
          </w:p>
        </w:tc>
        <w:tc>
          <w:tcPr>
            <w:tcW w:w="2374" w:type="dxa"/>
            <w:gridSpan w:val="2"/>
            <w:tcBorders>
              <w:top w:val="nil"/>
              <w:left w:val="nil"/>
              <w:bottom w:val="nil"/>
              <w:right w:val="nil"/>
            </w:tcBorders>
            <w:shd w:val="clear" w:color="000000" w:fill="FFFFFF"/>
            <w:noWrap/>
            <w:vAlign w:val="bottom"/>
            <w:hideMark/>
          </w:tcPr>
          <w:p w14:paraId="5F2D6BE7"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Rwanda</w:t>
            </w:r>
          </w:p>
        </w:tc>
        <w:tc>
          <w:tcPr>
            <w:tcW w:w="1387" w:type="dxa"/>
            <w:tcBorders>
              <w:top w:val="nil"/>
              <w:left w:val="nil"/>
              <w:bottom w:val="nil"/>
              <w:right w:val="nil"/>
            </w:tcBorders>
            <w:shd w:val="clear" w:color="000000" w:fill="FFFFFF"/>
            <w:noWrap/>
            <w:vAlign w:val="bottom"/>
            <w:hideMark/>
          </w:tcPr>
          <w:p w14:paraId="6C91601F"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27</w:t>
            </w:r>
          </w:p>
        </w:tc>
      </w:tr>
      <w:tr w:rsidR="0012641C" w:rsidRPr="00951637" w14:paraId="270ECBDE"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3E1E999A"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Cameroon</w:t>
            </w:r>
          </w:p>
        </w:tc>
        <w:tc>
          <w:tcPr>
            <w:tcW w:w="934" w:type="dxa"/>
            <w:gridSpan w:val="2"/>
            <w:tcBorders>
              <w:top w:val="nil"/>
              <w:left w:val="nil"/>
              <w:bottom w:val="nil"/>
              <w:right w:val="nil"/>
            </w:tcBorders>
            <w:shd w:val="clear" w:color="000000" w:fill="FFFFFF"/>
            <w:noWrap/>
            <w:vAlign w:val="bottom"/>
            <w:hideMark/>
          </w:tcPr>
          <w:p w14:paraId="36F7869B"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11</w:t>
            </w:r>
          </w:p>
        </w:tc>
        <w:tc>
          <w:tcPr>
            <w:tcW w:w="2374" w:type="dxa"/>
            <w:gridSpan w:val="2"/>
            <w:tcBorders>
              <w:top w:val="nil"/>
              <w:left w:val="nil"/>
              <w:bottom w:val="nil"/>
              <w:right w:val="nil"/>
            </w:tcBorders>
            <w:shd w:val="clear" w:color="000000" w:fill="FFFFFF"/>
            <w:noWrap/>
            <w:vAlign w:val="bottom"/>
            <w:hideMark/>
          </w:tcPr>
          <w:p w14:paraId="50F3C418"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Senegal</w:t>
            </w:r>
          </w:p>
        </w:tc>
        <w:tc>
          <w:tcPr>
            <w:tcW w:w="1387" w:type="dxa"/>
            <w:tcBorders>
              <w:top w:val="nil"/>
              <w:left w:val="nil"/>
              <w:bottom w:val="nil"/>
              <w:right w:val="nil"/>
            </w:tcBorders>
            <w:shd w:val="clear" w:color="000000" w:fill="FFFFFF"/>
            <w:noWrap/>
            <w:vAlign w:val="bottom"/>
            <w:hideMark/>
          </w:tcPr>
          <w:p w14:paraId="32B6BA1D"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51</w:t>
            </w:r>
          </w:p>
        </w:tc>
      </w:tr>
      <w:tr w:rsidR="0012641C" w:rsidRPr="00951637" w14:paraId="6DB6CE69"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7DAFDB9C"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Cote D'Ivoire</w:t>
            </w:r>
          </w:p>
        </w:tc>
        <w:tc>
          <w:tcPr>
            <w:tcW w:w="934" w:type="dxa"/>
            <w:gridSpan w:val="2"/>
            <w:tcBorders>
              <w:top w:val="nil"/>
              <w:left w:val="nil"/>
              <w:bottom w:val="nil"/>
              <w:right w:val="nil"/>
            </w:tcBorders>
            <w:shd w:val="clear" w:color="000000" w:fill="FFFFFF"/>
            <w:noWrap/>
            <w:vAlign w:val="bottom"/>
            <w:hideMark/>
          </w:tcPr>
          <w:p w14:paraId="5E88F950"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54</w:t>
            </w:r>
          </w:p>
        </w:tc>
        <w:tc>
          <w:tcPr>
            <w:tcW w:w="2374" w:type="dxa"/>
            <w:gridSpan w:val="2"/>
            <w:tcBorders>
              <w:top w:val="nil"/>
              <w:left w:val="nil"/>
              <w:bottom w:val="nil"/>
              <w:right w:val="nil"/>
            </w:tcBorders>
            <w:shd w:val="clear" w:color="000000" w:fill="FFFFFF"/>
            <w:noWrap/>
            <w:vAlign w:val="bottom"/>
            <w:hideMark/>
          </w:tcPr>
          <w:p w14:paraId="47D165D4"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Sierra Leone</w:t>
            </w:r>
          </w:p>
        </w:tc>
        <w:tc>
          <w:tcPr>
            <w:tcW w:w="1387" w:type="dxa"/>
            <w:tcBorders>
              <w:top w:val="nil"/>
              <w:left w:val="nil"/>
              <w:bottom w:val="nil"/>
              <w:right w:val="nil"/>
            </w:tcBorders>
            <w:shd w:val="clear" w:color="000000" w:fill="FFFFFF"/>
            <w:noWrap/>
            <w:vAlign w:val="bottom"/>
            <w:hideMark/>
          </w:tcPr>
          <w:p w14:paraId="473C41D8"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18</w:t>
            </w:r>
          </w:p>
        </w:tc>
      </w:tr>
      <w:tr w:rsidR="0012641C" w:rsidRPr="00951637" w14:paraId="40D00828"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19199546" w14:textId="04A3100B"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E6550C">
              <w:rPr>
                <w:rFonts w:ascii="Times New Roman" w:eastAsia="Times New Roman" w:hAnsi="Times New Roman"/>
                <w:color w:val="000000"/>
                <w:sz w:val="18"/>
                <w:szCs w:val="18"/>
                <w:lang w:eastAsia="en-GB"/>
              </w:rPr>
              <w:t>Democratic Republic</w:t>
            </w:r>
            <w:r w:rsidR="00025B5C" w:rsidRPr="00E6550C">
              <w:rPr>
                <w:rFonts w:ascii="Times New Roman" w:eastAsia="Times New Roman" w:hAnsi="Times New Roman"/>
                <w:color w:val="000000"/>
                <w:sz w:val="18"/>
                <w:szCs w:val="18"/>
                <w:lang w:eastAsia="en-GB"/>
              </w:rPr>
              <w:t xml:space="preserve"> of Congo</w:t>
            </w:r>
          </w:p>
        </w:tc>
        <w:tc>
          <w:tcPr>
            <w:tcW w:w="934" w:type="dxa"/>
            <w:gridSpan w:val="2"/>
            <w:tcBorders>
              <w:top w:val="nil"/>
              <w:left w:val="nil"/>
              <w:bottom w:val="nil"/>
              <w:right w:val="nil"/>
            </w:tcBorders>
            <w:shd w:val="clear" w:color="000000" w:fill="FFFFFF"/>
            <w:noWrap/>
            <w:vAlign w:val="bottom"/>
            <w:hideMark/>
          </w:tcPr>
          <w:p w14:paraId="05804D1D"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44</w:t>
            </w:r>
          </w:p>
        </w:tc>
        <w:tc>
          <w:tcPr>
            <w:tcW w:w="2374" w:type="dxa"/>
            <w:gridSpan w:val="2"/>
            <w:tcBorders>
              <w:top w:val="nil"/>
              <w:left w:val="nil"/>
              <w:bottom w:val="nil"/>
              <w:right w:val="nil"/>
            </w:tcBorders>
            <w:shd w:val="clear" w:color="000000" w:fill="FFFFFF"/>
            <w:noWrap/>
            <w:vAlign w:val="bottom"/>
            <w:hideMark/>
          </w:tcPr>
          <w:p w14:paraId="261B0B3B"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South Africa</w:t>
            </w:r>
          </w:p>
        </w:tc>
        <w:tc>
          <w:tcPr>
            <w:tcW w:w="1387" w:type="dxa"/>
            <w:tcBorders>
              <w:top w:val="nil"/>
              <w:left w:val="nil"/>
              <w:bottom w:val="nil"/>
              <w:right w:val="nil"/>
            </w:tcBorders>
            <w:shd w:val="clear" w:color="000000" w:fill="FFFFFF"/>
            <w:noWrap/>
            <w:vAlign w:val="bottom"/>
            <w:hideMark/>
          </w:tcPr>
          <w:p w14:paraId="768AAB06"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103</w:t>
            </w:r>
          </w:p>
        </w:tc>
      </w:tr>
      <w:tr w:rsidR="0012641C" w:rsidRPr="00951637" w14:paraId="23489446"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07D5AD7E"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Egypt</w:t>
            </w:r>
          </w:p>
        </w:tc>
        <w:tc>
          <w:tcPr>
            <w:tcW w:w="934" w:type="dxa"/>
            <w:gridSpan w:val="2"/>
            <w:tcBorders>
              <w:top w:val="nil"/>
              <w:left w:val="nil"/>
              <w:bottom w:val="nil"/>
              <w:right w:val="nil"/>
            </w:tcBorders>
            <w:shd w:val="clear" w:color="000000" w:fill="FFFFFF"/>
            <w:noWrap/>
            <w:vAlign w:val="bottom"/>
            <w:hideMark/>
          </w:tcPr>
          <w:p w14:paraId="2B6D6EC6"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115</w:t>
            </w:r>
          </w:p>
        </w:tc>
        <w:tc>
          <w:tcPr>
            <w:tcW w:w="2374" w:type="dxa"/>
            <w:gridSpan w:val="2"/>
            <w:tcBorders>
              <w:top w:val="nil"/>
              <w:left w:val="nil"/>
              <w:bottom w:val="nil"/>
              <w:right w:val="nil"/>
            </w:tcBorders>
            <w:shd w:val="clear" w:color="000000" w:fill="FFFFFF"/>
            <w:noWrap/>
            <w:vAlign w:val="bottom"/>
            <w:hideMark/>
          </w:tcPr>
          <w:p w14:paraId="203F7E05"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Togo</w:t>
            </w:r>
          </w:p>
        </w:tc>
        <w:tc>
          <w:tcPr>
            <w:tcW w:w="1387" w:type="dxa"/>
            <w:tcBorders>
              <w:top w:val="nil"/>
              <w:left w:val="nil"/>
              <w:bottom w:val="nil"/>
              <w:right w:val="nil"/>
            </w:tcBorders>
            <w:shd w:val="clear" w:color="000000" w:fill="FFFFFF"/>
            <w:noWrap/>
            <w:vAlign w:val="bottom"/>
            <w:hideMark/>
          </w:tcPr>
          <w:p w14:paraId="3ED2425C"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16</w:t>
            </w:r>
          </w:p>
        </w:tc>
      </w:tr>
      <w:tr w:rsidR="0012641C" w:rsidRPr="00951637" w14:paraId="51AD6355"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326CF488"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Gabon</w:t>
            </w:r>
          </w:p>
        </w:tc>
        <w:tc>
          <w:tcPr>
            <w:tcW w:w="934" w:type="dxa"/>
            <w:gridSpan w:val="2"/>
            <w:tcBorders>
              <w:top w:val="nil"/>
              <w:left w:val="nil"/>
              <w:bottom w:val="nil"/>
              <w:right w:val="nil"/>
            </w:tcBorders>
            <w:shd w:val="clear" w:color="000000" w:fill="FFFFFF"/>
            <w:noWrap/>
            <w:vAlign w:val="bottom"/>
            <w:hideMark/>
          </w:tcPr>
          <w:p w14:paraId="18EDDA9A"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14</w:t>
            </w:r>
          </w:p>
        </w:tc>
        <w:tc>
          <w:tcPr>
            <w:tcW w:w="2374" w:type="dxa"/>
            <w:gridSpan w:val="2"/>
            <w:tcBorders>
              <w:top w:val="nil"/>
              <w:left w:val="nil"/>
              <w:bottom w:val="nil"/>
              <w:right w:val="nil"/>
            </w:tcBorders>
            <w:shd w:val="clear" w:color="000000" w:fill="FFFFFF"/>
            <w:noWrap/>
            <w:vAlign w:val="bottom"/>
            <w:hideMark/>
          </w:tcPr>
          <w:p w14:paraId="77E80D93"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Tunisia</w:t>
            </w:r>
          </w:p>
        </w:tc>
        <w:tc>
          <w:tcPr>
            <w:tcW w:w="1387" w:type="dxa"/>
            <w:tcBorders>
              <w:top w:val="nil"/>
              <w:left w:val="nil"/>
              <w:bottom w:val="nil"/>
              <w:right w:val="nil"/>
            </w:tcBorders>
            <w:shd w:val="clear" w:color="000000" w:fill="FFFFFF"/>
            <w:noWrap/>
            <w:vAlign w:val="bottom"/>
            <w:hideMark/>
          </w:tcPr>
          <w:p w14:paraId="1C5DB31F"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65</w:t>
            </w:r>
          </w:p>
        </w:tc>
      </w:tr>
      <w:tr w:rsidR="0012641C" w:rsidRPr="00951637" w14:paraId="6FCEEE7C"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03C8A121"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Ghana</w:t>
            </w:r>
          </w:p>
        </w:tc>
        <w:tc>
          <w:tcPr>
            <w:tcW w:w="934" w:type="dxa"/>
            <w:gridSpan w:val="2"/>
            <w:tcBorders>
              <w:top w:val="nil"/>
              <w:left w:val="nil"/>
              <w:bottom w:val="nil"/>
              <w:right w:val="nil"/>
            </w:tcBorders>
            <w:shd w:val="clear" w:color="000000" w:fill="FFFFFF"/>
            <w:noWrap/>
            <w:vAlign w:val="bottom"/>
            <w:hideMark/>
          </w:tcPr>
          <w:p w14:paraId="42DA1C05"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111</w:t>
            </w:r>
          </w:p>
        </w:tc>
        <w:tc>
          <w:tcPr>
            <w:tcW w:w="2374" w:type="dxa"/>
            <w:gridSpan w:val="2"/>
            <w:tcBorders>
              <w:top w:val="nil"/>
              <w:left w:val="nil"/>
              <w:bottom w:val="nil"/>
              <w:right w:val="nil"/>
            </w:tcBorders>
            <w:shd w:val="clear" w:color="000000" w:fill="FFFFFF"/>
            <w:noWrap/>
            <w:vAlign w:val="bottom"/>
            <w:hideMark/>
          </w:tcPr>
          <w:p w14:paraId="4471CC06"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Uganda</w:t>
            </w:r>
          </w:p>
        </w:tc>
        <w:tc>
          <w:tcPr>
            <w:tcW w:w="1387" w:type="dxa"/>
            <w:tcBorders>
              <w:top w:val="nil"/>
              <w:left w:val="nil"/>
              <w:bottom w:val="nil"/>
              <w:right w:val="nil"/>
            </w:tcBorders>
            <w:shd w:val="clear" w:color="000000" w:fill="FFFFFF"/>
            <w:noWrap/>
            <w:vAlign w:val="bottom"/>
            <w:hideMark/>
          </w:tcPr>
          <w:p w14:paraId="5CACE4B5"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74</w:t>
            </w:r>
          </w:p>
        </w:tc>
      </w:tr>
      <w:tr w:rsidR="0012641C" w:rsidRPr="00951637" w14:paraId="2D0B60BF"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709FF91D"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Kenya</w:t>
            </w:r>
          </w:p>
        </w:tc>
        <w:tc>
          <w:tcPr>
            <w:tcW w:w="934" w:type="dxa"/>
            <w:gridSpan w:val="2"/>
            <w:tcBorders>
              <w:top w:val="nil"/>
              <w:left w:val="nil"/>
              <w:bottom w:val="nil"/>
              <w:right w:val="nil"/>
            </w:tcBorders>
            <w:shd w:val="clear" w:color="000000" w:fill="FFFFFF"/>
            <w:noWrap/>
            <w:vAlign w:val="bottom"/>
            <w:hideMark/>
          </w:tcPr>
          <w:p w14:paraId="4424C74B"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140</w:t>
            </w:r>
          </w:p>
        </w:tc>
        <w:tc>
          <w:tcPr>
            <w:tcW w:w="2374" w:type="dxa"/>
            <w:gridSpan w:val="2"/>
            <w:tcBorders>
              <w:top w:val="nil"/>
              <w:left w:val="nil"/>
              <w:bottom w:val="nil"/>
              <w:right w:val="nil"/>
            </w:tcBorders>
            <w:shd w:val="clear" w:color="000000" w:fill="FFFFFF"/>
            <w:noWrap/>
            <w:vAlign w:val="bottom"/>
            <w:hideMark/>
          </w:tcPr>
          <w:p w14:paraId="51FE6887" w14:textId="5B05E810" w:rsidR="00951637" w:rsidRPr="00E6550C" w:rsidRDefault="00951637" w:rsidP="00951637">
            <w:pPr>
              <w:spacing w:after="0" w:line="240" w:lineRule="auto"/>
              <w:rPr>
                <w:rFonts w:ascii="Times New Roman" w:eastAsia="Times New Roman" w:hAnsi="Times New Roman"/>
                <w:color w:val="000000"/>
                <w:sz w:val="18"/>
                <w:szCs w:val="18"/>
                <w:lang w:eastAsia="en-GB"/>
              </w:rPr>
            </w:pPr>
            <w:r w:rsidRPr="00E6550C">
              <w:rPr>
                <w:rFonts w:ascii="Times New Roman" w:eastAsia="Times New Roman" w:hAnsi="Times New Roman"/>
                <w:color w:val="000000"/>
                <w:sz w:val="18"/>
                <w:szCs w:val="18"/>
                <w:lang w:eastAsia="en-GB"/>
              </w:rPr>
              <w:t xml:space="preserve">United Republic </w:t>
            </w:r>
            <w:r w:rsidR="00025B5C" w:rsidRPr="00E6550C">
              <w:rPr>
                <w:rFonts w:ascii="Times New Roman" w:eastAsia="Times New Roman" w:hAnsi="Times New Roman"/>
                <w:color w:val="000000"/>
                <w:sz w:val="18"/>
                <w:szCs w:val="18"/>
                <w:lang w:eastAsia="en-GB"/>
              </w:rPr>
              <w:t>o</w:t>
            </w:r>
            <w:r w:rsidRPr="00E6550C">
              <w:rPr>
                <w:rFonts w:ascii="Times New Roman" w:eastAsia="Times New Roman" w:hAnsi="Times New Roman"/>
                <w:color w:val="000000"/>
                <w:sz w:val="18"/>
                <w:szCs w:val="18"/>
                <w:lang w:eastAsia="en-GB"/>
              </w:rPr>
              <w:t xml:space="preserve">f </w:t>
            </w:r>
            <w:r w:rsidR="00025B5C" w:rsidRPr="00E6550C">
              <w:rPr>
                <w:rFonts w:ascii="Times New Roman" w:eastAsia="Times New Roman" w:hAnsi="Times New Roman"/>
                <w:color w:val="000000"/>
                <w:sz w:val="18"/>
                <w:szCs w:val="18"/>
                <w:lang w:eastAsia="en-GB"/>
              </w:rPr>
              <w:t>Tanzania</w:t>
            </w:r>
          </w:p>
        </w:tc>
        <w:tc>
          <w:tcPr>
            <w:tcW w:w="1387" w:type="dxa"/>
            <w:tcBorders>
              <w:top w:val="nil"/>
              <w:left w:val="nil"/>
              <w:bottom w:val="nil"/>
              <w:right w:val="nil"/>
            </w:tcBorders>
            <w:shd w:val="clear" w:color="000000" w:fill="FFFFFF"/>
            <w:noWrap/>
            <w:vAlign w:val="bottom"/>
            <w:hideMark/>
          </w:tcPr>
          <w:p w14:paraId="27FCEC8B" w14:textId="77777777" w:rsidR="00951637" w:rsidRPr="00E6550C" w:rsidRDefault="00951637" w:rsidP="00951637">
            <w:pPr>
              <w:spacing w:after="0" w:line="240" w:lineRule="auto"/>
              <w:jc w:val="right"/>
              <w:rPr>
                <w:rFonts w:ascii="Times New Roman" w:eastAsia="Times New Roman" w:hAnsi="Times New Roman"/>
                <w:color w:val="000000"/>
                <w:sz w:val="18"/>
                <w:szCs w:val="18"/>
                <w:lang w:eastAsia="en-GB"/>
              </w:rPr>
            </w:pPr>
            <w:r w:rsidRPr="00E6550C">
              <w:rPr>
                <w:rFonts w:ascii="Times New Roman" w:eastAsia="Times New Roman" w:hAnsi="Times New Roman"/>
                <w:color w:val="000000"/>
                <w:sz w:val="18"/>
                <w:szCs w:val="18"/>
                <w:lang w:eastAsia="en-GB"/>
              </w:rPr>
              <w:t>149</w:t>
            </w:r>
          </w:p>
        </w:tc>
      </w:tr>
      <w:tr w:rsidR="0012641C" w:rsidRPr="00951637" w14:paraId="5C573199" w14:textId="77777777" w:rsidTr="00E93D40">
        <w:trPr>
          <w:gridAfter w:val="1"/>
          <w:wAfter w:w="2879" w:type="dxa"/>
          <w:trHeight w:val="178"/>
          <w:jc w:val="center"/>
        </w:trPr>
        <w:tc>
          <w:tcPr>
            <w:tcW w:w="2878" w:type="dxa"/>
            <w:tcBorders>
              <w:top w:val="nil"/>
              <w:left w:val="nil"/>
              <w:bottom w:val="nil"/>
              <w:right w:val="nil"/>
            </w:tcBorders>
            <w:shd w:val="clear" w:color="000000" w:fill="FFFFFF"/>
            <w:noWrap/>
            <w:vAlign w:val="bottom"/>
            <w:hideMark/>
          </w:tcPr>
          <w:p w14:paraId="288B4778"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Mali</w:t>
            </w:r>
          </w:p>
        </w:tc>
        <w:tc>
          <w:tcPr>
            <w:tcW w:w="934" w:type="dxa"/>
            <w:gridSpan w:val="2"/>
            <w:tcBorders>
              <w:top w:val="nil"/>
              <w:left w:val="nil"/>
              <w:bottom w:val="nil"/>
              <w:right w:val="nil"/>
            </w:tcBorders>
            <w:shd w:val="clear" w:color="000000" w:fill="FFFFFF"/>
            <w:noWrap/>
            <w:vAlign w:val="bottom"/>
            <w:hideMark/>
          </w:tcPr>
          <w:p w14:paraId="02419665"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46</w:t>
            </w:r>
          </w:p>
        </w:tc>
        <w:tc>
          <w:tcPr>
            <w:tcW w:w="2374" w:type="dxa"/>
            <w:gridSpan w:val="2"/>
            <w:tcBorders>
              <w:top w:val="nil"/>
              <w:left w:val="nil"/>
              <w:bottom w:val="nil"/>
              <w:right w:val="nil"/>
            </w:tcBorders>
            <w:shd w:val="clear" w:color="000000" w:fill="FFFFFF"/>
            <w:noWrap/>
            <w:vAlign w:val="bottom"/>
            <w:hideMark/>
          </w:tcPr>
          <w:p w14:paraId="29336554"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Zambia</w:t>
            </w:r>
          </w:p>
        </w:tc>
        <w:tc>
          <w:tcPr>
            <w:tcW w:w="1387" w:type="dxa"/>
            <w:tcBorders>
              <w:top w:val="nil"/>
              <w:left w:val="nil"/>
              <w:bottom w:val="nil"/>
              <w:right w:val="nil"/>
            </w:tcBorders>
            <w:shd w:val="clear" w:color="000000" w:fill="FFFFFF"/>
            <w:noWrap/>
            <w:vAlign w:val="bottom"/>
            <w:hideMark/>
          </w:tcPr>
          <w:p w14:paraId="33C309AE"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54</w:t>
            </w:r>
          </w:p>
        </w:tc>
      </w:tr>
      <w:tr w:rsidR="0012641C" w:rsidRPr="00951637" w14:paraId="0247459B" w14:textId="77777777" w:rsidTr="00E93D40">
        <w:trPr>
          <w:gridAfter w:val="1"/>
          <w:wAfter w:w="2879" w:type="dxa"/>
          <w:trHeight w:val="178"/>
          <w:jc w:val="center"/>
        </w:trPr>
        <w:tc>
          <w:tcPr>
            <w:tcW w:w="2878" w:type="dxa"/>
            <w:tcBorders>
              <w:top w:val="nil"/>
              <w:left w:val="nil"/>
              <w:bottom w:val="single" w:sz="4" w:space="0" w:color="auto"/>
              <w:right w:val="nil"/>
            </w:tcBorders>
            <w:shd w:val="clear" w:color="000000" w:fill="FFFFFF"/>
            <w:noWrap/>
            <w:vAlign w:val="bottom"/>
            <w:hideMark/>
          </w:tcPr>
          <w:p w14:paraId="1816AF2C"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Mauritius</w:t>
            </w:r>
          </w:p>
        </w:tc>
        <w:tc>
          <w:tcPr>
            <w:tcW w:w="934" w:type="dxa"/>
            <w:gridSpan w:val="2"/>
            <w:tcBorders>
              <w:top w:val="nil"/>
              <w:left w:val="nil"/>
              <w:bottom w:val="single" w:sz="4" w:space="0" w:color="auto"/>
              <w:right w:val="nil"/>
            </w:tcBorders>
            <w:shd w:val="clear" w:color="000000" w:fill="FFFFFF"/>
            <w:noWrap/>
            <w:vAlign w:val="bottom"/>
            <w:hideMark/>
          </w:tcPr>
          <w:p w14:paraId="394AF6BD"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54</w:t>
            </w:r>
          </w:p>
        </w:tc>
        <w:tc>
          <w:tcPr>
            <w:tcW w:w="2374" w:type="dxa"/>
            <w:gridSpan w:val="2"/>
            <w:tcBorders>
              <w:top w:val="nil"/>
              <w:left w:val="nil"/>
              <w:bottom w:val="single" w:sz="4" w:space="0" w:color="auto"/>
              <w:right w:val="nil"/>
            </w:tcBorders>
            <w:shd w:val="clear" w:color="000000" w:fill="FFFFFF"/>
            <w:noWrap/>
            <w:vAlign w:val="bottom"/>
            <w:hideMark/>
          </w:tcPr>
          <w:p w14:paraId="0BE87CA4"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xml:space="preserve">Total </w:t>
            </w:r>
          </w:p>
        </w:tc>
        <w:tc>
          <w:tcPr>
            <w:tcW w:w="1387" w:type="dxa"/>
            <w:tcBorders>
              <w:top w:val="nil"/>
              <w:left w:val="nil"/>
              <w:bottom w:val="single" w:sz="4" w:space="0" w:color="auto"/>
              <w:right w:val="nil"/>
            </w:tcBorders>
            <w:shd w:val="clear" w:color="000000" w:fill="FFFFFF"/>
            <w:noWrap/>
            <w:vAlign w:val="bottom"/>
            <w:hideMark/>
          </w:tcPr>
          <w:p w14:paraId="71025A18" w14:textId="77777777" w:rsidR="00951637" w:rsidRPr="00951637" w:rsidRDefault="00951637" w:rsidP="00951637">
            <w:pPr>
              <w:spacing w:after="0" w:line="240" w:lineRule="auto"/>
              <w:jc w:val="right"/>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1538</w:t>
            </w:r>
          </w:p>
        </w:tc>
      </w:tr>
      <w:tr w:rsidR="00951637" w:rsidRPr="00951637" w14:paraId="4FF91F0C" w14:textId="77777777" w:rsidTr="00E93D40">
        <w:trPr>
          <w:gridAfter w:val="1"/>
          <w:wAfter w:w="2877" w:type="dxa"/>
          <w:trHeight w:val="178"/>
          <w:jc w:val="center"/>
        </w:trPr>
        <w:tc>
          <w:tcPr>
            <w:tcW w:w="7575" w:type="dxa"/>
            <w:gridSpan w:val="6"/>
            <w:tcBorders>
              <w:top w:val="nil"/>
              <w:left w:val="nil"/>
              <w:bottom w:val="nil"/>
            </w:tcBorders>
            <w:shd w:val="clear" w:color="auto" w:fill="auto"/>
            <w:noWrap/>
            <w:vAlign w:val="center"/>
            <w:hideMark/>
          </w:tcPr>
          <w:p w14:paraId="369F39FE" w14:textId="77777777"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This table shows the cross-sectional distribution of the sample.</w:t>
            </w:r>
          </w:p>
          <w:p w14:paraId="0C609A41" w14:textId="710A63B0"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w:t>
            </w:r>
          </w:p>
          <w:p w14:paraId="67A9E4A8" w14:textId="7BB5E6B5" w:rsidR="00951637" w:rsidRP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w:t>
            </w:r>
          </w:p>
          <w:p w14:paraId="11584067" w14:textId="77777777" w:rsidR="00951637" w:rsidRDefault="00951637" w:rsidP="00951637">
            <w:pPr>
              <w:spacing w:after="0" w:line="240" w:lineRule="auto"/>
              <w:rPr>
                <w:rFonts w:ascii="Times New Roman" w:eastAsia="Times New Roman" w:hAnsi="Times New Roman"/>
                <w:color w:val="000000"/>
                <w:sz w:val="18"/>
                <w:szCs w:val="18"/>
                <w:lang w:eastAsia="en-GB"/>
              </w:rPr>
            </w:pPr>
            <w:r w:rsidRPr="00951637">
              <w:rPr>
                <w:rFonts w:ascii="Times New Roman" w:eastAsia="Times New Roman" w:hAnsi="Times New Roman"/>
                <w:color w:val="000000"/>
                <w:sz w:val="18"/>
                <w:szCs w:val="18"/>
                <w:lang w:eastAsia="en-GB"/>
              </w:rPr>
              <w:t> </w:t>
            </w:r>
          </w:p>
          <w:p w14:paraId="25994CE7"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69914FEE"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4F35430B"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174E7903"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6587FAF5"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CB7FE09"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5795BF1C"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4F9909DA"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6D4AF6A3"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379EB6B8"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1A2CB502"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906DCD9"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7F32EB4"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6D45716A"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19ACB2E7"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A761F47"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1B67524"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386C88D"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76E120F6" w14:textId="724CBC94" w:rsidR="0012641C" w:rsidRDefault="0012641C" w:rsidP="00951637">
            <w:pPr>
              <w:spacing w:after="0" w:line="240" w:lineRule="auto"/>
              <w:rPr>
                <w:rFonts w:ascii="Times New Roman" w:eastAsia="Times New Roman" w:hAnsi="Times New Roman"/>
                <w:color w:val="000000"/>
                <w:sz w:val="18"/>
                <w:szCs w:val="18"/>
                <w:lang w:eastAsia="en-GB"/>
              </w:rPr>
            </w:pPr>
          </w:p>
          <w:p w14:paraId="04EB5EB3" w14:textId="549CB6D8" w:rsidR="00A072B6" w:rsidRDefault="00A072B6" w:rsidP="00951637">
            <w:pPr>
              <w:spacing w:after="0" w:line="240" w:lineRule="auto"/>
              <w:rPr>
                <w:rFonts w:ascii="Times New Roman" w:eastAsia="Times New Roman" w:hAnsi="Times New Roman"/>
                <w:color w:val="000000"/>
                <w:sz w:val="18"/>
                <w:szCs w:val="18"/>
                <w:lang w:eastAsia="en-GB"/>
              </w:rPr>
            </w:pPr>
          </w:p>
          <w:p w14:paraId="1B1F50B1" w14:textId="1B675013" w:rsidR="00A072B6" w:rsidRDefault="00A072B6" w:rsidP="00951637">
            <w:pPr>
              <w:spacing w:after="0" w:line="240" w:lineRule="auto"/>
              <w:rPr>
                <w:rFonts w:ascii="Times New Roman" w:eastAsia="Times New Roman" w:hAnsi="Times New Roman"/>
                <w:color w:val="000000"/>
                <w:sz w:val="18"/>
                <w:szCs w:val="18"/>
                <w:lang w:eastAsia="en-GB"/>
              </w:rPr>
            </w:pPr>
          </w:p>
          <w:p w14:paraId="65779E19" w14:textId="77777777" w:rsidR="00A072B6" w:rsidRDefault="00A072B6" w:rsidP="00951637">
            <w:pPr>
              <w:spacing w:after="0" w:line="240" w:lineRule="auto"/>
              <w:rPr>
                <w:rFonts w:ascii="Times New Roman" w:eastAsia="Times New Roman" w:hAnsi="Times New Roman"/>
                <w:color w:val="000000"/>
                <w:sz w:val="18"/>
                <w:szCs w:val="18"/>
                <w:lang w:eastAsia="en-GB"/>
              </w:rPr>
            </w:pPr>
          </w:p>
          <w:p w14:paraId="4CCF4E9D" w14:textId="77777777" w:rsidR="0012641C" w:rsidRDefault="0012641C" w:rsidP="00951637">
            <w:pPr>
              <w:spacing w:after="0" w:line="240" w:lineRule="auto"/>
              <w:rPr>
                <w:rFonts w:ascii="Times New Roman" w:eastAsia="Times New Roman" w:hAnsi="Times New Roman"/>
                <w:color w:val="000000"/>
                <w:sz w:val="18"/>
                <w:szCs w:val="18"/>
                <w:lang w:eastAsia="en-GB"/>
              </w:rPr>
            </w:pPr>
          </w:p>
          <w:p w14:paraId="6A9525D4" w14:textId="00B5C9C3" w:rsidR="0012641C" w:rsidRDefault="0012641C" w:rsidP="00951637">
            <w:pPr>
              <w:spacing w:after="0" w:line="240" w:lineRule="auto"/>
              <w:rPr>
                <w:rFonts w:ascii="Times New Roman" w:eastAsia="Times New Roman" w:hAnsi="Times New Roman"/>
                <w:color w:val="000000"/>
                <w:sz w:val="18"/>
                <w:szCs w:val="18"/>
                <w:lang w:eastAsia="en-GB"/>
              </w:rPr>
            </w:pPr>
          </w:p>
          <w:p w14:paraId="5909E088" w14:textId="77777777" w:rsidR="0063632F" w:rsidRDefault="0063632F" w:rsidP="00951637">
            <w:pPr>
              <w:spacing w:after="0" w:line="240" w:lineRule="auto"/>
              <w:rPr>
                <w:rFonts w:ascii="Times New Roman" w:eastAsia="Times New Roman" w:hAnsi="Times New Roman"/>
                <w:color w:val="000000"/>
                <w:sz w:val="18"/>
                <w:szCs w:val="18"/>
                <w:lang w:eastAsia="en-GB"/>
              </w:rPr>
            </w:pPr>
          </w:p>
          <w:p w14:paraId="05CB367A" w14:textId="0B664233" w:rsidR="0012641C" w:rsidRDefault="0012641C" w:rsidP="00951637">
            <w:pPr>
              <w:spacing w:after="0" w:line="240" w:lineRule="auto"/>
              <w:rPr>
                <w:rFonts w:ascii="Times New Roman" w:eastAsia="Times New Roman" w:hAnsi="Times New Roman"/>
                <w:color w:val="000000"/>
                <w:sz w:val="18"/>
                <w:szCs w:val="18"/>
                <w:lang w:eastAsia="en-GB"/>
              </w:rPr>
            </w:pPr>
          </w:p>
          <w:p w14:paraId="6D065838" w14:textId="1701527E" w:rsidR="00E93D40" w:rsidRDefault="00E93D40" w:rsidP="00951637">
            <w:pPr>
              <w:spacing w:after="0" w:line="240" w:lineRule="auto"/>
              <w:rPr>
                <w:rFonts w:ascii="Times New Roman" w:eastAsia="Times New Roman" w:hAnsi="Times New Roman"/>
                <w:color w:val="000000"/>
                <w:sz w:val="18"/>
                <w:szCs w:val="18"/>
                <w:lang w:eastAsia="en-GB"/>
              </w:rPr>
            </w:pPr>
          </w:p>
          <w:p w14:paraId="28C66A31" w14:textId="77777777" w:rsidR="00E93D40" w:rsidRDefault="00E93D40" w:rsidP="00951637">
            <w:pPr>
              <w:spacing w:after="0" w:line="240" w:lineRule="auto"/>
              <w:rPr>
                <w:rFonts w:ascii="Times New Roman" w:eastAsia="Times New Roman" w:hAnsi="Times New Roman"/>
                <w:color w:val="000000"/>
                <w:sz w:val="18"/>
                <w:szCs w:val="18"/>
                <w:lang w:eastAsia="en-GB"/>
              </w:rPr>
            </w:pPr>
          </w:p>
          <w:p w14:paraId="0EE901AA" w14:textId="77777777" w:rsidR="00E93D40" w:rsidRDefault="00E93D40" w:rsidP="00951637">
            <w:pPr>
              <w:spacing w:after="0" w:line="240" w:lineRule="auto"/>
              <w:rPr>
                <w:rFonts w:ascii="Times New Roman" w:eastAsia="Times New Roman" w:hAnsi="Times New Roman"/>
                <w:color w:val="000000"/>
                <w:sz w:val="18"/>
                <w:szCs w:val="18"/>
                <w:lang w:eastAsia="en-GB"/>
              </w:rPr>
            </w:pPr>
          </w:p>
          <w:p w14:paraId="5BA310CE" w14:textId="77777777" w:rsidR="00FC3D92" w:rsidRDefault="00FC3D92" w:rsidP="00951637">
            <w:pPr>
              <w:spacing w:after="0" w:line="240" w:lineRule="auto"/>
              <w:rPr>
                <w:rFonts w:ascii="Times New Roman" w:eastAsia="Times New Roman" w:hAnsi="Times New Roman"/>
                <w:color w:val="000000"/>
                <w:sz w:val="18"/>
                <w:szCs w:val="18"/>
                <w:lang w:eastAsia="en-GB"/>
              </w:rPr>
            </w:pPr>
          </w:p>
          <w:p w14:paraId="4C03FC76" w14:textId="76D934CB" w:rsidR="0012641C" w:rsidRPr="00951637" w:rsidRDefault="0012641C" w:rsidP="00951637">
            <w:pPr>
              <w:spacing w:after="0" w:line="240" w:lineRule="auto"/>
              <w:rPr>
                <w:rFonts w:ascii="Times New Roman" w:eastAsia="Times New Roman" w:hAnsi="Times New Roman"/>
                <w:color w:val="000000"/>
                <w:sz w:val="18"/>
                <w:szCs w:val="18"/>
                <w:lang w:eastAsia="en-GB"/>
              </w:rPr>
            </w:pPr>
          </w:p>
        </w:tc>
      </w:tr>
      <w:tr w:rsidR="0063632F" w:rsidRPr="0012641C" w14:paraId="3866D052" w14:textId="77777777" w:rsidTr="00E93D40">
        <w:tblPrEx>
          <w:jc w:val="left"/>
        </w:tblPrEx>
        <w:trPr>
          <w:gridAfter w:val="1"/>
          <w:wAfter w:w="2877" w:type="dxa"/>
          <w:trHeight w:val="218"/>
        </w:trPr>
        <w:tc>
          <w:tcPr>
            <w:tcW w:w="7575" w:type="dxa"/>
            <w:gridSpan w:val="6"/>
            <w:tcBorders>
              <w:top w:val="nil"/>
              <w:left w:val="nil"/>
              <w:bottom w:val="nil"/>
              <w:right w:val="nil"/>
            </w:tcBorders>
            <w:shd w:val="clear" w:color="000000" w:fill="FFFFFF"/>
            <w:hideMark/>
          </w:tcPr>
          <w:p w14:paraId="68DE92E5" w14:textId="3DB65254" w:rsidR="0063632F" w:rsidRPr="0012641C" w:rsidRDefault="0063632F" w:rsidP="0012641C">
            <w:pPr>
              <w:spacing w:after="0" w:line="240" w:lineRule="auto"/>
              <w:rPr>
                <w:rFonts w:ascii="Times New Roman" w:eastAsia="Times New Roman" w:hAnsi="Times New Roman"/>
                <w:color w:val="000000"/>
                <w:sz w:val="18"/>
                <w:szCs w:val="18"/>
                <w:lang w:eastAsia="en-GB"/>
              </w:rPr>
            </w:pPr>
            <w:r w:rsidRPr="0012641C">
              <w:rPr>
                <w:rFonts w:ascii="Times New Roman" w:eastAsia="Times New Roman" w:hAnsi="Times New Roman"/>
                <w:color w:val="000000"/>
                <w:sz w:val="18"/>
                <w:szCs w:val="18"/>
                <w:lang w:eastAsia="en-GB"/>
              </w:rPr>
              <w:t> </w:t>
            </w:r>
          </w:p>
          <w:p w14:paraId="5216311C" w14:textId="15D4B351" w:rsidR="0063632F" w:rsidRPr="0012641C" w:rsidRDefault="0063632F" w:rsidP="0012641C">
            <w:pPr>
              <w:spacing w:after="0" w:line="240" w:lineRule="auto"/>
              <w:rPr>
                <w:rFonts w:ascii="Times New Roman" w:eastAsia="Times New Roman" w:hAnsi="Times New Roman"/>
                <w:b/>
                <w:bCs/>
                <w:color w:val="000000"/>
                <w:sz w:val="18"/>
                <w:szCs w:val="18"/>
                <w:lang w:eastAsia="en-GB"/>
              </w:rPr>
            </w:pPr>
            <w:r w:rsidRPr="0012641C">
              <w:rPr>
                <w:rFonts w:ascii="Times New Roman" w:eastAsia="Times New Roman" w:hAnsi="Times New Roman"/>
                <w:color w:val="000000"/>
                <w:sz w:val="18"/>
                <w:szCs w:val="18"/>
                <w:lang w:eastAsia="en-GB"/>
              </w:rPr>
              <w:lastRenderedPageBreak/>
              <w:t> </w:t>
            </w:r>
            <w:r w:rsidRPr="0012641C">
              <w:rPr>
                <w:rFonts w:ascii="Times New Roman" w:eastAsia="Times New Roman" w:hAnsi="Times New Roman"/>
                <w:b/>
                <w:bCs/>
                <w:color w:val="000000"/>
                <w:sz w:val="18"/>
                <w:szCs w:val="18"/>
                <w:lang w:eastAsia="en-GB"/>
              </w:rPr>
              <w:t>Table A3: Description of variables</w:t>
            </w:r>
          </w:p>
        </w:tc>
      </w:tr>
      <w:bookmarkEnd w:id="5"/>
      <w:tr w:rsidR="00A072B6" w:rsidRPr="0012641C" w14:paraId="53071528" w14:textId="77777777" w:rsidTr="00E93D40">
        <w:tblPrEx>
          <w:jc w:val="left"/>
        </w:tblPrEx>
        <w:trPr>
          <w:trHeight w:val="99"/>
        </w:trPr>
        <w:tc>
          <w:tcPr>
            <w:tcW w:w="3200" w:type="dxa"/>
            <w:gridSpan w:val="2"/>
            <w:tcBorders>
              <w:top w:val="single" w:sz="4" w:space="0" w:color="auto"/>
              <w:left w:val="nil"/>
              <w:bottom w:val="single" w:sz="4" w:space="0" w:color="auto"/>
              <w:right w:val="nil"/>
            </w:tcBorders>
            <w:shd w:val="clear" w:color="000000" w:fill="FFFFFF"/>
            <w:hideMark/>
          </w:tcPr>
          <w:p w14:paraId="4589CAD4" w14:textId="77777777" w:rsidR="00A072B6" w:rsidRPr="0012641C" w:rsidRDefault="00A072B6" w:rsidP="00A072B6">
            <w:pPr>
              <w:spacing w:after="0" w:line="240" w:lineRule="auto"/>
              <w:rPr>
                <w:rFonts w:eastAsia="Times New Roman"/>
                <w:color w:val="000000"/>
                <w:sz w:val="18"/>
                <w:szCs w:val="18"/>
                <w:lang w:eastAsia="en-GB"/>
              </w:rPr>
            </w:pPr>
            <w:r w:rsidRPr="0012641C">
              <w:rPr>
                <w:rFonts w:eastAsia="Times New Roman"/>
                <w:color w:val="000000"/>
                <w:sz w:val="18"/>
                <w:szCs w:val="18"/>
                <w:lang w:eastAsia="en-GB"/>
              </w:rPr>
              <w:lastRenderedPageBreak/>
              <w:t>Variable</w:t>
            </w:r>
          </w:p>
        </w:tc>
        <w:tc>
          <w:tcPr>
            <w:tcW w:w="1417" w:type="dxa"/>
            <w:gridSpan w:val="2"/>
            <w:tcBorders>
              <w:top w:val="single" w:sz="4" w:space="0" w:color="auto"/>
              <w:left w:val="nil"/>
              <w:bottom w:val="single" w:sz="4" w:space="0" w:color="auto"/>
              <w:right w:val="nil"/>
            </w:tcBorders>
            <w:shd w:val="clear" w:color="000000" w:fill="FFFFFF"/>
            <w:hideMark/>
          </w:tcPr>
          <w:p w14:paraId="52370F04" w14:textId="77777777" w:rsidR="00A072B6" w:rsidRPr="0012641C" w:rsidRDefault="00A072B6" w:rsidP="00A072B6">
            <w:pPr>
              <w:spacing w:after="0" w:line="240" w:lineRule="auto"/>
              <w:rPr>
                <w:rFonts w:eastAsia="Times New Roman"/>
                <w:color w:val="000000"/>
                <w:sz w:val="18"/>
                <w:szCs w:val="18"/>
                <w:lang w:eastAsia="en-GB"/>
              </w:rPr>
            </w:pPr>
            <w:r w:rsidRPr="0012641C">
              <w:rPr>
                <w:rFonts w:eastAsia="Times New Roman"/>
                <w:color w:val="000000"/>
                <w:sz w:val="18"/>
                <w:szCs w:val="18"/>
                <w:lang w:eastAsia="en-GB"/>
              </w:rPr>
              <w:t>Symbol</w:t>
            </w:r>
          </w:p>
        </w:tc>
        <w:tc>
          <w:tcPr>
            <w:tcW w:w="5835" w:type="dxa"/>
            <w:gridSpan w:val="3"/>
            <w:tcBorders>
              <w:top w:val="single" w:sz="4" w:space="0" w:color="auto"/>
              <w:left w:val="nil"/>
              <w:bottom w:val="single" w:sz="4" w:space="0" w:color="auto"/>
              <w:right w:val="nil"/>
            </w:tcBorders>
            <w:shd w:val="clear" w:color="000000" w:fill="FFFFFF"/>
            <w:hideMark/>
          </w:tcPr>
          <w:p w14:paraId="2547EACA" w14:textId="77777777" w:rsidR="00A072B6" w:rsidRPr="0012641C" w:rsidRDefault="00A072B6" w:rsidP="00A072B6">
            <w:pPr>
              <w:spacing w:after="0" w:line="240" w:lineRule="auto"/>
              <w:rPr>
                <w:rFonts w:eastAsia="Times New Roman"/>
                <w:color w:val="000000"/>
                <w:sz w:val="18"/>
                <w:szCs w:val="18"/>
                <w:lang w:eastAsia="en-GB"/>
              </w:rPr>
            </w:pPr>
            <w:r w:rsidRPr="0012641C">
              <w:rPr>
                <w:rFonts w:eastAsia="Times New Roman"/>
                <w:color w:val="000000"/>
                <w:sz w:val="18"/>
                <w:szCs w:val="18"/>
                <w:lang w:eastAsia="en-GB"/>
              </w:rPr>
              <w:t>Description</w:t>
            </w:r>
          </w:p>
        </w:tc>
      </w:tr>
      <w:tr w:rsidR="00A072B6" w:rsidRPr="0012641C" w14:paraId="37FCEAD3"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51C38E33"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Credit intermediation cost</w:t>
            </w:r>
          </w:p>
        </w:tc>
        <w:tc>
          <w:tcPr>
            <w:tcW w:w="1417" w:type="dxa"/>
            <w:gridSpan w:val="2"/>
            <w:tcBorders>
              <w:top w:val="nil"/>
              <w:left w:val="nil"/>
              <w:bottom w:val="nil"/>
              <w:right w:val="nil"/>
            </w:tcBorders>
            <w:shd w:val="clear" w:color="000000" w:fill="FFFFFF"/>
            <w:hideMark/>
          </w:tcPr>
          <w:p w14:paraId="56331F3B"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Spread</w:t>
            </w:r>
          </w:p>
        </w:tc>
        <w:tc>
          <w:tcPr>
            <w:tcW w:w="5835" w:type="dxa"/>
            <w:gridSpan w:val="3"/>
            <w:tcBorders>
              <w:top w:val="nil"/>
              <w:left w:val="nil"/>
              <w:bottom w:val="nil"/>
              <w:right w:val="nil"/>
            </w:tcBorders>
            <w:shd w:val="clear" w:color="000000" w:fill="FFFFFF"/>
            <w:hideMark/>
          </w:tcPr>
          <w:p w14:paraId="0241F912" w14:textId="043A058C"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difference between loan rate and deposits rate</w:t>
            </w:r>
            <w:r>
              <w:rPr>
                <w:rFonts w:eastAsia="Times New Roman"/>
                <w:color w:val="000000"/>
                <w:sz w:val="18"/>
                <w:szCs w:val="18"/>
                <w:lang w:eastAsia="en-GB"/>
              </w:rPr>
              <w:t xml:space="preserv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sidRPr="0012641C">
              <w:rPr>
                <w:rFonts w:eastAsia="Times New Roman"/>
                <w:color w:val="000000"/>
                <w:sz w:val="18"/>
                <w:szCs w:val="18"/>
                <w:lang w:eastAsia="en-GB"/>
              </w:rPr>
              <w:t>.</w:t>
            </w:r>
          </w:p>
        </w:tc>
      </w:tr>
      <w:tr w:rsidR="00A072B6" w:rsidRPr="0012641C" w14:paraId="09671821" w14:textId="77777777" w:rsidTr="00E93D40">
        <w:tblPrEx>
          <w:jc w:val="left"/>
        </w:tblPrEx>
        <w:trPr>
          <w:trHeight w:val="429"/>
        </w:trPr>
        <w:tc>
          <w:tcPr>
            <w:tcW w:w="3200" w:type="dxa"/>
            <w:gridSpan w:val="2"/>
            <w:tcBorders>
              <w:top w:val="nil"/>
              <w:left w:val="nil"/>
              <w:bottom w:val="nil"/>
              <w:right w:val="nil"/>
            </w:tcBorders>
            <w:shd w:val="clear" w:color="000000" w:fill="FFFFFF"/>
            <w:hideMark/>
          </w:tcPr>
          <w:p w14:paraId="7CC97ED6"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 xml:space="preserve">Information sharing: depth of credit information sharing index </w:t>
            </w:r>
          </w:p>
        </w:tc>
        <w:tc>
          <w:tcPr>
            <w:tcW w:w="1417" w:type="dxa"/>
            <w:gridSpan w:val="2"/>
            <w:tcBorders>
              <w:top w:val="nil"/>
              <w:left w:val="nil"/>
              <w:bottom w:val="nil"/>
              <w:right w:val="nil"/>
            </w:tcBorders>
            <w:shd w:val="clear" w:color="000000" w:fill="FFFFFF"/>
            <w:hideMark/>
          </w:tcPr>
          <w:p w14:paraId="5913D4F2"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Depth</w:t>
            </w:r>
          </w:p>
        </w:tc>
        <w:tc>
          <w:tcPr>
            <w:tcW w:w="5835" w:type="dxa"/>
            <w:gridSpan w:val="3"/>
            <w:tcBorders>
              <w:top w:val="nil"/>
              <w:left w:val="nil"/>
              <w:bottom w:val="nil"/>
              <w:right w:val="nil"/>
            </w:tcBorders>
            <w:shd w:val="clear" w:color="000000" w:fill="FFFFFF"/>
            <w:hideMark/>
          </w:tcPr>
          <w:p w14:paraId="68DD35D5" w14:textId="1D8C8D5B"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An index measuring "rules and practices affecting the coverage, scope and accessibility of credit information available through either a public credit registry or a private credit bureau” (World Bank Doing Business, 2016)</w:t>
            </w:r>
            <w:r>
              <w:rPr>
                <w:rFonts w:eastAsia="Times New Roman"/>
                <w:color w:val="000000"/>
                <w:sz w:val="18"/>
                <w:szCs w:val="18"/>
                <w:lang w:eastAsia="en-GB"/>
              </w:rPr>
              <w:t xml:space="preserve">. Source: </w:t>
            </w:r>
            <w:r w:rsidRPr="0012641C">
              <w:rPr>
                <w:rFonts w:eastAsia="Times New Roman"/>
                <w:color w:val="000000"/>
                <w:sz w:val="18"/>
                <w:szCs w:val="18"/>
                <w:lang w:eastAsia="en-GB"/>
              </w:rPr>
              <w:t xml:space="preserve">Bank Doing Business. </w:t>
            </w:r>
          </w:p>
        </w:tc>
      </w:tr>
      <w:tr w:rsidR="00A072B6" w:rsidRPr="0012641C" w14:paraId="1419FBAF" w14:textId="77777777" w:rsidTr="00E93D40">
        <w:tblPrEx>
          <w:jc w:val="left"/>
        </w:tblPrEx>
        <w:trPr>
          <w:trHeight w:val="429"/>
        </w:trPr>
        <w:tc>
          <w:tcPr>
            <w:tcW w:w="3200" w:type="dxa"/>
            <w:gridSpan w:val="2"/>
            <w:tcBorders>
              <w:top w:val="nil"/>
              <w:left w:val="nil"/>
              <w:bottom w:val="nil"/>
              <w:right w:val="nil"/>
            </w:tcBorders>
            <w:shd w:val="clear" w:color="000000" w:fill="FFFFFF"/>
            <w:hideMark/>
          </w:tcPr>
          <w:p w14:paraId="5315651B"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 xml:space="preserve">Information sharing: credit registry coverage  </w:t>
            </w:r>
          </w:p>
        </w:tc>
        <w:tc>
          <w:tcPr>
            <w:tcW w:w="1417" w:type="dxa"/>
            <w:gridSpan w:val="2"/>
            <w:tcBorders>
              <w:top w:val="nil"/>
              <w:left w:val="nil"/>
              <w:bottom w:val="nil"/>
              <w:right w:val="nil"/>
            </w:tcBorders>
            <w:shd w:val="clear" w:color="000000" w:fill="FFFFFF"/>
            <w:hideMark/>
          </w:tcPr>
          <w:p w14:paraId="76D4A2B5"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Registry</w:t>
            </w:r>
          </w:p>
        </w:tc>
        <w:tc>
          <w:tcPr>
            <w:tcW w:w="5835" w:type="dxa"/>
            <w:gridSpan w:val="3"/>
            <w:tcBorders>
              <w:top w:val="nil"/>
              <w:left w:val="nil"/>
              <w:bottom w:val="nil"/>
              <w:right w:val="nil"/>
            </w:tcBorders>
            <w:shd w:val="clear" w:color="000000" w:fill="FFFFFF"/>
            <w:hideMark/>
          </w:tcPr>
          <w:p w14:paraId="5672FB27" w14:textId="2FE2F937"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Credit registry coverage measures the number of individuals and firms listed by a public credit registry concerning the information on their borrowing history for the past five years, expressed as a percentage of the adult population</w:t>
            </w:r>
            <w:r>
              <w:rPr>
                <w:rFonts w:eastAsia="Times New Roman"/>
                <w:color w:val="000000"/>
                <w:sz w:val="18"/>
                <w:szCs w:val="18"/>
                <w:lang w:eastAsia="en-GB"/>
              </w:rPr>
              <w:t xml:space="preserve">. Source: </w:t>
            </w:r>
            <w:r w:rsidRPr="0012641C">
              <w:rPr>
                <w:rFonts w:eastAsia="Times New Roman"/>
                <w:color w:val="000000"/>
                <w:sz w:val="18"/>
                <w:szCs w:val="18"/>
                <w:lang w:eastAsia="en-GB"/>
              </w:rPr>
              <w:t xml:space="preserve">Bank Doing Business. </w:t>
            </w:r>
          </w:p>
        </w:tc>
      </w:tr>
      <w:tr w:rsidR="00A072B6" w:rsidRPr="0012641C" w14:paraId="7BE84EB1" w14:textId="77777777" w:rsidTr="00E93D40">
        <w:tblPrEx>
          <w:jc w:val="left"/>
        </w:tblPrEx>
        <w:trPr>
          <w:trHeight w:val="429"/>
        </w:trPr>
        <w:tc>
          <w:tcPr>
            <w:tcW w:w="3200" w:type="dxa"/>
            <w:gridSpan w:val="2"/>
            <w:tcBorders>
              <w:top w:val="nil"/>
              <w:left w:val="nil"/>
              <w:bottom w:val="nil"/>
              <w:right w:val="nil"/>
            </w:tcBorders>
            <w:shd w:val="clear" w:color="000000" w:fill="FFFFFF"/>
            <w:hideMark/>
          </w:tcPr>
          <w:p w14:paraId="43D92D5C"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Information sharing: Credit bureau coverage</w:t>
            </w:r>
          </w:p>
        </w:tc>
        <w:tc>
          <w:tcPr>
            <w:tcW w:w="1417" w:type="dxa"/>
            <w:gridSpan w:val="2"/>
            <w:tcBorders>
              <w:top w:val="nil"/>
              <w:left w:val="nil"/>
              <w:bottom w:val="nil"/>
              <w:right w:val="nil"/>
            </w:tcBorders>
            <w:shd w:val="clear" w:color="000000" w:fill="FFFFFF"/>
            <w:hideMark/>
          </w:tcPr>
          <w:p w14:paraId="7DADF284"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Bureau</w:t>
            </w:r>
          </w:p>
        </w:tc>
        <w:tc>
          <w:tcPr>
            <w:tcW w:w="5835" w:type="dxa"/>
            <w:gridSpan w:val="3"/>
            <w:tcBorders>
              <w:top w:val="nil"/>
              <w:left w:val="nil"/>
              <w:bottom w:val="nil"/>
              <w:right w:val="nil"/>
            </w:tcBorders>
            <w:shd w:val="clear" w:color="000000" w:fill="FFFFFF"/>
            <w:hideMark/>
          </w:tcPr>
          <w:p w14:paraId="153DB8D4" w14:textId="5B7E3368"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number of individuals and firms listed in a private credit bureau concerning the information on their borrowing history for the past five years, expressed as a percentage of the adult population</w:t>
            </w:r>
            <w:r>
              <w:rPr>
                <w:rFonts w:eastAsia="Times New Roman"/>
                <w:color w:val="000000"/>
                <w:sz w:val="18"/>
                <w:szCs w:val="18"/>
                <w:lang w:eastAsia="en-GB"/>
              </w:rPr>
              <w:t xml:space="preserve">. Source: </w:t>
            </w:r>
            <w:r w:rsidRPr="0012641C">
              <w:rPr>
                <w:rFonts w:eastAsia="Times New Roman"/>
                <w:color w:val="000000"/>
                <w:sz w:val="18"/>
                <w:szCs w:val="18"/>
                <w:lang w:eastAsia="en-GB"/>
              </w:rPr>
              <w:t>Bank Doing Business.</w:t>
            </w:r>
          </w:p>
        </w:tc>
      </w:tr>
      <w:tr w:rsidR="00A072B6" w:rsidRPr="0012641C" w14:paraId="1D995A7E"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1A1FC68D"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Bank size</w:t>
            </w:r>
          </w:p>
        </w:tc>
        <w:tc>
          <w:tcPr>
            <w:tcW w:w="1417" w:type="dxa"/>
            <w:gridSpan w:val="2"/>
            <w:tcBorders>
              <w:top w:val="nil"/>
              <w:left w:val="nil"/>
              <w:bottom w:val="nil"/>
              <w:right w:val="nil"/>
            </w:tcBorders>
            <w:shd w:val="clear" w:color="000000" w:fill="FFFFFF"/>
            <w:hideMark/>
          </w:tcPr>
          <w:p w14:paraId="5010D894"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Size</w:t>
            </w:r>
          </w:p>
        </w:tc>
        <w:tc>
          <w:tcPr>
            <w:tcW w:w="5835" w:type="dxa"/>
            <w:gridSpan w:val="3"/>
            <w:tcBorders>
              <w:top w:val="nil"/>
              <w:left w:val="nil"/>
              <w:bottom w:val="nil"/>
              <w:right w:val="nil"/>
            </w:tcBorders>
            <w:shd w:val="clear" w:color="000000" w:fill="FFFFFF"/>
            <w:hideMark/>
          </w:tcPr>
          <w:p w14:paraId="315178F0" w14:textId="68C21D04"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logarithm of the total bank assets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 xml:space="preserv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sidRPr="0012641C">
              <w:rPr>
                <w:rFonts w:eastAsia="Times New Roman"/>
                <w:color w:val="000000"/>
                <w:sz w:val="18"/>
                <w:szCs w:val="18"/>
                <w:lang w:eastAsia="en-GB"/>
              </w:rPr>
              <w:t>.</w:t>
            </w:r>
          </w:p>
        </w:tc>
      </w:tr>
      <w:tr w:rsidR="00A072B6" w:rsidRPr="0012641C" w14:paraId="4A51A8D4" w14:textId="77777777" w:rsidTr="00E93D40">
        <w:tblPrEx>
          <w:jc w:val="left"/>
        </w:tblPrEx>
        <w:trPr>
          <w:trHeight w:val="212"/>
        </w:trPr>
        <w:tc>
          <w:tcPr>
            <w:tcW w:w="3200" w:type="dxa"/>
            <w:gridSpan w:val="2"/>
            <w:tcBorders>
              <w:top w:val="nil"/>
              <w:left w:val="nil"/>
              <w:bottom w:val="nil"/>
              <w:right w:val="nil"/>
            </w:tcBorders>
            <w:shd w:val="clear" w:color="000000" w:fill="FFFFFF"/>
            <w:hideMark/>
          </w:tcPr>
          <w:p w14:paraId="1F315C4E"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Liquidity</w:t>
            </w:r>
          </w:p>
        </w:tc>
        <w:tc>
          <w:tcPr>
            <w:tcW w:w="1417" w:type="dxa"/>
            <w:gridSpan w:val="2"/>
            <w:tcBorders>
              <w:top w:val="nil"/>
              <w:left w:val="nil"/>
              <w:bottom w:val="nil"/>
              <w:right w:val="nil"/>
            </w:tcBorders>
            <w:shd w:val="clear" w:color="000000" w:fill="FFFFFF"/>
            <w:hideMark/>
          </w:tcPr>
          <w:p w14:paraId="43AEEF95"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Liquidity</w:t>
            </w:r>
          </w:p>
        </w:tc>
        <w:tc>
          <w:tcPr>
            <w:tcW w:w="5835" w:type="dxa"/>
            <w:gridSpan w:val="3"/>
            <w:tcBorders>
              <w:top w:val="nil"/>
              <w:left w:val="nil"/>
              <w:bottom w:val="nil"/>
              <w:right w:val="nil"/>
            </w:tcBorders>
            <w:shd w:val="clear" w:color="000000" w:fill="FFFFFF"/>
            <w:hideMark/>
          </w:tcPr>
          <w:p w14:paraId="2929F967" w14:textId="69703E05"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Percentage of liquid assets to total assets of the bank and this accounts for differences in bank assets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w:t>
            </w:r>
          </w:p>
        </w:tc>
      </w:tr>
      <w:tr w:rsidR="00A072B6" w:rsidRPr="0012641C" w14:paraId="622C950C"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39C6A0A3"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 xml:space="preserve">Loan loss provisions </w:t>
            </w:r>
          </w:p>
        </w:tc>
        <w:tc>
          <w:tcPr>
            <w:tcW w:w="1417" w:type="dxa"/>
            <w:gridSpan w:val="2"/>
            <w:tcBorders>
              <w:top w:val="nil"/>
              <w:left w:val="nil"/>
              <w:bottom w:val="nil"/>
              <w:right w:val="nil"/>
            </w:tcBorders>
            <w:shd w:val="clear" w:color="000000" w:fill="FFFFFF"/>
            <w:hideMark/>
          </w:tcPr>
          <w:p w14:paraId="140D5BF8"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Provisions</w:t>
            </w:r>
          </w:p>
        </w:tc>
        <w:tc>
          <w:tcPr>
            <w:tcW w:w="5835" w:type="dxa"/>
            <w:gridSpan w:val="3"/>
            <w:tcBorders>
              <w:top w:val="nil"/>
              <w:left w:val="nil"/>
              <w:bottom w:val="nil"/>
              <w:right w:val="nil"/>
            </w:tcBorders>
            <w:shd w:val="clear" w:color="000000" w:fill="FFFFFF"/>
            <w:hideMark/>
          </w:tcPr>
          <w:p w14:paraId="5F8DE8E5" w14:textId="24A34FFC"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percentage of loan loss provisions to total loans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w:t>
            </w:r>
          </w:p>
        </w:tc>
      </w:tr>
      <w:tr w:rsidR="00A072B6" w:rsidRPr="0012641C" w14:paraId="0F2461C2"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635ED0DD"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 xml:space="preserve">Lending specialisation </w:t>
            </w:r>
          </w:p>
        </w:tc>
        <w:tc>
          <w:tcPr>
            <w:tcW w:w="1417" w:type="dxa"/>
            <w:gridSpan w:val="2"/>
            <w:tcBorders>
              <w:top w:val="nil"/>
              <w:left w:val="nil"/>
              <w:bottom w:val="nil"/>
              <w:right w:val="nil"/>
            </w:tcBorders>
            <w:shd w:val="clear" w:color="000000" w:fill="FFFFFF"/>
            <w:hideMark/>
          </w:tcPr>
          <w:p w14:paraId="477F9084"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Lending</w:t>
            </w:r>
          </w:p>
        </w:tc>
        <w:tc>
          <w:tcPr>
            <w:tcW w:w="5835" w:type="dxa"/>
            <w:gridSpan w:val="3"/>
            <w:tcBorders>
              <w:top w:val="nil"/>
              <w:left w:val="nil"/>
              <w:bottom w:val="nil"/>
              <w:right w:val="nil"/>
            </w:tcBorders>
            <w:shd w:val="clear" w:color="000000" w:fill="FFFFFF"/>
            <w:hideMark/>
          </w:tcPr>
          <w:p w14:paraId="03D7F6D1" w14:textId="0C4DE759"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percentage of total loans to total assets</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w:t>
            </w:r>
          </w:p>
        </w:tc>
      </w:tr>
      <w:tr w:rsidR="00A072B6" w:rsidRPr="0012641C" w14:paraId="57957BAC"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01C6FAF0"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Deposit mix</w:t>
            </w:r>
          </w:p>
        </w:tc>
        <w:tc>
          <w:tcPr>
            <w:tcW w:w="1417" w:type="dxa"/>
            <w:gridSpan w:val="2"/>
            <w:tcBorders>
              <w:top w:val="nil"/>
              <w:left w:val="nil"/>
              <w:bottom w:val="nil"/>
              <w:right w:val="nil"/>
            </w:tcBorders>
            <w:shd w:val="clear" w:color="000000" w:fill="FFFFFF"/>
            <w:hideMark/>
          </w:tcPr>
          <w:p w14:paraId="49958A26"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Deposits</w:t>
            </w:r>
          </w:p>
        </w:tc>
        <w:tc>
          <w:tcPr>
            <w:tcW w:w="5835" w:type="dxa"/>
            <w:gridSpan w:val="3"/>
            <w:tcBorders>
              <w:top w:val="nil"/>
              <w:left w:val="nil"/>
              <w:bottom w:val="nil"/>
              <w:right w:val="nil"/>
            </w:tcBorders>
            <w:shd w:val="clear" w:color="000000" w:fill="FFFFFF"/>
            <w:hideMark/>
          </w:tcPr>
          <w:p w14:paraId="08E1C028" w14:textId="1C0A1E59" w:rsidR="00A072B6" w:rsidRPr="00C80372" w:rsidRDefault="00A072B6" w:rsidP="00A072B6">
            <w:pPr>
              <w:spacing w:after="120" w:line="240" w:lineRule="auto"/>
              <w:jc w:val="both"/>
              <w:rPr>
                <w:rFonts w:eastAsia="Times New Roman"/>
                <w:b/>
                <w:bCs/>
                <w:color w:val="000000"/>
                <w:sz w:val="18"/>
                <w:szCs w:val="18"/>
                <w:lang w:eastAsia="en-GB"/>
              </w:rPr>
            </w:pPr>
            <w:r w:rsidRPr="0012641C">
              <w:rPr>
                <w:rFonts w:eastAsia="Times New Roman"/>
                <w:color w:val="000000"/>
                <w:sz w:val="18"/>
                <w:szCs w:val="18"/>
                <w:lang w:eastAsia="en-GB"/>
              </w:rPr>
              <w:t>Percentage of total deposits to total liabilities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w:t>
            </w:r>
          </w:p>
        </w:tc>
      </w:tr>
      <w:tr w:rsidR="00A072B6" w:rsidRPr="0012641C" w14:paraId="0A81B6EF"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1CB657B8"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Bank equity</w:t>
            </w:r>
          </w:p>
        </w:tc>
        <w:tc>
          <w:tcPr>
            <w:tcW w:w="1417" w:type="dxa"/>
            <w:gridSpan w:val="2"/>
            <w:tcBorders>
              <w:top w:val="nil"/>
              <w:left w:val="nil"/>
              <w:bottom w:val="nil"/>
              <w:right w:val="nil"/>
            </w:tcBorders>
            <w:shd w:val="clear" w:color="000000" w:fill="FFFFFF"/>
            <w:hideMark/>
          </w:tcPr>
          <w:p w14:paraId="1A4FE658"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Equity</w:t>
            </w:r>
          </w:p>
        </w:tc>
        <w:tc>
          <w:tcPr>
            <w:tcW w:w="5835" w:type="dxa"/>
            <w:gridSpan w:val="3"/>
            <w:tcBorders>
              <w:top w:val="nil"/>
              <w:left w:val="nil"/>
              <w:bottom w:val="nil"/>
              <w:right w:val="nil"/>
            </w:tcBorders>
            <w:shd w:val="clear" w:color="000000" w:fill="FFFFFF"/>
            <w:hideMark/>
          </w:tcPr>
          <w:p w14:paraId="06446FCD" w14:textId="4F93E5F1"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ratio of book value of equity to total assets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sidRPr="0012641C">
              <w:rPr>
                <w:rFonts w:eastAsia="Times New Roman"/>
                <w:color w:val="000000"/>
                <w:sz w:val="18"/>
                <w:szCs w:val="18"/>
                <w:lang w:eastAsia="en-GB"/>
              </w:rPr>
              <w:t xml:space="preserve">. </w:t>
            </w:r>
          </w:p>
        </w:tc>
      </w:tr>
      <w:tr w:rsidR="00A072B6" w:rsidRPr="0012641C" w14:paraId="42BAF3AD"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2D53AFCA"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Fee income</w:t>
            </w:r>
          </w:p>
        </w:tc>
        <w:tc>
          <w:tcPr>
            <w:tcW w:w="1417" w:type="dxa"/>
            <w:gridSpan w:val="2"/>
            <w:tcBorders>
              <w:top w:val="nil"/>
              <w:left w:val="nil"/>
              <w:bottom w:val="nil"/>
              <w:right w:val="nil"/>
            </w:tcBorders>
            <w:shd w:val="clear" w:color="000000" w:fill="FFFFFF"/>
            <w:hideMark/>
          </w:tcPr>
          <w:p w14:paraId="7E8B9E5D"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Fees</w:t>
            </w:r>
          </w:p>
        </w:tc>
        <w:tc>
          <w:tcPr>
            <w:tcW w:w="5835" w:type="dxa"/>
            <w:gridSpan w:val="3"/>
            <w:tcBorders>
              <w:top w:val="nil"/>
              <w:left w:val="nil"/>
              <w:bottom w:val="nil"/>
              <w:right w:val="nil"/>
            </w:tcBorders>
            <w:shd w:val="clear" w:color="000000" w:fill="FFFFFF"/>
            <w:hideMark/>
          </w:tcPr>
          <w:p w14:paraId="4D4748A6" w14:textId="17F186BD"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ratio of net fees and commissions to total assets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 pe</w:t>
            </w:r>
            <w:r>
              <w:rPr>
                <w:rFonts w:eastAsia="Times New Roman"/>
                <w:color w:val="000000"/>
                <w:sz w:val="18"/>
                <w:szCs w:val="18"/>
                <w:lang w:eastAsia="en-GB"/>
              </w:rPr>
              <w:t>.</w:t>
            </w:r>
            <w:r w:rsidRPr="0012641C">
              <w:rPr>
                <w:rFonts w:eastAsia="Times New Roman"/>
                <w:color w:val="000000"/>
                <w:sz w:val="18"/>
                <w:szCs w:val="18"/>
                <w:lang w:eastAsia="en-GB"/>
              </w:rPr>
              <w:t xml:space="preserve"> </w:t>
            </w:r>
          </w:p>
        </w:tc>
      </w:tr>
      <w:tr w:rsidR="00A072B6" w:rsidRPr="0012641C" w14:paraId="2A08AE67"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192318DB"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inefficiency</w:t>
            </w:r>
          </w:p>
        </w:tc>
        <w:tc>
          <w:tcPr>
            <w:tcW w:w="1417" w:type="dxa"/>
            <w:gridSpan w:val="2"/>
            <w:tcBorders>
              <w:top w:val="nil"/>
              <w:left w:val="nil"/>
              <w:bottom w:val="nil"/>
              <w:right w:val="nil"/>
            </w:tcBorders>
            <w:shd w:val="clear" w:color="000000" w:fill="FFFFFF"/>
            <w:hideMark/>
          </w:tcPr>
          <w:p w14:paraId="727D3756"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Inefficiency</w:t>
            </w:r>
          </w:p>
        </w:tc>
        <w:tc>
          <w:tcPr>
            <w:tcW w:w="5835" w:type="dxa"/>
            <w:gridSpan w:val="3"/>
            <w:tcBorders>
              <w:top w:val="nil"/>
              <w:left w:val="nil"/>
              <w:bottom w:val="nil"/>
              <w:right w:val="nil"/>
            </w:tcBorders>
            <w:shd w:val="clear" w:color="000000" w:fill="FFFFFF"/>
            <w:hideMark/>
          </w:tcPr>
          <w:p w14:paraId="48C0DDC5" w14:textId="03F5C610"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ratio of overheads to total assets</w:t>
            </w:r>
            <w:r>
              <w:rPr>
                <w:rFonts w:eastAsia="Times New Roman"/>
                <w:color w:val="000000"/>
                <w:sz w:val="18"/>
                <w:szCs w:val="18"/>
                <w:lang w:eastAsia="en-GB"/>
              </w:rPr>
              <w:t xml:space="preserve">. 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w:t>
            </w:r>
            <w:r w:rsidRPr="0012641C">
              <w:rPr>
                <w:rFonts w:eastAsia="Times New Roman"/>
                <w:color w:val="000000"/>
                <w:sz w:val="18"/>
                <w:szCs w:val="18"/>
                <w:lang w:eastAsia="en-GB"/>
              </w:rPr>
              <w:t xml:space="preserve"> </w:t>
            </w:r>
          </w:p>
        </w:tc>
      </w:tr>
      <w:tr w:rsidR="00A072B6" w:rsidRPr="0012641C" w14:paraId="006AF121" w14:textId="77777777" w:rsidTr="00E93D40">
        <w:tblPrEx>
          <w:jc w:val="left"/>
        </w:tblPrEx>
        <w:trPr>
          <w:trHeight w:val="212"/>
        </w:trPr>
        <w:tc>
          <w:tcPr>
            <w:tcW w:w="3200" w:type="dxa"/>
            <w:gridSpan w:val="2"/>
            <w:tcBorders>
              <w:top w:val="nil"/>
              <w:left w:val="nil"/>
              <w:bottom w:val="nil"/>
              <w:right w:val="nil"/>
            </w:tcBorders>
            <w:shd w:val="clear" w:color="000000" w:fill="FFFFFF"/>
            <w:hideMark/>
          </w:tcPr>
          <w:p w14:paraId="2A17651C"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Three-bank concentration</w:t>
            </w:r>
          </w:p>
        </w:tc>
        <w:tc>
          <w:tcPr>
            <w:tcW w:w="1417" w:type="dxa"/>
            <w:gridSpan w:val="2"/>
            <w:tcBorders>
              <w:top w:val="nil"/>
              <w:left w:val="nil"/>
              <w:bottom w:val="nil"/>
              <w:right w:val="nil"/>
            </w:tcBorders>
            <w:shd w:val="clear" w:color="000000" w:fill="FFFFFF"/>
            <w:hideMark/>
          </w:tcPr>
          <w:p w14:paraId="5E8EA5C8"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Concentration</w:t>
            </w:r>
          </w:p>
        </w:tc>
        <w:tc>
          <w:tcPr>
            <w:tcW w:w="5835" w:type="dxa"/>
            <w:gridSpan w:val="3"/>
            <w:tcBorders>
              <w:top w:val="nil"/>
              <w:left w:val="nil"/>
              <w:bottom w:val="nil"/>
              <w:right w:val="nil"/>
            </w:tcBorders>
            <w:shd w:val="clear" w:color="000000" w:fill="FFFFFF"/>
            <w:hideMark/>
          </w:tcPr>
          <w:p w14:paraId="217AD5DB" w14:textId="446A756F"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ratio defined as the share of assets of the largest three banks as a percentage of the entire banking assets</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proofErr w:type="spellStart"/>
            <w:r w:rsidRPr="00C80372">
              <w:rPr>
                <w:rFonts w:eastAsia="Times New Roman"/>
                <w:color w:val="000000"/>
                <w:sz w:val="18"/>
                <w:szCs w:val="18"/>
                <w:lang w:eastAsia="en-GB"/>
              </w:rPr>
              <w:t>Bankscope</w:t>
            </w:r>
            <w:proofErr w:type="spellEnd"/>
            <w:r w:rsidRPr="00C80372">
              <w:rPr>
                <w:rFonts w:eastAsia="Times New Roman"/>
                <w:color w:val="000000"/>
                <w:sz w:val="18"/>
                <w:szCs w:val="18"/>
                <w:lang w:eastAsia="en-GB"/>
              </w:rPr>
              <w:t xml:space="preserve"> and authors’ calculation</w:t>
            </w:r>
            <w:r>
              <w:rPr>
                <w:rFonts w:eastAsia="Times New Roman"/>
                <w:color w:val="000000"/>
                <w:sz w:val="18"/>
                <w:szCs w:val="18"/>
                <w:lang w:eastAsia="en-GB"/>
              </w:rPr>
              <w:t>.</w:t>
            </w:r>
          </w:p>
        </w:tc>
      </w:tr>
      <w:tr w:rsidR="00A072B6" w:rsidRPr="0012641C" w14:paraId="6E7D79CE"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21B125CE"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Growth in gross domestic product</w:t>
            </w:r>
          </w:p>
        </w:tc>
        <w:tc>
          <w:tcPr>
            <w:tcW w:w="1417" w:type="dxa"/>
            <w:gridSpan w:val="2"/>
            <w:tcBorders>
              <w:top w:val="nil"/>
              <w:left w:val="nil"/>
              <w:bottom w:val="nil"/>
              <w:right w:val="nil"/>
            </w:tcBorders>
            <w:shd w:val="clear" w:color="000000" w:fill="FFFFFF"/>
            <w:hideMark/>
          </w:tcPr>
          <w:p w14:paraId="240406C3"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GDP Growth</w:t>
            </w:r>
          </w:p>
        </w:tc>
        <w:tc>
          <w:tcPr>
            <w:tcW w:w="5835" w:type="dxa"/>
            <w:gridSpan w:val="3"/>
            <w:tcBorders>
              <w:top w:val="nil"/>
              <w:left w:val="nil"/>
              <w:bottom w:val="nil"/>
              <w:right w:val="nil"/>
            </w:tcBorders>
            <w:shd w:val="clear" w:color="000000" w:fill="FFFFFF"/>
            <w:hideMark/>
          </w:tcPr>
          <w:p w14:paraId="49842B49" w14:textId="2BAF50CB"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annual percentage change in real GDP</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r w:rsidRPr="00C80876">
              <w:rPr>
                <w:rFonts w:eastAsia="Times New Roman"/>
                <w:color w:val="000000"/>
                <w:sz w:val="18"/>
                <w:szCs w:val="18"/>
                <w:lang w:eastAsia="en-GB"/>
              </w:rPr>
              <w:t>World Bank World Development Indicators</w:t>
            </w:r>
            <w:r w:rsidR="00F54432">
              <w:rPr>
                <w:rFonts w:eastAsia="Times New Roman"/>
                <w:color w:val="000000"/>
                <w:sz w:val="18"/>
                <w:szCs w:val="18"/>
                <w:lang w:eastAsia="en-GB"/>
              </w:rPr>
              <w:t>.</w:t>
            </w:r>
          </w:p>
        </w:tc>
      </w:tr>
      <w:tr w:rsidR="00A072B6" w:rsidRPr="0012641C" w14:paraId="342A2867" w14:textId="77777777" w:rsidTr="00E93D40">
        <w:tblPrEx>
          <w:jc w:val="left"/>
        </w:tblPrEx>
        <w:trPr>
          <w:trHeight w:val="104"/>
        </w:trPr>
        <w:tc>
          <w:tcPr>
            <w:tcW w:w="3200" w:type="dxa"/>
            <w:gridSpan w:val="2"/>
            <w:tcBorders>
              <w:top w:val="nil"/>
              <w:left w:val="nil"/>
              <w:bottom w:val="nil"/>
              <w:right w:val="nil"/>
            </w:tcBorders>
            <w:shd w:val="clear" w:color="000000" w:fill="FFFFFF"/>
            <w:hideMark/>
          </w:tcPr>
          <w:p w14:paraId="5EB6B3BE"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Inflation</w:t>
            </w:r>
          </w:p>
        </w:tc>
        <w:tc>
          <w:tcPr>
            <w:tcW w:w="1417" w:type="dxa"/>
            <w:gridSpan w:val="2"/>
            <w:tcBorders>
              <w:top w:val="nil"/>
              <w:left w:val="nil"/>
              <w:bottom w:val="nil"/>
              <w:right w:val="nil"/>
            </w:tcBorders>
            <w:shd w:val="clear" w:color="000000" w:fill="FFFFFF"/>
            <w:hideMark/>
          </w:tcPr>
          <w:p w14:paraId="221A6D0C"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Inflation</w:t>
            </w:r>
          </w:p>
        </w:tc>
        <w:tc>
          <w:tcPr>
            <w:tcW w:w="5835" w:type="dxa"/>
            <w:gridSpan w:val="3"/>
            <w:tcBorders>
              <w:top w:val="nil"/>
              <w:left w:val="nil"/>
              <w:bottom w:val="nil"/>
              <w:right w:val="nil"/>
            </w:tcBorders>
            <w:shd w:val="clear" w:color="000000" w:fill="FFFFFF"/>
            <w:hideMark/>
          </w:tcPr>
          <w:p w14:paraId="6AD623D9" w14:textId="427B72BA"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The annual percentage change in consumer price index</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r w:rsidRPr="00C80876">
              <w:rPr>
                <w:rFonts w:eastAsia="Times New Roman"/>
                <w:color w:val="000000"/>
                <w:sz w:val="18"/>
                <w:szCs w:val="18"/>
                <w:lang w:eastAsia="en-GB"/>
              </w:rPr>
              <w:t>World Bank World Development Indicators</w:t>
            </w:r>
            <w:r w:rsidR="00F54432">
              <w:rPr>
                <w:rFonts w:eastAsia="Times New Roman"/>
                <w:color w:val="000000"/>
                <w:sz w:val="18"/>
                <w:szCs w:val="18"/>
                <w:lang w:eastAsia="en-GB"/>
              </w:rPr>
              <w:t>.</w:t>
            </w:r>
          </w:p>
        </w:tc>
      </w:tr>
      <w:tr w:rsidR="00A072B6" w:rsidRPr="0012641C" w14:paraId="4D46D692" w14:textId="77777777" w:rsidTr="00E93D40">
        <w:tblPrEx>
          <w:jc w:val="left"/>
        </w:tblPrEx>
        <w:trPr>
          <w:trHeight w:val="646"/>
        </w:trPr>
        <w:tc>
          <w:tcPr>
            <w:tcW w:w="3200" w:type="dxa"/>
            <w:gridSpan w:val="2"/>
            <w:tcBorders>
              <w:top w:val="nil"/>
              <w:left w:val="nil"/>
              <w:bottom w:val="nil"/>
              <w:right w:val="nil"/>
            </w:tcBorders>
            <w:shd w:val="clear" w:color="000000" w:fill="FFFFFF"/>
            <w:hideMark/>
          </w:tcPr>
          <w:p w14:paraId="505CD8E6"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Rule of law</w:t>
            </w:r>
          </w:p>
        </w:tc>
        <w:tc>
          <w:tcPr>
            <w:tcW w:w="1417" w:type="dxa"/>
            <w:gridSpan w:val="2"/>
            <w:tcBorders>
              <w:top w:val="nil"/>
              <w:left w:val="nil"/>
              <w:bottom w:val="nil"/>
              <w:right w:val="nil"/>
            </w:tcBorders>
            <w:shd w:val="clear" w:color="000000" w:fill="FFFFFF"/>
            <w:hideMark/>
          </w:tcPr>
          <w:p w14:paraId="14F9D576"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Law</w:t>
            </w:r>
          </w:p>
        </w:tc>
        <w:tc>
          <w:tcPr>
            <w:tcW w:w="5835" w:type="dxa"/>
            <w:gridSpan w:val="3"/>
            <w:tcBorders>
              <w:top w:val="nil"/>
              <w:left w:val="nil"/>
              <w:bottom w:val="nil"/>
              <w:right w:val="nil"/>
            </w:tcBorders>
            <w:shd w:val="clear" w:color="000000" w:fill="FFFFFF"/>
            <w:hideMark/>
          </w:tcPr>
          <w:p w14:paraId="4F7EC48B" w14:textId="45235604"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An index measuring the “perceptions of the extent to which agents have confidence in and abide by the rules of society, and in particular the quality of contract enforcement, property rights, the police, and the courts, as well as the likelihood of crime and violence” (Kaufmann et al., 2011, p. 223)</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r w:rsidRPr="009C5D67">
              <w:rPr>
                <w:rFonts w:eastAsia="Times New Roman"/>
                <w:color w:val="000000"/>
                <w:sz w:val="18"/>
                <w:szCs w:val="18"/>
                <w:lang w:eastAsia="en-GB"/>
              </w:rPr>
              <w:t>Worldwide Governance indicators</w:t>
            </w:r>
            <w:r w:rsidRPr="0012641C">
              <w:rPr>
                <w:rFonts w:eastAsia="Times New Roman"/>
                <w:color w:val="000000"/>
                <w:sz w:val="18"/>
                <w:szCs w:val="18"/>
                <w:lang w:eastAsia="en-GB"/>
              </w:rPr>
              <w:t xml:space="preserve">. </w:t>
            </w:r>
          </w:p>
        </w:tc>
      </w:tr>
      <w:tr w:rsidR="00A072B6" w:rsidRPr="0012641C" w14:paraId="315F9BFA" w14:textId="77777777" w:rsidTr="00E93D40">
        <w:tblPrEx>
          <w:jc w:val="left"/>
        </w:tblPrEx>
        <w:trPr>
          <w:trHeight w:val="539"/>
        </w:trPr>
        <w:tc>
          <w:tcPr>
            <w:tcW w:w="3200" w:type="dxa"/>
            <w:gridSpan w:val="2"/>
            <w:tcBorders>
              <w:top w:val="nil"/>
              <w:left w:val="nil"/>
              <w:bottom w:val="nil"/>
              <w:right w:val="nil"/>
            </w:tcBorders>
            <w:shd w:val="clear" w:color="000000" w:fill="FFFFFF"/>
            <w:hideMark/>
          </w:tcPr>
          <w:p w14:paraId="31A28338"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Control of corruption</w:t>
            </w:r>
          </w:p>
        </w:tc>
        <w:tc>
          <w:tcPr>
            <w:tcW w:w="1417" w:type="dxa"/>
            <w:gridSpan w:val="2"/>
            <w:tcBorders>
              <w:top w:val="nil"/>
              <w:left w:val="nil"/>
              <w:bottom w:val="nil"/>
              <w:right w:val="nil"/>
            </w:tcBorders>
            <w:shd w:val="clear" w:color="000000" w:fill="FFFFFF"/>
            <w:hideMark/>
          </w:tcPr>
          <w:p w14:paraId="4290CF90"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Regulation</w:t>
            </w:r>
          </w:p>
        </w:tc>
        <w:tc>
          <w:tcPr>
            <w:tcW w:w="5835" w:type="dxa"/>
            <w:gridSpan w:val="3"/>
            <w:tcBorders>
              <w:top w:val="nil"/>
              <w:left w:val="nil"/>
              <w:bottom w:val="nil"/>
              <w:right w:val="nil"/>
            </w:tcBorders>
            <w:shd w:val="clear" w:color="000000" w:fill="FFFFFF"/>
            <w:hideMark/>
          </w:tcPr>
          <w:p w14:paraId="4877A772" w14:textId="6E7664C1" w:rsidR="00A072B6" w:rsidRPr="0012641C" w:rsidRDefault="00A072B6" w:rsidP="00A072B6">
            <w:pPr>
              <w:spacing w:after="120" w:line="240" w:lineRule="auto"/>
              <w:jc w:val="both"/>
              <w:rPr>
                <w:rFonts w:eastAsia="Times New Roman"/>
                <w:color w:val="222222"/>
                <w:sz w:val="18"/>
                <w:szCs w:val="18"/>
                <w:lang w:eastAsia="en-GB"/>
              </w:rPr>
            </w:pPr>
            <w:r w:rsidRPr="0012641C">
              <w:rPr>
                <w:rFonts w:eastAsia="Times New Roman"/>
                <w:color w:val="222222"/>
                <w:sz w:val="18"/>
                <w:szCs w:val="18"/>
                <w:lang w:eastAsia="en-GB"/>
              </w:rPr>
              <w:t xml:space="preserve">An index measuring the </w:t>
            </w:r>
            <w:r w:rsidRPr="0012641C">
              <w:rPr>
                <w:rFonts w:eastAsia="Times New Roman"/>
                <w:color w:val="000000"/>
                <w:sz w:val="18"/>
                <w:szCs w:val="18"/>
                <w:lang w:eastAsia="en-GB"/>
              </w:rPr>
              <w:t>“perceptions of the extent to which public power is exercised for private gain, including both petty and grand forms of corruption, as well as ‘capture’ of the state by elites and private interests” (Kaufmann et al., 2011, p. 223)</w:t>
            </w:r>
            <w:r w:rsidR="00025B5C">
              <w:rPr>
                <w:rFonts w:eastAsia="Times New Roman"/>
                <w:color w:val="000000"/>
                <w:sz w:val="18"/>
                <w:szCs w:val="18"/>
                <w:lang w:eastAsia="en-GB"/>
              </w:rPr>
              <w:t>.</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r w:rsidRPr="009C5D67">
              <w:rPr>
                <w:rFonts w:eastAsia="Times New Roman"/>
                <w:color w:val="000000"/>
                <w:sz w:val="18"/>
                <w:szCs w:val="18"/>
                <w:lang w:eastAsia="en-GB"/>
              </w:rPr>
              <w:t>Worldwide Governance indicators</w:t>
            </w:r>
            <w:r w:rsidRPr="0012641C">
              <w:rPr>
                <w:rFonts w:eastAsia="Times New Roman"/>
                <w:color w:val="000000"/>
                <w:sz w:val="18"/>
                <w:szCs w:val="18"/>
                <w:lang w:eastAsia="en-GB"/>
              </w:rPr>
              <w:t>.</w:t>
            </w:r>
          </w:p>
        </w:tc>
      </w:tr>
      <w:tr w:rsidR="00A072B6" w:rsidRPr="0012641C" w14:paraId="7F84BE53" w14:textId="77777777" w:rsidTr="00E93D40">
        <w:tblPrEx>
          <w:jc w:val="left"/>
        </w:tblPrEx>
        <w:trPr>
          <w:trHeight w:val="429"/>
        </w:trPr>
        <w:tc>
          <w:tcPr>
            <w:tcW w:w="3200" w:type="dxa"/>
            <w:gridSpan w:val="2"/>
            <w:tcBorders>
              <w:top w:val="nil"/>
              <w:left w:val="nil"/>
              <w:bottom w:val="single" w:sz="4" w:space="0" w:color="auto"/>
              <w:right w:val="nil"/>
            </w:tcBorders>
            <w:shd w:val="clear" w:color="000000" w:fill="FFFFFF"/>
            <w:hideMark/>
          </w:tcPr>
          <w:p w14:paraId="3BEF9E50"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 xml:space="preserve">Regulatory quality index </w:t>
            </w:r>
          </w:p>
        </w:tc>
        <w:tc>
          <w:tcPr>
            <w:tcW w:w="1417" w:type="dxa"/>
            <w:gridSpan w:val="2"/>
            <w:tcBorders>
              <w:top w:val="nil"/>
              <w:left w:val="nil"/>
              <w:bottom w:val="single" w:sz="4" w:space="0" w:color="auto"/>
              <w:right w:val="nil"/>
            </w:tcBorders>
            <w:shd w:val="clear" w:color="000000" w:fill="FFFFFF"/>
            <w:hideMark/>
          </w:tcPr>
          <w:p w14:paraId="72992A64"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t>Corruption</w:t>
            </w:r>
          </w:p>
        </w:tc>
        <w:tc>
          <w:tcPr>
            <w:tcW w:w="5835" w:type="dxa"/>
            <w:gridSpan w:val="3"/>
            <w:tcBorders>
              <w:top w:val="nil"/>
              <w:left w:val="nil"/>
              <w:bottom w:val="single" w:sz="4" w:space="0" w:color="auto"/>
              <w:right w:val="nil"/>
            </w:tcBorders>
            <w:shd w:val="clear" w:color="000000" w:fill="FFFFFF"/>
            <w:hideMark/>
          </w:tcPr>
          <w:p w14:paraId="78FC3B88" w14:textId="23255ADB" w:rsidR="00A072B6" w:rsidRPr="0012641C" w:rsidRDefault="00A072B6" w:rsidP="00A072B6">
            <w:pPr>
              <w:spacing w:after="120" w:line="240" w:lineRule="auto"/>
              <w:jc w:val="both"/>
              <w:rPr>
                <w:rFonts w:eastAsia="Times New Roman"/>
                <w:color w:val="000000"/>
                <w:sz w:val="18"/>
                <w:szCs w:val="18"/>
                <w:lang w:eastAsia="en-GB"/>
              </w:rPr>
            </w:pPr>
            <w:r w:rsidRPr="0012641C">
              <w:rPr>
                <w:rFonts w:eastAsia="Times New Roman"/>
                <w:color w:val="000000"/>
                <w:sz w:val="18"/>
                <w:szCs w:val="18"/>
                <w:lang w:eastAsia="en-GB"/>
              </w:rPr>
              <w:t>An index measuring perceptions of the ability of the government to formulate and implement sound policies and regulations that permit and promote private sector development” (Kaufmann et al., 2011, p. 223)</w:t>
            </w:r>
            <w:r w:rsidR="00F54432">
              <w:rPr>
                <w:rFonts w:eastAsia="Times New Roman"/>
                <w:color w:val="000000"/>
                <w:sz w:val="18"/>
                <w:szCs w:val="18"/>
                <w:lang w:eastAsia="en-GB"/>
              </w:rPr>
              <w:t xml:space="preserve">. </w:t>
            </w:r>
            <w:r>
              <w:rPr>
                <w:rFonts w:eastAsia="Times New Roman"/>
                <w:color w:val="000000"/>
                <w:sz w:val="18"/>
                <w:szCs w:val="18"/>
                <w:lang w:eastAsia="en-GB"/>
              </w:rPr>
              <w:t xml:space="preserve">Source: </w:t>
            </w:r>
            <w:r w:rsidRPr="009C5D67">
              <w:rPr>
                <w:rFonts w:eastAsia="Times New Roman"/>
                <w:color w:val="000000"/>
                <w:sz w:val="18"/>
                <w:szCs w:val="18"/>
                <w:lang w:eastAsia="en-GB"/>
              </w:rPr>
              <w:t>Worldwide Governance indicators</w:t>
            </w:r>
            <w:r w:rsidRPr="0012641C">
              <w:rPr>
                <w:rFonts w:eastAsia="Times New Roman"/>
                <w:color w:val="000000"/>
                <w:sz w:val="18"/>
                <w:szCs w:val="18"/>
                <w:lang w:eastAsia="en-GB"/>
              </w:rPr>
              <w:t>.</w:t>
            </w:r>
          </w:p>
        </w:tc>
      </w:tr>
      <w:tr w:rsidR="00A072B6" w:rsidRPr="0012641C" w14:paraId="186975FC" w14:textId="77777777" w:rsidTr="00E93D40">
        <w:tblPrEx>
          <w:jc w:val="left"/>
        </w:tblPrEx>
        <w:trPr>
          <w:trHeight w:val="99"/>
        </w:trPr>
        <w:tc>
          <w:tcPr>
            <w:tcW w:w="10452" w:type="dxa"/>
            <w:gridSpan w:val="7"/>
            <w:tcBorders>
              <w:top w:val="nil"/>
              <w:left w:val="nil"/>
              <w:bottom w:val="nil"/>
              <w:right w:val="nil"/>
            </w:tcBorders>
            <w:shd w:val="clear" w:color="000000" w:fill="FFFFFF"/>
            <w:noWrap/>
            <w:hideMark/>
          </w:tcPr>
          <w:p w14:paraId="228661FA" w14:textId="77777777" w:rsidR="00A072B6" w:rsidRPr="0012641C" w:rsidRDefault="00A072B6" w:rsidP="00A072B6">
            <w:pPr>
              <w:spacing w:after="120" w:line="240" w:lineRule="auto"/>
              <w:rPr>
                <w:rFonts w:eastAsia="Times New Roman"/>
                <w:color w:val="000000"/>
                <w:sz w:val="18"/>
                <w:szCs w:val="18"/>
                <w:lang w:eastAsia="en-GB"/>
              </w:rPr>
            </w:pPr>
            <w:r w:rsidRPr="0012641C">
              <w:rPr>
                <w:rFonts w:eastAsia="Times New Roman"/>
                <w:color w:val="000000"/>
                <w:sz w:val="18"/>
                <w:szCs w:val="18"/>
                <w:lang w:eastAsia="en-GB"/>
              </w:rPr>
              <w:lastRenderedPageBreak/>
              <w:t>This table presents the mnemonics of each variable and its respective description.</w:t>
            </w:r>
          </w:p>
        </w:tc>
      </w:tr>
    </w:tbl>
    <w:p w14:paraId="1D2BAD59" w14:textId="0FCBC2EA" w:rsidR="00951637" w:rsidRPr="0012641C" w:rsidRDefault="00951637" w:rsidP="00E93D40">
      <w:pPr>
        <w:spacing w:after="0" w:line="240" w:lineRule="auto"/>
        <w:jc w:val="both"/>
        <w:rPr>
          <w:rFonts w:ascii="Times New Roman" w:hAnsi="Times New Roman"/>
          <w:sz w:val="18"/>
          <w:szCs w:val="18"/>
        </w:rPr>
      </w:pPr>
    </w:p>
    <w:sectPr w:rsidR="00951637" w:rsidRPr="0012641C" w:rsidSect="002C11C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8CB2" w14:textId="77777777" w:rsidR="0037279A" w:rsidRDefault="0037279A" w:rsidP="00A651BC">
      <w:pPr>
        <w:spacing w:after="0" w:line="240" w:lineRule="auto"/>
      </w:pPr>
      <w:r>
        <w:separator/>
      </w:r>
    </w:p>
  </w:endnote>
  <w:endnote w:type="continuationSeparator" w:id="0">
    <w:p w14:paraId="38DCB2EB" w14:textId="77777777" w:rsidR="0037279A" w:rsidRDefault="0037279A" w:rsidP="00A6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ans-serif!important">
    <w:altName w:val="Times New Roman"/>
    <w:panose1 w:val="00000000000000000000"/>
    <w:charset w:val="00"/>
    <w:family w:val="roman"/>
    <w:notTrueType/>
    <w:pitch w:val="default"/>
  </w:font>
  <w:font w:name="AdvEPSTIM">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8DD9" w14:textId="05F66728" w:rsidR="0037279A" w:rsidRDefault="0037279A">
    <w:pPr>
      <w:pStyle w:val="Footer"/>
      <w:jc w:val="center"/>
    </w:pPr>
    <w:r>
      <w:fldChar w:fldCharType="begin"/>
    </w:r>
    <w:r>
      <w:instrText xml:space="preserve"> PAGE   \* MERGEFORMAT </w:instrText>
    </w:r>
    <w:r>
      <w:fldChar w:fldCharType="separate"/>
    </w:r>
    <w:r>
      <w:rPr>
        <w:noProof/>
      </w:rPr>
      <w:t>32</w:t>
    </w:r>
    <w:r>
      <w:rPr>
        <w:noProof/>
      </w:rPr>
      <w:fldChar w:fldCharType="end"/>
    </w:r>
  </w:p>
  <w:p w14:paraId="38C5A3CF" w14:textId="77777777" w:rsidR="0037279A" w:rsidRDefault="0037279A">
    <w:pPr>
      <w:pStyle w:val="Footer"/>
    </w:pPr>
  </w:p>
  <w:p w14:paraId="112A1E35" w14:textId="77777777" w:rsidR="0037279A" w:rsidRDefault="00372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9F21" w14:textId="77777777" w:rsidR="0037279A" w:rsidRDefault="0037279A" w:rsidP="00A651BC">
      <w:pPr>
        <w:spacing w:after="0" w:line="240" w:lineRule="auto"/>
      </w:pPr>
      <w:r>
        <w:separator/>
      </w:r>
    </w:p>
  </w:footnote>
  <w:footnote w:type="continuationSeparator" w:id="0">
    <w:p w14:paraId="6D3F29A3" w14:textId="77777777" w:rsidR="0037279A" w:rsidRDefault="0037279A" w:rsidP="00A651BC">
      <w:pPr>
        <w:spacing w:after="0" w:line="240" w:lineRule="auto"/>
      </w:pPr>
      <w:r>
        <w:continuationSeparator/>
      </w:r>
    </w:p>
  </w:footnote>
  <w:footnote w:id="1">
    <w:p w14:paraId="61A34957" w14:textId="54C01910" w:rsidR="003C588D" w:rsidRPr="00314690" w:rsidRDefault="003C588D" w:rsidP="00E6550C">
      <w:pPr>
        <w:pStyle w:val="FootnoteText"/>
        <w:jc w:val="both"/>
        <w:rPr>
          <w:rFonts w:ascii="Times New Roman" w:hAnsi="Times New Roman"/>
          <w:sz w:val="18"/>
          <w:szCs w:val="18"/>
          <w:lang w:val="en-US"/>
        </w:rPr>
      </w:pPr>
      <w:r w:rsidRPr="00314690">
        <w:rPr>
          <w:rStyle w:val="FootnoteReference"/>
          <w:rFonts w:ascii="Times New Roman" w:hAnsi="Times New Roman"/>
          <w:sz w:val="18"/>
          <w:szCs w:val="18"/>
        </w:rPr>
        <w:t>1</w:t>
      </w:r>
      <w:r w:rsidRPr="00D40E21">
        <w:rPr>
          <w:rFonts w:ascii="Times New Roman" w:hAnsi="Times New Roman"/>
          <w:sz w:val="18"/>
          <w:szCs w:val="18"/>
        </w:rPr>
        <w:t>Accounting &amp; Finance Department, College of Business &amp; Economics (CBE), United Arab Emirates University, Al Ain, United Arab Emirates</w:t>
      </w:r>
      <w:r w:rsidR="00E6550C">
        <w:rPr>
          <w:rFonts w:ascii="Times New Roman" w:hAnsi="Times New Roman"/>
          <w:sz w:val="18"/>
          <w:szCs w:val="18"/>
        </w:rPr>
        <w:t>.</w:t>
      </w:r>
    </w:p>
  </w:footnote>
  <w:footnote w:id="2">
    <w:p w14:paraId="50418657" w14:textId="688E5626" w:rsidR="003C588D" w:rsidRDefault="003C588D" w:rsidP="00E6550C">
      <w:pPr>
        <w:pStyle w:val="FootnoteText"/>
        <w:jc w:val="both"/>
        <w:rPr>
          <w:rFonts w:ascii="Times New Roman" w:hAnsi="Times New Roman"/>
          <w:sz w:val="18"/>
          <w:szCs w:val="18"/>
          <w:lang w:val="en-US"/>
        </w:rPr>
      </w:pPr>
      <w:r w:rsidRPr="00314690">
        <w:rPr>
          <w:rStyle w:val="FootnoteReference"/>
          <w:rFonts w:ascii="Times New Roman" w:hAnsi="Times New Roman"/>
          <w:sz w:val="18"/>
          <w:szCs w:val="18"/>
        </w:rPr>
        <w:t>2</w:t>
      </w:r>
      <w:r>
        <w:rPr>
          <w:rFonts w:ascii="Times New Roman" w:hAnsi="Times New Roman"/>
          <w:sz w:val="18"/>
          <w:szCs w:val="18"/>
        </w:rPr>
        <w:t xml:space="preserve">Leicester Castle Business School, </w:t>
      </w:r>
      <w:r>
        <w:rPr>
          <w:rFonts w:ascii="Times New Roman" w:hAnsi="Times New Roman"/>
          <w:sz w:val="18"/>
          <w:szCs w:val="18"/>
          <w:lang w:val="en-US"/>
        </w:rPr>
        <w:t>De Montfort University, Leicester</w:t>
      </w:r>
      <w:r w:rsidRPr="00314690">
        <w:rPr>
          <w:rFonts w:ascii="Times New Roman" w:hAnsi="Times New Roman"/>
          <w:sz w:val="18"/>
          <w:szCs w:val="18"/>
          <w:lang w:val="en-US"/>
        </w:rPr>
        <w:t>, UK</w:t>
      </w:r>
      <w:r w:rsidR="00E6550C">
        <w:rPr>
          <w:rFonts w:ascii="Times New Roman" w:hAnsi="Times New Roman"/>
          <w:sz w:val="18"/>
          <w:szCs w:val="18"/>
          <w:lang w:val="en-US"/>
        </w:rPr>
        <w:t>.</w:t>
      </w:r>
    </w:p>
    <w:p w14:paraId="7CCB9B7B" w14:textId="378BD9C1" w:rsidR="003C588D" w:rsidRPr="00F355F5" w:rsidRDefault="003C588D" w:rsidP="00E6550C">
      <w:pPr>
        <w:spacing w:after="0" w:line="240" w:lineRule="auto"/>
        <w:ind w:right="562"/>
        <w:jc w:val="both"/>
        <w:rPr>
          <w:rFonts w:ascii="Times New Roman" w:hAnsi="Times New Roman"/>
          <w:sz w:val="18"/>
          <w:szCs w:val="18"/>
          <w:shd w:val="clear" w:color="auto" w:fill="FFFFFF"/>
        </w:rPr>
      </w:pPr>
      <w:r>
        <w:rPr>
          <w:rFonts w:ascii="Times New Roman" w:hAnsi="Times New Roman"/>
          <w:sz w:val="16"/>
          <w:szCs w:val="18"/>
          <w:lang w:val="en-US"/>
        </w:rPr>
        <w:t>3</w:t>
      </w:r>
      <w:r w:rsidRPr="00D40E21">
        <w:rPr>
          <w:rFonts w:ascii="Times New Roman" w:hAnsi="Times New Roman"/>
          <w:sz w:val="16"/>
          <w:szCs w:val="18"/>
          <w:lang w:val="en-US"/>
        </w:rPr>
        <w:t>Centre for Research in Accounting, Accountability &amp; Governance, Department of Accounting, Southampton Business School, University of Southampton, Southampton, UK</w:t>
      </w:r>
      <w:r w:rsidR="00E6550C">
        <w:rPr>
          <w:rFonts w:ascii="Times New Roman" w:hAnsi="Times New Roman"/>
          <w:sz w:val="16"/>
          <w:szCs w:val="18"/>
          <w:lang w:val="en-US"/>
        </w:rPr>
        <w:t>.</w:t>
      </w:r>
    </w:p>
    <w:p w14:paraId="2A18C2C2" w14:textId="77777777" w:rsidR="003C588D" w:rsidRDefault="003C588D" w:rsidP="003C588D">
      <w:pPr>
        <w:spacing w:line="360" w:lineRule="auto"/>
        <w:ind w:right="562"/>
        <w:rPr>
          <w:rFonts w:ascii="Times New Roman" w:hAnsi="Times New Roman"/>
          <w:sz w:val="18"/>
          <w:szCs w:val="18"/>
          <w:shd w:val="clear" w:color="auto" w:fill="FFFFFF"/>
        </w:rPr>
      </w:pPr>
    </w:p>
    <w:p w14:paraId="12F456BC" w14:textId="77777777" w:rsidR="003C588D" w:rsidRPr="005755F3" w:rsidRDefault="003C588D" w:rsidP="003C588D">
      <w:pPr>
        <w:spacing w:line="360" w:lineRule="auto"/>
        <w:ind w:right="562"/>
        <w:rPr>
          <w:rFonts w:ascii="Times New Roman" w:hAnsi="Times New Roman"/>
          <w:sz w:val="18"/>
          <w:szCs w:val="18"/>
        </w:rPr>
      </w:pPr>
    </w:p>
    <w:p w14:paraId="42B01DFF" w14:textId="77777777" w:rsidR="003C588D" w:rsidRPr="00314690" w:rsidRDefault="003C588D" w:rsidP="003C588D">
      <w:pPr>
        <w:pStyle w:val="FootnoteText"/>
        <w:rPr>
          <w:rFonts w:ascii="Times New Roman" w:hAnsi="Times New Roman"/>
          <w:sz w:val="18"/>
          <w:szCs w:val="18"/>
          <w:lang w:val="en-US"/>
        </w:rPr>
      </w:pPr>
    </w:p>
  </w:footnote>
  <w:footnote w:id="3">
    <w:p w14:paraId="1610372F" w14:textId="7EEA84DA" w:rsidR="0037279A" w:rsidRPr="00111938" w:rsidRDefault="0037279A" w:rsidP="005E1330">
      <w:pPr>
        <w:pStyle w:val="FootnoteText"/>
        <w:jc w:val="both"/>
        <w:rPr>
          <w:rFonts w:ascii="Times New Roman" w:hAnsi="Times New Roman"/>
        </w:rPr>
      </w:pPr>
      <w:r w:rsidRPr="003C588D">
        <w:rPr>
          <w:rStyle w:val="FootnoteReference"/>
          <w:rFonts w:ascii="Times New Roman" w:hAnsi="Times New Roman"/>
        </w:rPr>
        <w:footnoteRef/>
      </w:r>
      <w:r w:rsidRPr="003C588D">
        <w:rPr>
          <w:rFonts w:ascii="Times New Roman" w:hAnsi="Times New Roman"/>
          <w:lang w:val="en-US"/>
        </w:rPr>
        <w:t>Our sample period starts from 2004 because the World Bank Doing Business (WBDB) database on credit information sharing starts from 2004. There was a methodological change in the construction of the credit information sharing index in 2012. The index, therefore, now ranged from 0 to 8 instead of 0 to 6. To avoid the potential confounding effects of this methodological change, as well as to be consistent with prior studies (e.g.</w:t>
      </w:r>
      <w:r w:rsidR="008F2CDB" w:rsidRPr="003C588D">
        <w:rPr>
          <w:rFonts w:ascii="Times New Roman" w:hAnsi="Times New Roman"/>
          <w:lang w:val="en-US"/>
        </w:rPr>
        <w:t>,</w:t>
      </w:r>
      <w:r w:rsidRPr="003C588D">
        <w:rPr>
          <w:rFonts w:ascii="Times New Roman" w:hAnsi="Times New Roman"/>
          <w:lang w:val="en-US"/>
        </w:rPr>
        <w:t xml:space="preserve"> </w:t>
      </w:r>
      <w:bookmarkStart w:id="4" w:name="_Hlk535465112"/>
      <w:r w:rsidRPr="003C588D">
        <w:rPr>
          <w:rFonts w:ascii="Times New Roman" w:hAnsi="Times New Roman"/>
          <w:lang w:val="en-US"/>
        </w:rPr>
        <w:t xml:space="preserve">Kalyvas and </w:t>
      </w:r>
      <w:proofErr w:type="spellStart"/>
      <w:r w:rsidRPr="003C588D">
        <w:rPr>
          <w:rFonts w:ascii="Times New Roman" w:hAnsi="Times New Roman"/>
          <w:lang w:val="en-US"/>
        </w:rPr>
        <w:t>Mamatzakis</w:t>
      </w:r>
      <w:proofErr w:type="spellEnd"/>
      <w:r w:rsidRPr="003C588D">
        <w:rPr>
          <w:rFonts w:ascii="Times New Roman" w:hAnsi="Times New Roman"/>
          <w:lang w:val="en-US"/>
        </w:rPr>
        <w:t>, 2017</w:t>
      </w:r>
      <w:bookmarkEnd w:id="4"/>
      <w:r w:rsidRPr="003C588D">
        <w:rPr>
          <w:rFonts w:ascii="Times New Roman" w:hAnsi="Times New Roman"/>
          <w:lang w:val="en-US"/>
        </w:rPr>
        <w:t>), we decided to employ 2012 as our cut-off period.</w:t>
      </w:r>
    </w:p>
  </w:footnote>
  <w:footnote w:id="4">
    <w:p w14:paraId="00DA1A6A" w14:textId="090F675E" w:rsidR="0037279A" w:rsidRPr="00E139C8" w:rsidRDefault="0037279A" w:rsidP="00E139C8">
      <w:pPr>
        <w:pStyle w:val="FootnoteText"/>
        <w:jc w:val="both"/>
        <w:rPr>
          <w:rFonts w:ascii="Times New Roman" w:hAnsi="Times New Roman"/>
        </w:rPr>
      </w:pPr>
      <w:r w:rsidRPr="003C588D">
        <w:rPr>
          <w:rStyle w:val="FootnoteReference"/>
          <w:rFonts w:ascii="Times New Roman" w:hAnsi="Times New Roman"/>
        </w:rPr>
        <w:footnoteRef/>
      </w:r>
      <w:r w:rsidRPr="003C588D">
        <w:rPr>
          <w:rFonts w:ascii="Times New Roman" w:hAnsi="Times New Roman"/>
          <w:lang w:val="en-US"/>
        </w:rPr>
        <w:t>We also deal with normality and linearity issues by using GMM</w:t>
      </w:r>
      <w:r w:rsidR="00EE1C0F" w:rsidRPr="003C588D">
        <w:rPr>
          <w:rFonts w:ascii="Times New Roman" w:hAnsi="Times New Roman"/>
          <w:lang w:val="en-US"/>
        </w:rPr>
        <w:t>,</w:t>
      </w:r>
      <w:r w:rsidRPr="003C588D">
        <w:rPr>
          <w:rFonts w:ascii="Times New Roman" w:hAnsi="Times New Roman"/>
          <w:lang w:val="en-US"/>
        </w:rPr>
        <w:t xml:space="preserve"> which invokes the central limit theorem for the asymptotic normality of coefficients (even in cases</w:t>
      </w:r>
      <w:r w:rsidR="00EE1C0F" w:rsidRPr="003C588D">
        <w:rPr>
          <w:rFonts w:ascii="Times New Roman" w:hAnsi="Times New Roman"/>
          <w:lang w:val="en-US"/>
        </w:rPr>
        <w:t>,</w:t>
      </w:r>
      <w:r w:rsidRPr="003C588D">
        <w:rPr>
          <w:rFonts w:ascii="Times New Roman" w:hAnsi="Times New Roman"/>
          <w:lang w:val="en-US"/>
        </w:rPr>
        <w:t xml:space="preserve"> where the residuals are not normal) and</w:t>
      </w:r>
      <w:r w:rsidR="00EE1C0F" w:rsidRPr="003C588D">
        <w:rPr>
          <w:rFonts w:ascii="Times New Roman" w:hAnsi="Times New Roman"/>
          <w:lang w:val="en-US"/>
        </w:rPr>
        <w:t>,</w:t>
      </w:r>
      <w:r w:rsidRPr="003C588D">
        <w:rPr>
          <w:rFonts w:ascii="Times New Roman" w:hAnsi="Times New Roman"/>
          <w:lang w:val="en-US"/>
        </w:rPr>
        <w:t xml:space="preserve"> therefore</w:t>
      </w:r>
      <w:r w:rsidR="00EE1C0F" w:rsidRPr="003C588D">
        <w:rPr>
          <w:rFonts w:ascii="Times New Roman" w:hAnsi="Times New Roman"/>
          <w:lang w:val="en-US"/>
        </w:rPr>
        <w:t>,</w:t>
      </w:r>
      <w:r w:rsidRPr="003C588D">
        <w:rPr>
          <w:rFonts w:ascii="Times New Roman" w:hAnsi="Times New Roman"/>
          <w:lang w:val="en-US"/>
        </w:rPr>
        <w:t xml:space="preserve"> does not require a pre-estimation test of normality. We also use robust (</w:t>
      </w:r>
      <w:proofErr w:type="spellStart"/>
      <w:r w:rsidRPr="003C588D">
        <w:rPr>
          <w:rFonts w:ascii="Times New Roman" w:hAnsi="Times New Roman"/>
          <w:lang w:val="en-US"/>
        </w:rPr>
        <w:t>Windmeijer</w:t>
      </w:r>
      <w:proofErr w:type="spellEnd"/>
      <w:r w:rsidRPr="003C588D">
        <w:rPr>
          <w:rFonts w:ascii="Times New Roman" w:hAnsi="Times New Roman"/>
          <w:lang w:val="en-US"/>
        </w:rPr>
        <w:t xml:space="preserve"> finite-sample corrected) standard errors to deal with anomalies</w:t>
      </w:r>
      <w:r w:rsidR="00EE1C0F" w:rsidRPr="003C588D">
        <w:rPr>
          <w:rFonts w:ascii="Times New Roman" w:hAnsi="Times New Roman"/>
          <w:lang w:val="en-US"/>
        </w:rPr>
        <w:t>,</w:t>
      </w:r>
      <w:r w:rsidRPr="003C588D">
        <w:rPr>
          <w:rFonts w:ascii="Times New Roman" w:hAnsi="Times New Roman"/>
          <w:lang w:val="en-US"/>
        </w:rPr>
        <w:t xml:space="preserve"> which lead to autocorrelation and heteroskedasticity in the standard errors.</w:t>
      </w:r>
    </w:p>
  </w:footnote>
  <w:footnote w:id="5">
    <w:p w14:paraId="53D0E431" w14:textId="4F04251E" w:rsidR="0037279A" w:rsidRDefault="0037279A" w:rsidP="00CC13FB">
      <w:pPr>
        <w:spacing w:before="240" w:after="240" w:line="360" w:lineRule="auto"/>
        <w:jc w:val="both"/>
        <w:rPr>
          <w:rFonts w:ascii="Times New Roman" w:hAnsi="Times New Roman"/>
          <w:sz w:val="24"/>
          <w:szCs w:val="24"/>
        </w:rPr>
      </w:pPr>
      <w:r>
        <w:rPr>
          <w:rStyle w:val="FootnoteReference"/>
        </w:rPr>
        <w:footnoteRef/>
      </w:r>
      <w:r w:rsidRPr="00CC13FB">
        <w:rPr>
          <w:rFonts w:ascii="Times New Roman" w:hAnsi="Times New Roman"/>
          <w:sz w:val="18"/>
          <w:szCs w:val="24"/>
        </w:rPr>
        <w:t xml:space="preserve">Note that </w:t>
      </w:r>
      <w:r>
        <w:rPr>
          <w:rFonts w:ascii="Times New Roman" w:hAnsi="Times New Roman"/>
          <w:sz w:val="18"/>
          <w:szCs w:val="24"/>
        </w:rPr>
        <w:t xml:space="preserve">the </w:t>
      </w:r>
      <w:r w:rsidRPr="00CC13FB">
        <w:rPr>
          <w:rFonts w:ascii="Times New Roman" w:hAnsi="Times New Roman"/>
          <w:sz w:val="18"/>
          <w:szCs w:val="24"/>
        </w:rPr>
        <w:t xml:space="preserve">most recent lagged differences are used in order to avoid redundant moment conditions (see Arellano &amp; </w:t>
      </w:r>
      <w:proofErr w:type="spellStart"/>
      <w:r w:rsidRPr="00CC13FB">
        <w:rPr>
          <w:rFonts w:ascii="Times New Roman" w:hAnsi="Times New Roman"/>
          <w:sz w:val="18"/>
          <w:szCs w:val="24"/>
        </w:rPr>
        <w:t>Bover</w:t>
      </w:r>
      <w:proofErr w:type="spellEnd"/>
      <w:r w:rsidRPr="00CC13FB">
        <w:rPr>
          <w:rFonts w:ascii="Times New Roman" w:hAnsi="Times New Roman"/>
          <w:sz w:val="18"/>
          <w:szCs w:val="24"/>
        </w:rPr>
        <w:t>, 1995).</w:t>
      </w:r>
    </w:p>
    <w:p w14:paraId="1C63A273" w14:textId="1F529C9F" w:rsidR="0037279A" w:rsidRDefault="0037279A">
      <w:pPr>
        <w:pStyle w:val="FootnoteText"/>
      </w:pPr>
    </w:p>
  </w:footnote>
  <w:footnote w:id="6">
    <w:p w14:paraId="53B0C6D9" w14:textId="1D29778B" w:rsidR="0037279A" w:rsidRDefault="0037279A">
      <w:pPr>
        <w:pStyle w:val="FootnoteText"/>
      </w:pPr>
      <w:r>
        <w:rPr>
          <w:rStyle w:val="FootnoteReference"/>
        </w:rPr>
        <w:footnoteRef/>
      </w:r>
      <w:r>
        <w:t xml:space="preserve"> </w:t>
      </w:r>
      <w:r w:rsidRPr="00943286">
        <w:rPr>
          <w:rFonts w:ascii="Times New Roman" w:hAnsi="Times New Roman"/>
        </w:rPr>
        <w:t>We do not present</w:t>
      </w:r>
      <w:r>
        <w:rPr>
          <w:rFonts w:ascii="Times New Roman" w:hAnsi="Times New Roman"/>
        </w:rPr>
        <w:t xml:space="preserve"> a</w:t>
      </w:r>
      <w:r w:rsidRPr="00943286">
        <w:rPr>
          <w:rFonts w:ascii="Times New Roman" w:hAnsi="Times New Roman"/>
        </w:rPr>
        <w:t xml:space="preserve"> separate marginal effect analysis table</w:t>
      </w:r>
      <w:r>
        <w:rPr>
          <w:rFonts w:ascii="Times New Roman" w:hAnsi="Times New Roman"/>
        </w:rPr>
        <w:t xml:space="preserve"> on</w:t>
      </w:r>
      <w:r w:rsidRPr="00943286">
        <w:rPr>
          <w:rFonts w:ascii="Times New Roman" w:hAnsi="Times New Roman"/>
        </w:rPr>
        <w:t xml:space="preserve"> credit registry coverage for brevity.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3C0DA8"/>
    <w:multiLevelType w:val="hybridMultilevel"/>
    <w:tmpl w:val="5DF1CA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ED6B1B"/>
    <w:multiLevelType w:val="hybridMultilevel"/>
    <w:tmpl w:val="6A00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651C3"/>
    <w:multiLevelType w:val="hybridMultilevel"/>
    <w:tmpl w:val="C89E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024AE"/>
    <w:multiLevelType w:val="hybridMultilevel"/>
    <w:tmpl w:val="3CD4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B0AD3"/>
    <w:multiLevelType w:val="hybridMultilevel"/>
    <w:tmpl w:val="B2BC6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D44F37"/>
    <w:multiLevelType w:val="hybridMultilevel"/>
    <w:tmpl w:val="23828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02091"/>
    <w:multiLevelType w:val="hybridMultilevel"/>
    <w:tmpl w:val="852A3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04ABD"/>
    <w:multiLevelType w:val="hybridMultilevel"/>
    <w:tmpl w:val="0E24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456C2"/>
    <w:multiLevelType w:val="hybridMultilevel"/>
    <w:tmpl w:val="6C9AE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6348A"/>
    <w:multiLevelType w:val="hybridMultilevel"/>
    <w:tmpl w:val="2F180DDA"/>
    <w:lvl w:ilvl="0" w:tplc="DF28C006">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7"/>
  </w:num>
  <w:num w:numId="5">
    <w:abstractNumId w:val="3"/>
  </w:num>
  <w:num w:numId="6">
    <w:abstractNumId w:val="2"/>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BC"/>
    <w:rsid w:val="00000817"/>
    <w:rsid w:val="00001DCE"/>
    <w:rsid w:val="000021F1"/>
    <w:rsid w:val="00003895"/>
    <w:rsid w:val="00003E25"/>
    <w:rsid w:val="00004140"/>
    <w:rsid w:val="000046AB"/>
    <w:rsid w:val="00005746"/>
    <w:rsid w:val="0000577C"/>
    <w:rsid w:val="00005A62"/>
    <w:rsid w:val="0000677F"/>
    <w:rsid w:val="000067B0"/>
    <w:rsid w:val="0000763D"/>
    <w:rsid w:val="000079ED"/>
    <w:rsid w:val="00010450"/>
    <w:rsid w:val="00011415"/>
    <w:rsid w:val="00011418"/>
    <w:rsid w:val="00012191"/>
    <w:rsid w:val="00012B73"/>
    <w:rsid w:val="00015A0F"/>
    <w:rsid w:val="00015D85"/>
    <w:rsid w:val="00016B2C"/>
    <w:rsid w:val="00021152"/>
    <w:rsid w:val="0002129B"/>
    <w:rsid w:val="000221F5"/>
    <w:rsid w:val="00022CF2"/>
    <w:rsid w:val="00023B6A"/>
    <w:rsid w:val="00024BD2"/>
    <w:rsid w:val="00025B5C"/>
    <w:rsid w:val="00026674"/>
    <w:rsid w:val="00027040"/>
    <w:rsid w:val="000305A5"/>
    <w:rsid w:val="00032ADE"/>
    <w:rsid w:val="00036427"/>
    <w:rsid w:val="00036523"/>
    <w:rsid w:val="00036D36"/>
    <w:rsid w:val="000378D8"/>
    <w:rsid w:val="00037D2E"/>
    <w:rsid w:val="00043A2D"/>
    <w:rsid w:val="00043CDD"/>
    <w:rsid w:val="00044E9B"/>
    <w:rsid w:val="00046254"/>
    <w:rsid w:val="00047AF5"/>
    <w:rsid w:val="00050643"/>
    <w:rsid w:val="00051563"/>
    <w:rsid w:val="00051EB1"/>
    <w:rsid w:val="000522CD"/>
    <w:rsid w:val="000542D0"/>
    <w:rsid w:val="000555D2"/>
    <w:rsid w:val="000557C5"/>
    <w:rsid w:val="00055C72"/>
    <w:rsid w:val="0005606D"/>
    <w:rsid w:val="00056AB9"/>
    <w:rsid w:val="00057728"/>
    <w:rsid w:val="00060B85"/>
    <w:rsid w:val="00060FDF"/>
    <w:rsid w:val="0006110D"/>
    <w:rsid w:val="000635E7"/>
    <w:rsid w:val="00063C03"/>
    <w:rsid w:val="00064665"/>
    <w:rsid w:val="00067182"/>
    <w:rsid w:val="00067690"/>
    <w:rsid w:val="00070234"/>
    <w:rsid w:val="000710DC"/>
    <w:rsid w:val="00071D6E"/>
    <w:rsid w:val="00074877"/>
    <w:rsid w:val="000749F7"/>
    <w:rsid w:val="000764F4"/>
    <w:rsid w:val="000826FF"/>
    <w:rsid w:val="0008273D"/>
    <w:rsid w:val="00083133"/>
    <w:rsid w:val="0008338F"/>
    <w:rsid w:val="00083DC6"/>
    <w:rsid w:val="0008476E"/>
    <w:rsid w:val="00084AC2"/>
    <w:rsid w:val="00085162"/>
    <w:rsid w:val="00085598"/>
    <w:rsid w:val="00086A06"/>
    <w:rsid w:val="000909D8"/>
    <w:rsid w:val="00091422"/>
    <w:rsid w:val="0009388A"/>
    <w:rsid w:val="00095364"/>
    <w:rsid w:val="00095555"/>
    <w:rsid w:val="00095F12"/>
    <w:rsid w:val="00096B21"/>
    <w:rsid w:val="00097228"/>
    <w:rsid w:val="00097315"/>
    <w:rsid w:val="000977C3"/>
    <w:rsid w:val="00097CA8"/>
    <w:rsid w:val="000A1A47"/>
    <w:rsid w:val="000A55F1"/>
    <w:rsid w:val="000A64AF"/>
    <w:rsid w:val="000B0EF4"/>
    <w:rsid w:val="000B1443"/>
    <w:rsid w:val="000B162D"/>
    <w:rsid w:val="000B2171"/>
    <w:rsid w:val="000B245E"/>
    <w:rsid w:val="000B2F97"/>
    <w:rsid w:val="000B30EE"/>
    <w:rsid w:val="000B3C22"/>
    <w:rsid w:val="000B486B"/>
    <w:rsid w:val="000B5296"/>
    <w:rsid w:val="000B6237"/>
    <w:rsid w:val="000B6393"/>
    <w:rsid w:val="000B7057"/>
    <w:rsid w:val="000C00C7"/>
    <w:rsid w:val="000C0A6F"/>
    <w:rsid w:val="000C0E76"/>
    <w:rsid w:val="000C1814"/>
    <w:rsid w:val="000C1BF9"/>
    <w:rsid w:val="000C22F4"/>
    <w:rsid w:val="000C2B86"/>
    <w:rsid w:val="000C430C"/>
    <w:rsid w:val="000C4CA9"/>
    <w:rsid w:val="000C5212"/>
    <w:rsid w:val="000C5EF3"/>
    <w:rsid w:val="000C74E7"/>
    <w:rsid w:val="000C7841"/>
    <w:rsid w:val="000C791D"/>
    <w:rsid w:val="000D1B61"/>
    <w:rsid w:val="000D314A"/>
    <w:rsid w:val="000D3905"/>
    <w:rsid w:val="000D396D"/>
    <w:rsid w:val="000D66A1"/>
    <w:rsid w:val="000D6DA9"/>
    <w:rsid w:val="000E0474"/>
    <w:rsid w:val="000E0974"/>
    <w:rsid w:val="000E131A"/>
    <w:rsid w:val="000E37CC"/>
    <w:rsid w:val="000E5CA1"/>
    <w:rsid w:val="000E6640"/>
    <w:rsid w:val="000F0B27"/>
    <w:rsid w:val="000F0E73"/>
    <w:rsid w:val="000F11CC"/>
    <w:rsid w:val="000F44E4"/>
    <w:rsid w:val="000F552A"/>
    <w:rsid w:val="000F76BB"/>
    <w:rsid w:val="000F7B31"/>
    <w:rsid w:val="00101696"/>
    <w:rsid w:val="00101EC7"/>
    <w:rsid w:val="00104685"/>
    <w:rsid w:val="0010496B"/>
    <w:rsid w:val="00106275"/>
    <w:rsid w:val="00106318"/>
    <w:rsid w:val="0010637A"/>
    <w:rsid w:val="00106CF6"/>
    <w:rsid w:val="00110AB9"/>
    <w:rsid w:val="001115AB"/>
    <w:rsid w:val="00111677"/>
    <w:rsid w:val="00111E79"/>
    <w:rsid w:val="00112323"/>
    <w:rsid w:val="00112429"/>
    <w:rsid w:val="001125C2"/>
    <w:rsid w:val="001128DE"/>
    <w:rsid w:val="00113846"/>
    <w:rsid w:val="00115149"/>
    <w:rsid w:val="001156EE"/>
    <w:rsid w:val="00115D18"/>
    <w:rsid w:val="00120D46"/>
    <w:rsid w:val="00121542"/>
    <w:rsid w:val="00125FE2"/>
    <w:rsid w:val="00126020"/>
    <w:rsid w:val="0012641C"/>
    <w:rsid w:val="00134D0E"/>
    <w:rsid w:val="001356BE"/>
    <w:rsid w:val="00136B63"/>
    <w:rsid w:val="00141D75"/>
    <w:rsid w:val="00143AD5"/>
    <w:rsid w:val="00144275"/>
    <w:rsid w:val="0014453A"/>
    <w:rsid w:val="00144E8D"/>
    <w:rsid w:val="00146381"/>
    <w:rsid w:val="00147760"/>
    <w:rsid w:val="00150837"/>
    <w:rsid w:val="00151886"/>
    <w:rsid w:val="00151C18"/>
    <w:rsid w:val="00151F40"/>
    <w:rsid w:val="0015481F"/>
    <w:rsid w:val="001551F8"/>
    <w:rsid w:val="00155FC8"/>
    <w:rsid w:val="00156AD3"/>
    <w:rsid w:val="00156B05"/>
    <w:rsid w:val="00157848"/>
    <w:rsid w:val="0016044F"/>
    <w:rsid w:val="00160491"/>
    <w:rsid w:val="00160D3C"/>
    <w:rsid w:val="00161E52"/>
    <w:rsid w:val="001631E4"/>
    <w:rsid w:val="001675C9"/>
    <w:rsid w:val="0016794E"/>
    <w:rsid w:val="00172731"/>
    <w:rsid w:val="00173A60"/>
    <w:rsid w:val="00173C25"/>
    <w:rsid w:val="00174739"/>
    <w:rsid w:val="00174C29"/>
    <w:rsid w:val="001751C6"/>
    <w:rsid w:val="00177DCF"/>
    <w:rsid w:val="00180BDD"/>
    <w:rsid w:val="00181403"/>
    <w:rsid w:val="00181D89"/>
    <w:rsid w:val="00183329"/>
    <w:rsid w:val="00184B01"/>
    <w:rsid w:val="001866B5"/>
    <w:rsid w:val="00186B5F"/>
    <w:rsid w:val="00186BDE"/>
    <w:rsid w:val="00191C5C"/>
    <w:rsid w:val="00192A48"/>
    <w:rsid w:val="00194130"/>
    <w:rsid w:val="00195497"/>
    <w:rsid w:val="001962E2"/>
    <w:rsid w:val="001A0BC2"/>
    <w:rsid w:val="001A19CE"/>
    <w:rsid w:val="001A24BB"/>
    <w:rsid w:val="001A3738"/>
    <w:rsid w:val="001A39EF"/>
    <w:rsid w:val="001A3A28"/>
    <w:rsid w:val="001A3A63"/>
    <w:rsid w:val="001A4BE1"/>
    <w:rsid w:val="001A7DA2"/>
    <w:rsid w:val="001B0039"/>
    <w:rsid w:val="001B0315"/>
    <w:rsid w:val="001B1B14"/>
    <w:rsid w:val="001B21DA"/>
    <w:rsid w:val="001B33F1"/>
    <w:rsid w:val="001B3784"/>
    <w:rsid w:val="001B54F9"/>
    <w:rsid w:val="001B54FE"/>
    <w:rsid w:val="001B55F0"/>
    <w:rsid w:val="001B6642"/>
    <w:rsid w:val="001B7116"/>
    <w:rsid w:val="001B7F2F"/>
    <w:rsid w:val="001C083C"/>
    <w:rsid w:val="001C459E"/>
    <w:rsid w:val="001C5296"/>
    <w:rsid w:val="001C57DF"/>
    <w:rsid w:val="001C72D1"/>
    <w:rsid w:val="001D2181"/>
    <w:rsid w:val="001D2651"/>
    <w:rsid w:val="001D3C60"/>
    <w:rsid w:val="001D400B"/>
    <w:rsid w:val="001D4923"/>
    <w:rsid w:val="001D4C46"/>
    <w:rsid w:val="001D77C9"/>
    <w:rsid w:val="001D7CFC"/>
    <w:rsid w:val="001E0AD5"/>
    <w:rsid w:val="001E103A"/>
    <w:rsid w:val="001E19F3"/>
    <w:rsid w:val="001E218A"/>
    <w:rsid w:val="001E23E3"/>
    <w:rsid w:val="001E2FAC"/>
    <w:rsid w:val="001E4FDA"/>
    <w:rsid w:val="001E5269"/>
    <w:rsid w:val="001E6240"/>
    <w:rsid w:val="001E6FA9"/>
    <w:rsid w:val="001E71B9"/>
    <w:rsid w:val="001F23CE"/>
    <w:rsid w:val="001F3367"/>
    <w:rsid w:val="001F3392"/>
    <w:rsid w:val="001F636A"/>
    <w:rsid w:val="001F7F84"/>
    <w:rsid w:val="0020141D"/>
    <w:rsid w:val="00203019"/>
    <w:rsid w:val="002033CF"/>
    <w:rsid w:val="002042DA"/>
    <w:rsid w:val="00205141"/>
    <w:rsid w:val="00205822"/>
    <w:rsid w:val="00205AA5"/>
    <w:rsid w:val="00205FE4"/>
    <w:rsid w:val="00206CC4"/>
    <w:rsid w:val="0021034D"/>
    <w:rsid w:val="00210D99"/>
    <w:rsid w:val="002116D8"/>
    <w:rsid w:val="00211C0E"/>
    <w:rsid w:val="002125C1"/>
    <w:rsid w:val="00213489"/>
    <w:rsid w:val="00214BA9"/>
    <w:rsid w:val="00215131"/>
    <w:rsid w:val="00215F03"/>
    <w:rsid w:val="00216743"/>
    <w:rsid w:val="002171BA"/>
    <w:rsid w:val="00217DAE"/>
    <w:rsid w:val="002217E6"/>
    <w:rsid w:val="00221EF9"/>
    <w:rsid w:val="002221F2"/>
    <w:rsid w:val="002236A1"/>
    <w:rsid w:val="00224276"/>
    <w:rsid w:val="00225600"/>
    <w:rsid w:val="00226D71"/>
    <w:rsid w:val="002274DB"/>
    <w:rsid w:val="00227C70"/>
    <w:rsid w:val="00230337"/>
    <w:rsid w:val="0023087C"/>
    <w:rsid w:val="00231823"/>
    <w:rsid w:val="00234B55"/>
    <w:rsid w:val="00234C01"/>
    <w:rsid w:val="0023518A"/>
    <w:rsid w:val="002357C3"/>
    <w:rsid w:val="00235BC5"/>
    <w:rsid w:val="00240359"/>
    <w:rsid w:val="002406C3"/>
    <w:rsid w:val="00240F2F"/>
    <w:rsid w:val="00241F65"/>
    <w:rsid w:val="00242438"/>
    <w:rsid w:val="002444C6"/>
    <w:rsid w:val="002459C8"/>
    <w:rsid w:val="00246F09"/>
    <w:rsid w:val="00247718"/>
    <w:rsid w:val="0025287E"/>
    <w:rsid w:val="00253586"/>
    <w:rsid w:val="00254197"/>
    <w:rsid w:val="002546E9"/>
    <w:rsid w:val="002551E5"/>
    <w:rsid w:val="002567BD"/>
    <w:rsid w:val="00260E43"/>
    <w:rsid w:val="00261508"/>
    <w:rsid w:val="00261EBC"/>
    <w:rsid w:val="00262D25"/>
    <w:rsid w:val="00262DA7"/>
    <w:rsid w:val="00263560"/>
    <w:rsid w:val="00263EE9"/>
    <w:rsid w:val="0026642D"/>
    <w:rsid w:val="002664F1"/>
    <w:rsid w:val="00267154"/>
    <w:rsid w:val="00270DA6"/>
    <w:rsid w:val="00271BF6"/>
    <w:rsid w:val="00272A09"/>
    <w:rsid w:val="00272D12"/>
    <w:rsid w:val="0027532C"/>
    <w:rsid w:val="00275538"/>
    <w:rsid w:val="0027646C"/>
    <w:rsid w:val="00276B8B"/>
    <w:rsid w:val="00277618"/>
    <w:rsid w:val="002777FE"/>
    <w:rsid w:val="002779C9"/>
    <w:rsid w:val="0028099D"/>
    <w:rsid w:val="00281105"/>
    <w:rsid w:val="0028146D"/>
    <w:rsid w:val="002821D4"/>
    <w:rsid w:val="0028252E"/>
    <w:rsid w:val="002846CE"/>
    <w:rsid w:val="00284D48"/>
    <w:rsid w:val="0028611F"/>
    <w:rsid w:val="00286628"/>
    <w:rsid w:val="0029014A"/>
    <w:rsid w:val="00291F3C"/>
    <w:rsid w:val="00292BA4"/>
    <w:rsid w:val="00292E7C"/>
    <w:rsid w:val="00293E2A"/>
    <w:rsid w:val="00293F36"/>
    <w:rsid w:val="00293F9C"/>
    <w:rsid w:val="00295BE8"/>
    <w:rsid w:val="00297402"/>
    <w:rsid w:val="00297DB6"/>
    <w:rsid w:val="002A038D"/>
    <w:rsid w:val="002A16D6"/>
    <w:rsid w:val="002A2A1A"/>
    <w:rsid w:val="002A4D90"/>
    <w:rsid w:val="002A4E22"/>
    <w:rsid w:val="002A6282"/>
    <w:rsid w:val="002A64BC"/>
    <w:rsid w:val="002A654B"/>
    <w:rsid w:val="002B0A6F"/>
    <w:rsid w:val="002B0E02"/>
    <w:rsid w:val="002B1729"/>
    <w:rsid w:val="002B226E"/>
    <w:rsid w:val="002B244F"/>
    <w:rsid w:val="002B6189"/>
    <w:rsid w:val="002B725E"/>
    <w:rsid w:val="002C037C"/>
    <w:rsid w:val="002C119F"/>
    <w:rsid w:val="002C11CA"/>
    <w:rsid w:val="002C196A"/>
    <w:rsid w:val="002C23D3"/>
    <w:rsid w:val="002C2747"/>
    <w:rsid w:val="002C305D"/>
    <w:rsid w:val="002C3C8E"/>
    <w:rsid w:val="002C4825"/>
    <w:rsid w:val="002C4D27"/>
    <w:rsid w:val="002C4DCC"/>
    <w:rsid w:val="002C4EB3"/>
    <w:rsid w:val="002C5132"/>
    <w:rsid w:val="002C626C"/>
    <w:rsid w:val="002D0E1D"/>
    <w:rsid w:val="002D2C80"/>
    <w:rsid w:val="002D46A2"/>
    <w:rsid w:val="002D4C11"/>
    <w:rsid w:val="002D4F36"/>
    <w:rsid w:val="002D6790"/>
    <w:rsid w:val="002D67D8"/>
    <w:rsid w:val="002D7C72"/>
    <w:rsid w:val="002E022C"/>
    <w:rsid w:val="002E0D7B"/>
    <w:rsid w:val="002E1649"/>
    <w:rsid w:val="002F00F7"/>
    <w:rsid w:val="002F424B"/>
    <w:rsid w:val="002F462B"/>
    <w:rsid w:val="002F48BE"/>
    <w:rsid w:val="002F5041"/>
    <w:rsid w:val="002F52E9"/>
    <w:rsid w:val="002F53F8"/>
    <w:rsid w:val="002F599E"/>
    <w:rsid w:val="002F5A7E"/>
    <w:rsid w:val="002F6B07"/>
    <w:rsid w:val="0030014C"/>
    <w:rsid w:val="00300B11"/>
    <w:rsid w:val="003020E7"/>
    <w:rsid w:val="003034AD"/>
    <w:rsid w:val="00304611"/>
    <w:rsid w:val="003048B2"/>
    <w:rsid w:val="003066DF"/>
    <w:rsid w:val="00306927"/>
    <w:rsid w:val="00306E47"/>
    <w:rsid w:val="00307266"/>
    <w:rsid w:val="003074D1"/>
    <w:rsid w:val="0031099B"/>
    <w:rsid w:val="00310BC8"/>
    <w:rsid w:val="00310D3E"/>
    <w:rsid w:val="00311894"/>
    <w:rsid w:val="0031463E"/>
    <w:rsid w:val="003163B4"/>
    <w:rsid w:val="00316F3F"/>
    <w:rsid w:val="00317ADC"/>
    <w:rsid w:val="003205A2"/>
    <w:rsid w:val="00320665"/>
    <w:rsid w:val="0032127A"/>
    <w:rsid w:val="00322AE1"/>
    <w:rsid w:val="00322D52"/>
    <w:rsid w:val="00324302"/>
    <w:rsid w:val="00324334"/>
    <w:rsid w:val="00327028"/>
    <w:rsid w:val="00327C8F"/>
    <w:rsid w:val="00331256"/>
    <w:rsid w:val="00332654"/>
    <w:rsid w:val="00332DCC"/>
    <w:rsid w:val="00335F9B"/>
    <w:rsid w:val="00336404"/>
    <w:rsid w:val="00336867"/>
    <w:rsid w:val="00337FCE"/>
    <w:rsid w:val="00341645"/>
    <w:rsid w:val="00342E35"/>
    <w:rsid w:val="00343438"/>
    <w:rsid w:val="00344605"/>
    <w:rsid w:val="0034476E"/>
    <w:rsid w:val="00346225"/>
    <w:rsid w:val="003470BD"/>
    <w:rsid w:val="003519C8"/>
    <w:rsid w:val="00351C5E"/>
    <w:rsid w:val="003527C3"/>
    <w:rsid w:val="00353435"/>
    <w:rsid w:val="003544CC"/>
    <w:rsid w:val="00354921"/>
    <w:rsid w:val="003567DB"/>
    <w:rsid w:val="0035686E"/>
    <w:rsid w:val="00356BE7"/>
    <w:rsid w:val="00356F44"/>
    <w:rsid w:val="0035730F"/>
    <w:rsid w:val="003579D8"/>
    <w:rsid w:val="0036024D"/>
    <w:rsid w:val="0036368F"/>
    <w:rsid w:val="00364036"/>
    <w:rsid w:val="00365F84"/>
    <w:rsid w:val="0036629D"/>
    <w:rsid w:val="0036639C"/>
    <w:rsid w:val="003670B7"/>
    <w:rsid w:val="003670C8"/>
    <w:rsid w:val="00370539"/>
    <w:rsid w:val="0037279A"/>
    <w:rsid w:val="00372AAE"/>
    <w:rsid w:val="0037302F"/>
    <w:rsid w:val="00374A04"/>
    <w:rsid w:val="00374FD9"/>
    <w:rsid w:val="00375BAB"/>
    <w:rsid w:val="003769A9"/>
    <w:rsid w:val="003801E8"/>
    <w:rsid w:val="00381A81"/>
    <w:rsid w:val="0038240D"/>
    <w:rsid w:val="003834AD"/>
    <w:rsid w:val="00383542"/>
    <w:rsid w:val="003838FE"/>
    <w:rsid w:val="00383AD8"/>
    <w:rsid w:val="00384262"/>
    <w:rsid w:val="00384299"/>
    <w:rsid w:val="00385FCD"/>
    <w:rsid w:val="00386461"/>
    <w:rsid w:val="00387E14"/>
    <w:rsid w:val="0039093A"/>
    <w:rsid w:val="00390F3F"/>
    <w:rsid w:val="00391469"/>
    <w:rsid w:val="00391AC3"/>
    <w:rsid w:val="00391E7A"/>
    <w:rsid w:val="003925EC"/>
    <w:rsid w:val="00392D0A"/>
    <w:rsid w:val="00392F02"/>
    <w:rsid w:val="003939A3"/>
    <w:rsid w:val="00394E9C"/>
    <w:rsid w:val="00394FF5"/>
    <w:rsid w:val="00395619"/>
    <w:rsid w:val="003964CA"/>
    <w:rsid w:val="003A2B52"/>
    <w:rsid w:val="003A2B79"/>
    <w:rsid w:val="003A2C31"/>
    <w:rsid w:val="003A360D"/>
    <w:rsid w:val="003A3799"/>
    <w:rsid w:val="003A3A00"/>
    <w:rsid w:val="003A3F55"/>
    <w:rsid w:val="003A4AB6"/>
    <w:rsid w:val="003A51C2"/>
    <w:rsid w:val="003A5371"/>
    <w:rsid w:val="003A53BE"/>
    <w:rsid w:val="003A5B7F"/>
    <w:rsid w:val="003A5CCA"/>
    <w:rsid w:val="003A5D8F"/>
    <w:rsid w:val="003A5E46"/>
    <w:rsid w:val="003A6486"/>
    <w:rsid w:val="003A656C"/>
    <w:rsid w:val="003A6CE1"/>
    <w:rsid w:val="003B17D3"/>
    <w:rsid w:val="003B1840"/>
    <w:rsid w:val="003B30AC"/>
    <w:rsid w:val="003B4E8C"/>
    <w:rsid w:val="003B5293"/>
    <w:rsid w:val="003B58C7"/>
    <w:rsid w:val="003B6DCE"/>
    <w:rsid w:val="003B6E8B"/>
    <w:rsid w:val="003B77A3"/>
    <w:rsid w:val="003C01EC"/>
    <w:rsid w:val="003C090F"/>
    <w:rsid w:val="003C1915"/>
    <w:rsid w:val="003C24E4"/>
    <w:rsid w:val="003C3204"/>
    <w:rsid w:val="003C3EDE"/>
    <w:rsid w:val="003C4020"/>
    <w:rsid w:val="003C43A6"/>
    <w:rsid w:val="003C4CCD"/>
    <w:rsid w:val="003C51FF"/>
    <w:rsid w:val="003C520E"/>
    <w:rsid w:val="003C542E"/>
    <w:rsid w:val="003C55A7"/>
    <w:rsid w:val="003C588D"/>
    <w:rsid w:val="003C60B6"/>
    <w:rsid w:val="003C6AD2"/>
    <w:rsid w:val="003C7692"/>
    <w:rsid w:val="003C7D50"/>
    <w:rsid w:val="003D0140"/>
    <w:rsid w:val="003D0713"/>
    <w:rsid w:val="003D0B15"/>
    <w:rsid w:val="003D1399"/>
    <w:rsid w:val="003D1F1C"/>
    <w:rsid w:val="003D22C7"/>
    <w:rsid w:val="003D2432"/>
    <w:rsid w:val="003D3644"/>
    <w:rsid w:val="003D36D9"/>
    <w:rsid w:val="003D43EE"/>
    <w:rsid w:val="003D4C21"/>
    <w:rsid w:val="003D6D4F"/>
    <w:rsid w:val="003E1E8C"/>
    <w:rsid w:val="003E2015"/>
    <w:rsid w:val="003E30F5"/>
    <w:rsid w:val="003E3348"/>
    <w:rsid w:val="003E338A"/>
    <w:rsid w:val="003E3E1F"/>
    <w:rsid w:val="003E3E8B"/>
    <w:rsid w:val="003E4081"/>
    <w:rsid w:val="003E58B4"/>
    <w:rsid w:val="003E7903"/>
    <w:rsid w:val="003E7E26"/>
    <w:rsid w:val="003F044B"/>
    <w:rsid w:val="003F1186"/>
    <w:rsid w:val="003F208A"/>
    <w:rsid w:val="003F2371"/>
    <w:rsid w:val="003F2486"/>
    <w:rsid w:val="003F3AE4"/>
    <w:rsid w:val="003F7FA2"/>
    <w:rsid w:val="00400C86"/>
    <w:rsid w:val="00401434"/>
    <w:rsid w:val="00402091"/>
    <w:rsid w:val="004021D3"/>
    <w:rsid w:val="004035FE"/>
    <w:rsid w:val="004052D5"/>
    <w:rsid w:val="00405B67"/>
    <w:rsid w:val="00405CF0"/>
    <w:rsid w:val="00405DA4"/>
    <w:rsid w:val="004061C8"/>
    <w:rsid w:val="00406453"/>
    <w:rsid w:val="00406A7A"/>
    <w:rsid w:val="00406BE0"/>
    <w:rsid w:val="00410627"/>
    <w:rsid w:val="00411462"/>
    <w:rsid w:val="00412162"/>
    <w:rsid w:val="00412E95"/>
    <w:rsid w:val="00414672"/>
    <w:rsid w:val="00421B0C"/>
    <w:rsid w:val="004229BE"/>
    <w:rsid w:val="00422E04"/>
    <w:rsid w:val="004235FF"/>
    <w:rsid w:val="00425BFC"/>
    <w:rsid w:val="00426DD8"/>
    <w:rsid w:val="00427042"/>
    <w:rsid w:val="00427866"/>
    <w:rsid w:val="00427905"/>
    <w:rsid w:val="004308D4"/>
    <w:rsid w:val="004312B0"/>
    <w:rsid w:val="0043262A"/>
    <w:rsid w:val="00432F39"/>
    <w:rsid w:val="00433CAB"/>
    <w:rsid w:val="00433FBA"/>
    <w:rsid w:val="004345DD"/>
    <w:rsid w:val="00434CCC"/>
    <w:rsid w:val="004351E1"/>
    <w:rsid w:val="00435411"/>
    <w:rsid w:val="00435EC2"/>
    <w:rsid w:val="00435FC6"/>
    <w:rsid w:val="00436A5C"/>
    <w:rsid w:val="00436C66"/>
    <w:rsid w:val="00441344"/>
    <w:rsid w:val="00441AF6"/>
    <w:rsid w:val="00442D77"/>
    <w:rsid w:val="00443DB8"/>
    <w:rsid w:val="00444591"/>
    <w:rsid w:val="00444D9D"/>
    <w:rsid w:val="00444DBA"/>
    <w:rsid w:val="004464C7"/>
    <w:rsid w:val="00446BF6"/>
    <w:rsid w:val="00447458"/>
    <w:rsid w:val="0044781A"/>
    <w:rsid w:val="00447909"/>
    <w:rsid w:val="00447FBF"/>
    <w:rsid w:val="0045018A"/>
    <w:rsid w:val="00450518"/>
    <w:rsid w:val="004508C3"/>
    <w:rsid w:val="00451B35"/>
    <w:rsid w:val="004534AE"/>
    <w:rsid w:val="004540EB"/>
    <w:rsid w:val="00455C8D"/>
    <w:rsid w:val="004571F8"/>
    <w:rsid w:val="004573F3"/>
    <w:rsid w:val="0045779C"/>
    <w:rsid w:val="00461BB3"/>
    <w:rsid w:val="00461E33"/>
    <w:rsid w:val="0046207E"/>
    <w:rsid w:val="0046268E"/>
    <w:rsid w:val="0046410C"/>
    <w:rsid w:val="00464AF1"/>
    <w:rsid w:val="00465CE0"/>
    <w:rsid w:val="00465DC7"/>
    <w:rsid w:val="00466856"/>
    <w:rsid w:val="0046738D"/>
    <w:rsid w:val="00471C7E"/>
    <w:rsid w:val="00471D10"/>
    <w:rsid w:val="0047440A"/>
    <w:rsid w:val="004745B5"/>
    <w:rsid w:val="00474767"/>
    <w:rsid w:val="00476D66"/>
    <w:rsid w:val="00480F72"/>
    <w:rsid w:val="004814EE"/>
    <w:rsid w:val="00481E05"/>
    <w:rsid w:val="00482F8B"/>
    <w:rsid w:val="00483546"/>
    <w:rsid w:val="00483907"/>
    <w:rsid w:val="00483C76"/>
    <w:rsid w:val="00484A76"/>
    <w:rsid w:val="004850AB"/>
    <w:rsid w:val="004854DA"/>
    <w:rsid w:val="00486F3F"/>
    <w:rsid w:val="0049000A"/>
    <w:rsid w:val="004904B9"/>
    <w:rsid w:val="004916F1"/>
    <w:rsid w:val="00492150"/>
    <w:rsid w:val="00492B2F"/>
    <w:rsid w:val="00493E2E"/>
    <w:rsid w:val="00495E04"/>
    <w:rsid w:val="00495FED"/>
    <w:rsid w:val="00496B71"/>
    <w:rsid w:val="00496B85"/>
    <w:rsid w:val="00497BEC"/>
    <w:rsid w:val="00497FD3"/>
    <w:rsid w:val="00497FDC"/>
    <w:rsid w:val="004A07B7"/>
    <w:rsid w:val="004A0B4F"/>
    <w:rsid w:val="004A1AFD"/>
    <w:rsid w:val="004A23B3"/>
    <w:rsid w:val="004A396A"/>
    <w:rsid w:val="004A58D0"/>
    <w:rsid w:val="004A5DB9"/>
    <w:rsid w:val="004A6DA3"/>
    <w:rsid w:val="004A72B4"/>
    <w:rsid w:val="004A7EF4"/>
    <w:rsid w:val="004B12B1"/>
    <w:rsid w:val="004B2140"/>
    <w:rsid w:val="004B227F"/>
    <w:rsid w:val="004B285C"/>
    <w:rsid w:val="004B2D20"/>
    <w:rsid w:val="004B3A7C"/>
    <w:rsid w:val="004B4048"/>
    <w:rsid w:val="004B47AD"/>
    <w:rsid w:val="004B5916"/>
    <w:rsid w:val="004B5C7A"/>
    <w:rsid w:val="004C0D2F"/>
    <w:rsid w:val="004C1955"/>
    <w:rsid w:val="004C19BE"/>
    <w:rsid w:val="004C2A1C"/>
    <w:rsid w:val="004C2E7C"/>
    <w:rsid w:val="004C41A8"/>
    <w:rsid w:val="004C78CC"/>
    <w:rsid w:val="004D011F"/>
    <w:rsid w:val="004D03EF"/>
    <w:rsid w:val="004D1711"/>
    <w:rsid w:val="004D3524"/>
    <w:rsid w:val="004D36FC"/>
    <w:rsid w:val="004D3B2B"/>
    <w:rsid w:val="004D42DC"/>
    <w:rsid w:val="004D4E53"/>
    <w:rsid w:val="004D55AC"/>
    <w:rsid w:val="004D65CD"/>
    <w:rsid w:val="004D6A62"/>
    <w:rsid w:val="004E0958"/>
    <w:rsid w:val="004E0E36"/>
    <w:rsid w:val="004E1BC2"/>
    <w:rsid w:val="004E37AA"/>
    <w:rsid w:val="004E61B3"/>
    <w:rsid w:val="004E727E"/>
    <w:rsid w:val="004E76A3"/>
    <w:rsid w:val="004E7A0A"/>
    <w:rsid w:val="004E7CE0"/>
    <w:rsid w:val="004E7D92"/>
    <w:rsid w:val="004F0ADA"/>
    <w:rsid w:val="004F164D"/>
    <w:rsid w:val="004F1B4E"/>
    <w:rsid w:val="004F286F"/>
    <w:rsid w:val="004F2985"/>
    <w:rsid w:val="004F2FF3"/>
    <w:rsid w:val="004F3DBA"/>
    <w:rsid w:val="004F427A"/>
    <w:rsid w:val="004F4DC7"/>
    <w:rsid w:val="004F4F80"/>
    <w:rsid w:val="004F666F"/>
    <w:rsid w:val="004F75A5"/>
    <w:rsid w:val="0050005C"/>
    <w:rsid w:val="00501E50"/>
    <w:rsid w:val="00505173"/>
    <w:rsid w:val="005058FD"/>
    <w:rsid w:val="00505A27"/>
    <w:rsid w:val="00506846"/>
    <w:rsid w:val="00510288"/>
    <w:rsid w:val="00510971"/>
    <w:rsid w:val="00510FAD"/>
    <w:rsid w:val="005112F7"/>
    <w:rsid w:val="00511491"/>
    <w:rsid w:val="0051251B"/>
    <w:rsid w:val="00513DA2"/>
    <w:rsid w:val="00515C37"/>
    <w:rsid w:val="005168F9"/>
    <w:rsid w:val="00516E0A"/>
    <w:rsid w:val="00517C91"/>
    <w:rsid w:val="00521F59"/>
    <w:rsid w:val="00522CDC"/>
    <w:rsid w:val="00523557"/>
    <w:rsid w:val="00523BCC"/>
    <w:rsid w:val="00525484"/>
    <w:rsid w:val="00525BD8"/>
    <w:rsid w:val="00525F5C"/>
    <w:rsid w:val="00527282"/>
    <w:rsid w:val="005320F7"/>
    <w:rsid w:val="005334F2"/>
    <w:rsid w:val="00533B14"/>
    <w:rsid w:val="00535187"/>
    <w:rsid w:val="00535A9A"/>
    <w:rsid w:val="00535EC5"/>
    <w:rsid w:val="00537DB5"/>
    <w:rsid w:val="005406DD"/>
    <w:rsid w:val="00541106"/>
    <w:rsid w:val="0054303E"/>
    <w:rsid w:val="00543113"/>
    <w:rsid w:val="005457B9"/>
    <w:rsid w:val="00545F27"/>
    <w:rsid w:val="00546F21"/>
    <w:rsid w:val="00547255"/>
    <w:rsid w:val="005472ED"/>
    <w:rsid w:val="00547806"/>
    <w:rsid w:val="00547F40"/>
    <w:rsid w:val="00550476"/>
    <w:rsid w:val="005516CA"/>
    <w:rsid w:val="005527B1"/>
    <w:rsid w:val="0055288E"/>
    <w:rsid w:val="00554ED7"/>
    <w:rsid w:val="0055532A"/>
    <w:rsid w:val="00556D01"/>
    <w:rsid w:val="005579AB"/>
    <w:rsid w:val="00560BD8"/>
    <w:rsid w:val="0056122B"/>
    <w:rsid w:val="00561760"/>
    <w:rsid w:val="00562012"/>
    <w:rsid w:val="00562713"/>
    <w:rsid w:val="00563131"/>
    <w:rsid w:val="00563278"/>
    <w:rsid w:val="00563B30"/>
    <w:rsid w:val="00564749"/>
    <w:rsid w:val="005662D1"/>
    <w:rsid w:val="005667F1"/>
    <w:rsid w:val="00570138"/>
    <w:rsid w:val="00570200"/>
    <w:rsid w:val="00570B0B"/>
    <w:rsid w:val="00570BC9"/>
    <w:rsid w:val="00573902"/>
    <w:rsid w:val="005754DC"/>
    <w:rsid w:val="005755F3"/>
    <w:rsid w:val="00580648"/>
    <w:rsid w:val="00580721"/>
    <w:rsid w:val="00580AC1"/>
    <w:rsid w:val="00580FD4"/>
    <w:rsid w:val="00582BDF"/>
    <w:rsid w:val="0058389D"/>
    <w:rsid w:val="00584B71"/>
    <w:rsid w:val="005852B1"/>
    <w:rsid w:val="00585A27"/>
    <w:rsid w:val="00587081"/>
    <w:rsid w:val="00587532"/>
    <w:rsid w:val="00587E3A"/>
    <w:rsid w:val="00590E15"/>
    <w:rsid w:val="0059232C"/>
    <w:rsid w:val="005924ED"/>
    <w:rsid w:val="00592888"/>
    <w:rsid w:val="005929F1"/>
    <w:rsid w:val="00592F02"/>
    <w:rsid w:val="00593936"/>
    <w:rsid w:val="005941CA"/>
    <w:rsid w:val="00596FA8"/>
    <w:rsid w:val="005973CB"/>
    <w:rsid w:val="005A0C6B"/>
    <w:rsid w:val="005A1068"/>
    <w:rsid w:val="005A170D"/>
    <w:rsid w:val="005A2580"/>
    <w:rsid w:val="005A3A54"/>
    <w:rsid w:val="005A4939"/>
    <w:rsid w:val="005A527C"/>
    <w:rsid w:val="005A5E04"/>
    <w:rsid w:val="005A64B8"/>
    <w:rsid w:val="005A6A36"/>
    <w:rsid w:val="005A6BA2"/>
    <w:rsid w:val="005A78F5"/>
    <w:rsid w:val="005A7B17"/>
    <w:rsid w:val="005B01CE"/>
    <w:rsid w:val="005B02A0"/>
    <w:rsid w:val="005B05AB"/>
    <w:rsid w:val="005B5FA7"/>
    <w:rsid w:val="005B74C1"/>
    <w:rsid w:val="005B765A"/>
    <w:rsid w:val="005C049B"/>
    <w:rsid w:val="005C06A1"/>
    <w:rsid w:val="005C16A8"/>
    <w:rsid w:val="005C1984"/>
    <w:rsid w:val="005C3566"/>
    <w:rsid w:val="005C4A6E"/>
    <w:rsid w:val="005C4DFA"/>
    <w:rsid w:val="005C5188"/>
    <w:rsid w:val="005C54AE"/>
    <w:rsid w:val="005C5635"/>
    <w:rsid w:val="005C7F8D"/>
    <w:rsid w:val="005D16AC"/>
    <w:rsid w:val="005D16D2"/>
    <w:rsid w:val="005D27C2"/>
    <w:rsid w:val="005D2849"/>
    <w:rsid w:val="005D2978"/>
    <w:rsid w:val="005D3F85"/>
    <w:rsid w:val="005D4307"/>
    <w:rsid w:val="005D473C"/>
    <w:rsid w:val="005D49C7"/>
    <w:rsid w:val="005D57E0"/>
    <w:rsid w:val="005D57F2"/>
    <w:rsid w:val="005D5D34"/>
    <w:rsid w:val="005D6F85"/>
    <w:rsid w:val="005E01C0"/>
    <w:rsid w:val="005E1330"/>
    <w:rsid w:val="005E150A"/>
    <w:rsid w:val="005E3704"/>
    <w:rsid w:val="005E45FD"/>
    <w:rsid w:val="005E51D1"/>
    <w:rsid w:val="005E5283"/>
    <w:rsid w:val="005E6160"/>
    <w:rsid w:val="005E6162"/>
    <w:rsid w:val="005E65DD"/>
    <w:rsid w:val="005E7145"/>
    <w:rsid w:val="005E73A1"/>
    <w:rsid w:val="005E79D6"/>
    <w:rsid w:val="005E7F8F"/>
    <w:rsid w:val="005F1A23"/>
    <w:rsid w:val="005F3452"/>
    <w:rsid w:val="00602A1F"/>
    <w:rsid w:val="00603B4C"/>
    <w:rsid w:val="00605F96"/>
    <w:rsid w:val="00606F47"/>
    <w:rsid w:val="00607900"/>
    <w:rsid w:val="006101D6"/>
    <w:rsid w:val="00610905"/>
    <w:rsid w:val="00610B4C"/>
    <w:rsid w:val="00611864"/>
    <w:rsid w:val="00611F87"/>
    <w:rsid w:val="006125A5"/>
    <w:rsid w:val="00613743"/>
    <w:rsid w:val="00614162"/>
    <w:rsid w:val="0061585B"/>
    <w:rsid w:val="0061639E"/>
    <w:rsid w:val="00616F2E"/>
    <w:rsid w:val="0062098B"/>
    <w:rsid w:val="0062121F"/>
    <w:rsid w:val="006219A8"/>
    <w:rsid w:val="00621DA3"/>
    <w:rsid w:val="006240BD"/>
    <w:rsid w:val="00624C59"/>
    <w:rsid w:val="00626561"/>
    <w:rsid w:val="00626D52"/>
    <w:rsid w:val="006277D5"/>
    <w:rsid w:val="00627FB3"/>
    <w:rsid w:val="00630308"/>
    <w:rsid w:val="00635194"/>
    <w:rsid w:val="006358ED"/>
    <w:rsid w:val="0063632F"/>
    <w:rsid w:val="00636724"/>
    <w:rsid w:val="00636A58"/>
    <w:rsid w:val="0063712D"/>
    <w:rsid w:val="00641323"/>
    <w:rsid w:val="00641809"/>
    <w:rsid w:val="00642344"/>
    <w:rsid w:val="00643614"/>
    <w:rsid w:val="00643927"/>
    <w:rsid w:val="006439C1"/>
    <w:rsid w:val="006457AF"/>
    <w:rsid w:val="006460ED"/>
    <w:rsid w:val="006469BC"/>
    <w:rsid w:val="00647243"/>
    <w:rsid w:val="00647630"/>
    <w:rsid w:val="00650BF2"/>
    <w:rsid w:val="006517DA"/>
    <w:rsid w:val="00651F5A"/>
    <w:rsid w:val="00652D3A"/>
    <w:rsid w:val="006531BA"/>
    <w:rsid w:val="006531E0"/>
    <w:rsid w:val="00653D92"/>
    <w:rsid w:val="00654051"/>
    <w:rsid w:val="00654C0B"/>
    <w:rsid w:val="00655287"/>
    <w:rsid w:val="0065792C"/>
    <w:rsid w:val="00660914"/>
    <w:rsid w:val="00660921"/>
    <w:rsid w:val="00664A7D"/>
    <w:rsid w:val="00664DEB"/>
    <w:rsid w:val="006659E8"/>
    <w:rsid w:val="00665AE5"/>
    <w:rsid w:val="00665CED"/>
    <w:rsid w:val="00667C20"/>
    <w:rsid w:val="00667C99"/>
    <w:rsid w:val="00670BF1"/>
    <w:rsid w:val="00670FB4"/>
    <w:rsid w:val="00672228"/>
    <w:rsid w:val="00674C8D"/>
    <w:rsid w:val="006752DA"/>
    <w:rsid w:val="00675549"/>
    <w:rsid w:val="00675DAC"/>
    <w:rsid w:val="00675E28"/>
    <w:rsid w:val="00677991"/>
    <w:rsid w:val="006803F8"/>
    <w:rsid w:val="006826CA"/>
    <w:rsid w:val="006835D5"/>
    <w:rsid w:val="0068374D"/>
    <w:rsid w:val="0068413E"/>
    <w:rsid w:val="00684515"/>
    <w:rsid w:val="00685632"/>
    <w:rsid w:val="00685685"/>
    <w:rsid w:val="00686E67"/>
    <w:rsid w:val="0068786F"/>
    <w:rsid w:val="00687A75"/>
    <w:rsid w:val="00687B89"/>
    <w:rsid w:val="0069023E"/>
    <w:rsid w:val="006909B4"/>
    <w:rsid w:val="00690EA3"/>
    <w:rsid w:val="00691511"/>
    <w:rsid w:val="00691829"/>
    <w:rsid w:val="00691A3C"/>
    <w:rsid w:val="00692036"/>
    <w:rsid w:val="0069242E"/>
    <w:rsid w:val="00692DBD"/>
    <w:rsid w:val="006944BC"/>
    <w:rsid w:val="00694AFE"/>
    <w:rsid w:val="00694D06"/>
    <w:rsid w:val="00695529"/>
    <w:rsid w:val="00695DF7"/>
    <w:rsid w:val="0069669C"/>
    <w:rsid w:val="00697580"/>
    <w:rsid w:val="00697920"/>
    <w:rsid w:val="00697D0E"/>
    <w:rsid w:val="006A0908"/>
    <w:rsid w:val="006A1198"/>
    <w:rsid w:val="006A30CB"/>
    <w:rsid w:val="006A46FB"/>
    <w:rsid w:val="006A5164"/>
    <w:rsid w:val="006A5C12"/>
    <w:rsid w:val="006A60D1"/>
    <w:rsid w:val="006A657C"/>
    <w:rsid w:val="006A7088"/>
    <w:rsid w:val="006A7A73"/>
    <w:rsid w:val="006B0388"/>
    <w:rsid w:val="006B07E8"/>
    <w:rsid w:val="006B109A"/>
    <w:rsid w:val="006B19AD"/>
    <w:rsid w:val="006B2ED8"/>
    <w:rsid w:val="006B2F12"/>
    <w:rsid w:val="006B3BAA"/>
    <w:rsid w:val="006B3CF7"/>
    <w:rsid w:val="006B3F17"/>
    <w:rsid w:val="006B5BA8"/>
    <w:rsid w:val="006B72CB"/>
    <w:rsid w:val="006B7F06"/>
    <w:rsid w:val="006C0E82"/>
    <w:rsid w:val="006C1473"/>
    <w:rsid w:val="006C28CB"/>
    <w:rsid w:val="006C3898"/>
    <w:rsid w:val="006C64F9"/>
    <w:rsid w:val="006D24E3"/>
    <w:rsid w:val="006D394C"/>
    <w:rsid w:val="006D467B"/>
    <w:rsid w:val="006D48C2"/>
    <w:rsid w:val="006D4938"/>
    <w:rsid w:val="006D626F"/>
    <w:rsid w:val="006D675A"/>
    <w:rsid w:val="006E02D1"/>
    <w:rsid w:val="006E0F3D"/>
    <w:rsid w:val="006E1360"/>
    <w:rsid w:val="006E1DC8"/>
    <w:rsid w:val="006E2FD4"/>
    <w:rsid w:val="006E746A"/>
    <w:rsid w:val="006E7900"/>
    <w:rsid w:val="006F0A8C"/>
    <w:rsid w:val="006F0BAC"/>
    <w:rsid w:val="006F1505"/>
    <w:rsid w:val="006F159D"/>
    <w:rsid w:val="006F29CE"/>
    <w:rsid w:val="006F2B2F"/>
    <w:rsid w:val="006F2CBF"/>
    <w:rsid w:val="006F4577"/>
    <w:rsid w:val="006F4DC6"/>
    <w:rsid w:val="006F6AC1"/>
    <w:rsid w:val="007015F6"/>
    <w:rsid w:val="007024C6"/>
    <w:rsid w:val="00702783"/>
    <w:rsid w:val="00703213"/>
    <w:rsid w:val="00703FB6"/>
    <w:rsid w:val="00705039"/>
    <w:rsid w:val="00706C32"/>
    <w:rsid w:val="00707F3E"/>
    <w:rsid w:val="00710259"/>
    <w:rsid w:val="00710905"/>
    <w:rsid w:val="00711A9D"/>
    <w:rsid w:val="007129A2"/>
    <w:rsid w:val="00712C52"/>
    <w:rsid w:val="00712F7F"/>
    <w:rsid w:val="0071460E"/>
    <w:rsid w:val="00714BAE"/>
    <w:rsid w:val="00714EB2"/>
    <w:rsid w:val="00715D37"/>
    <w:rsid w:val="00717053"/>
    <w:rsid w:val="00717E09"/>
    <w:rsid w:val="007207FF"/>
    <w:rsid w:val="00722A62"/>
    <w:rsid w:val="00722D6E"/>
    <w:rsid w:val="007238BD"/>
    <w:rsid w:val="00724FD1"/>
    <w:rsid w:val="00725A1B"/>
    <w:rsid w:val="007273A0"/>
    <w:rsid w:val="00727905"/>
    <w:rsid w:val="00727D7B"/>
    <w:rsid w:val="00727EC7"/>
    <w:rsid w:val="0073007A"/>
    <w:rsid w:val="007311B1"/>
    <w:rsid w:val="0073194F"/>
    <w:rsid w:val="00731E41"/>
    <w:rsid w:val="007320BA"/>
    <w:rsid w:val="007322D1"/>
    <w:rsid w:val="007329D4"/>
    <w:rsid w:val="007335AF"/>
    <w:rsid w:val="00733859"/>
    <w:rsid w:val="00735177"/>
    <w:rsid w:val="007356FA"/>
    <w:rsid w:val="0073580E"/>
    <w:rsid w:val="00735A1E"/>
    <w:rsid w:val="00737370"/>
    <w:rsid w:val="007403C4"/>
    <w:rsid w:val="007411C6"/>
    <w:rsid w:val="0074169E"/>
    <w:rsid w:val="00741EE0"/>
    <w:rsid w:val="007422CB"/>
    <w:rsid w:val="007437EC"/>
    <w:rsid w:val="00745265"/>
    <w:rsid w:val="0074554C"/>
    <w:rsid w:val="007464A1"/>
    <w:rsid w:val="00746EAE"/>
    <w:rsid w:val="0075022A"/>
    <w:rsid w:val="00751042"/>
    <w:rsid w:val="007510D3"/>
    <w:rsid w:val="00751809"/>
    <w:rsid w:val="00752C46"/>
    <w:rsid w:val="0075435B"/>
    <w:rsid w:val="00754960"/>
    <w:rsid w:val="00756A67"/>
    <w:rsid w:val="007571C5"/>
    <w:rsid w:val="00757D79"/>
    <w:rsid w:val="00760234"/>
    <w:rsid w:val="00761D3D"/>
    <w:rsid w:val="0076224B"/>
    <w:rsid w:val="007625DA"/>
    <w:rsid w:val="00763310"/>
    <w:rsid w:val="00763411"/>
    <w:rsid w:val="0076364B"/>
    <w:rsid w:val="00763AEF"/>
    <w:rsid w:val="00763F96"/>
    <w:rsid w:val="00764535"/>
    <w:rsid w:val="007654B0"/>
    <w:rsid w:val="007677AA"/>
    <w:rsid w:val="00770A4D"/>
    <w:rsid w:val="0077172F"/>
    <w:rsid w:val="00771A18"/>
    <w:rsid w:val="00771E11"/>
    <w:rsid w:val="007734B6"/>
    <w:rsid w:val="00775DC9"/>
    <w:rsid w:val="00777483"/>
    <w:rsid w:val="007776AA"/>
    <w:rsid w:val="007804F9"/>
    <w:rsid w:val="00781CC1"/>
    <w:rsid w:val="007824D6"/>
    <w:rsid w:val="0078346E"/>
    <w:rsid w:val="00784B65"/>
    <w:rsid w:val="00784CE9"/>
    <w:rsid w:val="00785B65"/>
    <w:rsid w:val="0078622F"/>
    <w:rsid w:val="00786C91"/>
    <w:rsid w:val="007872C6"/>
    <w:rsid w:val="007876BE"/>
    <w:rsid w:val="00791927"/>
    <w:rsid w:val="00791FF7"/>
    <w:rsid w:val="00792294"/>
    <w:rsid w:val="00792A0A"/>
    <w:rsid w:val="00792C26"/>
    <w:rsid w:val="00792C32"/>
    <w:rsid w:val="00793FBC"/>
    <w:rsid w:val="007951EA"/>
    <w:rsid w:val="007952BC"/>
    <w:rsid w:val="00796E12"/>
    <w:rsid w:val="00797E2D"/>
    <w:rsid w:val="007A0BA4"/>
    <w:rsid w:val="007A10B4"/>
    <w:rsid w:val="007A1752"/>
    <w:rsid w:val="007A1B53"/>
    <w:rsid w:val="007A219F"/>
    <w:rsid w:val="007A3310"/>
    <w:rsid w:val="007A355E"/>
    <w:rsid w:val="007A3DA7"/>
    <w:rsid w:val="007A3DF7"/>
    <w:rsid w:val="007A4655"/>
    <w:rsid w:val="007A67C0"/>
    <w:rsid w:val="007A7D87"/>
    <w:rsid w:val="007B0143"/>
    <w:rsid w:val="007B1DFB"/>
    <w:rsid w:val="007B3548"/>
    <w:rsid w:val="007B390C"/>
    <w:rsid w:val="007B4C14"/>
    <w:rsid w:val="007B6A44"/>
    <w:rsid w:val="007B7909"/>
    <w:rsid w:val="007C0A0E"/>
    <w:rsid w:val="007C192F"/>
    <w:rsid w:val="007C202D"/>
    <w:rsid w:val="007C2046"/>
    <w:rsid w:val="007C218F"/>
    <w:rsid w:val="007C5270"/>
    <w:rsid w:val="007C7363"/>
    <w:rsid w:val="007D0B3A"/>
    <w:rsid w:val="007D12DB"/>
    <w:rsid w:val="007D23B1"/>
    <w:rsid w:val="007D552D"/>
    <w:rsid w:val="007D5C2C"/>
    <w:rsid w:val="007D5F9E"/>
    <w:rsid w:val="007D6129"/>
    <w:rsid w:val="007D6950"/>
    <w:rsid w:val="007D7CE2"/>
    <w:rsid w:val="007E03EE"/>
    <w:rsid w:val="007E42BD"/>
    <w:rsid w:val="007E4603"/>
    <w:rsid w:val="007E5BE8"/>
    <w:rsid w:val="007E5D6A"/>
    <w:rsid w:val="007E7835"/>
    <w:rsid w:val="007F03A6"/>
    <w:rsid w:val="007F0565"/>
    <w:rsid w:val="007F0D46"/>
    <w:rsid w:val="007F19A5"/>
    <w:rsid w:val="007F1EB1"/>
    <w:rsid w:val="007F2894"/>
    <w:rsid w:val="007F2AA9"/>
    <w:rsid w:val="007F2CA5"/>
    <w:rsid w:val="007F2DBD"/>
    <w:rsid w:val="007F372F"/>
    <w:rsid w:val="007F453B"/>
    <w:rsid w:val="007F59FE"/>
    <w:rsid w:val="007F6D79"/>
    <w:rsid w:val="007F7E00"/>
    <w:rsid w:val="007F7FF6"/>
    <w:rsid w:val="00800273"/>
    <w:rsid w:val="0080039F"/>
    <w:rsid w:val="008007F2"/>
    <w:rsid w:val="00800A8D"/>
    <w:rsid w:val="008017E6"/>
    <w:rsid w:val="00801CFD"/>
    <w:rsid w:val="00802009"/>
    <w:rsid w:val="00802067"/>
    <w:rsid w:val="00802281"/>
    <w:rsid w:val="00803E50"/>
    <w:rsid w:val="00804843"/>
    <w:rsid w:val="00804D50"/>
    <w:rsid w:val="0080510A"/>
    <w:rsid w:val="008072C0"/>
    <w:rsid w:val="00810A5C"/>
    <w:rsid w:val="00814F3F"/>
    <w:rsid w:val="0082228F"/>
    <w:rsid w:val="0082324C"/>
    <w:rsid w:val="008247B6"/>
    <w:rsid w:val="00826189"/>
    <w:rsid w:val="00826E64"/>
    <w:rsid w:val="00826E9D"/>
    <w:rsid w:val="00827145"/>
    <w:rsid w:val="00827E25"/>
    <w:rsid w:val="00830330"/>
    <w:rsid w:val="00830714"/>
    <w:rsid w:val="008319B7"/>
    <w:rsid w:val="00832EE6"/>
    <w:rsid w:val="008331A5"/>
    <w:rsid w:val="00833A89"/>
    <w:rsid w:val="0083538A"/>
    <w:rsid w:val="00837486"/>
    <w:rsid w:val="008374FC"/>
    <w:rsid w:val="00840272"/>
    <w:rsid w:val="00840B5C"/>
    <w:rsid w:val="00841103"/>
    <w:rsid w:val="008415BA"/>
    <w:rsid w:val="008446DD"/>
    <w:rsid w:val="00844C75"/>
    <w:rsid w:val="00845B6A"/>
    <w:rsid w:val="0084642A"/>
    <w:rsid w:val="0084795C"/>
    <w:rsid w:val="008507D3"/>
    <w:rsid w:val="00850D24"/>
    <w:rsid w:val="00851822"/>
    <w:rsid w:val="00851DA3"/>
    <w:rsid w:val="00851E90"/>
    <w:rsid w:val="00852D14"/>
    <w:rsid w:val="00854C23"/>
    <w:rsid w:val="0085555E"/>
    <w:rsid w:val="00856C0B"/>
    <w:rsid w:val="00857E40"/>
    <w:rsid w:val="00860A28"/>
    <w:rsid w:val="00860B2D"/>
    <w:rsid w:val="0086195B"/>
    <w:rsid w:val="00861A74"/>
    <w:rsid w:val="00861AB3"/>
    <w:rsid w:val="008625C6"/>
    <w:rsid w:val="00862E9B"/>
    <w:rsid w:val="0086349F"/>
    <w:rsid w:val="00863D9B"/>
    <w:rsid w:val="00864400"/>
    <w:rsid w:val="008649A2"/>
    <w:rsid w:val="00865BAE"/>
    <w:rsid w:val="00865D70"/>
    <w:rsid w:val="008669E2"/>
    <w:rsid w:val="008704D9"/>
    <w:rsid w:val="00870BCF"/>
    <w:rsid w:val="0087312E"/>
    <w:rsid w:val="008736E8"/>
    <w:rsid w:val="00873AAE"/>
    <w:rsid w:val="00873B51"/>
    <w:rsid w:val="00874099"/>
    <w:rsid w:val="008746F6"/>
    <w:rsid w:val="00874833"/>
    <w:rsid w:val="00874ED2"/>
    <w:rsid w:val="00876934"/>
    <w:rsid w:val="008769E6"/>
    <w:rsid w:val="00881637"/>
    <w:rsid w:val="00881B05"/>
    <w:rsid w:val="0088201D"/>
    <w:rsid w:val="00883041"/>
    <w:rsid w:val="00884664"/>
    <w:rsid w:val="008847B7"/>
    <w:rsid w:val="00885D56"/>
    <w:rsid w:val="00885F3E"/>
    <w:rsid w:val="0088684F"/>
    <w:rsid w:val="00886DCA"/>
    <w:rsid w:val="00887545"/>
    <w:rsid w:val="0089086F"/>
    <w:rsid w:val="008913AC"/>
    <w:rsid w:val="008925FA"/>
    <w:rsid w:val="0089291D"/>
    <w:rsid w:val="00892EE6"/>
    <w:rsid w:val="00893A0C"/>
    <w:rsid w:val="00894076"/>
    <w:rsid w:val="0089587A"/>
    <w:rsid w:val="00895CD9"/>
    <w:rsid w:val="008968FB"/>
    <w:rsid w:val="008A0E1D"/>
    <w:rsid w:val="008A2213"/>
    <w:rsid w:val="008A2C43"/>
    <w:rsid w:val="008A3982"/>
    <w:rsid w:val="008A3D6C"/>
    <w:rsid w:val="008A3FA4"/>
    <w:rsid w:val="008A4CC3"/>
    <w:rsid w:val="008A6B58"/>
    <w:rsid w:val="008A71B3"/>
    <w:rsid w:val="008A7FD2"/>
    <w:rsid w:val="008B04A7"/>
    <w:rsid w:val="008B3A64"/>
    <w:rsid w:val="008B6480"/>
    <w:rsid w:val="008B6EDE"/>
    <w:rsid w:val="008B72AB"/>
    <w:rsid w:val="008B7C77"/>
    <w:rsid w:val="008C1E8F"/>
    <w:rsid w:val="008C20A6"/>
    <w:rsid w:val="008C24EC"/>
    <w:rsid w:val="008C4E5F"/>
    <w:rsid w:val="008C503B"/>
    <w:rsid w:val="008C52C8"/>
    <w:rsid w:val="008C54AB"/>
    <w:rsid w:val="008C6F09"/>
    <w:rsid w:val="008D0509"/>
    <w:rsid w:val="008D0966"/>
    <w:rsid w:val="008D0C04"/>
    <w:rsid w:val="008D1144"/>
    <w:rsid w:val="008D18F1"/>
    <w:rsid w:val="008D2495"/>
    <w:rsid w:val="008D30F5"/>
    <w:rsid w:val="008D3DC5"/>
    <w:rsid w:val="008D47F1"/>
    <w:rsid w:val="008D4C90"/>
    <w:rsid w:val="008D52F0"/>
    <w:rsid w:val="008D5716"/>
    <w:rsid w:val="008D59A5"/>
    <w:rsid w:val="008D6098"/>
    <w:rsid w:val="008D6369"/>
    <w:rsid w:val="008D6AB5"/>
    <w:rsid w:val="008D79C0"/>
    <w:rsid w:val="008E0D1F"/>
    <w:rsid w:val="008E1045"/>
    <w:rsid w:val="008E2775"/>
    <w:rsid w:val="008E321B"/>
    <w:rsid w:val="008E344B"/>
    <w:rsid w:val="008E3658"/>
    <w:rsid w:val="008E6CB3"/>
    <w:rsid w:val="008F15CB"/>
    <w:rsid w:val="008F1602"/>
    <w:rsid w:val="008F1800"/>
    <w:rsid w:val="008F1DE6"/>
    <w:rsid w:val="008F2B8A"/>
    <w:rsid w:val="008F2CBA"/>
    <w:rsid w:val="008F2CDB"/>
    <w:rsid w:val="008F475A"/>
    <w:rsid w:val="008F4AAD"/>
    <w:rsid w:val="008F58B1"/>
    <w:rsid w:val="008F62B0"/>
    <w:rsid w:val="00900AA5"/>
    <w:rsid w:val="00902105"/>
    <w:rsid w:val="00903C18"/>
    <w:rsid w:val="00903D3D"/>
    <w:rsid w:val="0090408C"/>
    <w:rsid w:val="0090486F"/>
    <w:rsid w:val="00904E87"/>
    <w:rsid w:val="00905161"/>
    <w:rsid w:val="00905762"/>
    <w:rsid w:val="00907F9D"/>
    <w:rsid w:val="00911DA1"/>
    <w:rsid w:val="00913FFC"/>
    <w:rsid w:val="00914870"/>
    <w:rsid w:val="00914AB0"/>
    <w:rsid w:val="00914F4F"/>
    <w:rsid w:val="009170C2"/>
    <w:rsid w:val="00917BFF"/>
    <w:rsid w:val="00921288"/>
    <w:rsid w:val="00922A3B"/>
    <w:rsid w:val="0092359F"/>
    <w:rsid w:val="00923BCE"/>
    <w:rsid w:val="00924AA0"/>
    <w:rsid w:val="0092511C"/>
    <w:rsid w:val="0092624C"/>
    <w:rsid w:val="00927ADC"/>
    <w:rsid w:val="00930510"/>
    <w:rsid w:val="00930E22"/>
    <w:rsid w:val="00934ED1"/>
    <w:rsid w:val="00935BB5"/>
    <w:rsid w:val="00936705"/>
    <w:rsid w:val="00936A72"/>
    <w:rsid w:val="009377F7"/>
    <w:rsid w:val="00940ABD"/>
    <w:rsid w:val="00940F74"/>
    <w:rsid w:val="00943286"/>
    <w:rsid w:val="00944D7C"/>
    <w:rsid w:val="00946B65"/>
    <w:rsid w:val="00946DE3"/>
    <w:rsid w:val="00950295"/>
    <w:rsid w:val="0095085B"/>
    <w:rsid w:val="00951637"/>
    <w:rsid w:val="009526EC"/>
    <w:rsid w:val="00953EB0"/>
    <w:rsid w:val="0095451C"/>
    <w:rsid w:val="00955411"/>
    <w:rsid w:val="00956741"/>
    <w:rsid w:val="009578E9"/>
    <w:rsid w:val="009619E8"/>
    <w:rsid w:val="009700FD"/>
    <w:rsid w:val="00970932"/>
    <w:rsid w:val="00970A22"/>
    <w:rsid w:val="009716FB"/>
    <w:rsid w:val="0097309A"/>
    <w:rsid w:val="009752AE"/>
    <w:rsid w:val="009755E2"/>
    <w:rsid w:val="009759B2"/>
    <w:rsid w:val="00975D4B"/>
    <w:rsid w:val="00975ECD"/>
    <w:rsid w:val="00977442"/>
    <w:rsid w:val="0097759D"/>
    <w:rsid w:val="00980AFD"/>
    <w:rsid w:val="00980E51"/>
    <w:rsid w:val="00981B01"/>
    <w:rsid w:val="009832BF"/>
    <w:rsid w:val="00983F69"/>
    <w:rsid w:val="009840A8"/>
    <w:rsid w:val="009852A7"/>
    <w:rsid w:val="0098567D"/>
    <w:rsid w:val="009857E5"/>
    <w:rsid w:val="00985BE1"/>
    <w:rsid w:val="00986538"/>
    <w:rsid w:val="009876E7"/>
    <w:rsid w:val="00990EBF"/>
    <w:rsid w:val="00991B15"/>
    <w:rsid w:val="009923ED"/>
    <w:rsid w:val="00992420"/>
    <w:rsid w:val="009928F0"/>
    <w:rsid w:val="00993AEE"/>
    <w:rsid w:val="00993E68"/>
    <w:rsid w:val="00994698"/>
    <w:rsid w:val="0099488A"/>
    <w:rsid w:val="00995108"/>
    <w:rsid w:val="00995AA5"/>
    <w:rsid w:val="00995EB3"/>
    <w:rsid w:val="009A05D1"/>
    <w:rsid w:val="009A0F0A"/>
    <w:rsid w:val="009A0F9D"/>
    <w:rsid w:val="009A3E54"/>
    <w:rsid w:val="009A47AB"/>
    <w:rsid w:val="009A6387"/>
    <w:rsid w:val="009A6879"/>
    <w:rsid w:val="009B107D"/>
    <w:rsid w:val="009B1A04"/>
    <w:rsid w:val="009B1E23"/>
    <w:rsid w:val="009B2B83"/>
    <w:rsid w:val="009B4D6D"/>
    <w:rsid w:val="009B53B5"/>
    <w:rsid w:val="009B6256"/>
    <w:rsid w:val="009B771A"/>
    <w:rsid w:val="009C04B4"/>
    <w:rsid w:val="009C04F6"/>
    <w:rsid w:val="009C44E4"/>
    <w:rsid w:val="009C4DC3"/>
    <w:rsid w:val="009C7A5C"/>
    <w:rsid w:val="009D021E"/>
    <w:rsid w:val="009D0746"/>
    <w:rsid w:val="009D235D"/>
    <w:rsid w:val="009D27FA"/>
    <w:rsid w:val="009D3125"/>
    <w:rsid w:val="009D4883"/>
    <w:rsid w:val="009D4F98"/>
    <w:rsid w:val="009D5233"/>
    <w:rsid w:val="009D5709"/>
    <w:rsid w:val="009D66D7"/>
    <w:rsid w:val="009D6F73"/>
    <w:rsid w:val="009D7B4F"/>
    <w:rsid w:val="009D7C6B"/>
    <w:rsid w:val="009E0978"/>
    <w:rsid w:val="009E0C6C"/>
    <w:rsid w:val="009E2027"/>
    <w:rsid w:val="009E2513"/>
    <w:rsid w:val="009E44FB"/>
    <w:rsid w:val="009E54ED"/>
    <w:rsid w:val="009E6B77"/>
    <w:rsid w:val="009E7342"/>
    <w:rsid w:val="009E7368"/>
    <w:rsid w:val="009F0E33"/>
    <w:rsid w:val="009F1983"/>
    <w:rsid w:val="009F1B1E"/>
    <w:rsid w:val="009F2278"/>
    <w:rsid w:val="009F345C"/>
    <w:rsid w:val="009F36FE"/>
    <w:rsid w:val="009F42F4"/>
    <w:rsid w:val="009F4C08"/>
    <w:rsid w:val="009F590C"/>
    <w:rsid w:val="00A00ACD"/>
    <w:rsid w:val="00A01572"/>
    <w:rsid w:val="00A02077"/>
    <w:rsid w:val="00A03D4C"/>
    <w:rsid w:val="00A04896"/>
    <w:rsid w:val="00A05B44"/>
    <w:rsid w:val="00A0612F"/>
    <w:rsid w:val="00A06AD9"/>
    <w:rsid w:val="00A06D12"/>
    <w:rsid w:val="00A07204"/>
    <w:rsid w:val="00A072B6"/>
    <w:rsid w:val="00A075B7"/>
    <w:rsid w:val="00A07F59"/>
    <w:rsid w:val="00A11C73"/>
    <w:rsid w:val="00A11E7B"/>
    <w:rsid w:val="00A12F29"/>
    <w:rsid w:val="00A1346A"/>
    <w:rsid w:val="00A146ED"/>
    <w:rsid w:val="00A15200"/>
    <w:rsid w:val="00A15210"/>
    <w:rsid w:val="00A1668D"/>
    <w:rsid w:val="00A172CC"/>
    <w:rsid w:val="00A172E0"/>
    <w:rsid w:val="00A17352"/>
    <w:rsid w:val="00A17B17"/>
    <w:rsid w:val="00A23851"/>
    <w:rsid w:val="00A23B91"/>
    <w:rsid w:val="00A24102"/>
    <w:rsid w:val="00A245BA"/>
    <w:rsid w:val="00A24DDF"/>
    <w:rsid w:val="00A25050"/>
    <w:rsid w:val="00A25BA0"/>
    <w:rsid w:val="00A25FFD"/>
    <w:rsid w:val="00A26809"/>
    <w:rsid w:val="00A26E6B"/>
    <w:rsid w:val="00A273EA"/>
    <w:rsid w:val="00A27989"/>
    <w:rsid w:val="00A30F19"/>
    <w:rsid w:val="00A31667"/>
    <w:rsid w:val="00A31ED1"/>
    <w:rsid w:val="00A33328"/>
    <w:rsid w:val="00A33F46"/>
    <w:rsid w:val="00A348EC"/>
    <w:rsid w:val="00A34B16"/>
    <w:rsid w:val="00A34F2C"/>
    <w:rsid w:val="00A363E5"/>
    <w:rsid w:val="00A3735B"/>
    <w:rsid w:val="00A40C7A"/>
    <w:rsid w:val="00A421F8"/>
    <w:rsid w:val="00A43866"/>
    <w:rsid w:val="00A44581"/>
    <w:rsid w:val="00A455D1"/>
    <w:rsid w:val="00A45AF3"/>
    <w:rsid w:val="00A472F4"/>
    <w:rsid w:val="00A50167"/>
    <w:rsid w:val="00A5055D"/>
    <w:rsid w:val="00A52B15"/>
    <w:rsid w:val="00A52D5D"/>
    <w:rsid w:val="00A53174"/>
    <w:rsid w:val="00A532EE"/>
    <w:rsid w:val="00A54631"/>
    <w:rsid w:val="00A5466F"/>
    <w:rsid w:val="00A54F8F"/>
    <w:rsid w:val="00A550E0"/>
    <w:rsid w:val="00A55AF5"/>
    <w:rsid w:val="00A56472"/>
    <w:rsid w:val="00A57A78"/>
    <w:rsid w:val="00A57BEC"/>
    <w:rsid w:val="00A60EDC"/>
    <w:rsid w:val="00A6197D"/>
    <w:rsid w:val="00A62D09"/>
    <w:rsid w:val="00A63896"/>
    <w:rsid w:val="00A63FAA"/>
    <w:rsid w:val="00A6425F"/>
    <w:rsid w:val="00A651BC"/>
    <w:rsid w:val="00A65CCA"/>
    <w:rsid w:val="00A662D3"/>
    <w:rsid w:val="00A675BC"/>
    <w:rsid w:val="00A729C2"/>
    <w:rsid w:val="00A7348C"/>
    <w:rsid w:val="00A75A93"/>
    <w:rsid w:val="00A76138"/>
    <w:rsid w:val="00A81235"/>
    <w:rsid w:val="00A833EE"/>
    <w:rsid w:val="00A86B3C"/>
    <w:rsid w:val="00A90645"/>
    <w:rsid w:val="00A91339"/>
    <w:rsid w:val="00A914C7"/>
    <w:rsid w:val="00A9177B"/>
    <w:rsid w:val="00A91E8F"/>
    <w:rsid w:val="00A92305"/>
    <w:rsid w:val="00A925AE"/>
    <w:rsid w:val="00A93C71"/>
    <w:rsid w:val="00A95475"/>
    <w:rsid w:val="00A974D2"/>
    <w:rsid w:val="00AA0DB4"/>
    <w:rsid w:val="00AA17CF"/>
    <w:rsid w:val="00AA1AEC"/>
    <w:rsid w:val="00AA2D54"/>
    <w:rsid w:val="00AA2F47"/>
    <w:rsid w:val="00AA64B2"/>
    <w:rsid w:val="00AA6936"/>
    <w:rsid w:val="00AA7454"/>
    <w:rsid w:val="00AA7AF4"/>
    <w:rsid w:val="00AB075A"/>
    <w:rsid w:val="00AB085F"/>
    <w:rsid w:val="00AB1E7F"/>
    <w:rsid w:val="00AB2540"/>
    <w:rsid w:val="00AB2D28"/>
    <w:rsid w:val="00AB2D8B"/>
    <w:rsid w:val="00AB3AF3"/>
    <w:rsid w:val="00AB3ED9"/>
    <w:rsid w:val="00AB4B08"/>
    <w:rsid w:val="00AB5EEF"/>
    <w:rsid w:val="00AB60C6"/>
    <w:rsid w:val="00AB6EB2"/>
    <w:rsid w:val="00AC0282"/>
    <w:rsid w:val="00AC03D7"/>
    <w:rsid w:val="00AC04FD"/>
    <w:rsid w:val="00AC0544"/>
    <w:rsid w:val="00AC2B9F"/>
    <w:rsid w:val="00AC3C5D"/>
    <w:rsid w:val="00AC4467"/>
    <w:rsid w:val="00AC46EC"/>
    <w:rsid w:val="00AC717C"/>
    <w:rsid w:val="00AD1751"/>
    <w:rsid w:val="00AD1A9E"/>
    <w:rsid w:val="00AD280C"/>
    <w:rsid w:val="00AD3027"/>
    <w:rsid w:val="00AD4667"/>
    <w:rsid w:val="00AD6B33"/>
    <w:rsid w:val="00AD71FB"/>
    <w:rsid w:val="00AD7392"/>
    <w:rsid w:val="00AD781E"/>
    <w:rsid w:val="00AD7DD1"/>
    <w:rsid w:val="00AE0AE5"/>
    <w:rsid w:val="00AE0E21"/>
    <w:rsid w:val="00AE1491"/>
    <w:rsid w:val="00AE1E82"/>
    <w:rsid w:val="00AE1EB5"/>
    <w:rsid w:val="00AE1FC1"/>
    <w:rsid w:val="00AE242E"/>
    <w:rsid w:val="00AE26CE"/>
    <w:rsid w:val="00AE3FA0"/>
    <w:rsid w:val="00AE44C2"/>
    <w:rsid w:val="00AE5261"/>
    <w:rsid w:val="00AF072E"/>
    <w:rsid w:val="00AF0B9C"/>
    <w:rsid w:val="00AF147B"/>
    <w:rsid w:val="00AF16D8"/>
    <w:rsid w:val="00AF1F47"/>
    <w:rsid w:val="00AF2B4E"/>
    <w:rsid w:val="00AF3010"/>
    <w:rsid w:val="00AF3484"/>
    <w:rsid w:val="00AF3A2C"/>
    <w:rsid w:val="00AF577E"/>
    <w:rsid w:val="00AF5E0E"/>
    <w:rsid w:val="00AF79CF"/>
    <w:rsid w:val="00AF7C06"/>
    <w:rsid w:val="00AF7C6C"/>
    <w:rsid w:val="00B02639"/>
    <w:rsid w:val="00B03D2C"/>
    <w:rsid w:val="00B10391"/>
    <w:rsid w:val="00B10727"/>
    <w:rsid w:val="00B15DAC"/>
    <w:rsid w:val="00B16BCB"/>
    <w:rsid w:val="00B16DC5"/>
    <w:rsid w:val="00B21220"/>
    <w:rsid w:val="00B212AB"/>
    <w:rsid w:val="00B21EAC"/>
    <w:rsid w:val="00B24A70"/>
    <w:rsid w:val="00B2540E"/>
    <w:rsid w:val="00B26178"/>
    <w:rsid w:val="00B300C4"/>
    <w:rsid w:val="00B302A8"/>
    <w:rsid w:val="00B30F29"/>
    <w:rsid w:val="00B31905"/>
    <w:rsid w:val="00B32665"/>
    <w:rsid w:val="00B33AD1"/>
    <w:rsid w:val="00B33B65"/>
    <w:rsid w:val="00B34977"/>
    <w:rsid w:val="00B35ACD"/>
    <w:rsid w:val="00B36D5F"/>
    <w:rsid w:val="00B36EB4"/>
    <w:rsid w:val="00B37912"/>
    <w:rsid w:val="00B37A16"/>
    <w:rsid w:val="00B40189"/>
    <w:rsid w:val="00B406AF"/>
    <w:rsid w:val="00B4075C"/>
    <w:rsid w:val="00B40FAA"/>
    <w:rsid w:val="00B41044"/>
    <w:rsid w:val="00B41958"/>
    <w:rsid w:val="00B42449"/>
    <w:rsid w:val="00B42681"/>
    <w:rsid w:val="00B42B6A"/>
    <w:rsid w:val="00B43400"/>
    <w:rsid w:val="00B45635"/>
    <w:rsid w:val="00B45A9B"/>
    <w:rsid w:val="00B52C44"/>
    <w:rsid w:val="00B53695"/>
    <w:rsid w:val="00B539BB"/>
    <w:rsid w:val="00B541B8"/>
    <w:rsid w:val="00B5423A"/>
    <w:rsid w:val="00B546D6"/>
    <w:rsid w:val="00B54C46"/>
    <w:rsid w:val="00B55555"/>
    <w:rsid w:val="00B558D0"/>
    <w:rsid w:val="00B55E46"/>
    <w:rsid w:val="00B571BF"/>
    <w:rsid w:val="00B61560"/>
    <w:rsid w:val="00B62741"/>
    <w:rsid w:val="00B63556"/>
    <w:rsid w:val="00B63E25"/>
    <w:rsid w:val="00B647BB"/>
    <w:rsid w:val="00B6533A"/>
    <w:rsid w:val="00B663B9"/>
    <w:rsid w:val="00B67B7F"/>
    <w:rsid w:val="00B67C99"/>
    <w:rsid w:val="00B70711"/>
    <w:rsid w:val="00B70F80"/>
    <w:rsid w:val="00B710F2"/>
    <w:rsid w:val="00B71B68"/>
    <w:rsid w:val="00B7219E"/>
    <w:rsid w:val="00B72B6A"/>
    <w:rsid w:val="00B7306A"/>
    <w:rsid w:val="00B732B7"/>
    <w:rsid w:val="00B74597"/>
    <w:rsid w:val="00B75E83"/>
    <w:rsid w:val="00B760C9"/>
    <w:rsid w:val="00B77ACF"/>
    <w:rsid w:val="00B80D71"/>
    <w:rsid w:val="00B819A9"/>
    <w:rsid w:val="00B81DA0"/>
    <w:rsid w:val="00B826E0"/>
    <w:rsid w:val="00B82B80"/>
    <w:rsid w:val="00B82E5B"/>
    <w:rsid w:val="00B83CC4"/>
    <w:rsid w:val="00B84AB7"/>
    <w:rsid w:val="00B853B6"/>
    <w:rsid w:val="00B869F4"/>
    <w:rsid w:val="00B92F94"/>
    <w:rsid w:val="00B9408C"/>
    <w:rsid w:val="00B94AF3"/>
    <w:rsid w:val="00B95328"/>
    <w:rsid w:val="00B962BE"/>
    <w:rsid w:val="00B97C9D"/>
    <w:rsid w:val="00BA0E8D"/>
    <w:rsid w:val="00BA1DB7"/>
    <w:rsid w:val="00BA23CD"/>
    <w:rsid w:val="00BA5E76"/>
    <w:rsid w:val="00BA6CB4"/>
    <w:rsid w:val="00BA6E0A"/>
    <w:rsid w:val="00BB0135"/>
    <w:rsid w:val="00BB074C"/>
    <w:rsid w:val="00BB2030"/>
    <w:rsid w:val="00BB2415"/>
    <w:rsid w:val="00BB2592"/>
    <w:rsid w:val="00BB2BF4"/>
    <w:rsid w:val="00BB3CCB"/>
    <w:rsid w:val="00BB5367"/>
    <w:rsid w:val="00BB5DD6"/>
    <w:rsid w:val="00BB5FC3"/>
    <w:rsid w:val="00BB7D45"/>
    <w:rsid w:val="00BC1478"/>
    <w:rsid w:val="00BC160C"/>
    <w:rsid w:val="00BC2BDF"/>
    <w:rsid w:val="00BC408E"/>
    <w:rsid w:val="00BC641F"/>
    <w:rsid w:val="00BC6C9A"/>
    <w:rsid w:val="00BD40E3"/>
    <w:rsid w:val="00BD45DF"/>
    <w:rsid w:val="00BD4FF1"/>
    <w:rsid w:val="00BD6D66"/>
    <w:rsid w:val="00BE1CCE"/>
    <w:rsid w:val="00BE43BD"/>
    <w:rsid w:val="00BE7E4D"/>
    <w:rsid w:val="00BF0E00"/>
    <w:rsid w:val="00BF1383"/>
    <w:rsid w:val="00BF1F17"/>
    <w:rsid w:val="00BF3B08"/>
    <w:rsid w:val="00BF3E0D"/>
    <w:rsid w:val="00BF40F5"/>
    <w:rsid w:val="00BF4301"/>
    <w:rsid w:val="00BF6D46"/>
    <w:rsid w:val="00BF7134"/>
    <w:rsid w:val="00C00532"/>
    <w:rsid w:val="00C00538"/>
    <w:rsid w:val="00C01840"/>
    <w:rsid w:val="00C01878"/>
    <w:rsid w:val="00C02529"/>
    <w:rsid w:val="00C030BA"/>
    <w:rsid w:val="00C04D95"/>
    <w:rsid w:val="00C050D8"/>
    <w:rsid w:val="00C05D42"/>
    <w:rsid w:val="00C0603C"/>
    <w:rsid w:val="00C07029"/>
    <w:rsid w:val="00C0799D"/>
    <w:rsid w:val="00C1020D"/>
    <w:rsid w:val="00C12769"/>
    <w:rsid w:val="00C12ABA"/>
    <w:rsid w:val="00C12CFF"/>
    <w:rsid w:val="00C1609D"/>
    <w:rsid w:val="00C170ED"/>
    <w:rsid w:val="00C20667"/>
    <w:rsid w:val="00C218B9"/>
    <w:rsid w:val="00C22938"/>
    <w:rsid w:val="00C22D6A"/>
    <w:rsid w:val="00C23DFB"/>
    <w:rsid w:val="00C255EB"/>
    <w:rsid w:val="00C25F9A"/>
    <w:rsid w:val="00C2727F"/>
    <w:rsid w:val="00C277E1"/>
    <w:rsid w:val="00C325DC"/>
    <w:rsid w:val="00C3360B"/>
    <w:rsid w:val="00C3371D"/>
    <w:rsid w:val="00C354C5"/>
    <w:rsid w:val="00C358D0"/>
    <w:rsid w:val="00C35996"/>
    <w:rsid w:val="00C35C62"/>
    <w:rsid w:val="00C378F2"/>
    <w:rsid w:val="00C4030A"/>
    <w:rsid w:val="00C404E7"/>
    <w:rsid w:val="00C42A8B"/>
    <w:rsid w:val="00C43758"/>
    <w:rsid w:val="00C43960"/>
    <w:rsid w:val="00C44141"/>
    <w:rsid w:val="00C44266"/>
    <w:rsid w:val="00C46905"/>
    <w:rsid w:val="00C47F9F"/>
    <w:rsid w:val="00C5031F"/>
    <w:rsid w:val="00C508B8"/>
    <w:rsid w:val="00C510D6"/>
    <w:rsid w:val="00C52707"/>
    <w:rsid w:val="00C532C7"/>
    <w:rsid w:val="00C5520B"/>
    <w:rsid w:val="00C57EB2"/>
    <w:rsid w:val="00C601A2"/>
    <w:rsid w:val="00C61909"/>
    <w:rsid w:val="00C61CD3"/>
    <w:rsid w:val="00C61FC3"/>
    <w:rsid w:val="00C62A13"/>
    <w:rsid w:val="00C62DFF"/>
    <w:rsid w:val="00C62E05"/>
    <w:rsid w:val="00C6336E"/>
    <w:rsid w:val="00C65F87"/>
    <w:rsid w:val="00C6688D"/>
    <w:rsid w:val="00C66BDA"/>
    <w:rsid w:val="00C709C8"/>
    <w:rsid w:val="00C7257B"/>
    <w:rsid w:val="00C7384D"/>
    <w:rsid w:val="00C75B62"/>
    <w:rsid w:val="00C76B2A"/>
    <w:rsid w:val="00C77420"/>
    <w:rsid w:val="00C77AD9"/>
    <w:rsid w:val="00C77D89"/>
    <w:rsid w:val="00C80322"/>
    <w:rsid w:val="00C803FC"/>
    <w:rsid w:val="00C81BEF"/>
    <w:rsid w:val="00C82BF6"/>
    <w:rsid w:val="00C82D15"/>
    <w:rsid w:val="00C82FC3"/>
    <w:rsid w:val="00C839B3"/>
    <w:rsid w:val="00C849C8"/>
    <w:rsid w:val="00C856E0"/>
    <w:rsid w:val="00C86D7F"/>
    <w:rsid w:val="00C8769D"/>
    <w:rsid w:val="00C9023A"/>
    <w:rsid w:val="00C91248"/>
    <w:rsid w:val="00C93EB7"/>
    <w:rsid w:val="00C940ED"/>
    <w:rsid w:val="00C95184"/>
    <w:rsid w:val="00CA003C"/>
    <w:rsid w:val="00CA1F2F"/>
    <w:rsid w:val="00CA2604"/>
    <w:rsid w:val="00CA3C97"/>
    <w:rsid w:val="00CA4C96"/>
    <w:rsid w:val="00CA5643"/>
    <w:rsid w:val="00CB020F"/>
    <w:rsid w:val="00CB1287"/>
    <w:rsid w:val="00CB2539"/>
    <w:rsid w:val="00CB25A6"/>
    <w:rsid w:val="00CB31D4"/>
    <w:rsid w:val="00CB3CF4"/>
    <w:rsid w:val="00CB462A"/>
    <w:rsid w:val="00CB4767"/>
    <w:rsid w:val="00CB688F"/>
    <w:rsid w:val="00CB749C"/>
    <w:rsid w:val="00CB755C"/>
    <w:rsid w:val="00CC13FB"/>
    <w:rsid w:val="00CC15D9"/>
    <w:rsid w:val="00CC240C"/>
    <w:rsid w:val="00CC2A13"/>
    <w:rsid w:val="00CC33E1"/>
    <w:rsid w:val="00CC3A03"/>
    <w:rsid w:val="00CC50CB"/>
    <w:rsid w:val="00CC58F5"/>
    <w:rsid w:val="00CC5D66"/>
    <w:rsid w:val="00CC65BA"/>
    <w:rsid w:val="00CC6C65"/>
    <w:rsid w:val="00CC7DBB"/>
    <w:rsid w:val="00CD11B1"/>
    <w:rsid w:val="00CD2E99"/>
    <w:rsid w:val="00CD3A01"/>
    <w:rsid w:val="00CD52A3"/>
    <w:rsid w:val="00CD5C91"/>
    <w:rsid w:val="00CD68C8"/>
    <w:rsid w:val="00CD775B"/>
    <w:rsid w:val="00CE136D"/>
    <w:rsid w:val="00CE1729"/>
    <w:rsid w:val="00CE1CE1"/>
    <w:rsid w:val="00CE2A78"/>
    <w:rsid w:val="00CE2C6F"/>
    <w:rsid w:val="00CE2D63"/>
    <w:rsid w:val="00CE4F2F"/>
    <w:rsid w:val="00CE640F"/>
    <w:rsid w:val="00CE6783"/>
    <w:rsid w:val="00CE6DDA"/>
    <w:rsid w:val="00CF09E4"/>
    <w:rsid w:val="00CF0C03"/>
    <w:rsid w:val="00CF16D2"/>
    <w:rsid w:val="00CF4BDB"/>
    <w:rsid w:val="00CF644C"/>
    <w:rsid w:val="00CF657F"/>
    <w:rsid w:val="00CF6A70"/>
    <w:rsid w:val="00CF6AEA"/>
    <w:rsid w:val="00CF781D"/>
    <w:rsid w:val="00D01D04"/>
    <w:rsid w:val="00D022DC"/>
    <w:rsid w:val="00D029F4"/>
    <w:rsid w:val="00D0420C"/>
    <w:rsid w:val="00D04E16"/>
    <w:rsid w:val="00D073DA"/>
    <w:rsid w:val="00D075FB"/>
    <w:rsid w:val="00D07958"/>
    <w:rsid w:val="00D10781"/>
    <w:rsid w:val="00D1352F"/>
    <w:rsid w:val="00D13659"/>
    <w:rsid w:val="00D171A7"/>
    <w:rsid w:val="00D207D1"/>
    <w:rsid w:val="00D236E3"/>
    <w:rsid w:val="00D24868"/>
    <w:rsid w:val="00D27540"/>
    <w:rsid w:val="00D30135"/>
    <w:rsid w:val="00D32CC4"/>
    <w:rsid w:val="00D332D6"/>
    <w:rsid w:val="00D34119"/>
    <w:rsid w:val="00D362F0"/>
    <w:rsid w:val="00D36844"/>
    <w:rsid w:val="00D414D2"/>
    <w:rsid w:val="00D41C28"/>
    <w:rsid w:val="00D43D25"/>
    <w:rsid w:val="00D4444B"/>
    <w:rsid w:val="00D462C2"/>
    <w:rsid w:val="00D46533"/>
    <w:rsid w:val="00D47E15"/>
    <w:rsid w:val="00D5019C"/>
    <w:rsid w:val="00D506F6"/>
    <w:rsid w:val="00D5107D"/>
    <w:rsid w:val="00D51F15"/>
    <w:rsid w:val="00D5336D"/>
    <w:rsid w:val="00D53F5F"/>
    <w:rsid w:val="00D557B0"/>
    <w:rsid w:val="00D5679F"/>
    <w:rsid w:val="00D57929"/>
    <w:rsid w:val="00D60C0E"/>
    <w:rsid w:val="00D610B0"/>
    <w:rsid w:val="00D61575"/>
    <w:rsid w:val="00D632F7"/>
    <w:rsid w:val="00D65E88"/>
    <w:rsid w:val="00D67650"/>
    <w:rsid w:val="00D7065F"/>
    <w:rsid w:val="00D725DC"/>
    <w:rsid w:val="00D7795D"/>
    <w:rsid w:val="00D81310"/>
    <w:rsid w:val="00D828E4"/>
    <w:rsid w:val="00D83CA0"/>
    <w:rsid w:val="00D84C2F"/>
    <w:rsid w:val="00D86892"/>
    <w:rsid w:val="00D87A38"/>
    <w:rsid w:val="00D912DF"/>
    <w:rsid w:val="00D91349"/>
    <w:rsid w:val="00D918B6"/>
    <w:rsid w:val="00D923C8"/>
    <w:rsid w:val="00D925CD"/>
    <w:rsid w:val="00D925FD"/>
    <w:rsid w:val="00D92927"/>
    <w:rsid w:val="00D92E1C"/>
    <w:rsid w:val="00D93C54"/>
    <w:rsid w:val="00D95C11"/>
    <w:rsid w:val="00D96084"/>
    <w:rsid w:val="00D96A09"/>
    <w:rsid w:val="00D96A3B"/>
    <w:rsid w:val="00D97A09"/>
    <w:rsid w:val="00DA145F"/>
    <w:rsid w:val="00DA1748"/>
    <w:rsid w:val="00DA2DCD"/>
    <w:rsid w:val="00DA4480"/>
    <w:rsid w:val="00DA5B99"/>
    <w:rsid w:val="00DA5F8B"/>
    <w:rsid w:val="00DA6125"/>
    <w:rsid w:val="00DA63AA"/>
    <w:rsid w:val="00DA6752"/>
    <w:rsid w:val="00DA7907"/>
    <w:rsid w:val="00DA7BA7"/>
    <w:rsid w:val="00DB05C7"/>
    <w:rsid w:val="00DB07D3"/>
    <w:rsid w:val="00DB1FCD"/>
    <w:rsid w:val="00DB3583"/>
    <w:rsid w:val="00DB3C8A"/>
    <w:rsid w:val="00DB3E9F"/>
    <w:rsid w:val="00DB48D9"/>
    <w:rsid w:val="00DB4CEF"/>
    <w:rsid w:val="00DB4F69"/>
    <w:rsid w:val="00DB684F"/>
    <w:rsid w:val="00DB77D0"/>
    <w:rsid w:val="00DB7CB0"/>
    <w:rsid w:val="00DB7F91"/>
    <w:rsid w:val="00DC0869"/>
    <w:rsid w:val="00DC0DDD"/>
    <w:rsid w:val="00DC1044"/>
    <w:rsid w:val="00DC190C"/>
    <w:rsid w:val="00DC1F7E"/>
    <w:rsid w:val="00DC20EF"/>
    <w:rsid w:val="00DC476C"/>
    <w:rsid w:val="00DC5AD4"/>
    <w:rsid w:val="00DC5EC7"/>
    <w:rsid w:val="00DC7572"/>
    <w:rsid w:val="00DD2810"/>
    <w:rsid w:val="00DD38AA"/>
    <w:rsid w:val="00DD42E8"/>
    <w:rsid w:val="00DD531B"/>
    <w:rsid w:val="00DD5901"/>
    <w:rsid w:val="00DE0745"/>
    <w:rsid w:val="00DE07BB"/>
    <w:rsid w:val="00DE55CB"/>
    <w:rsid w:val="00DE6D35"/>
    <w:rsid w:val="00DE7A54"/>
    <w:rsid w:val="00DF1AB3"/>
    <w:rsid w:val="00DF1C4D"/>
    <w:rsid w:val="00DF299A"/>
    <w:rsid w:val="00DF3C63"/>
    <w:rsid w:val="00DF3E1E"/>
    <w:rsid w:val="00DF3FF1"/>
    <w:rsid w:val="00DF48DC"/>
    <w:rsid w:val="00DF4B7A"/>
    <w:rsid w:val="00DF4C65"/>
    <w:rsid w:val="00DF7636"/>
    <w:rsid w:val="00E013C9"/>
    <w:rsid w:val="00E040B6"/>
    <w:rsid w:val="00E0435A"/>
    <w:rsid w:val="00E043F5"/>
    <w:rsid w:val="00E052E5"/>
    <w:rsid w:val="00E05428"/>
    <w:rsid w:val="00E07330"/>
    <w:rsid w:val="00E07871"/>
    <w:rsid w:val="00E07F36"/>
    <w:rsid w:val="00E1314A"/>
    <w:rsid w:val="00E13465"/>
    <w:rsid w:val="00E139C8"/>
    <w:rsid w:val="00E13F5E"/>
    <w:rsid w:val="00E16119"/>
    <w:rsid w:val="00E17092"/>
    <w:rsid w:val="00E17794"/>
    <w:rsid w:val="00E17DDD"/>
    <w:rsid w:val="00E20DE5"/>
    <w:rsid w:val="00E240B2"/>
    <w:rsid w:val="00E242B1"/>
    <w:rsid w:val="00E2457B"/>
    <w:rsid w:val="00E2483E"/>
    <w:rsid w:val="00E25B25"/>
    <w:rsid w:val="00E25F9D"/>
    <w:rsid w:val="00E2690C"/>
    <w:rsid w:val="00E26CB1"/>
    <w:rsid w:val="00E30031"/>
    <w:rsid w:val="00E31649"/>
    <w:rsid w:val="00E31F9A"/>
    <w:rsid w:val="00E32444"/>
    <w:rsid w:val="00E324C1"/>
    <w:rsid w:val="00E3399A"/>
    <w:rsid w:val="00E35489"/>
    <w:rsid w:val="00E359B5"/>
    <w:rsid w:val="00E36785"/>
    <w:rsid w:val="00E3700B"/>
    <w:rsid w:val="00E37236"/>
    <w:rsid w:val="00E37632"/>
    <w:rsid w:val="00E40F27"/>
    <w:rsid w:val="00E40F8A"/>
    <w:rsid w:val="00E414C4"/>
    <w:rsid w:val="00E41DCD"/>
    <w:rsid w:val="00E42152"/>
    <w:rsid w:val="00E42A9C"/>
    <w:rsid w:val="00E42F94"/>
    <w:rsid w:val="00E4413B"/>
    <w:rsid w:val="00E4473A"/>
    <w:rsid w:val="00E463FD"/>
    <w:rsid w:val="00E478F5"/>
    <w:rsid w:val="00E500B9"/>
    <w:rsid w:val="00E51EDE"/>
    <w:rsid w:val="00E51F3F"/>
    <w:rsid w:val="00E52602"/>
    <w:rsid w:val="00E52EC4"/>
    <w:rsid w:val="00E54B59"/>
    <w:rsid w:val="00E54CD4"/>
    <w:rsid w:val="00E5562B"/>
    <w:rsid w:val="00E56A06"/>
    <w:rsid w:val="00E607AD"/>
    <w:rsid w:val="00E61BDE"/>
    <w:rsid w:val="00E61D97"/>
    <w:rsid w:val="00E62621"/>
    <w:rsid w:val="00E6437A"/>
    <w:rsid w:val="00E64FE6"/>
    <w:rsid w:val="00E6550C"/>
    <w:rsid w:val="00E66202"/>
    <w:rsid w:val="00E674AB"/>
    <w:rsid w:val="00E67B8C"/>
    <w:rsid w:val="00E70DE0"/>
    <w:rsid w:val="00E70EC9"/>
    <w:rsid w:val="00E715DF"/>
    <w:rsid w:val="00E724A1"/>
    <w:rsid w:val="00E724C3"/>
    <w:rsid w:val="00E73190"/>
    <w:rsid w:val="00E73C7C"/>
    <w:rsid w:val="00E73F5D"/>
    <w:rsid w:val="00E74000"/>
    <w:rsid w:val="00E761E0"/>
    <w:rsid w:val="00E76247"/>
    <w:rsid w:val="00E764C0"/>
    <w:rsid w:val="00E77905"/>
    <w:rsid w:val="00E77EB7"/>
    <w:rsid w:val="00E80F77"/>
    <w:rsid w:val="00E811AD"/>
    <w:rsid w:val="00E83D02"/>
    <w:rsid w:val="00E840A4"/>
    <w:rsid w:val="00E8417E"/>
    <w:rsid w:val="00E842D2"/>
    <w:rsid w:val="00E84560"/>
    <w:rsid w:val="00E84B95"/>
    <w:rsid w:val="00E86163"/>
    <w:rsid w:val="00E86653"/>
    <w:rsid w:val="00E870A9"/>
    <w:rsid w:val="00E87F45"/>
    <w:rsid w:val="00E90103"/>
    <w:rsid w:val="00E903BF"/>
    <w:rsid w:val="00E914C4"/>
    <w:rsid w:val="00E92563"/>
    <w:rsid w:val="00E92BB1"/>
    <w:rsid w:val="00E93200"/>
    <w:rsid w:val="00E93D40"/>
    <w:rsid w:val="00E94350"/>
    <w:rsid w:val="00E94BE2"/>
    <w:rsid w:val="00E9544E"/>
    <w:rsid w:val="00E958CD"/>
    <w:rsid w:val="00E95ECA"/>
    <w:rsid w:val="00E96153"/>
    <w:rsid w:val="00E96BD5"/>
    <w:rsid w:val="00E97A5F"/>
    <w:rsid w:val="00EA1284"/>
    <w:rsid w:val="00EA254D"/>
    <w:rsid w:val="00EA2ADC"/>
    <w:rsid w:val="00EA2D15"/>
    <w:rsid w:val="00EA2DE8"/>
    <w:rsid w:val="00EA3BEB"/>
    <w:rsid w:val="00EA7B20"/>
    <w:rsid w:val="00EB1F6E"/>
    <w:rsid w:val="00EB279F"/>
    <w:rsid w:val="00EB2A3B"/>
    <w:rsid w:val="00EB3172"/>
    <w:rsid w:val="00EB3251"/>
    <w:rsid w:val="00EB4158"/>
    <w:rsid w:val="00EB41C8"/>
    <w:rsid w:val="00EB58C9"/>
    <w:rsid w:val="00EB5DCD"/>
    <w:rsid w:val="00EB6A1F"/>
    <w:rsid w:val="00EC0FAF"/>
    <w:rsid w:val="00EC1A23"/>
    <w:rsid w:val="00EC2057"/>
    <w:rsid w:val="00EC2EF8"/>
    <w:rsid w:val="00EC4C32"/>
    <w:rsid w:val="00EC4CD5"/>
    <w:rsid w:val="00EC67D6"/>
    <w:rsid w:val="00ED0556"/>
    <w:rsid w:val="00ED23F4"/>
    <w:rsid w:val="00ED2D7C"/>
    <w:rsid w:val="00ED46B1"/>
    <w:rsid w:val="00ED4A6B"/>
    <w:rsid w:val="00ED6A3F"/>
    <w:rsid w:val="00ED71C6"/>
    <w:rsid w:val="00ED7CE1"/>
    <w:rsid w:val="00EE02B8"/>
    <w:rsid w:val="00EE02ED"/>
    <w:rsid w:val="00EE05F4"/>
    <w:rsid w:val="00EE09FE"/>
    <w:rsid w:val="00EE1C0F"/>
    <w:rsid w:val="00EE42A9"/>
    <w:rsid w:val="00EE5099"/>
    <w:rsid w:val="00EE5187"/>
    <w:rsid w:val="00EE6125"/>
    <w:rsid w:val="00EE6EAF"/>
    <w:rsid w:val="00EF054A"/>
    <w:rsid w:val="00EF0ABE"/>
    <w:rsid w:val="00EF21C2"/>
    <w:rsid w:val="00EF25C7"/>
    <w:rsid w:val="00EF2DC8"/>
    <w:rsid w:val="00EF4C2C"/>
    <w:rsid w:val="00EF5EA4"/>
    <w:rsid w:val="00EF7146"/>
    <w:rsid w:val="00EF766D"/>
    <w:rsid w:val="00EF7F71"/>
    <w:rsid w:val="00F01E8F"/>
    <w:rsid w:val="00F0327A"/>
    <w:rsid w:val="00F0339B"/>
    <w:rsid w:val="00F04D35"/>
    <w:rsid w:val="00F04D39"/>
    <w:rsid w:val="00F04E9A"/>
    <w:rsid w:val="00F057B0"/>
    <w:rsid w:val="00F05C5E"/>
    <w:rsid w:val="00F06B5A"/>
    <w:rsid w:val="00F0785D"/>
    <w:rsid w:val="00F10729"/>
    <w:rsid w:val="00F10C46"/>
    <w:rsid w:val="00F1100F"/>
    <w:rsid w:val="00F11AE4"/>
    <w:rsid w:val="00F12818"/>
    <w:rsid w:val="00F12BDD"/>
    <w:rsid w:val="00F13854"/>
    <w:rsid w:val="00F138B1"/>
    <w:rsid w:val="00F13953"/>
    <w:rsid w:val="00F1467B"/>
    <w:rsid w:val="00F16FC2"/>
    <w:rsid w:val="00F171BD"/>
    <w:rsid w:val="00F1772D"/>
    <w:rsid w:val="00F20104"/>
    <w:rsid w:val="00F202D0"/>
    <w:rsid w:val="00F22605"/>
    <w:rsid w:val="00F227B5"/>
    <w:rsid w:val="00F23A78"/>
    <w:rsid w:val="00F23AE4"/>
    <w:rsid w:val="00F251A0"/>
    <w:rsid w:val="00F25574"/>
    <w:rsid w:val="00F25616"/>
    <w:rsid w:val="00F25F62"/>
    <w:rsid w:val="00F26BC1"/>
    <w:rsid w:val="00F277BB"/>
    <w:rsid w:val="00F32CB8"/>
    <w:rsid w:val="00F34BE3"/>
    <w:rsid w:val="00F353D1"/>
    <w:rsid w:val="00F35B31"/>
    <w:rsid w:val="00F36973"/>
    <w:rsid w:val="00F4023F"/>
    <w:rsid w:val="00F403FF"/>
    <w:rsid w:val="00F41A69"/>
    <w:rsid w:val="00F43698"/>
    <w:rsid w:val="00F4519A"/>
    <w:rsid w:val="00F4622C"/>
    <w:rsid w:val="00F47DC9"/>
    <w:rsid w:val="00F50000"/>
    <w:rsid w:val="00F5063C"/>
    <w:rsid w:val="00F513B7"/>
    <w:rsid w:val="00F519EB"/>
    <w:rsid w:val="00F52671"/>
    <w:rsid w:val="00F52E6D"/>
    <w:rsid w:val="00F53838"/>
    <w:rsid w:val="00F54432"/>
    <w:rsid w:val="00F56004"/>
    <w:rsid w:val="00F57244"/>
    <w:rsid w:val="00F604D9"/>
    <w:rsid w:val="00F610D4"/>
    <w:rsid w:val="00F615D0"/>
    <w:rsid w:val="00F62F23"/>
    <w:rsid w:val="00F63CF5"/>
    <w:rsid w:val="00F64B01"/>
    <w:rsid w:val="00F671EE"/>
    <w:rsid w:val="00F679F3"/>
    <w:rsid w:val="00F67E48"/>
    <w:rsid w:val="00F7038D"/>
    <w:rsid w:val="00F70608"/>
    <w:rsid w:val="00F72F0C"/>
    <w:rsid w:val="00F738F7"/>
    <w:rsid w:val="00F73F81"/>
    <w:rsid w:val="00F7510C"/>
    <w:rsid w:val="00F770C4"/>
    <w:rsid w:val="00F77175"/>
    <w:rsid w:val="00F775B4"/>
    <w:rsid w:val="00F7766D"/>
    <w:rsid w:val="00F77A15"/>
    <w:rsid w:val="00F77A49"/>
    <w:rsid w:val="00F8312F"/>
    <w:rsid w:val="00F83C6D"/>
    <w:rsid w:val="00F844D4"/>
    <w:rsid w:val="00F84ABF"/>
    <w:rsid w:val="00F84E43"/>
    <w:rsid w:val="00F876ED"/>
    <w:rsid w:val="00F87CE4"/>
    <w:rsid w:val="00F923CC"/>
    <w:rsid w:val="00F92403"/>
    <w:rsid w:val="00F92E7A"/>
    <w:rsid w:val="00F93AAC"/>
    <w:rsid w:val="00F94FD3"/>
    <w:rsid w:val="00F95243"/>
    <w:rsid w:val="00F9617C"/>
    <w:rsid w:val="00F96201"/>
    <w:rsid w:val="00F9692A"/>
    <w:rsid w:val="00F96AC8"/>
    <w:rsid w:val="00FA1280"/>
    <w:rsid w:val="00FA1466"/>
    <w:rsid w:val="00FA1E2B"/>
    <w:rsid w:val="00FA2581"/>
    <w:rsid w:val="00FA43BB"/>
    <w:rsid w:val="00FA4457"/>
    <w:rsid w:val="00FA4C88"/>
    <w:rsid w:val="00FA5AF7"/>
    <w:rsid w:val="00FA5F25"/>
    <w:rsid w:val="00FA71E4"/>
    <w:rsid w:val="00FB0398"/>
    <w:rsid w:val="00FB03B5"/>
    <w:rsid w:val="00FB1658"/>
    <w:rsid w:val="00FB490D"/>
    <w:rsid w:val="00FB6E4A"/>
    <w:rsid w:val="00FC1D29"/>
    <w:rsid w:val="00FC2185"/>
    <w:rsid w:val="00FC3795"/>
    <w:rsid w:val="00FC3D92"/>
    <w:rsid w:val="00FC4155"/>
    <w:rsid w:val="00FC5B52"/>
    <w:rsid w:val="00FC7E10"/>
    <w:rsid w:val="00FC7F23"/>
    <w:rsid w:val="00FD0CB2"/>
    <w:rsid w:val="00FD1368"/>
    <w:rsid w:val="00FD1B21"/>
    <w:rsid w:val="00FD34E2"/>
    <w:rsid w:val="00FD388D"/>
    <w:rsid w:val="00FD475C"/>
    <w:rsid w:val="00FD5DCE"/>
    <w:rsid w:val="00FD60E2"/>
    <w:rsid w:val="00FD6C99"/>
    <w:rsid w:val="00FD6D5D"/>
    <w:rsid w:val="00FD7346"/>
    <w:rsid w:val="00FD738E"/>
    <w:rsid w:val="00FE0BA8"/>
    <w:rsid w:val="00FE0E17"/>
    <w:rsid w:val="00FE1827"/>
    <w:rsid w:val="00FE2DB9"/>
    <w:rsid w:val="00FE2DF4"/>
    <w:rsid w:val="00FE3E0D"/>
    <w:rsid w:val="00FE4CDB"/>
    <w:rsid w:val="00FE6089"/>
    <w:rsid w:val="00FF03CD"/>
    <w:rsid w:val="00FF2CCF"/>
    <w:rsid w:val="00FF32C6"/>
    <w:rsid w:val="00FF4B34"/>
    <w:rsid w:val="00FF5ACF"/>
    <w:rsid w:val="00FF655F"/>
    <w:rsid w:val="00FF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11DD295"/>
  <w15:docId w15:val="{BC061510-2689-44F2-8B53-84809725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51BC"/>
    <w:pPr>
      <w:spacing w:after="160" w:line="259" w:lineRule="auto"/>
    </w:pPr>
    <w:rPr>
      <w:sz w:val="22"/>
      <w:szCs w:val="22"/>
      <w:lang w:eastAsia="en-US"/>
    </w:rPr>
  </w:style>
  <w:style w:type="paragraph" w:styleId="Heading1">
    <w:name w:val="heading 1"/>
    <w:basedOn w:val="Normal"/>
    <w:link w:val="Heading1Char"/>
    <w:uiPriority w:val="9"/>
    <w:qFormat/>
    <w:rsid w:val="00A3735B"/>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1B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651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51BC"/>
    <w:rPr>
      <w:rFonts w:ascii="Tahoma" w:eastAsia="Calibri" w:hAnsi="Tahoma" w:cs="Tahoma"/>
      <w:sz w:val="16"/>
      <w:szCs w:val="16"/>
    </w:rPr>
  </w:style>
  <w:style w:type="paragraph" w:styleId="ListParagraph">
    <w:name w:val="List Paragraph"/>
    <w:basedOn w:val="Normal"/>
    <w:uiPriority w:val="34"/>
    <w:qFormat/>
    <w:rsid w:val="00A651BC"/>
    <w:pPr>
      <w:ind w:left="720"/>
      <w:contextualSpacing/>
    </w:pPr>
  </w:style>
  <w:style w:type="paragraph" w:styleId="Revision">
    <w:name w:val="Revision"/>
    <w:hidden/>
    <w:uiPriority w:val="99"/>
    <w:semiHidden/>
    <w:rsid w:val="00A651BC"/>
    <w:rPr>
      <w:sz w:val="22"/>
      <w:szCs w:val="22"/>
      <w:lang w:eastAsia="en-US"/>
    </w:rPr>
  </w:style>
  <w:style w:type="character" w:customStyle="1" w:styleId="apple-converted-space">
    <w:name w:val="apple-converted-space"/>
    <w:rsid w:val="00A651BC"/>
  </w:style>
  <w:style w:type="character" w:styleId="CommentReference">
    <w:name w:val="annotation reference"/>
    <w:uiPriority w:val="99"/>
    <w:semiHidden/>
    <w:unhideWhenUsed/>
    <w:rsid w:val="00A651BC"/>
    <w:rPr>
      <w:sz w:val="16"/>
      <w:szCs w:val="16"/>
    </w:rPr>
  </w:style>
  <w:style w:type="paragraph" w:styleId="CommentText">
    <w:name w:val="annotation text"/>
    <w:basedOn w:val="Normal"/>
    <w:link w:val="CommentTextChar"/>
    <w:uiPriority w:val="99"/>
    <w:unhideWhenUsed/>
    <w:rsid w:val="00A651BC"/>
    <w:pPr>
      <w:spacing w:line="240" w:lineRule="auto"/>
    </w:pPr>
    <w:rPr>
      <w:sz w:val="20"/>
      <w:szCs w:val="20"/>
    </w:rPr>
  </w:style>
  <w:style w:type="character" w:customStyle="1" w:styleId="CommentTextChar">
    <w:name w:val="Comment Text Char"/>
    <w:link w:val="CommentText"/>
    <w:uiPriority w:val="99"/>
    <w:rsid w:val="00A651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51BC"/>
    <w:rPr>
      <w:b/>
      <w:bCs/>
    </w:rPr>
  </w:style>
  <w:style w:type="character" w:customStyle="1" w:styleId="CommentSubjectChar">
    <w:name w:val="Comment Subject Char"/>
    <w:link w:val="CommentSubject"/>
    <w:uiPriority w:val="99"/>
    <w:semiHidden/>
    <w:rsid w:val="00A651BC"/>
    <w:rPr>
      <w:rFonts w:ascii="Calibri" w:eastAsia="Calibri" w:hAnsi="Calibri" w:cs="Times New Roman"/>
      <w:b/>
      <w:bCs/>
      <w:sz w:val="20"/>
      <w:szCs w:val="20"/>
    </w:rPr>
  </w:style>
  <w:style w:type="character" w:styleId="Hyperlink">
    <w:name w:val="Hyperlink"/>
    <w:unhideWhenUsed/>
    <w:rsid w:val="00A651BC"/>
    <w:rPr>
      <w:color w:val="0000FF"/>
      <w:u w:val="single"/>
    </w:rPr>
  </w:style>
  <w:style w:type="paragraph" w:styleId="Header">
    <w:name w:val="header"/>
    <w:basedOn w:val="Normal"/>
    <w:link w:val="HeaderChar"/>
    <w:uiPriority w:val="99"/>
    <w:unhideWhenUsed/>
    <w:rsid w:val="00A651BC"/>
    <w:pPr>
      <w:tabs>
        <w:tab w:val="center" w:pos="4513"/>
        <w:tab w:val="right" w:pos="9026"/>
      </w:tabs>
      <w:spacing w:after="0" w:line="240" w:lineRule="auto"/>
    </w:pPr>
  </w:style>
  <w:style w:type="character" w:customStyle="1" w:styleId="HeaderChar">
    <w:name w:val="Header Char"/>
    <w:link w:val="Header"/>
    <w:uiPriority w:val="99"/>
    <w:rsid w:val="00A651BC"/>
    <w:rPr>
      <w:rFonts w:ascii="Calibri" w:eastAsia="Calibri" w:hAnsi="Calibri" w:cs="Times New Roman"/>
    </w:rPr>
  </w:style>
  <w:style w:type="paragraph" w:styleId="Footer">
    <w:name w:val="footer"/>
    <w:basedOn w:val="Normal"/>
    <w:link w:val="FooterChar"/>
    <w:uiPriority w:val="99"/>
    <w:unhideWhenUsed/>
    <w:rsid w:val="00A651BC"/>
    <w:pPr>
      <w:tabs>
        <w:tab w:val="center" w:pos="4513"/>
        <w:tab w:val="right" w:pos="9026"/>
      </w:tabs>
      <w:spacing w:after="0" w:line="240" w:lineRule="auto"/>
    </w:pPr>
  </w:style>
  <w:style w:type="character" w:customStyle="1" w:styleId="FooterChar">
    <w:name w:val="Footer Char"/>
    <w:link w:val="Footer"/>
    <w:uiPriority w:val="99"/>
    <w:rsid w:val="00A651BC"/>
    <w:rPr>
      <w:rFonts w:ascii="Calibri" w:eastAsia="Calibri" w:hAnsi="Calibri" w:cs="Times New Roman"/>
    </w:rPr>
  </w:style>
  <w:style w:type="paragraph" w:styleId="FootnoteText">
    <w:name w:val="footnote text"/>
    <w:basedOn w:val="Normal"/>
    <w:link w:val="FootnoteTextChar"/>
    <w:uiPriority w:val="99"/>
    <w:semiHidden/>
    <w:unhideWhenUsed/>
    <w:rsid w:val="00A651BC"/>
    <w:pPr>
      <w:spacing w:after="0" w:line="240" w:lineRule="auto"/>
    </w:pPr>
    <w:rPr>
      <w:sz w:val="20"/>
      <w:szCs w:val="20"/>
    </w:rPr>
  </w:style>
  <w:style w:type="character" w:customStyle="1" w:styleId="FootnoteTextChar">
    <w:name w:val="Footnote Text Char"/>
    <w:link w:val="FootnoteText"/>
    <w:uiPriority w:val="99"/>
    <w:semiHidden/>
    <w:rsid w:val="00A651BC"/>
    <w:rPr>
      <w:rFonts w:ascii="Calibri" w:eastAsia="Calibri" w:hAnsi="Calibri" w:cs="Times New Roman"/>
      <w:sz w:val="20"/>
      <w:szCs w:val="20"/>
    </w:rPr>
  </w:style>
  <w:style w:type="character" w:styleId="FootnoteReference">
    <w:name w:val="footnote reference"/>
    <w:uiPriority w:val="99"/>
    <w:semiHidden/>
    <w:unhideWhenUsed/>
    <w:rsid w:val="00A651BC"/>
    <w:rPr>
      <w:vertAlign w:val="superscript"/>
    </w:rPr>
  </w:style>
  <w:style w:type="table" w:styleId="TableGrid">
    <w:name w:val="Table Grid"/>
    <w:basedOn w:val="TableNormal"/>
    <w:uiPriority w:val="39"/>
    <w:rsid w:val="00A65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51BC"/>
    <w:rPr>
      <w:sz w:val="22"/>
      <w:szCs w:val="22"/>
      <w:lang w:eastAsia="en-US"/>
    </w:rPr>
  </w:style>
  <w:style w:type="paragraph" w:customStyle="1" w:styleId="EndNoteBibliography">
    <w:name w:val="EndNote Bibliography"/>
    <w:basedOn w:val="Normal"/>
    <w:link w:val="EndNoteBibliographyChar"/>
    <w:rsid w:val="00A651BC"/>
    <w:pPr>
      <w:spacing w:after="200" w:line="240" w:lineRule="auto"/>
    </w:pPr>
    <w:rPr>
      <w:noProof/>
      <w:lang w:val="en-US"/>
    </w:rPr>
  </w:style>
  <w:style w:type="character" w:customStyle="1" w:styleId="EndNoteBibliographyChar">
    <w:name w:val="EndNote Bibliography Char"/>
    <w:link w:val="EndNoteBibliography"/>
    <w:rsid w:val="00A651BC"/>
    <w:rPr>
      <w:rFonts w:ascii="Calibri" w:eastAsia="Calibri" w:hAnsi="Calibri" w:cs="Times New Roman"/>
      <w:noProof/>
      <w:lang w:val="en-US"/>
    </w:rPr>
  </w:style>
  <w:style w:type="character" w:customStyle="1" w:styleId="Heading1Char">
    <w:name w:val="Heading 1 Char"/>
    <w:link w:val="Heading1"/>
    <w:uiPriority w:val="9"/>
    <w:rsid w:val="00A3735B"/>
    <w:rPr>
      <w:rFonts w:ascii="Times New Roman" w:eastAsia="Times New Roman" w:hAnsi="Times New Roman"/>
      <w:b/>
      <w:bCs/>
      <w:kern w:val="36"/>
      <w:sz w:val="48"/>
      <w:szCs w:val="48"/>
    </w:rPr>
  </w:style>
  <w:style w:type="character" w:styleId="PlaceholderText">
    <w:name w:val="Placeholder Text"/>
    <w:basedOn w:val="DefaultParagraphFont"/>
    <w:uiPriority w:val="99"/>
    <w:semiHidden/>
    <w:rsid w:val="002D46A2"/>
    <w:rPr>
      <w:color w:val="808080"/>
    </w:rPr>
  </w:style>
  <w:style w:type="paragraph" w:styleId="BodyText">
    <w:name w:val="Body Text"/>
    <w:basedOn w:val="Normal"/>
    <w:link w:val="BodyTextChar"/>
    <w:uiPriority w:val="1"/>
    <w:qFormat/>
    <w:rsid w:val="00E67B8C"/>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E67B8C"/>
    <w:rPr>
      <w:rFonts w:ascii="Times New Roman" w:eastAsia="Times New Roman" w:hAnsi="Times New Roman"/>
      <w:sz w:val="24"/>
      <w:szCs w:val="24"/>
      <w:lang w:val="en-US" w:eastAsia="en-US"/>
    </w:rPr>
  </w:style>
  <w:style w:type="paragraph" w:customStyle="1" w:styleId="DecimalAligned">
    <w:name w:val="Decimal Aligned"/>
    <w:basedOn w:val="Normal"/>
    <w:uiPriority w:val="40"/>
    <w:qFormat/>
    <w:rsid w:val="00864400"/>
    <w:pPr>
      <w:tabs>
        <w:tab w:val="decimal" w:pos="360"/>
      </w:tabs>
      <w:spacing w:after="200" w:line="276" w:lineRule="auto"/>
    </w:pPr>
    <w:rPr>
      <w:rFonts w:asciiTheme="minorHAnsi" w:eastAsiaTheme="minorEastAsia" w:hAnsiTheme="minorHAnsi"/>
      <w:lang w:val="en-US"/>
    </w:rPr>
  </w:style>
  <w:style w:type="table" w:styleId="LightShading-Accent1">
    <w:name w:val="Light Shading Accent 1"/>
    <w:basedOn w:val="TableNormal"/>
    <w:uiPriority w:val="60"/>
    <w:rsid w:val="00864400"/>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ertablecelldata">
    <w:name w:val="headertablecelldata"/>
    <w:rsid w:val="00A02077"/>
  </w:style>
  <w:style w:type="character" w:customStyle="1" w:styleId="st">
    <w:name w:val="st"/>
    <w:basedOn w:val="DefaultParagraphFont"/>
    <w:rsid w:val="0028099D"/>
  </w:style>
  <w:style w:type="character" w:styleId="Emphasis">
    <w:name w:val="Emphasis"/>
    <w:basedOn w:val="DefaultParagraphFont"/>
    <w:uiPriority w:val="20"/>
    <w:qFormat/>
    <w:rsid w:val="0028099D"/>
    <w:rPr>
      <w:i/>
      <w:iCs/>
    </w:rPr>
  </w:style>
  <w:style w:type="character" w:styleId="UnresolvedMention">
    <w:name w:val="Unresolved Mention"/>
    <w:basedOn w:val="DefaultParagraphFont"/>
    <w:uiPriority w:val="99"/>
    <w:semiHidden/>
    <w:unhideWhenUsed/>
    <w:rsid w:val="00605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2762">
      <w:bodyDiv w:val="1"/>
      <w:marLeft w:val="0"/>
      <w:marRight w:val="0"/>
      <w:marTop w:val="0"/>
      <w:marBottom w:val="0"/>
      <w:divBdr>
        <w:top w:val="none" w:sz="0" w:space="0" w:color="auto"/>
        <w:left w:val="none" w:sz="0" w:space="0" w:color="auto"/>
        <w:bottom w:val="none" w:sz="0" w:space="0" w:color="auto"/>
        <w:right w:val="none" w:sz="0" w:space="0" w:color="auto"/>
      </w:divBdr>
    </w:div>
    <w:div w:id="229928337">
      <w:bodyDiv w:val="1"/>
      <w:marLeft w:val="0"/>
      <w:marRight w:val="0"/>
      <w:marTop w:val="0"/>
      <w:marBottom w:val="0"/>
      <w:divBdr>
        <w:top w:val="none" w:sz="0" w:space="0" w:color="auto"/>
        <w:left w:val="none" w:sz="0" w:space="0" w:color="auto"/>
        <w:bottom w:val="none" w:sz="0" w:space="0" w:color="auto"/>
        <w:right w:val="none" w:sz="0" w:space="0" w:color="auto"/>
      </w:divBdr>
    </w:div>
    <w:div w:id="518815262">
      <w:bodyDiv w:val="1"/>
      <w:marLeft w:val="0"/>
      <w:marRight w:val="0"/>
      <w:marTop w:val="0"/>
      <w:marBottom w:val="0"/>
      <w:divBdr>
        <w:top w:val="none" w:sz="0" w:space="0" w:color="auto"/>
        <w:left w:val="none" w:sz="0" w:space="0" w:color="auto"/>
        <w:bottom w:val="none" w:sz="0" w:space="0" w:color="auto"/>
        <w:right w:val="none" w:sz="0" w:space="0" w:color="auto"/>
      </w:divBdr>
      <w:divsChild>
        <w:div w:id="76875280">
          <w:marLeft w:val="0"/>
          <w:marRight w:val="0"/>
          <w:marTop w:val="0"/>
          <w:marBottom w:val="0"/>
          <w:divBdr>
            <w:top w:val="none" w:sz="0" w:space="0" w:color="auto"/>
            <w:left w:val="none" w:sz="0" w:space="0" w:color="auto"/>
            <w:bottom w:val="none" w:sz="0" w:space="0" w:color="auto"/>
            <w:right w:val="none" w:sz="0" w:space="0" w:color="auto"/>
          </w:divBdr>
          <w:divsChild>
            <w:div w:id="1652098629">
              <w:marLeft w:val="0"/>
              <w:marRight w:val="0"/>
              <w:marTop w:val="0"/>
              <w:marBottom w:val="0"/>
              <w:divBdr>
                <w:top w:val="none" w:sz="0" w:space="0" w:color="auto"/>
                <w:left w:val="none" w:sz="0" w:space="0" w:color="auto"/>
                <w:bottom w:val="none" w:sz="0" w:space="0" w:color="auto"/>
                <w:right w:val="none" w:sz="0" w:space="0" w:color="auto"/>
              </w:divBdr>
              <w:divsChild>
                <w:div w:id="1214848959">
                  <w:marLeft w:val="0"/>
                  <w:marRight w:val="0"/>
                  <w:marTop w:val="0"/>
                  <w:marBottom w:val="0"/>
                  <w:divBdr>
                    <w:top w:val="none" w:sz="0" w:space="0" w:color="auto"/>
                    <w:left w:val="none" w:sz="0" w:space="0" w:color="auto"/>
                    <w:bottom w:val="none" w:sz="0" w:space="0" w:color="auto"/>
                    <w:right w:val="none" w:sz="0" w:space="0" w:color="auto"/>
                  </w:divBdr>
                  <w:divsChild>
                    <w:div w:id="1941838918">
                      <w:marLeft w:val="0"/>
                      <w:marRight w:val="0"/>
                      <w:marTop w:val="0"/>
                      <w:marBottom w:val="0"/>
                      <w:divBdr>
                        <w:top w:val="none" w:sz="0" w:space="0" w:color="auto"/>
                        <w:left w:val="none" w:sz="0" w:space="0" w:color="auto"/>
                        <w:bottom w:val="none" w:sz="0" w:space="0" w:color="auto"/>
                        <w:right w:val="none" w:sz="0" w:space="0" w:color="auto"/>
                      </w:divBdr>
                      <w:divsChild>
                        <w:div w:id="1380739876">
                          <w:marLeft w:val="0"/>
                          <w:marRight w:val="0"/>
                          <w:marTop w:val="0"/>
                          <w:marBottom w:val="0"/>
                          <w:divBdr>
                            <w:top w:val="none" w:sz="0" w:space="0" w:color="auto"/>
                            <w:left w:val="none" w:sz="0" w:space="0" w:color="auto"/>
                            <w:bottom w:val="none" w:sz="0" w:space="0" w:color="auto"/>
                            <w:right w:val="none" w:sz="0" w:space="0" w:color="auto"/>
                          </w:divBdr>
                          <w:divsChild>
                            <w:div w:id="17292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463521">
      <w:bodyDiv w:val="1"/>
      <w:marLeft w:val="0"/>
      <w:marRight w:val="0"/>
      <w:marTop w:val="0"/>
      <w:marBottom w:val="0"/>
      <w:divBdr>
        <w:top w:val="none" w:sz="0" w:space="0" w:color="auto"/>
        <w:left w:val="none" w:sz="0" w:space="0" w:color="auto"/>
        <w:bottom w:val="none" w:sz="0" w:space="0" w:color="auto"/>
        <w:right w:val="none" w:sz="0" w:space="0" w:color="auto"/>
      </w:divBdr>
    </w:div>
    <w:div w:id="863249445">
      <w:bodyDiv w:val="1"/>
      <w:marLeft w:val="0"/>
      <w:marRight w:val="0"/>
      <w:marTop w:val="0"/>
      <w:marBottom w:val="0"/>
      <w:divBdr>
        <w:top w:val="none" w:sz="0" w:space="0" w:color="auto"/>
        <w:left w:val="none" w:sz="0" w:space="0" w:color="auto"/>
        <w:bottom w:val="none" w:sz="0" w:space="0" w:color="auto"/>
        <w:right w:val="none" w:sz="0" w:space="0" w:color="auto"/>
      </w:divBdr>
    </w:div>
    <w:div w:id="1151409685">
      <w:bodyDiv w:val="1"/>
      <w:marLeft w:val="0"/>
      <w:marRight w:val="0"/>
      <w:marTop w:val="0"/>
      <w:marBottom w:val="0"/>
      <w:divBdr>
        <w:top w:val="none" w:sz="0" w:space="0" w:color="auto"/>
        <w:left w:val="none" w:sz="0" w:space="0" w:color="auto"/>
        <w:bottom w:val="none" w:sz="0" w:space="0" w:color="auto"/>
        <w:right w:val="none" w:sz="0" w:space="0" w:color="auto"/>
      </w:divBdr>
    </w:div>
    <w:div w:id="1299649462">
      <w:bodyDiv w:val="1"/>
      <w:marLeft w:val="0"/>
      <w:marRight w:val="0"/>
      <w:marTop w:val="0"/>
      <w:marBottom w:val="0"/>
      <w:divBdr>
        <w:top w:val="none" w:sz="0" w:space="0" w:color="auto"/>
        <w:left w:val="none" w:sz="0" w:space="0" w:color="auto"/>
        <w:bottom w:val="none" w:sz="0" w:space="0" w:color="auto"/>
        <w:right w:val="none" w:sz="0" w:space="0" w:color="auto"/>
      </w:divBdr>
    </w:div>
    <w:div w:id="1504474964">
      <w:bodyDiv w:val="1"/>
      <w:marLeft w:val="0"/>
      <w:marRight w:val="0"/>
      <w:marTop w:val="0"/>
      <w:marBottom w:val="0"/>
      <w:divBdr>
        <w:top w:val="none" w:sz="0" w:space="0" w:color="auto"/>
        <w:left w:val="none" w:sz="0" w:space="0" w:color="auto"/>
        <w:bottom w:val="none" w:sz="0" w:space="0" w:color="auto"/>
        <w:right w:val="none" w:sz="0" w:space="0" w:color="auto"/>
      </w:divBdr>
    </w:div>
    <w:div w:id="182223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hyperlink" Target="https://doi.org/10.1108/jaee-10-2017-0099" TargetMode="Externa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hyperlink" Target="https://doi.org/10.1007/s11156-019-00836-1"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113B-B4D3-4643-BC36-0CDE1D34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15010</Words>
  <Characters>85562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Danso</dc:creator>
  <cp:lastModifiedBy>Ntim C.G.</cp:lastModifiedBy>
  <cp:revision>4</cp:revision>
  <cp:lastPrinted>2017-01-12T15:33:00Z</cp:lastPrinted>
  <dcterms:created xsi:type="dcterms:W3CDTF">2020-06-19T20:13:00Z</dcterms:created>
  <dcterms:modified xsi:type="dcterms:W3CDTF">2020-06-19T20:32:00Z</dcterms:modified>
</cp:coreProperties>
</file>