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A5" w:rsidRDefault="004819B5">
      <w:pPr>
        <w:pStyle w:val="NoSpacing"/>
        <w:spacing w:after="240"/>
        <w:jc w:val="both"/>
        <w:rPr>
          <w:rFonts w:ascii="Times New Roman" w:eastAsia="Times New Roman" w:hAnsi="Times New Roman" w:cs="Times New Roman"/>
          <w:b/>
          <w:bCs/>
          <w:sz w:val="20"/>
          <w:szCs w:val="20"/>
        </w:rPr>
      </w:pPr>
      <w:bookmarkStart w:id="0" w:name="_GoBack"/>
      <w:bookmarkEnd w:id="0"/>
      <w:r>
        <w:rPr>
          <w:rFonts w:ascii="Times New Roman" w:hAnsi="Times New Roman"/>
          <w:b/>
          <w:bCs/>
          <w:sz w:val="20"/>
          <w:szCs w:val="20"/>
        </w:rPr>
        <w:t>Anthropometric measures and HbA1c to detect dysglycemia in young Asian women planning conception: The S-PRESTO cohort</w:t>
      </w:r>
    </w:p>
    <w:p w:rsidR="00411AA5" w:rsidRDefault="004819B5">
      <w:pPr>
        <w:pStyle w:val="NoSpacing"/>
        <w:jc w:val="both"/>
        <w:rPr>
          <w:rFonts w:ascii="Times New Roman" w:eastAsia="Times New Roman" w:hAnsi="Times New Roman" w:cs="Times New Roman"/>
          <w:sz w:val="20"/>
          <w:szCs w:val="20"/>
          <w:vertAlign w:val="superscript"/>
        </w:rPr>
      </w:pPr>
      <w:r>
        <w:rPr>
          <w:rFonts w:ascii="Times New Roman" w:hAnsi="Times New Roman"/>
          <w:sz w:val="20"/>
          <w:szCs w:val="20"/>
        </w:rPr>
        <w:t>Anne HY Chu</w:t>
      </w:r>
      <w:r>
        <w:rPr>
          <w:rFonts w:ascii="Times New Roman" w:hAnsi="Times New Roman"/>
          <w:sz w:val="20"/>
          <w:szCs w:val="20"/>
          <w:vertAlign w:val="superscript"/>
        </w:rPr>
        <w:t>1</w:t>
      </w:r>
      <w:r>
        <w:rPr>
          <w:rFonts w:ascii="Times New Roman" w:hAnsi="Times New Roman"/>
          <w:sz w:val="20"/>
          <w:szCs w:val="20"/>
        </w:rPr>
        <w:t>, Izzuddin M Aris</w:t>
      </w:r>
      <w:r>
        <w:rPr>
          <w:rFonts w:ascii="Times New Roman" w:hAnsi="Times New Roman"/>
          <w:sz w:val="20"/>
          <w:szCs w:val="20"/>
          <w:vertAlign w:val="superscript"/>
        </w:rPr>
        <w:t>1,2,3</w:t>
      </w:r>
      <w:r>
        <w:rPr>
          <w:rFonts w:ascii="Times New Roman" w:hAnsi="Times New Roman"/>
          <w:sz w:val="20"/>
          <w:szCs w:val="20"/>
        </w:rPr>
        <w:t>, Sharon Ng</w:t>
      </w:r>
      <w:r>
        <w:rPr>
          <w:rFonts w:ascii="Times New Roman" w:hAnsi="Times New Roman"/>
          <w:sz w:val="20"/>
          <w:szCs w:val="20"/>
          <w:vertAlign w:val="superscript"/>
        </w:rPr>
        <w:t>2</w:t>
      </w:r>
      <w:r>
        <w:rPr>
          <w:rFonts w:ascii="Times New Roman" w:hAnsi="Times New Roman"/>
          <w:sz w:val="20"/>
          <w:szCs w:val="20"/>
        </w:rPr>
        <w:t>, See Ling Loy</w:t>
      </w:r>
      <w:r>
        <w:rPr>
          <w:rFonts w:ascii="Times New Roman" w:hAnsi="Times New Roman"/>
          <w:sz w:val="20"/>
          <w:szCs w:val="20"/>
          <w:vertAlign w:val="superscript"/>
        </w:rPr>
        <w:t>4,5</w:t>
      </w:r>
      <w:r>
        <w:rPr>
          <w:rFonts w:ascii="Times New Roman" w:hAnsi="Times New Roman"/>
          <w:sz w:val="20"/>
          <w:szCs w:val="20"/>
        </w:rPr>
        <w:t>, Jonathan Y Bernard</w:t>
      </w:r>
      <w:r>
        <w:rPr>
          <w:rFonts w:ascii="Times New Roman" w:hAnsi="Times New Roman"/>
          <w:sz w:val="20"/>
          <w:szCs w:val="20"/>
          <w:vertAlign w:val="superscript"/>
        </w:rPr>
        <w:t>1,6</w:t>
      </w:r>
      <w:r>
        <w:rPr>
          <w:rFonts w:ascii="Times New Roman" w:hAnsi="Times New Roman"/>
          <w:sz w:val="20"/>
          <w:szCs w:val="20"/>
        </w:rPr>
        <w:t>, Mya Thway Tint</w:t>
      </w:r>
      <w:r>
        <w:rPr>
          <w:rFonts w:ascii="Times New Roman" w:hAnsi="Times New Roman"/>
          <w:sz w:val="20"/>
          <w:szCs w:val="20"/>
          <w:vertAlign w:val="superscript"/>
        </w:rPr>
        <w:t>1,2</w:t>
      </w:r>
      <w:r>
        <w:rPr>
          <w:rFonts w:ascii="Times New Roman" w:hAnsi="Times New Roman"/>
          <w:sz w:val="20"/>
          <w:szCs w:val="20"/>
        </w:rPr>
        <w:t>, Wen Lun Yuan</w:t>
      </w:r>
      <w:r>
        <w:rPr>
          <w:rFonts w:ascii="Times New Roman" w:hAnsi="Times New Roman"/>
          <w:sz w:val="20"/>
          <w:szCs w:val="20"/>
          <w:vertAlign w:val="superscript"/>
        </w:rPr>
        <w:t>7</w:t>
      </w:r>
      <w:r>
        <w:rPr>
          <w:rFonts w:ascii="Times New Roman" w:hAnsi="Times New Roman"/>
          <w:sz w:val="20"/>
          <w:szCs w:val="20"/>
        </w:rPr>
        <w:t xml:space="preserve">, Keith M </w:t>
      </w:r>
      <w:r>
        <w:rPr>
          <w:rFonts w:ascii="Times New Roman" w:hAnsi="Times New Roman"/>
          <w:sz w:val="20"/>
          <w:szCs w:val="20"/>
        </w:rPr>
        <w:t>Godfrey</w:t>
      </w:r>
      <w:r>
        <w:rPr>
          <w:rFonts w:ascii="Times New Roman" w:hAnsi="Times New Roman"/>
          <w:sz w:val="20"/>
          <w:szCs w:val="20"/>
          <w:vertAlign w:val="superscript"/>
        </w:rPr>
        <w:t>8</w:t>
      </w:r>
      <w:r>
        <w:rPr>
          <w:rFonts w:ascii="Times New Roman" w:hAnsi="Times New Roman"/>
          <w:sz w:val="20"/>
          <w:szCs w:val="20"/>
        </w:rPr>
        <w:t>, Jerry Kok Yen Chan</w:t>
      </w:r>
      <w:r>
        <w:rPr>
          <w:rFonts w:ascii="Times New Roman" w:hAnsi="Times New Roman"/>
          <w:sz w:val="20"/>
          <w:szCs w:val="20"/>
          <w:vertAlign w:val="superscript"/>
        </w:rPr>
        <w:t>4,5</w:t>
      </w:r>
      <w:r>
        <w:rPr>
          <w:rFonts w:ascii="Times New Roman" w:hAnsi="Times New Roman"/>
          <w:sz w:val="20"/>
          <w:szCs w:val="20"/>
        </w:rPr>
        <w:t>, Lynette Pei-Chi Shek</w:t>
      </w:r>
      <w:r>
        <w:rPr>
          <w:rFonts w:ascii="Times New Roman" w:hAnsi="Times New Roman"/>
          <w:sz w:val="20"/>
          <w:szCs w:val="20"/>
          <w:vertAlign w:val="superscript"/>
        </w:rPr>
        <w:t>1,7</w:t>
      </w:r>
      <w:r>
        <w:rPr>
          <w:rFonts w:ascii="Times New Roman" w:hAnsi="Times New Roman"/>
          <w:sz w:val="20"/>
          <w:szCs w:val="20"/>
        </w:rPr>
        <w:t>, Yap Seng Chong</w:t>
      </w:r>
      <w:r>
        <w:rPr>
          <w:rFonts w:ascii="Times New Roman" w:hAnsi="Times New Roman"/>
          <w:sz w:val="20"/>
          <w:szCs w:val="20"/>
          <w:vertAlign w:val="superscript"/>
        </w:rPr>
        <w:t>1,2</w:t>
      </w:r>
      <w:r>
        <w:rPr>
          <w:rFonts w:ascii="Times New Roman" w:hAnsi="Times New Roman"/>
          <w:sz w:val="20"/>
          <w:szCs w:val="20"/>
        </w:rPr>
        <w:t>, Kok Hian Tan</w:t>
      </w:r>
      <w:r>
        <w:rPr>
          <w:rFonts w:ascii="Times New Roman" w:hAnsi="Times New Roman"/>
          <w:sz w:val="20"/>
          <w:szCs w:val="20"/>
          <w:vertAlign w:val="superscript"/>
        </w:rPr>
        <w:t>5,9</w:t>
      </w:r>
      <w:r>
        <w:rPr>
          <w:rFonts w:ascii="Times New Roman" w:hAnsi="Times New Roman"/>
          <w:sz w:val="20"/>
          <w:szCs w:val="20"/>
        </w:rPr>
        <w:t>, Seng Bin Ang</w:t>
      </w:r>
      <w:r>
        <w:rPr>
          <w:rFonts w:ascii="Times New Roman" w:hAnsi="Times New Roman"/>
          <w:sz w:val="20"/>
          <w:szCs w:val="20"/>
          <w:vertAlign w:val="superscript"/>
        </w:rPr>
        <w:t>10</w:t>
      </w:r>
      <w:r>
        <w:rPr>
          <w:rFonts w:ascii="Times New Roman" w:hAnsi="Times New Roman"/>
          <w:sz w:val="20"/>
          <w:szCs w:val="20"/>
        </w:rPr>
        <w:t>, Heng Hao Tan</w:t>
      </w:r>
      <w:r>
        <w:rPr>
          <w:rFonts w:ascii="Times New Roman" w:hAnsi="Times New Roman"/>
          <w:sz w:val="20"/>
          <w:szCs w:val="20"/>
          <w:vertAlign w:val="superscript"/>
        </w:rPr>
        <w:t>4,5</w:t>
      </w:r>
      <w:r>
        <w:rPr>
          <w:rFonts w:ascii="Times New Roman" w:hAnsi="Times New Roman"/>
          <w:sz w:val="20"/>
          <w:szCs w:val="20"/>
        </w:rPr>
        <w:t>, Bernard SM Chern</w:t>
      </w:r>
      <w:r>
        <w:rPr>
          <w:rFonts w:ascii="Times New Roman" w:hAnsi="Times New Roman"/>
          <w:sz w:val="20"/>
          <w:szCs w:val="20"/>
          <w:vertAlign w:val="superscript"/>
        </w:rPr>
        <w:t>5,11</w:t>
      </w:r>
      <w:r>
        <w:rPr>
          <w:rFonts w:ascii="Times New Roman" w:hAnsi="Times New Roman"/>
          <w:sz w:val="20"/>
          <w:szCs w:val="20"/>
        </w:rPr>
        <w:t>, Fabian Yap</w:t>
      </w:r>
      <w:r>
        <w:rPr>
          <w:rFonts w:ascii="Times New Roman" w:hAnsi="Times New Roman"/>
          <w:sz w:val="20"/>
          <w:szCs w:val="20"/>
          <w:vertAlign w:val="superscript"/>
        </w:rPr>
        <w:t>12,13</w:t>
      </w:r>
      <w:r>
        <w:rPr>
          <w:rFonts w:ascii="Times New Roman" w:hAnsi="Times New Roman"/>
          <w:sz w:val="20"/>
          <w:szCs w:val="20"/>
        </w:rPr>
        <w:t>, Yung Seng Lee</w:t>
      </w:r>
      <w:r>
        <w:rPr>
          <w:rFonts w:ascii="Times New Roman" w:hAnsi="Times New Roman"/>
          <w:sz w:val="20"/>
          <w:szCs w:val="20"/>
          <w:vertAlign w:val="superscript"/>
        </w:rPr>
        <w:t>1,7</w:t>
      </w:r>
      <w:r>
        <w:rPr>
          <w:rFonts w:ascii="Times New Roman" w:hAnsi="Times New Roman"/>
          <w:sz w:val="20"/>
          <w:szCs w:val="20"/>
        </w:rPr>
        <w:t>, Ngee Lek</w:t>
      </w:r>
      <w:r>
        <w:rPr>
          <w:rFonts w:ascii="Times New Roman" w:hAnsi="Times New Roman"/>
          <w:sz w:val="20"/>
          <w:szCs w:val="20"/>
          <w:vertAlign w:val="superscript"/>
        </w:rPr>
        <w:t>5,13</w:t>
      </w:r>
      <w:r>
        <w:rPr>
          <w:rFonts w:ascii="Times New Roman" w:hAnsi="Times New Roman"/>
          <w:sz w:val="20"/>
          <w:szCs w:val="20"/>
        </w:rPr>
        <w:t>, Melvin Khee-Shing Leow</w:t>
      </w:r>
      <w:r>
        <w:rPr>
          <w:rFonts w:ascii="Times New Roman" w:hAnsi="Times New Roman"/>
          <w:sz w:val="20"/>
          <w:szCs w:val="20"/>
          <w:vertAlign w:val="superscript"/>
        </w:rPr>
        <w:t>1,5</w:t>
      </w:r>
      <w:r>
        <w:rPr>
          <w:rFonts w:ascii="Times New Roman" w:hAnsi="Times New Roman"/>
          <w:sz w:val="20"/>
          <w:szCs w:val="20"/>
        </w:rPr>
        <w:t>, Chin Meng Khoo</w:t>
      </w:r>
      <w:r>
        <w:rPr>
          <w:rFonts w:ascii="Times New Roman" w:hAnsi="Times New Roman"/>
          <w:sz w:val="20"/>
          <w:szCs w:val="20"/>
          <w:vertAlign w:val="superscript"/>
        </w:rPr>
        <w:t>14</w:t>
      </w:r>
      <w:r>
        <w:rPr>
          <w:rFonts w:ascii="Times New Roman" w:hAnsi="Times New Roman"/>
          <w:sz w:val="20"/>
          <w:szCs w:val="20"/>
        </w:rPr>
        <w:t>, Shiao-Yng Cha</w:t>
      </w:r>
      <w:r>
        <w:rPr>
          <w:rFonts w:ascii="Times New Roman" w:hAnsi="Times New Roman"/>
          <w:sz w:val="20"/>
          <w:szCs w:val="20"/>
        </w:rPr>
        <w:t>n</w:t>
      </w:r>
      <w:r>
        <w:rPr>
          <w:rFonts w:ascii="Times New Roman" w:hAnsi="Times New Roman"/>
          <w:sz w:val="20"/>
          <w:szCs w:val="20"/>
          <w:vertAlign w:val="superscript"/>
        </w:rPr>
        <w:t>1,2</w:t>
      </w:r>
    </w:p>
    <w:p w:rsidR="00411AA5" w:rsidRDefault="00411AA5">
      <w:pPr>
        <w:pStyle w:val="NoSpacing"/>
        <w:jc w:val="both"/>
        <w:rPr>
          <w:rFonts w:ascii="Times New Roman" w:eastAsia="Times New Roman" w:hAnsi="Times New Roman" w:cs="Times New Roman"/>
          <w:sz w:val="20"/>
          <w:szCs w:val="20"/>
          <w:vertAlign w:val="superscript"/>
        </w:rPr>
      </w:pP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1</w:t>
      </w:r>
      <w:r>
        <w:rPr>
          <w:rFonts w:ascii="Times New Roman" w:hAnsi="Times New Roman"/>
          <w:sz w:val="20"/>
          <w:szCs w:val="20"/>
        </w:rPr>
        <w:t>Singapore Institute for Clinical Sciences (SICS), Agency for Science, Technology and Research (A*STAR),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2</w:t>
      </w:r>
      <w:r>
        <w:rPr>
          <w:rFonts w:ascii="Times New Roman" w:hAnsi="Times New Roman"/>
          <w:sz w:val="20"/>
          <w:szCs w:val="20"/>
        </w:rPr>
        <w:t>Department of Obstetrics and Gynaecology, Yong Loo Lin School of Medicine, National University of Singapore, Singapore</w:t>
      </w:r>
    </w:p>
    <w:p w:rsidR="00411AA5" w:rsidRDefault="004819B5">
      <w:pPr>
        <w:pStyle w:val="BodyA"/>
        <w:shd w:val="clear" w:color="auto" w:fill="FFFFFF"/>
        <w:spacing w:after="0" w:line="240" w:lineRule="auto"/>
        <w:jc w:val="both"/>
        <w:rPr>
          <w:rFonts w:ascii="Arial" w:eastAsia="Arial" w:hAnsi="Arial" w:cs="Arial"/>
          <w:sz w:val="20"/>
          <w:szCs w:val="20"/>
        </w:rPr>
      </w:pPr>
      <w:r>
        <w:rPr>
          <w:rFonts w:ascii="Times New Roman" w:hAnsi="Times New Roman"/>
          <w:sz w:val="20"/>
          <w:szCs w:val="20"/>
          <w:vertAlign w:val="superscript"/>
        </w:rPr>
        <w:t>3</w:t>
      </w:r>
      <w:r>
        <w:rPr>
          <w:rFonts w:ascii="Times New Roman" w:hAnsi="Times New Roman"/>
          <w:sz w:val="20"/>
          <w:szCs w:val="20"/>
        </w:rPr>
        <w:t>Division of Ch</w:t>
      </w:r>
      <w:r>
        <w:rPr>
          <w:rFonts w:ascii="Times New Roman" w:hAnsi="Times New Roman"/>
          <w:sz w:val="20"/>
          <w:szCs w:val="20"/>
        </w:rPr>
        <w:t>ronic Disease Research Across the Lifecourse, Department of Population Medicine, Harvard Medical School and Harvard Pilgrim Health Care Institute, Boston, Massachusetts, USA</w:t>
      </w:r>
    </w:p>
    <w:p w:rsidR="00411AA5" w:rsidRDefault="004819B5">
      <w:pPr>
        <w:pStyle w:val="NoSpacing"/>
        <w:jc w:val="both"/>
        <w:outlineLvl w:val="0"/>
        <w:rPr>
          <w:rFonts w:ascii="Times New Roman" w:eastAsia="Times New Roman" w:hAnsi="Times New Roman" w:cs="Times New Roman"/>
          <w:sz w:val="20"/>
          <w:szCs w:val="20"/>
        </w:rPr>
      </w:pPr>
      <w:r>
        <w:rPr>
          <w:rFonts w:ascii="Times New Roman" w:hAnsi="Times New Roman"/>
          <w:sz w:val="20"/>
          <w:szCs w:val="20"/>
          <w:vertAlign w:val="superscript"/>
        </w:rPr>
        <w:t>4</w:t>
      </w:r>
      <w:r>
        <w:rPr>
          <w:rFonts w:ascii="Times New Roman" w:hAnsi="Times New Roman"/>
          <w:sz w:val="20"/>
          <w:szCs w:val="20"/>
        </w:rPr>
        <w:t>Department of Reproductive Medicine, KK Women</w:t>
      </w:r>
      <w:r>
        <w:rPr>
          <w:rFonts w:ascii="Times New Roman" w:hAnsi="Times New Roman"/>
          <w:sz w:val="20"/>
          <w:szCs w:val="20"/>
        </w:rPr>
        <w:t>’</w:t>
      </w:r>
      <w:r>
        <w:rPr>
          <w:rFonts w:ascii="Times New Roman" w:hAnsi="Times New Roman"/>
          <w:sz w:val="20"/>
          <w:szCs w:val="20"/>
        </w:rPr>
        <w:t xml:space="preserve">s and Children Hospital, Singapore </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5</w:t>
      </w:r>
      <w:r>
        <w:rPr>
          <w:rFonts w:ascii="Times New Roman" w:hAnsi="Times New Roman"/>
          <w:sz w:val="20"/>
          <w:szCs w:val="20"/>
        </w:rPr>
        <w:t>Duke-NUS Medical School,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6</w:t>
      </w:r>
      <w:r>
        <w:rPr>
          <w:rFonts w:ascii="Times New Roman" w:hAnsi="Times New Roman"/>
          <w:sz w:val="20"/>
          <w:szCs w:val="20"/>
        </w:rPr>
        <w:t xml:space="preserve">Centre for Research in Epidemiology and Statistics, Inserm, Villejuif, France </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7</w:t>
      </w:r>
      <w:r>
        <w:rPr>
          <w:rFonts w:ascii="Times New Roman" w:hAnsi="Times New Roman"/>
          <w:sz w:val="20"/>
          <w:szCs w:val="20"/>
        </w:rPr>
        <w:t>Department of Paediatrics, Yong Loo Lin School of Medicine, National University of Singapore,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8</w:t>
      </w:r>
      <w:r>
        <w:rPr>
          <w:rFonts w:ascii="Times New Roman" w:hAnsi="Times New Roman"/>
          <w:sz w:val="20"/>
          <w:szCs w:val="20"/>
        </w:rPr>
        <w:t xml:space="preserve">MRC Lifecourse Epidemiology Unit </w:t>
      </w:r>
      <w:r>
        <w:rPr>
          <w:rFonts w:ascii="Times New Roman" w:hAnsi="Times New Roman"/>
          <w:sz w:val="20"/>
          <w:szCs w:val="20"/>
        </w:rPr>
        <w:t>and NIHR Southampton Biomedical Research Centre, University of Southampton and University Hospital Southampton NHS Foundation Trust, Southampton, UK</w:t>
      </w:r>
    </w:p>
    <w:p w:rsidR="00411AA5" w:rsidRDefault="004819B5">
      <w:pPr>
        <w:pStyle w:val="NoSpacing"/>
        <w:jc w:val="both"/>
        <w:rPr>
          <w:rFonts w:ascii="Times New Roman" w:eastAsia="Times New Roman" w:hAnsi="Times New Roman" w:cs="Times New Roman"/>
          <w:sz w:val="20"/>
          <w:szCs w:val="20"/>
          <w:vertAlign w:val="superscript"/>
        </w:rPr>
      </w:pPr>
      <w:r>
        <w:rPr>
          <w:rFonts w:ascii="Times New Roman" w:hAnsi="Times New Roman"/>
          <w:sz w:val="20"/>
          <w:szCs w:val="20"/>
          <w:vertAlign w:val="superscript"/>
        </w:rPr>
        <w:t>9</w:t>
      </w:r>
      <w:r>
        <w:rPr>
          <w:rFonts w:ascii="Times New Roman" w:hAnsi="Times New Roman"/>
          <w:sz w:val="20"/>
          <w:szCs w:val="20"/>
        </w:rPr>
        <w:t>Department of Maternal Fetal Medicine, KK Women</w:t>
      </w:r>
      <w:r>
        <w:rPr>
          <w:rFonts w:ascii="Times New Roman" w:hAnsi="Times New Roman"/>
          <w:sz w:val="20"/>
          <w:szCs w:val="20"/>
        </w:rPr>
        <w:t>’</w:t>
      </w:r>
      <w:r>
        <w:rPr>
          <w:rFonts w:ascii="Times New Roman" w:hAnsi="Times New Roman"/>
          <w:sz w:val="20"/>
          <w:szCs w:val="20"/>
        </w:rPr>
        <w:t>s and Children</w:t>
      </w:r>
      <w:r>
        <w:rPr>
          <w:rFonts w:ascii="Times New Roman" w:hAnsi="Times New Roman"/>
          <w:sz w:val="20"/>
          <w:szCs w:val="20"/>
        </w:rPr>
        <w:t>’</w:t>
      </w:r>
      <w:r>
        <w:rPr>
          <w:rFonts w:ascii="Times New Roman" w:hAnsi="Times New Roman"/>
          <w:sz w:val="20"/>
          <w:szCs w:val="20"/>
        </w:rPr>
        <w:t>s Hospital, Singapore</w:t>
      </w:r>
    </w:p>
    <w:p w:rsidR="00411AA5" w:rsidRDefault="004819B5">
      <w:pPr>
        <w:pStyle w:val="NoSpacing"/>
        <w:jc w:val="both"/>
        <w:rPr>
          <w:rFonts w:ascii="Times New Roman" w:eastAsia="Times New Roman" w:hAnsi="Times New Roman" w:cs="Times New Roman"/>
          <w:sz w:val="20"/>
          <w:szCs w:val="20"/>
          <w:vertAlign w:val="superscript"/>
        </w:rPr>
      </w:pPr>
      <w:r>
        <w:rPr>
          <w:rFonts w:ascii="Times New Roman" w:hAnsi="Times New Roman"/>
          <w:sz w:val="20"/>
          <w:szCs w:val="20"/>
          <w:vertAlign w:val="superscript"/>
        </w:rPr>
        <w:t>10</w:t>
      </w:r>
      <w:r>
        <w:rPr>
          <w:rFonts w:ascii="Times New Roman" w:hAnsi="Times New Roman"/>
          <w:sz w:val="20"/>
          <w:szCs w:val="20"/>
        </w:rPr>
        <w:t>Department of Famil</w:t>
      </w:r>
      <w:r>
        <w:rPr>
          <w:rFonts w:ascii="Times New Roman" w:hAnsi="Times New Roman"/>
          <w:sz w:val="20"/>
          <w:szCs w:val="20"/>
        </w:rPr>
        <w:t>y Medicine Service, KK Women</w:t>
      </w:r>
      <w:r>
        <w:rPr>
          <w:rFonts w:ascii="Times New Roman" w:hAnsi="Times New Roman"/>
          <w:sz w:val="20"/>
          <w:szCs w:val="20"/>
        </w:rPr>
        <w:t>’</w:t>
      </w:r>
      <w:r>
        <w:rPr>
          <w:rFonts w:ascii="Times New Roman" w:hAnsi="Times New Roman"/>
          <w:sz w:val="20"/>
          <w:szCs w:val="20"/>
        </w:rPr>
        <w:t>s and Children</w:t>
      </w:r>
      <w:r>
        <w:rPr>
          <w:rFonts w:ascii="Times New Roman" w:hAnsi="Times New Roman"/>
          <w:sz w:val="20"/>
          <w:szCs w:val="20"/>
        </w:rPr>
        <w:t>’</w:t>
      </w:r>
      <w:r>
        <w:rPr>
          <w:rFonts w:ascii="Times New Roman" w:hAnsi="Times New Roman"/>
          <w:sz w:val="20"/>
          <w:szCs w:val="20"/>
        </w:rPr>
        <w:t>s Hospital,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11</w:t>
      </w:r>
      <w:r>
        <w:rPr>
          <w:rFonts w:ascii="Times New Roman" w:hAnsi="Times New Roman"/>
          <w:sz w:val="20"/>
          <w:szCs w:val="20"/>
        </w:rPr>
        <w:t>Division of Obstetrics &amp; Gynaecology, KK Women's and Children's Hospital,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12</w:t>
      </w:r>
      <w:r>
        <w:rPr>
          <w:rFonts w:ascii="Times New Roman" w:hAnsi="Times New Roman"/>
          <w:sz w:val="20"/>
          <w:szCs w:val="20"/>
        </w:rPr>
        <w:t>Lee Kong Chian School of Medicine, Nanyang Technological University, Singapore</w:t>
      </w:r>
    </w:p>
    <w:p w:rsidR="00411AA5" w:rsidRDefault="004819B5">
      <w:pPr>
        <w:pStyle w:val="NoSpacing"/>
        <w:jc w:val="both"/>
        <w:rPr>
          <w:rFonts w:ascii="Times New Roman" w:eastAsia="Times New Roman" w:hAnsi="Times New Roman" w:cs="Times New Roman"/>
          <w:sz w:val="20"/>
          <w:szCs w:val="20"/>
        </w:rPr>
      </w:pPr>
      <w:r>
        <w:rPr>
          <w:rFonts w:ascii="Times New Roman" w:hAnsi="Times New Roman"/>
          <w:sz w:val="20"/>
          <w:szCs w:val="20"/>
          <w:vertAlign w:val="superscript"/>
        </w:rPr>
        <w:t>13</w:t>
      </w:r>
      <w:r>
        <w:rPr>
          <w:rFonts w:ascii="Times New Roman" w:hAnsi="Times New Roman"/>
          <w:sz w:val="20"/>
          <w:szCs w:val="20"/>
        </w:rPr>
        <w:t>Department of Paediat</w:t>
      </w:r>
      <w:r>
        <w:rPr>
          <w:rFonts w:ascii="Times New Roman" w:hAnsi="Times New Roman"/>
          <w:sz w:val="20"/>
          <w:szCs w:val="20"/>
        </w:rPr>
        <w:t>rics, KK Women's and Children's Hospital, Singapore</w:t>
      </w:r>
    </w:p>
    <w:p w:rsidR="00411AA5" w:rsidRDefault="004819B5">
      <w:pPr>
        <w:pStyle w:val="NoSpacing"/>
        <w:jc w:val="both"/>
        <w:outlineLvl w:val="0"/>
        <w:rPr>
          <w:rFonts w:ascii="Times New Roman" w:eastAsia="Times New Roman" w:hAnsi="Times New Roman" w:cs="Times New Roman"/>
          <w:sz w:val="20"/>
          <w:szCs w:val="20"/>
        </w:rPr>
      </w:pPr>
      <w:r>
        <w:rPr>
          <w:rFonts w:ascii="Times New Roman" w:hAnsi="Times New Roman"/>
          <w:sz w:val="20"/>
          <w:szCs w:val="20"/>
          <w:vertAlign w:val="superscript"/>
        </w:rPr>
        <w:t>14</w:t>
      </w:r>
      <w:r>
        <w:rPr>
          <w:rFonts w:ascii="Times New Roman" w:hAnsi="Times New Roman"/>
          <w:sz w:val="20"/>
          <w:szCs w:val="20"/>
        </w:rPr>
        <w:t>Department of Medicine, Yong Loo Lin School of Medicine, National University of Singapore, Singapore</w:t>
      </w:r>
    </w:p>
    <w:p w:rsidR="00411AA5" w:rsidRDefault="00411AA5">
      <w:pPr>
        <w:pStyle w:val="NoSpacing"/>
        <w:jc w:val="both"/>
        <w:rPr>
          <w:rFonts w:ascii="Times New Roman" w:eastAsia="Times New Roman" w:hAnsi="Times New Roman" w:cs="Times New Roman"/>
          <w:sz w:val="20"/>
          <w:szCs w:val="20"/>
        </w:rPr>
      </w:pPr>
    </w:p>
    <w:p w:rsidR="00411AA5" w:rsidRDefault="004819B5">
      <w:pPr>
        <w:pStyle w:val="NoSpacing"/>
        <w:jc w:val="both"/>
        <w:outlineLvl w:val="0"/>
        <w:rPr>
          <w:rFonts w:ascii="Times New Roman" w:eastAsia="Times New Roman" w:hAnsi="Times New Roman" w:cs="Times New Roman"/>
          <w:b/>
          <w:bCs/>
          <w:sz w:val="20"/>
          <w:szCs w:val="20"/>
        </w:rPr>
      </w:pPr>
      <w:r>
        <w:rPr>
          <w:rFonts w:ascii="Times New Roman" w:hAnsi="Times New Roman"/>
          <w:b/>
          <w:bCs/>
          <w:sz w:val="20"/>
          <w:szCs w:val="20"/>
        </w:rPr>
        <w:t>Address reprints and correspondence to:</w:t>
      </w:r>
    </w:p>
    <w:p w:rsidR="00411AA5" w:rsidRDefault="004819B5">
      <w:pPr>
        <w:pStyle w:val="NoSpacing"/>
        <w:jc w:val="both"/>
        <w:rPr>
          <w:rStyle w:val="None"/>
          <w:rFonts w:ascii="Times New Roman" w:eastAsia="Times New Roman" w:hAnsi="Times New Roman" w:cs="Times New Roman"/>
        </w:rPr>
      </w:pPr>
      <w:r>
        <w:rPr>
          <w:rFonts w:ascii="Times New Roman" w:hAnsi="Times New Roman"/>
          <w:sz w:val="20"/>
          <w:szCs w:val="20"/>
          <w:u w:val="single"/>
        </w:rPr>
        <w:t>Shiao-Yng Chan</w:t>
      </w:r>
      <w:r>
        <w:rPr>
          <w:rFonts w:ascii="Times New Roman" w:hAnsi="Times New Roman"/>
          <w:sz w:val="20"/>
          <w:szCs w:val="20"/>
        </w:rPr>
        <w:t>. Department of Obstetrics and Gynaecology, Yo</w:t>
      </w:r>
      <w:r>
        <w:rPr>
          <w:rFonts w:ascii="Times New Roman" w:hAnsi="Times New Roman"/>
          <w:sz w:val="20"/>
          <w:szCs w:val="20"/>
        </w:rPr>
        <w:t xml:space="preserve">ng Loo Lin School of Medicine, National University of Singapore. NUHS Tower Block Level 12, 1E Kent Ridge Road, Singapore 119228. Email: </w:t>
      </w:r>
      <w:hyperlink r:id="rId6" w:history="1">
        <w:r>
          <w:rPr>
            <w:rStyle w:val="Hyperlink0"/>
            <w:rFonts w:eastAsia="Arial Unicode MS"/>
          </w:rPr>
          <w:t>obgchan@nus.edu.sg</w:t>
        </w:r>
      </w:hyperlink>
      <w:r>
        <w:rPr>
          <w:rStyle w:val="None"/>
          <w:rFonts w:ascii="Times New Roman" w:eastAsia="Times New Roman" w:hAnsi="Times New Roman" w:cs="Times New Roman"/>
          <w:b/>
          <w:bCs/>
          <w:sz w:val="20"/>
          <w:szCs w:val="20"/>
        </w:rPr>
        <w:br/>
      </w:r>
      <w:r>
        <w:rPr>
          <w:rStyle w:val="None"/>
          <w:rFonts w:ascii="Times New Roman" w:eastAsia="Times New Roman" w:hAnsi="Times New Roman" w:cs="Times New Roman"/>
          <w:b/>
          <w:bCs/>
          <w:sz w:val="20"/>
          <w:szCs w:val="20"/>
        </w:rPr>
        <w:br/>
      </w:r>
      <w:r>
        <w:rPr>
          <w:rStyle w:val="None"/>
          <w:rFonts w:ascii="Times New Roman" w:hAnsi="Times New Roman"/>
          <w:b/>
          <w:bCs/>
          <w:sz w:val="20"/>
          <w:szCs w:val="20"/>
        </w:rPr>
        <w:t xml:space="preserve">Key words: </w:t>
      </w:r>
      <w:r>
        <w:rPr>
          <w:rStyle w:val="None"/>
          <w:rFonts w:ascii="Times New Roman" w:hAnsi="Times New Roman"/>
          <w:sz w:val="20"/>
          <w:szCs w:val="20"/>
        </w:rPr>
        <w:t xml:space="preserve">Anthropometry, body composition, </w:t>
      </w:r>
      <w:r>
        <w:rPr>
          <w:rStyle w:val="None"/>
          <w:rFonts w:ascii="Times New Roman" w:hAnsi="Times New Roman"/>
          <w:sz w:val="20"/>
          <w:szCs w:val="20"/>
        </w:rPr>
        <w:t>preconception, dysglycemia, HbA1c, oral glucose tolerance test</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 xml:space="preserve">Funding. </w:t>
      </w:r>
      <w:r>
        <w:rPr>
          <w:rStyle w:val="None"/>
          <w:rFonts w:ascii="Times New Roman" w:hAnsi="Times New Roman"/>
          <w:sz w:val="20"/>
          <w:szCs w:val="20"/>
        </w:rPr>
        <w:t>This work was supported by the Singapore National Research Foundation under its Translational and Clinical Research (TCR) Flagship Programme and administered by the Singapore Ministry</w:t>
      </w:r>
      <w:r>
        <w:rPr>
          <w:rStyle w:val="None"/>
          <w:rFonts w:ascii="Times New Roman" w:hAnsi="Times New Roman"/>
          <w:sz w:val="20"/>
          <w:szCs w:val="20"/>
        </w:rPr>
        <w:t xml:space="preserve"> of Health</w:t>
      </w:r>
      <w:r>
        <w:rPr>
          <w:rStyle w:val="None"/>
          <w:rFonts w:ascii="Times New Roman" w:hAnsi="Times New Roman"/>
          <w:sz w:val="20"/>
          <w:szCs w:val="20"/>
        </w:rPr>
        <w:t>’</w:t>
      </w:r>
      <w:r>
        <w:rPr>
          <w:rStyle w:val="None"/>
          <w:rFonts w:ascii="Times New Roman" w:hAnsi="Times New Roman"/>
          <w:sz w:val="20"/>
          <w:szCs w:val="20"/>
        </w:rPr>
        <w:t>s National Medical Research Council (NMRC), Singapore - NMRC/TCR/004-NUS/2008; NMRC/TCR/012-NUHS/2014. Additional funding is provided by the Singapore Institute for Clinical Sciences, Agency for Science Technology and Research (A*STAR), Singapor</w:t>
      </w:r>
      <w:r>
        <w:rPr>
          <w:rStyle w:val="None"/>
          <w:rFonts w:ascii="Times New Roman" w:hAnsi="Times New Roman"/>
          <w:sz w:val="20"/>
          <w:szCs w:val="20"/>
        </w:rPr>
        <w:t>e.</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 xml:space="preserve">Disclosure. </w:t>
      </w:r>
      <w:r>
        <w:rPr>
          <w:rStyle w:val="None"/>
          <w:rFonts w:ascii="Times New Roman" w:hAnsi="Times New Roman"/>
          <w:sz w:val="20"/>
          <w:szCs w:val="20"/>
        </w:rPr>
        <w:t>KMG has received reimbursement for speaking at a Nestle Nutrition Institute conference and is part of an academic consortium that has received research funding from Nestec to examine relations between maternal nutrition and epigenetic and p</w:t>
      </w:r>
      <w:r>
        <w:rPr>
          <w:rStyle w:val="None"/>
          <w:rFonts w:ascii="Times New Roman" w:hAnsi="Times New Roman"/>
          <w:sz w:val="20"/>
          <w:szCs w:val="20"/>
        </w:rPr>
        <w:t xml:space="preserve">henotypic outcomes. YSC reports grants from Abbott Nutrition, Nestec, and Danone outside the submitted work. SYC is part of an academic consortium that has received research funding from Nestec unrelated to the submitted work. All other authors declare no </w:t>
      </w:r>
      <w:r>
        <w:rPr>
          <w:rStyle w:val="None"/>
          <w:rFonts w:ascii="Times New Roman" w:hAnsi="Times New Roman"/>
          <w:sz w:val="20"/>
          <w:szCs w:val="20"/>
        </w:rPr>
        <w:t xml:space="preserve">financial relationships with any organizations that might have an interest in the submitted work in the previous three years and no other relationships or activities that could appear to have influenced the submitted work. </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Author contributions.</w:t>
      </w:r>
      <w:r>
        <w:rPr>
          <w:rStyle w:val="None"/>
          <w:rFonts w:ascii="Times New Roman" w:hAnsi="Times New Roman"/>
          <w:sz w:val="20"/>
          <w:szCs w:val="20"/>
        </w:rPr>
        <w:t xml:space="preserve"> KMG, JKYC</w:t>
      </w:r>
      <w:r>
        <w:rPr>
          <w:rStyle w:val="None"/>
          <w:rFonts w:ascii="Times New Roman" w:hAnsi="Times New Roman"/>
          <w:sz w:val="20"/>
          <w:szCs w:val="20"/>
        </w:rPr>
        <w:t>, LPCS, YSC, SBA, HHT, BSMC and SYC designed and led the S-PRESTO cohort study. AHYC, IMA, ML, CMK and SYC contributed to the conception of the study. IMA, SN, SLL, JYB, MTT and WLY contributed to data acquisition. AHYC, IMA, ML, CMK and SYC analyzed and i</w:t>
      </w:r>
      <w:r>
        <w:rPr>
          <w:rStyle w:val="None"/>
          <w:rFonts w:ascii="Times New Roman" w:hAnsi="Times New Roman"/>
          <w:sz w:val="20"/>
          <w:szCs w:val="20"/>
        </w:rPr>
        <w:t xml:space="preserve">nterpreted the data. AHYC, IMA and SYC drafted the manuscript. AHYC, IMA, SLL, JYB, WLY, MKSL, KMG, KHT, FY, NL, YSL, CMK, SYC interpreted the findings and revised drafts of the manuscript. All authors read and approved the final version of the manuscript </w:t>
      </w:r>
      <w:r>
        <w:rPr>
          <w:rStyle w:val="None"/>
          <w:rFonts w:ascii="Times New Roman" w:hAnsi="Times New Roman"/>
          <w:sz w:val="20"/>
          <w:szCs w:val="20"/>
        </w:rPr>
        <w:t>submitted for publication.</w:t>
      </w:r>
      <w:r>
        <w:t xml:space="preserve"> </w:t>
      </w:r>
      <w:r>
        <w:br/>
      </w:r>
      <w:r>
        <w:br/>
      </w:r>
      <w:r>
        <w:rPr>
          <w:rStyle w:val="None"/>
          <w:rFonts w:ascii="Times New Roman" w:hAnsi="Times New Roman"/>
          <w:b/>
          <w:bCs/>
          <w:sz w:val="20"/>
          <w:szCs w:val="20"/>
        </w:rPr>
        <w:t xml:space="preserve">Acknowledgements. </w:t>
      </w:r>
      <w:r>
        <w:rPr>
          <w:rStyle w:val="None"/>
          <w:rFonts w:ascii="Times New Roman" w:hAnsi="Times New Roman"/>
          <w:sz w:val="20"/>
          <w:szCs w:val="20"/>
        </w:rPr>
        <w:t>The S-PRESTO study group includes Anne Eng Neo Goh, Anne Rifkin-Graboi, Anqi Qiu, Bee Wah Lee, Bobby Cheon, Christiani Jeyakumar Henry, Ciaran Gerard Forde, Claudia Chi, Doris Fok, Elaine Quah, Elizabeth Tham,</w:t>
      </w:r>
      <w:r>
        <w:rPr>
          <w:rStyle w:val="None"/>
          <w:rFonts w:ascii="Times New Roman" w:hAnsi="Times New Roman"/>
          <w:sz w:val="20"/>
          <w:szCs w:val="20"/>
        </w:rPr>
        <w:t xml:space="preserve"> Evelyn Chung Ning Law, Evelyn Xiu Ling Loo, Faidon Magkos, Falk Mueller-Riemenschneider, George Seow Heong Yeo, Helen Yu Chen, Hugo P S van Bever, Joanne Yoong, Joao N. Ferreira., Jonathan Tze Liang Choo, Kenneth Kwek, Kuan Jin Lee, Lieng Hsi Ling, Ling W</w:t>
      </w:r>
      <w:r>
        <w:rPr>
          <w:rStyle w:val="None"/>
          <w:rFonts w:ascii="Times New Roman" w:hAnsi="Times New Roman"/>
          <w:sz w:val="20"/>
          <w:szCs w:val="20"/>
        </w:rPr>
        <w:t xml:space="preserve">ei Chen, Lourdes Mary Daniel, </w:t>
      </w:r>
      <w:r>
        <w:rPr>
          <w:rStyle w:val="None"/>
          <w:rFonts w:ascii="Times New Roman" w:hAnsi="Times New Roman"/>
          <w:sz w:val="20"/>
          <w:szCs w:val="20"/>
        </w:rPr>
        <w:lastRenderedPageBreak/>
        <w:t>Marielle V. Fortier, Mary Foong-Fong Chong, Mei Chien Chua, Michael Meaney, Neerja Karnani, Oon Hoe Teoh , Queenie Ling Jun Li, Sendhil Velan, Shephali Tagore, Shirong Cai, Shu E Soh, Sok Bee Lim, Stella Tsotsi, Stephen Chin-Y</w:t>
      </w:r>
      <w:r>
        <w:rPr>
          <w:rStyle w:val="None"/>
          <w:rFonts w:ascii="Times New Roman" w:hAnsi="Times New Roman"/>
          <w:sz w:val="20"/>
          <w:szCs w:val="20"/>
        </w:rPr>
        <w:t>ing Hsu, Sue Anne Toh, Teng Hong Tan, Tong Wei Yew, Victor Samuel Rajadurai, Wee Meng Han, Wei Wei Pang, Yin Bun Cheung, and Yiong Huak Chan. We also acknowledge the efforts of the research coordinators, admin staff, study managers and participants.</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Avail</w:t>
      </w:r>
      <w:r>
        <w:rPr>
          <w:rStyle w:val="None"/>
          <w:rFonts w:ascii="Times New Roman" w:hAnsi="Times New Roman"/>
          <w:b/>
          <w:bCs/>
          <w:sz w:val="20"/>
          <w:szCs w:val="20"/>
        </w:rPr>
        <w:t xml:space="preserve">ability of materials and data. </w:t>
      </w:r>
      <w:r>
        <w:rPr>
          <w:rStyle w:val="None"/>
          <w:rFonts w:ascii="Times New Roman" w:hAnsi="Times New Roman"/>
          <w:sz w:val="20"/>
          <w:szCs w:val="20"/>
        </w:rPr>
        <w:t>Data are available upon request to the S-PRESTO team.</w:t>
      </w:r>
    </w:p>
    <w:p w:rsidR="00411AA5" w:rsidRDefault="004819B5">
      <w:pPr>
        <w:pStyle w:val="BodyA"/>
      </w:pPr>
      <w:r>
        <w:rPr>
          <w:rStyle w:val="None"/>
          <w:rFonts w:ascii="Arial Unicode MS" w:hAnsi="Arial Unicode MS"/>
          <w:sz w:val="20"/>
          <w:szCs w:val="20"/>
        </w:rPr>
        <w:br w:type="page"/>
      </w:r>
    </w:p>
    <w:p w:rsidR="00411AA5" w:rsidRDefault="004819B5">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lastRenderedPageBreak/>
        <w:t xml:space="preserve">Abstract </w:t>
      </w:r>
    </w:p>
    <w:p w:rsidR="00411AA5" w:rsidRDefault="004819B5">
      <w:pPr>
        <w:pStyle w:val="BodyA"/>
        <w:spacing w:before="240" w:after="0" w:line="48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t>AIMS</w:t>
      </w:r>
      <w:r>
        <w:rPr>
          <w:rStyle w:val="None"/>
          <w:rFonts w:ascii="Times New Roman" w:hAnsi="Times New Roman"/>
          <w:sz w:val="20"/>
          <w:szCs w:val="20"/>
        </w:rPr>
        <w:t>: To investigate whether adding anthropometric measures to HbA1c would have stronger discriminative ability over HbA1c alone in detecting dysglycemia (diab</w:t>
      </w:r>
      <w:r>
        <w:rPr>
          <w:rStyle w:val="None"/>
          <w:rFonts w:ascii="Times New Roman" w:hAnsi="Times New Roman"/>
          <w:sz w:val="20"/>
          <w:szCs w:val="20"/>
        </w:rPr>
        <w:t xml:space="preserve">etes and prediabetes) among Asian women trying to conceive. </w:t>
      </w:r>
      <w:r>
        <w:rPr>
          <w:rStyle w:val="None"/>
          <w:rFonts w:ascii="Times New Roman" w:eastAsia="Times New Roman" w:hAnsi="Times New Roman" w:cs="Times New Roman"/>
          <w:sz w:val="20"/>
          <w:szCs w:val="20"/>
        </w:rPr>
        <w:br/>
      </w:r>
      <w:r>
        <w:rPr>
          <w:rStyle w:val="None"/>
          <w:rFonts w:ascii="Times New Roman" w:hAnsi="Times New Roman"/>
          <w:b/>
          <w:bCs/>
          <w:sz w:val="20"/>
          <w:szCs w:val="20"/>
        </w:rPr>
        <w:t>METHODS</w:t>
      </w:r>
      <w:r>
        <w:rPr>
          <w:rStyle w:val="None"/>
          <w:rFonts w:ascii="Times New Roman" w:hAnsi="Times New Roman"/>
          <w:sz w:val="20"/>
          <w:szCs w:val="20"/>
        </w:rPr>
        <w:t>: Among 971 Singaporean women, multiple regression models and area under receiver-operating characteristic (AUROC) curves were used to analyze associations of anthropometric (weight, heigh</w:t>
      </w:r>
      <w:r>
        <w:rPr>
          <w:rStyle w:val="None"/>
          <w:rFonts w:ascii="Times New Roman" w:hAnsi="Times New Roman"/>
          <w:sz w:val="20"/>
          <w:szCs w:val="20"/>
        </w:rPr>
        <w:t>t, waist/hip circumferences, 4-site skinfold thicknesses) and HbA1c z-scores with dysglycemia (fasting glucose</w:t>
      </w:r>
      <w:r>
        <w:rPr>
          <w:rStyle w:val="None"/>
          <w:rFonts w:ascii="Times New Roman" w:hAnsi="Times New Roman"/>
          <w:sz w:val="20"/>
          <w:szCs w:val="20"/>
        </w:rPr>
        <w:t>≥</w:t>
      </w:r>
      <w:r>
        <w:rPr>
          <w:rStyle w:val="None"/>
          <w:rFonts w:ascii="Times New Roman" w:hAnsi="Times New Roman"/>
          <w:sz w:val="20"/>
          <w:szCs w:val="20"/>
        </w:rPr>
        <w:t>6.1mmol/L with 2-hour glucose</w:t>
      </w:r>
      <w:r>
        <w:rPr>
          <w:rStyle w:val="None"/>
          <w:rFonts w:ascii="Times New Roman" w:hAnsi="Times New Roman"/>
          <w:sz w:val="20"/>
          <w:szCs w:val="20"/>
        </w:rPr>
        <w:t>≥</w:t>
      </w:r>
      <w:r>
        <w:rPr>
          <w:rStyle w:val="None"/>
          <w:rFonts w:ascii="Times New Roman" w:hAnsi="Times New Roman"/>
          <w:sz w:val="20"/>
          <w:szCs w:val="20"/>
        </w:rPr>
        <w:t xml:space="preserve">7.8mmol/l). </w:t>
      </w:r>
      <w:r>
        <w:rPr>
          <w:rStyle w:val="None"/>
          <w:rFonts w:ascii="Times New Roman" w:eastAsia="Times New Roman" w:hAnsi="Times New Roman" w:cs="Times New Roman"/>
          <w:sz w:val="20"/>
          <w:szCs w:val="20"/>
        </w:rPr>
        <w:br/>
      </w:r>
      <w:r>
        <w:rPr>
          <w:rStyle w:val="None"/>
          <w:rFonts w:ascii="Times New Roman" w:hAnsi="Times New Roman"/>
          <w:b/>
          <w:bCs/>
          <w:sz w:val="20"/>
          <w:szCs w:val="20"/>
        </w:rPr>
        <w:t>RESULTS</w:t>
      </w:r>
      <w:r>
        <w:rPr>
          <w:rStyle w:val="None"/>
          <w:rFonts w:ascii="Times New Roman" w:hAnsi="Times New Roman"/>
          <w:sz w:val="20"/>
          <w:szCs w:val="20"/>
        </w:rPr>
        <w:t xml:space="preserve">: The prevalence of dysglycemia was 10.9%. After adjusting for </w:t>
      </w:r>
      <w:r>
        <w:rPr>
          <w:rStyle w:val="None"/>
          <w:rFonts w:ascii="Times New Roman" w:hAnsi="Times New Roman"/>
          <w:sz w:val="20"/>
          <w:szCs w:val="20"/>
        </w:rPr>
        <w:t>sociodemographic/medical history, BMI (Odds Ratio [OR]=1.62 [95%CI 1.32-1.99]), waist-to-height ratio (OR=1.74 [1.39-2.17]) and total skinfolds (OR=2.02 [1.60-2.55]) showed the strongest associations with dysglycemia but none outperformed HbA1c (OR=4.09 [2</w:t>
      </w:r>
      <w:r>
        <w:rPr>
          <w:rStyle w:val="None"/>
          <w:rFonts w:ascii="Times New Roman" w:hAnsi="Times New Roman"/>
          <w:sz w:val="20"/>
          <w:szCs w:val="20"/>
        </w:rPr>
        <w:t>.81-5.94]). After adjustment for history, adding BMI, waist-to-height ratio and total skinfolds (anthropometry trio) as continuous variables to HbA1c (AUROC=0.80 [95%CI 0.75-0.85]) performed similarly to HbA1c alone (AUROC=0.79 [0.74-0.84]). However, using</w:t>
      </w:r>
      <w:r>
        <w:rPr>
          <w:rStyle w:val="None"/>
          <w:rFonts w:ascii="Times New Roman" w:hAnsi="Times New Roman"/>
          <w:sz w:val="20"/>
          <w:szCs w:val="20"/>
        </w:rPr>
        <w:t xml:space="preserve"> clinically-defined thresholds without considering history, as in common clinical practice,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 HbA1c</w:t>
      </w:r>
      <w:r>
        <w:rPr>
          <w:rStyle w:val="None"/>
          <w:rFonts w:ascii="Times New Roman" w:hAnsi="Times New Roman"/>
          <w:sz w:val="20"/>
          <w:szCs w:val="20"/>
        </w:rPr>
        <w:t>≥</w:t>
      </w:r>
      <w:r>
        <w:rPr>
          <w:rStyle w:val="None"/>
          <w:rFonts w:ascii="Times New Roman" w:hAnsi="Times New Roman"/>
          <w:sz w:val="20"/>
          <w:szCs w:val="20"/>
        </w:rPr>
        <w:t>5.7% (AUROC=0.70 [0.64-0.75]) and anthropometry trio + HbA1c</w:t>
      </w:r>
      <w:r>
        <w:rPr>
          <w:rStyle w:val="None"/>
          <w:rFonts w:ascii="Times New Roman" w:hAnsi="Times New Roman"/>
          <w:sz w:val="20"/>
          <w:szCs w:val="20"/>
        </w:rPr>
        <w:t>≥</w:t>
      </w:r>
      <w:r>
        <w:rPr>
          <w:rStyle w:val="None"/>
          <w:rFonts w:ascii="Times New Roman" w:hAnsi="Times New Roman"/>
          <w:sz w:val="20"/>
          <w:szCs w:val="20"/>
        </w:rPr>
        <w:t>5.7% (AUROC=0.71 [0.65-0.76]) both outperformed HbA1c</w:t>
      </w:r>
      <w:r>
        <w:rPr>
          <w:rStyle w:val="None"/>
          <w:rFonts w:ascii="Times New Roman" w:hAnsi="Times New Roman"/>
          <w:sz w:val="20"/>
          <w:szCs w:val="20"/>
        </w:rPr>
        <w:t>≥</w:t>
      </w:r>
      <w:r>
        <w:rPr>
          <w:rStyle w:val="None"/>
          <w:rFonts w:ascii="Times New Roman" w:hAnsi="Times New Roman"/>
          <w:sz w:val="20"/>
          <w:szCs w:val="20"/>
        </w:rPr>
        <w:t>5.7% alone (AUROC=0.61 [0.57-</w:t>
      </w:r>
      <w:r>
        <w:rPr>
          <w:rStyle w:val="None"/>
          <w:rFonts w:ascii="Times New Roman" w:hAnsi="Times New Roman"/>
          <w:sz w:val="20"/>
          <w:szCs w:val="20"/>
        </w:rPr>
        <w:t xml:space="preserve">0.65]). </w:t>
      </w:r>
      <w:r>
        <w:rPr>
          <w:rStyle w:val="None"/>
          <w:rFonts w:ascii="Times New Roman" w:eastAsia="Times New Roman" w:hAnsi="Times New Roman" w:cs="Times New Roman"/>
          <w:sz w:val="20"/>
          <w:szCs w:val="20"/>
        </w:rPr>
        <w:br/>
      </w:r>
      <w:r>
        <w:rPr>
          <w:rStyle w:val="None"/>
          <w:rFonts w:ascii="Times New Roman" w:hAnsi="Times New Roman"/>
          <w:b/>
          <w:bCs/>
          <w:sz w:val="20"/>
          <w:szCs w:val="20"/>
        </w:rPr>
        <w:t>CONCLUSIONS</w:t>
      </w:r>
      <w:r>
        <w:rPr>
          <w:rStyle w:val="None"/>
          <w:rFonts w:ascii="Times New Roman" w:hAnsi="Times New Roman"/>
          <w:sz w:val="20"/>
          <w:szCs w:val="20"/>
        </w:rPr>
        <w:t>: In a two-stage strategy, incorporating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alongside HbA1c</w:t>
      </w:r>
      <w:r>
        <w:rPr>
          <w:rStyle w:val="None"/>
          <w:rFonts w:ascii="Times New Roman" w:hAnsi="Times New Roman"/>
          <w:sz w:val="20"/>
          <w:szCs w:val="20"/>
        </w:rPr>
        <w:t>≥</w:t>
      </w:r>
      <w:r>
        <w:rPr>
          <w:rStyle w:val="None"/>
          <w:rFonts w:ascii="Times New Roman" w:hAnsi="Times New Roman"/>
          <w:sz w:val="20"/>
          <w:szCs w:val="20"/>
        </w:rPr>
        <w:t xml:space="preserve">5.7% into first-stage screening to identify high risk women for subsequent oral glucose tolerance testing improves dysglycemia detection in Asian women preconception. </w:t>
      </w:r>
    </w:p>
    <w:p w:rsidR="00411AA5" w:rsidRDefault="004819B5">
      <w:pPr>
        <w:pStyle w:val="BodyB"/>
      </w:pPr>
      <w:r>
        <w:rPr>
          <w:rStyle w:val="None"/>
          <w:rFonts w:ascii="Arial Unicode MS" w:eastAsia="Arial Unicode MS" w:hAnsi="Arial Unicode MS" w:cs="Arial Unicode MS"/>
          <w:sz w:val="20"/>
          <w:szCs w:val="20"/>
        </w:rPr>
        <w:br w:type="page"/>
      </w:r>
    </w:p>
    <w:p w:rsidR="00411AA5" w:rsidRDefault="004819B5">
      <w:pPr>
        <w:pStyle w:val="BodyA"/>
        <w:spacing w:line="480" w:lineRule="auto"/>
        <w:rPr>
          <w:rStyle w:val="None"/>
          <w:rFonts w:ascii="Times New Roman" w:eastAsia="Times New Roman" w:hAnsi="Times New Roman" w:cs="Times New Roman"/>
          <w:b/>
          <w:bCs/>
          <w:sz w:val="20"/>
          <w:szCs w:val="20"/>
        </w:rPr>
      </w:pPr>
      <w:r>
        <w:rPr>
          <w:rStyle w:val="None"/>
          <w:rFonts w:ascii="Times New Roman" w:hAnsi="Times New Roman"/>
          <w:b/>
          <w:bCs/>
          <w:sz w:val="20"/>
          <w:szCs w:val="20"/>
        </w:rPr>
        <w:lastRenderedPageBreak/>
        <w:t>Introduction</w:t>
      </w:r>
    </w:p>
    <w:p w:rsidR="00411AA5" w:rsidRDefault="004819B5">
      <w:pPr>
        <w:pStyle w:val="BodyA"/>
        <w:spacing w:after="0"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The prevalence of diabetes has increased dramatically with the global age-standardized prevalence nearly doubling from 4.7% in 1980 to 8.5% in 2014, with similar estimates within South-East Asia[1]. Of concern is that in </w:t>
      </w:r>
      <w:r>
        <w:rPr>
          <w:rStyle w:val="None"/>
          <w:rFonts w:ascii="Times New Roman" w:hAnsi="Times New Roman"/>
          <w:sz w:val="20"/>
          <w:szCs w:val="20"/>
        </w:rPr>
        <w:t>Singapore, alongside other newly industrialized nations such as South Korea and Hong Kong, a sizeable proportion of 31.9</w:t>
      </w:r>
      <w:r>
        <w:rPr>
          <w:rStyle w:val="None"/>
          <w:rFonts w:ascii="Times New Roman" w:hAnsi="Times New Roman"/>
          <w:sz w:val="20"/>
          <w:szCs w:val="20"/>
        </w:rPr>
        <w:t>–</w:t>
      </w:r>
      <w:r>
        <w:rPr>
          <w:rStyle w:val="None"/>
          <w:rFonts w:ascii="Times New Roman" w:hAnsi="Times New Roman"/>
          <w:sz w:val="20"/>
          <w:szCs w:val="20"/>
        </w:rPr>
        <w:t>83.8% of people with diabetes remain undiagnosed[2]. The increasing prevalence is also seen among reproductive age women[3], which lead</w:t>
      </w:r>
      <w:r>
        <w:rPr>
          <w:rStyle w:val="None"/>
          <w:rFonts w:ascii="Times New Roman" w:hAnsi="Times New Roman"/>
          <w:sz w:val="20"/>
          <w:szCs w:val="20"/>
        </w:rPr>
        <w:t xml:space="preserve">s to a higher risk of complications from longer life exposure to hyperglycemia.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It was suggested that adult diabetes stemmed from their early life exposure to a hyperglycemic environment</w:t>
      </w:r>
      <w:r>
        <w:rPr>
          <w:rStyle w:val="None"/>
          <w:rFonts w:ascii="Times New Roman" w:hAnsi="Times New Roman"/>
          <w:i/>
          <w:iCs/>
          <w:sz w:val="20"/>
          <w:szCs w:val="20"/>
        </w:rPr>
        <w:t xml:space="preserve"> in utero</w:t>
      </w:r>
      <w:r>
        <w:rPr>
          <w:rStyle w:val="None"/>
          <w:rFonts w:ascii="Times New Roman" w:hAnsi="Times New Roman"/>
          <w:sz w:val="20"/>
          <w:szCs w:val="20"/>
        </w:rPr>
        <w:t>[4]. When pregnancies are complicated by hyperglycemia, this</w:t>
      </w:r>
      <w:r>
        <w:rPr>
          <w:rStyle w:val="None"/>
          <w:rFonts w:ascii="Times New Roman" w:hAnsi="Times New Roman"/>
          <w:sz w:val="20"/>
          <w:szCs w:val="20"/>
        </w:rPr>
        <w:t xml:space="preserve"> can predispose offspring to future diabetes, obesity and cardiovascular diseases, thereby generating the intergenerational cycle of diabetes-begetting-diabetes[5]. Improving preconception health is therefore crucial in preventing diabetes in offspring and</w:t>
      </w:r>
      <w:r>
        <w:rPr>
          <w:rStyle w:val="None"/>
          <w:rFonts w:ascii="Times New Roman" w:hAnsi="Times New Roman"/>
          <w:sz w:val="20"/>
          <w:szCs w:val="20"/>
        </w:rPr>
        <w:t xml:space="preserve"> represents a critical window of opportunity for intervention. The St Vincent Declaration (1989) set a goal to achieve similar pregnancy outcomes in women with diabetes to those without[6], with a key point being detection of diabetes and optimization of g</w:t>
      </w:r>
      <w:r>
        <w:rPr>
          <w:rStyle w:val="None"/>
          <w:rFonts w:ascii="Times New Roman" w:hAnsi="Times New Roman"/>
          <w:sz w:val="20"/>
          <w:szCs w:val="20"/>
        </w:rPr>
        <w:t>lycemic control preconception. Similarly there is mounting evidence that even milder degrees of preconception dysglycemia (including pre-diabetes) may also predispose the offspring to adverse long-term health consequences[7].</w:t>
      </w:r>
      <w:r>
        <w:rPr>
          <w:rStyle w:val="None"/>
          <w:color w:val="0433FF"/>
          <w:u w:color="0433FF"/>
        </w:rPr>
        <w:t xml:space="preserve"> </w:t>
      </w:r>
      <w:r>
        <w:rPr>
          <w:rStyle w:val="None"/>
          <w:rFonts w:ascii="Times New Roman" w:hAnsi="Times New Roman"/>
          <w:sz w:val="20"/>
          <w:szCs w:val="20"/>
        </w:rPr>
        <w:t xml:space="preserve">However, </w:t>
      </w:r>
      <w:r>
        <w:rPr>
          <w:rStyle w:val="None"/>
          <w:rFonts w:ascii="Times New Roman" w:hAnsi="Times New Roman"/>
          <w:sz w:val="20"/>
          <w:szCs w:val="20"/>
        </w:rPr>
        <w:t>approximately half of all pregnancies are unplanned and approximately 20% of births worldwide are unintended[8]; and if planned, only a minority of women seek preconception care. Even then, standard preconception care does not include routine screening for</w:t>
      </w:r>
      <w:r>
        <w:rPr>
          <w:rStyle w:val="None"/>
          <w:rFonts w:ascii="Times New Roman" w:hAnsi="Times New Roman"/>
          <w:sz w:val="20"/>
          <w:szCs w:val="20"/>
        </w:rPr>
        <w:t xml:space="preserve"> dysglycemia (diabetes and prediabetes).</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Screening for preconception dysglycemia is opportunistic, subject to the background population risk and physician bias. The oral glucose tolerance test (OGTT) is the current gold standard in the diagnosis of dysglyc</w:t>
      </w:r>
      <w:r>
        <w:rPr>
          <w:rStyle w:val="None"/>
          <w:rFonts w:ascii="Times New Roman" w:hAnsi="Times New Roman"/>
          <w:sz w:val="20"/>
          <w:szCs w:val="20"/>
        </w:rPr>
        <w:t>emia[9], but the adoption of universal screening with OGTT preconception is challenging due to staffing costs, patient inconvenience, increased patient time in clinics, the dislike of overnight fasting, taste of the glucose drink and unproven cost-effectiv</w:t>
      </w:r>
      <w:r>
        <w:rPr>
          <w:rStyle w:val="None"/>
          <w:rFonts w:ascii="Times New Roman" w:hAnsi="Times New Roman"/>
          <w:sz w:val="20"/>
          <w:szCs w:val="20"/>
        </w:rPr>
        <w:t xml:space="preserve">eness. There is thus a need to search for a more acceptable alternative approach to first line screening for preconception dysglycemia such that only women identified as high risk are offered a diagnostic OGTT.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Glycated hemoglobin (HbA1c) is a relatively </w:t>
      </w:r>
      <w:r>
        <w:rPr>
          <w:rStyle w:val="None"/>
          <w:rFonts w:ascii="Times New Roman" w:hAnsi="Times New Roman"/>
          <w:sz w:val="20"/>
          <w:szCs w:val="20"/>
        </w:rPr>
        <w:t>simple test requiring only a single non-fasting blood sample. HbA1c is a strong marker for future diabetes, but its sensitivity in detecting concurrent dysglycemia is relatively poor in some populations[10]. The sensitivity and specificity of HbA1c are hig</w:t>
      </w:r>
      <w:r>
        <w:rPr>
          <w:rStyle w:val="None"/>
          <w:rFonts w:ascii="Times New Roman" w:hAnsi="Times New Roman"/>
          <w:sz w:val="20"/>
          <w:szCs w:val="20"/>
        </w:rPr>
        <w:t xml:space="preserve">hly affected by ethnicity, age and hemoglobinopathies[11], which are prevalent among Asians[12]. Furthermore, the use of HbA1c </w:t>
      </w:r>
      <w:r>
        <w:rPr>
          <w:rStyle w:val="None"/>
          <w:rFonts w:ascii="Times New Roman" w:hAnsi="Times New Roman"/>
          <w:sz w:val="20"/>
          <w:szCs w:val="20"/>
        </w:rPr>
        <w:lastRenderedPageBreak/>
        <w:t xml:space="preserve">threshold of </w:t>
      </w:r>
      <w:r>
        <w:rPr>
          <w:rStyle w:val="None"/>
          <w:rFonts w:ascii="Times New Roman" w:hAnsi="Times New Roman"/>
          <w:sz w:val="20"/>
          <w:szCs w:val="20"/>
        </w:rPr>
        <w:t>≥</w:t>
      </w:r>
      <w:r>
        <w:rPr>
          <w:rStyle w:val="None"/>
          <w:rFonts w:ascii="Times New Roman" w:hAnsi="Times New Roman"/>
          <w:sz w:val="20"/>
          <w:szCs w:val="20"/>
        </w:rPr>
        <w:t>5.7% as an indicator of individuals at risk of diabetes and pre-diabetes was determined from general populations of</w:t>
      </w:r>
      <w:r>
        <w:rPr>
          <w:rStyle w:val="None"/>
          <w:rFonts w:ascii="Times New Roman" w:hAnsi="Times New Roman"/>
          <w:sz w:val="20"/>
          <w:szCs w:val="20"/>
        </w:rPr>
        <w:t xml:space="preserve"> predominantly the middle-aged, diverse ethnicities, and both sexes[13,14], and is currently not adopted widely as a screening test in the preconception setting. HbA1c, even if performed, is often not interpreted alongside sociodemographic and clinical his</w:t>
      </w:r>
      <w:r>
        <w:rPr>
          <w:rStyle w:val="None"/>
          <w:rFonts w:ascii="Times New Roman" w:hAnsi="Times New Roman"/>
          <w:sz w:val="20"/>
          <w:szCs w:val="20"/>
        </w:rPr>
        <w:t xml:space="preserve">tory (hereafter collectively referred to as history) in determining those who should subsequently undergo an OGTT for definitive diagnosis of dysglycemia.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Obesity, a major risk factor for dysglycemia, is often assessed by BMI; whilst other anthropometric </w:t>
      </w:r>
      <w:r>
        <w:rPr>
          <w:rStyle w:val="None"/>
          <w:rFonts w:ascii="Times New Roman" w:hAnsi="Times New Roman"/>
          <w:sz w:val="20"/>
          <w:szCs w:val="20"/>
        </w:rPr>
        <w:t>parameters (e.g. waist circumference [WC], waist</w:t>
      </w:r>
      <w:r>
        <w:rPr>
          <w:rStyle w:val="None"/>
          <w:rFonts w:ascii="Times New Roman" w:hAnsi="Times New Roman"/>
          <w:sz w:val="20"/>
          <w:szCs w:val="20"/>
        </w:rPr>
        <w:t>–</w:t>
      </w:r>
      <w:r>
        <w:rPr>
          <w:rStyle w:val="None"/>
          <w:rFonts w:ascii="Times New Roman" w:hAnsi="Times New Roman"/>
          <w:sz w:val="20"/>
          <w:szCs w:val="20"/>
        </w:rPr>
        <w:t xml:space="preserve">hip ratio [WHR], waist-height ratio [WHtR]) are less commonly utilized in clinical practice. There is evidence suggesting that there is variation in the magnitude of association between obesity and diabetes </w:t>
      </w:r>
      <w:r>
        <w:rPr>
          <w:rStyle w:val="None"/>
          <w:rFonts w:ascii="Times New Roman" w:hAnsi="Times New Roman"/>
          <w:sz w:val="20"/>
          <w:szCs w:val="20"/>
        </w:rPr>
        <w:t>depending on the type of anthropometry used to measure obesity[15]. Abdominal fat, estimated with WC and WHR, is associated with increased diabetes risk. WC is shown to be a better predictor of various indices of glucose-insulin homeostasis than BMI in Wes</w:t>
      </w:r>
      <w:r>
        <w:rPr>
          <w:rStyle w:val="None"/>
          <w:rFonts w:ascii="Times New Roman" w:hAnsi="Times New Roman"/>
          <w:sz w:val="20"/>
          <w:szCs w:val="20"/>
        </w:rPr>
        <w:t xml:space="preserve">tern populations[16], whereas WHR is weakly associated with glucose tolerance[17]. A Body Shape Index (ABSI), calculated using WC, height, weight, demonstrated superiority over BMI in predicting diabetes in US populations[18]. Lastly, skinfold-thicknesses </w:t>
      </w:r>
      <w:r>
        <w:rPr>
          <w:rStyle w:val="None"/>
          <w:rFonts w:ascii="Times New Roman" w:hAnsi="Times New Roman"/>
          <w:sz w:val="20"/>
          <w:szCs w:val="20"/>
        </w:rPr>
        <w:t>(truncal, peripheral) as complementary adiposity measures have also been explored for predicting abnormal glucose tolerance[19].</w:t>
      </w:r>
    </w:p>
    <w:p w:rsidR="00411AA5" w:rsidRDefault="004819B5">
      <w:pPr>
        <w:pStyle w:val="BodyA"/>
        <w:spacing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We performed a cross-sectional analysis of baseline preconception data from a prospective cohort to examine the discriminative </w:t>
      </w:r>
      <w:r>
        <w:rPr>
          <w:rStyle w:val="None"/>
          <w:rFonts w:ascii="Times New Roman" w:hAnsi="Times New Roman"/>
          <w:sz w:val="20"/>
          <w:szCs w:val="20"/>
        </w:rPr>
        <w:t xml:space="preserve">ability of various anthropometric measures and HbA1c to detect dysglycemia in Asian women. We hypothesized </w:t>
      </w:r>
      <w:bookmarkStart w:id="1" w:name="_Hlk521228064"/>
      <w:r>
        <w:rPr>
          <w:rStyle w:val="None"/>
          <w:rFonts w:ascii="Times New Roman" w:hAnsi="Times New Roman"/>
          <w:sz w:val="20"/>
          <w:szCs w:val="20"/>
        </w:rPr>
        <w:t>that adding anthropometry to HbA1c would have stronger discriminative ability over HbA1c alone in detecting concurrent</w:t>
      </w:r>
      <w:bookmarkEnd w:id="1"/>
      <w:r>
        <w:rPr>
          <w:rStyle w:val="None"/>
          <w:rFonts w:ascii="Times New Roman" w:hAnsi="Times New Roman"/>
          <w:sz w:val="20"/>
          <w:szCs w:val="20"/>
        </w:rPr>
        <w:t xml:space="preserve"> dysglycemia. This could have i</w:t>
      </w:r>
      <w:r>
        <w:rPr>
          <w:rStyle w:val="None"/>
          <w:rFonts w:ascii="Times New Roman" w:hAnsi="Times New Roman"/>
          <w:sz w:val="20"/>
          <w:szCs w:val="20"/>
        </w:rPr>
        <w:t xml:space="preserve">mplications for the </w:t>
      </w:r>
      <w:r>
        <w:rPr>
          <w:rStyle w:val="None"/>
          <w:rFonts w:ascii="Times New Roman" w:hAnsi="Times New Roman"/>
          <w:sz w:val="20"/>
          <w:szCs w:val="20"/>
          <w:lang w:val="da-DK"/>
        </w:rPr>
        <w:t>provision</w:t>
      </w:r>
      <w:r>
        <w:rPr>
          <w:rStyle w:val="None"/>
          <w:rFonts w:ascii="Times New Roman" w:hAnsi="Times New Roman"/>
          <w:sz w:val="20"/>
          <w:szCs w:val="20"/>
        </w:rPr>
        <w:t xml:space="preserve"> of preconception care by improving our ability to diagnose dysglycemia and optimize preconception health.</w:t>
      </w:r>
    </w:p>
    <w:p w:rsidR="00411AA5" w:rsidRDefault="004819B5">
      <w:pPr>
        <w:pStyle w:val="BodyA"/>
        <w:spacing w:line="480" w:lineRule="auto"/>
        <w:outlineLvl w:val="0"/>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Methods </w:t>
      </w:r>
    </w:p>
    <w:p w:rsidR="00411AA5" w:rsidRDefault="004819B5">
      <w:pPr>
        <w:pStyle w:val="BodyA"/>
        <w:spacing w:line="480" w:lineRule="auto"/>
        <w:outlineLvl w:val="0"/>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t>Population</w:t>
      </w:r>
    </w:p>
    <w:p w:rsidR="00411AA5" w:rsidRDefault="004819B5">
      <w:pPr>
        <w:pStyle w:val="BodyA"/>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The Singapore PREconception Study of long-Term maternal and child Outcomes (S-PRESTO) (ClinicalTrial</w:t>
      </w:r>
      <w:r>
        <w:rPr>
          <w:rStyle w:val="None"/>
          <w:rFonts w:ascii="Times New Roman" w:hAnsi="Times New Roman"/>
          <w:sz w:val="20"/>
          <w:szCs w:val="20"/>
        </w:rPr>
        <w:t>s.gov identifier: NCT03531658) is an ongoing mother-offspring cohort that aims to examine the impact of women</w:t>
      </w:r>
      <w:r>
        <w:rPr>
          <w:rStyle w:val="None"/>
          <w:rFonts w:ascii="Times New Roman" w:hAnsi="Times New Roman"/>
          <w:sz w:val="20"/>
          <w:szCs w:val="20"/>
        </w:rPr>
        <w:t>’</w:t>
      </w:r>
      <w:r>
        <w:rPr>
          <w:rStyle w:val="None"/>
          <w:rFonts w:ascii="Times New Roman" w:hAnsi="Times New Roman"/>
          <w:sz w:val="20"/>
          <w:szCs w:val="20"/>
        </w:rPr>
        <w:t>s preconception health, nutritional status, and mental state on their up-coming pregnancy and offspring health outcomes. Briefly, we recruited non</w:t>
      </w:r>
      <w:r>
        <w:rPr>
          <w:rStyle w:val="None"/>
          <w:rFonts w:ascii="Times New Roman" w:hAnsi="Times New Roman"/>
          <w:sz w:val="20"/>
          <w:szCs w:val="20"/>
        </w:rPr>
        <w:t>-pregnant women (aged 18</w:t>
      </w:r>
      <w:r>
        <w:rPr>
          <w:rStyle w:val="None"/>
          <w:sz w:val="20"/>
          <w:szCs w:val="20"/>
        </w:rPr>
        <w:t>−</w:t>
      </w:r>
      <w:r>
        <w:rPr>
          <w:rStyle w:val="None"/>
          <w:rFonts w:ascii="Times New Roman" w:hAnsi="Times New Roman"/>
          <w:sz w:val="20"/>
          <w:szCs w:val="20"/>
        </w:rPr>
        <w:t>45 years) actively trying to conceive from the community (social media, radio adverts, door to door leaflets, posters in public places, general practices) and at Singapore</w:t>
      </w:r>
      <w:r>
        <w:rPr>
          <w:rStyle w:val="None"/>
          <w:rFonts w:ascii="Times New Roman" w:hAnsi="Times New Roman"/>
          <w:sz w:val="20"/>
          <w:szCs w:val="20"/>
        </w:rPr>
        <w:t>’</w:t>
      </w:r>
      <w:r>
        <w:rPr>
          <w:rStyle w:val="None"/>
          <w:rFonts w:ascii="Times New Roman" w:hAnsi="Times New Roman"/>
          <w:sz w:val="20"/>
          <w:szCs w:val="20"/>
        </w:rPr>
        <w:t>s largest public maternity unit (KK Women</w:t>
      </w:r>
      <w:r>
        <w:rPr>
          <w:rStyle w:val="None"/>
          <w:rFonts w:ascii="Times New Roman" w:hAnsi="Times New Roman"/>
          <w:sz w:val="20"/>
          <w:szCs w:val="20"/>
        </w:rPr>
        <w:t>’</w:t>
      </w:r>
      <w:r>
        <w:rPr>
          <w:rStyle w:val="None"/>
          <w:rFonts w:ascii="Times New Roman" w:hAnsi="Times New Roman"/>
          <w:sz w:val="20"/>
          <w:szCs w:val="20"/>
        </w:rPr>
        <w:t xml:space="preserve">s and </w:t>
      </w:r>
      <w:r>
        <w:rPr>
          <w:rStyle w:val="None"/>
          <w:rFonts w:ascii="Times New Roman" w:hAnsi="Times New Roman"/>
          <w:sz w:val="20"/>
          <w:szCs w:val="20"/>
        </w:rPr>
        <w:t>Children</w:t>
      </w:r>
      <w:r>
        <w:rPr>
          <w:rStyle w:val="None"/>
          <w:rFonts w:ascii="Times New Roman" w:hAnsi="Times New Roman"/>
          <w:sz w:val="20"/>
          <w:szCs w:val="20"/>
        </w:rPr>
        <w:t>’</w:t>
      </w:r>
      <w:r>
        <w:rPr>
          <w:rStyle w:val="None"/>
          <w:rFonts w:ascii="Times New Roman" w:hAnsi="Times New Roman"/>
          <w:sz w:val="20"/>
          <w:szCs w:val="20"/>
        </w:rPr>
        <w:t>s Hospital). In 2015</w:t>
      </w:r>
      <w:r>
        <w:rPr>
          <w:rStyle w:val="None"/>
          <w:sz w:val="20"/>
          <w:szCs w:val="20"/>
        </w:rPr>
        <w:t>−</w:t>
      </w:r>
      <w:r>
        <w:rPr>
          <w:rStyle w:val="None"/>
          <w:rFonts w:ascii="Times New Roman" w:hAnsi="Times New Roman"/>
          <w:sz w:val="20"/>
          <w:szCs w:val="20"/>
        </w:rPr>
        <w:t xml:space="preserve">2018, 1033 women fulfilling the following eligibility criteria were recruited: intending to reside in Singapore for the next </w:t>
      </w:r>
      <w:r>
        <w:rPr>
          <w:rStyle w:val="None"/>
          <w:rFonts w:ascii="Times New Roman" w:hAnsi="Times New Roman"/>
          <w:sz w:val="20"/>
          <w:szCs w:val="20"/>
        </w:rPr>
        <w:lastRenderedPageBreak/>
        <w:t>five years; from the three major ethnic groups of Singapore</w:t>
      </w:r>
      <w:r>
        <w:rPr>
          <w:rStyle w:val="None"/>
          <w:rFonts w:ascii="Arial" w:hAnsi="Arial"/>
          <w:color w:val="545454"/>
          <w:sz w:val="21"/>
          <w:szCs w:val="21"/>
          <w:u w:color="545454"/>
        </w:rPr>
        <w:t xml:space="preserve"> </w:t>
      </w:r>
      <w:r>
        <w:rPr>
          <w:rStyle w:val="None"/>
          <w:color w:val="545454"/>
          <w:sz w:val="21"/>
          <w:szCs w:val="21"/>
          <w:u w:color="545454"/>
        </w:rPr>
        <w:t>─</w:t>
      </w:r>
      <w:r>
        <w:rPr>
          <w:rStyle w:val="None"/>
          <w:rFonts w:ascii="Arial" w:hAnsi="Arial"/>
          <w:color w:val="545454"/>
          <w:sz w:val="21"/>
          <w:szCs w:val="21"/>
          <w:u w:color="545454"/>
        </w:rPr>
        <w:t xml:space="preserve"> </w:t>
      </w:r>
      <w:r>
        <w:rPr>
          <w:rStyle w:val="None"/>
          <w:rFonts w:ascii="Times New Roman" w:hAnsi="Times New Roman"/>
          <w:sz w:val="20"/>
          <w:szCs w:val="20"/>
        </w:rPr>
        <w:t>Chinese, Malay, Indian, or a combinatio</w:t>
      </w:r>
      <w:r>
        <w:rPr>
          <w:rStyle w:val="None"/>
          <w:rFonts w:ascii="Times New Roman" w:hAnsi="Times New Roman"/>
          <w:sz w:val="20"/>
          <w:szCs w:val="20"/>
        </w:rPr>
        <w:t xml:space="preserve">n of these; and wishing to conceive within one year from recruitment. We excluded women with known pre-existing Type 1 or Type 2 diabetes mellitus prior to study recruitment (Supplementary Table S1 online). Women were also excluded if they were on oral or </w:t>
      </w:r>
      <w:r>
        <w:rPr>
          <w:rStyle w:val="None"/>
          <w:rFonts w:ascii="Times New Roman" w:hAnsi="Times New Roman"/>
          <w:sz w:val="20"/>
          <w:szCs w:val="20"/>
        </w:rPr>
        <w:t>implanted contraception, assisted fertility treatment (except clomiphene or letrozole), systemic steroids, anticonvulsants, HIV or Hepatitis B or C medication in the past one month. None of the women were on metformin at the time of enrolment. Every partic</w:t>
      </w:r>
      <w:r>
        <w:rPr>
          <w:rStyle w:val="None"/>
          <w:rFonts w:ascii="Times New Roman" w:hAnsi="Times New Roman"/>
          <w:sz w:val="20"/>
          <w:szCs w:val="20"/>
        </w:rPr>
        <w:t>ipant had a negative urinary pregnancy test at enrolment. The SingHealth Centralized Institutional Review Board granted ethical approval (reference 2014/692/D), written informed consent was obtained from all women. All methods were carried out in accordanc</w:t>
      </w:r>
      <w:r>
        <w:rPr>
          <w:rStyle w:val="None"/>
          <w:rFonts w:ascii="Times New Roman" w:hAnsi="Times New Roman"/>
          <w:sz w:val="20"/>
          <w:szCs w:val="20"/>
        </w:rPr>
        <w:t>e with relevant guidelines and regulations.</w:t>
      </w:r>
    </w:p>
    <w:p w:rsidR="00411AA5" w:rsidRDefault="004819B5">
      <w:pPr>
        <w:pStyle w:val="BodyA"/>
        <w:spacing w:line="480" w:lineRule="auto"/>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t>Anthropometric measurements</w:t>
      </w:r>
    </w:p>
    <w:p w:rsidR="00411AA5" w:rsidRDefault="004819B5">
      <w:pPr>
        <w:pStyle w:val="BodyA"/>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Anthropometric indices were obtained by trained staff at recruitment using standardized protocols[20]. Weight and height were recorded to the nearest 0.1kg and 0.1cm respectively using</w:t>
      </w:r>
      <w:r>
        <w:rPr>
          <w:rStyle w:val="None"/>
          <w:rFonts w:ascii="Times New Roman" w:hAnsi="Times New Roman"/>
          <w:sz w:val="20"/>
          <w:szCs w:val="20"/>
        </w:rPr>
        <w:t xml:space="preserve"> calibrated scales (SECA 803 Weighing Scale; SECA 213 Stadiometer; SECA, Hamburg, Germany). Waist and hip circumferences were measured with a non-stretchable measuring tape (Seca 212; SECA, Hamburg, Germany).</w:t>
      </w:r>
      <w:r>
        <w:t xml:space="preserve"> </w:t>
      </w:r>
      <w:r>
        <w:rPr>
          <w:rStyle w:val="None"/>
          <w:rFonts w:ascii="Times New Roman" w:hAnsi="Times New Roman"/>
          <w:sz w:val="20"/>
          <w:szCs w:val="20"/>
        </w:rPr>
        <w:t>ABSI was defined by: WC/(BMI</w:t>
      </w:r>
      <w:r>
        <w:rPr>
          <w:rStyle w:val="None"/>
          <w:rFonts w:ascii="Times New Roman" w:hAnsi="Times New Roman"/>
          <w:sz w:val="20"/>
          <w:szCs w:val="20"/>
          <w:vertAlign w:val="superscript"/>
        </w:rPr>
        <w:t>2/3</w:t>
      </w:r>
      <w:r>
        <w:rPr>
          <w:rStyle w:val="None"/>
          <w:rFonts w:ascii="Times New Roman" w:hAnsi="Times New Roman"/>
          <w:sz w:val="20"/>
          <w:szCs w:val="20"/>
        </w:rPr>
        <w:t>×</w:t>
      </w:r>
      <w:r>
        <w:rPr>
          <w:rStyle w:val="None"/>
          <w:rFonts w:ascii="Times New Roman" w:hAnsi="Times New Roman"/>
          <w:sz w:val="20"/>
          <w:szCs w:val="20"/>
        </w:rPr>
        <w:t>height</w:t>
      </w:r>
      <w:r>
        <w:rPr>
          <w:rStyle w:val="None"/>
          <w:rFonts w:ascii="Times New Roman" w:hAnsi="Times New Roman"/>
          <w:sz w:val="20"/>
          <w:szCs w:val="20"/>
          <w:vertAlign w:val="superscript"/>
        </w:rPr>
        <w:t>1/2</w:t>
      </w:r>
      <w:r>
        <w:rPr>
          <w:rStyle w:val="None"/>
          <w:rFonts w:ascii="Times New Roman" w:hAnsi="Times New Roman"/>
          <w:sz w:val="20"/>
          <w:szCs w:val="20"/>
        </w:rPr>
        <w:t>)[18]. Four-site skinfold thicknesses (triceps, biceps, subscapular, suprailiac) were measured to the nearest 0.2mm using skinfold calipers (Holtain Ltd, Crymych, UK) on the right side of the body. For reliability, weight, height, waist and hip circumferen</w:t>
      </w:r>
      <w:r>
        <w:rPr>
          <w:rStyle w:val="None"/>
          <w:rFonts w:ascii="Times New Roman" w:hAnsi="Times New Roman"/>
          <w:sz w:val="20"/>
          <w:szCs w:val="20"/>
        </w:rPr>
        <w:t>ces were taken in duplicates, while skinfold measurements were taken in triplicates, and respective measurements were averaged. Anthropometric training and standardization sessions were conducted every three months. The inter-observer technical error of me</w:t>
      </w:r>
      <w:r>
        <w:rPr>
          <w:rStyle w:val="None"/>
          <w:rFonts w:ascii="Times New Roman" w:hAnsi="Times New Roman"/>
          <w:sz w:val="20"/>
          <w:szCs w:val="20"/>
        </w:rPr>
        <w:t>asurement (TE) and coefficient of variation (CV)[21] are shown in Supplementary Table S2 online.</w:t>
      </w:r>
    </w:p>
    <w:p w:rsidR="00411AA5" w:rsidRDefault="004819B5">
      <w:pPr>
        <w:pStyle w:val="BodyA"/>
        <w:spacing w:line="480" w:lineRule="auto"/>
        <w:outlineLvl w:val="0"/>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t>Glucose tolerance tests and HbA1c</w:t>
      </w:r>
    </w:p>
    <w:p w:rsidR="00411AA5" w:rsidRDefault="004819B5">
      <w:pPr>
        <w:pStyle w:val="BodyA"/>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Participants underwent a 75-gram OGTT after an overnight fast at recruitment. Venous fasting plasma glucose (FPG), 2-hour pla</w:t>
      </w:r>
      <w:r>
        <w:rPr>
          <w:rStyle w:val="None"/>
          <w:rFonts w:ascii="Times New Roman" w:hAnsi="Times New Roman"/>
          <w:sz w:val="20"/>
          <w:szCs w:val="20"/>
        </w:rPr>
        <w:t>sma glucose (2hPG) and HbA1c were measured (Abbott Architect Plus c8000, Wiesbaden,</w:t>
      </w:r>
      <w:r>
        <w:rPr>
          <w:rStyle w:val="None"/>
          <w:rFonts w:ascii="Times New Roman" w:hAnsi="Times New Roman"/>
          <w:sz w:val="20"/>
          <w:szCs w:val="20"/>
        </w:rPr>
        <w:t> </w:t>
      </w:r>
      <w:r>
        <w:rPr>
          <w:rStyle w:val="None"/>
          <w:rFonts w:ascii="Times New Roman" w:hAnsi="Times New Roman"/>
          <w:sz w:val="20"/>
          <w:szCs w:val="20"/>
        </w:rPr>
        <w:t>Germany). Pre-diabetes is defined as impaired fasting glucose (IFG): FPG 6.1</w:t>
      </w:r>
      <w:r>
        <w:rPr>
          <w:rStyle w:val="None"/>
          <w:rFonts w:ascii="Arial" w:hAnsi="Arial"/>
          <w:color w:val="545454"/>
          <w:u w:color="545454"/>
        </w:rPr>
        <w:t>–</w:t>
      </w:r>
      <w:r>
        <w:rPr>
          <w:rStyle w:val="None"/>
          <w:rFonts w:ascii="Times New Roman" w:hAnsi="Times New Roman"/>
          <w:sz w:val="20"/>
          <w:szCs w:val="20"/>
        </w:rPr>
        <w:t>6.9mmol/L with 2hPG&lt;11.1mmol/L, or impaired glucose tolerance (IGT): FPG&lt;6.1mmol/L with 2hPG</w:t>
      </w:r>
      <w:r>
        <w:rPr>
          <w:rStyle w:val="None"/>
          <w:rFonts w:ascii="Times New Roman" w:hAnsi="Times New Roman"/>
          <w:sz w:val="20"/>
          <w:szCs w:val="20"/>
        </w:rPr>
        <w:t>≥</w:t>
      </w:r>
      <w:r>
        <w:rPr>
          <w:rStyle w:val="None"/>
          <w:rFonts w:ascii="Times New Roman" w:hAnsi="Times New Roman"/>
          <w:sz w:val="20"/>
          <w:szCs w:val="20"/>
        </w:rPr>
        <w:t>7.</w:t>
      </w:r>
      <w:r>
        <w:rPr>
          <w:rStyle w:val="None"/>
          <w:rFonts w:ascii="Times New Roman" w:hAnsi="Times New Roman"/>
          <w:sz w:val="20"/>
          <w:szCs w:val="20"/>
        </w:rPr>
        <w:t>8 and &lt;11.1mmol/L. Diabetes is defined as: FPG</w:t>
      </w:r>
      <w:r>
        <w:rPr>
          <w:rStyle w:val="None"/>
          <w:rFonts w:ascii="Times New Roman" w:hAnsi="Times New Roman"/>
          <w:sz w:val="20"/>
          <w:szCs w:val="20"/>
        </w:rPr>
        <w:t>≥</w:t>
      </w:r>
      <w:r>
        <w:rPr>
          <w:rStyle w:val="None"/>
          <w:rFonts w:ascii="Times New Roman" w:hAnsi="Times New Roman"/>
          <w:sz w:val="20"/>
          <w:szCs w:val="20"/>
        </w:rPr>
        <w:t>7.0mmol/L or 2hPG</w:t>
      </w:r>
      <w:r>
        <w:rPr>
          <w:rStyle w:val="None"/>
          <w:rFonts w:ascii="Times New Roman" w:hAnsi="Times New Roman"/>
          <w:sz w:val="20"/>
          <w:szCs w:val="20"/>
        </w:rPr>
        <w:t>≥</w:t>
      </w:r>
      <w:r>
        <w:rPr>
          <w:rStyle w:val="None"/>
          <w:rFonts w:ascii="Times New Roman" w:hAnsi="Times New Roman"/>
          <w:sz w:val="20"/>
          <w:szCs w:val="20"/>
        </w:rPr>
        <w:t xml:space="preserve">11.1mmol/L[9]. Participants with IFG, IGT or diabetes were collectively grouped as dysglycemia. </w:t>
      </w:r>
    </w:p>
    <w:p w:rsidR="00411AA5" w:rsidRDefault="004819B5">
      <w:pPr>
        <w:pStyle w:val="BodyA"/>
        <w:spacing w:line="480" w:lineRule="auto"/>
        <w:outlineLvl w:val="0"/>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t>Covariates</w:t>
      </w:r>
    </w:p>
    <w:p w:rsidR="00411AA5" w:rsidRDefault="004819B5">
      <w:pPr>
        <w:pStyle w:val="BodyA"/>
        <w:spacing w:line="480" w:lineRule="auto"/>
      </w:pPr>
      <w:r>
        <w:rPr>
          <w:rStyle w:val="None"/>
          <w:rFonts w:ascii="Times New Roman" w:hAnsi="Times New Roman"/>
          <w:sz w:val="20"/>
          <w:szCs w:val="20"/>
        </w:rPr>
        <w:lastRenderedPageBreak/>
        <w:t>Data on: (i) socio-demographics (age, self-reported ethnicity, educational level, s</w:t>
      </w:r>
      <w:r>
        <w:rPr>
          <w:rStyle w:val="None"/>
          <w:rFonts w:ascii="Times New Roman" w:hAnsi="Times New Roman"/>
          <w:sz w:val="20"/>
          <w:szCs w:val="20"/>
        </w:rPr>
        <w:t xml:space="preserve">moking history, current employment status, shift work), and (ii) clinical characteristics (menstrual cycle regularity [irregular cycle was defined as having a variation of more than 5 days between periods in the last 6 months], parity, previous history of </w:t>
      </w:r>
      <w:r>
        <w:rPr>
          <w:rStyle w:val="None"/>
          <w:rFonts w:ascii="Times New Roman" w:hAnsi="Times New Roman"/>
          <w:sz w:val="20"/>
          <w:szCs w:val="20"/>
        </w:rPr>
        <w:t xml:space="preserve">gestational diabetes mellitus [GDM], history of hypertension, and family history of diabetes in a first degree relative) were gathered at recruitment through interviewer-administered questionnaires. </w:t>
      </w:r>
      <w:r>
        <w:rPr>
          <w:rStyle w:val="None"/>
          <w:rFonts w:ascii="Arial Unicode MS" w:hAnsi="Arial Unicode MS"/>
          <w:sz w:val="20"/>
          <w:szCs w:val="20"/>
        </w:rPr>
        <w:br w:type="page"/>
      </w:r>
    </w:p>
    <w:p w:rsidR="00411AA5" w:rsidRDefault="004819B5">
      <w:pPr>
        <w:pStyle w:val="BodyA"/>
        <w:tabs>
          <w:tab w:val="left" w:pos="5771"/>
        </w:tabs>
        <w:spacing w:line="480" w:lineRule="auto"/>
        <w:outlineLvl w:val="0"/>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lastRenderedPageBreak/>
        <w:t>Statistical Analyses</w:t>
      </w:r>
      <w:r>
        <w:rPr>
          <w:rStyle w:val="None"/>
          <w:rFonts w:ascii="Times New Roman" w:hAnsi="Times New Roman"/>
          <w:b/>
          <w:bCs/>
          <w:i/>
          <w:iCs/>
          <w:sz w:val="20"/>
          <w:szCs w:val="20"/>
        </w:rPr>
        <w:tab/>
      </w:r>
    </w:p>
    <w:p w:rsidR="00411AA5" w:rsidRDefault="004819B5">
      <w:pPr>
        <w:pStyle w:val="BodyA"/>
        <w:spacing w:after="0"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We performed a cross-sectional analysis of the baseline preconception data from the S-PRESTO cohort. Participants with data for at least one anthropometric or HbA1c measurement as well as complete information on relevant covariates and glucose measures wer</w:t>
      </w:r>
      <w:r>
        <w:rPr>
          <w:rStyle w:val="None"/>
          <w:rFonts w:ascii="Times New Roman" w:hAnsi="Times New Roman"/>
          <w:sz w:val="20"/>
          <w:szCs w:val="20"/>
        </w:rPr>
        <w:t>e included (Supplementary Fig. S1 online). Differences between women with and without dysglycemia were tested using two-sample t-tests for continuous variables and chi-square tests for categorical variables. We standardized all anthropometry and HbA1c to z</w:t>
      </w:r>
      <w:r>
        <w:rPr>
          <w:rStyle w:val="None"/>
          <w:rFonts w:ascii="Times New Roman" w:hAnsi="Times New Roman"/>
          <w:sz w:val="20"/>
          <w:szCs w:val="20"/>
        </w:rPr>
        <w:t xml:space="preserve">-scores within the cohort to allow direct comparisons of effect estimates. </w:t>
      </w:r>
    </w:p>
    <w:p w:rsidR="00411AA5" w:rsidRDefault="004819B5">
      <w:pPr>
        <w:pStyle w:val="BodyA"/>
        <w:spacing w:after="0" w:line="480" w:lineRule="auto"/>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b/>
        <w:t xml:space="preserve">Using multiple linear and logistic regression analysis respectively for continuous and categorical outcome variables, we compared each anthropometry and HbA1c to glucose outcomes </w:t>
      </w:r>
      <w:r>
        <w:rPr>
          <w:rStyle w:val="None"/>
          <w:rFonts w:ascii="Times New Roman" w:eastAsia="Times New Roman" w:hAnsi="Times New Roman" w:cs="Times New Roman"/>
          <w:sz w:val="20"/>
          <w:szCs w:val="20"/>
        </w:rPr>
        <w:t>(FPG, 2hPG, dysglycemia). We adjusted for potential confounders that were significantly related to both exposure and outcome in our population (Analysis 1; educational level, menstrual cycle regularity), and based on published literature (Analysis 2; the a</w:t>
      </w:r>
      <w:r>
        <w:rPr>
          <w:rStyle w:val="None"/>
          <w:rFonts w:ascii="Times New Roman" w:eastAsia="Times New Roman" w:hAnsi="Times New Roman" w:cs="Times New Roman"/>
          <w:sz w:val="20"/>
          <w:szCs w:val="20"/>
        </w:rPr>
        <w:t>forementioned factors, with addition of age, ethnicity, smoking history, shift work, parity, GDM history, family history of diabetes)[22-24]. The variance in glucose outcomes was assessed using adjusted R</w:t>
      </w:r>
      <w:r>
        <w:rPr>
          <w:rStyle w:val="None"/>
          <w:rFonts w:ascii="Times New Roman" w:hAnsi="Times New Roman"/>
          <w:sz w:val="20"/>
          <w:szCs w:val="20"/>
          <w:vertAlign w:val="superscript"/>
        </w:rPr>
        <w:t>2</w:t>
      </w:r>
      <w:r>
        <w:rPr>
          <w:rStyle w:val="None"/>
          <w:rFonts w:ascii="Times New Roman" w:hAnsi="Times New Roman"/>
          <w:sz w:val="20"/>
          <w:szCs w:val="20"/>
        </w:rPr>
        <w:t xml:space="preserve"> values.</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The sensitivity, specificity, and area und</w:t>
      </w:r>
      <w:r>
        <w:rPr>
          <w:rStyle w:val="None"/>
          <w:rFonts w:ascii="Times New Roman" w:hAnsi="Times New Roman"/>
          <w:sz w:val="20"/>
          <w:szCs w:val="20"/>
        </w:rPr>
        <w:t>er receiver-operating characteristic (AUROC) were calculated to evaluate the utility of anthropometry and/or HbA1c in detecting dysglycemia. The performance of each model was compared, with and without history (History: age, ethnicity, educational level, s</w:t>
      </w:r>
      <w:r>
        <w:rPr>
          <w:rStyle w:val="None"/>
          <w:rFonts w:ascii="Times New Roman" w:hAnsi="Times New Roman"/>
          <w:sz w:val="20"/>
          <w:szCs w:val="20"/>
        </w:rPr>
        <w:t>moking history, shift work, menstrual cycle regularity, parity, GDM history, and family history of diabetes). Continuous values of anthropometry and HbA1c were evaluated first, followed by categorical variables based on clinically-recommended thresholds as</w:t>
      </w:r>
      <w:r>
        <w:rPr>
          <w:rStyle w:val="None"/>
          <w:rFonts w:ascii="Times New Roman" w:hAnsi="Times New Roman"/>
          <w:sz w:val="20"/>
          <w:szCs w:val="20"/>
        </w:rPr>
        <w:t>sociated with increased metabolic risks, as would normally be done in clinical practice. These were BMI (</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and </w:t>
      </w:r>
      <w:r>
        <w:rPr>
          <w:rStyle w:val="None"/>
          <w:rFonts w:ascii="Times New Roman" w:hAnsi="Times New Roman"/>
          <w:sz w:val="20"/>
          <w:szCs w:val="20"/>
        </w:rPr>
        <w:t>≥</w:t>
      </w:r>
      <w:r>
        <w:rPr>
          <w:rStyle w:val="None"/>
          <w:rFonts w:ascii="Times New Roman" w:hAnsi="Times New Roman"/>
          <w:sz w:val="20"/>
          <w:szCs w:val="20"/>
        </w:rPr>
        <w:t>25kg/m</w:t>
      </w:r>
      <w:r>
        <w:rPr>
          <w:rStyle w:val="None"/>
          <w:rFonts w:ascii="Times New Roman" w:hAnsi="Times New Roman"/>
          <w:sz w:val="20"/>
          <w:szCs w:val="20"/>
          <w:vertAlign w:val="superscript"/>
        </w:rPr>
        <w:t>2</w:t>
      </w:r>
      <w:r>
        <w:rPr>
          <w:rStyle w:val="None"/>
          <w:rFonts w:ascii="Times New Roman" w:hAnsi="Times New Roman"/>
          <w:sz w:val="20"/>
          <w:szCs w:val="20"/>
        </w:rPr>
        <w:t xml:space="preserve"> according to Asian and international thresholds for overweight, respectively)[25], the 90</w:t>
      </w:r>
      <w:r>
        <w:rPr>
          <w:rStyle w:val="None"/>
          <w:rFonts w:ascii="Times New Roman" w:hAnsi="Times New Roman"/>
          <w:sz w:val="20"/>
          <w:szCs w:val="20"/>
          <w:vertAlign w:val="superscript"/>
        </w:rPr>
        <w:t>th</w:t>
      </w:r>
      <w:r>
        <w:rPr>
          <w:rStyle w:val="None"/>
          <w:rFonts w:ascii="Times New Roman" w:hAnsi="Times New Roman"/>
          <w:sz w:val="20"/>
          <w:szCs w:val="20"/>
        </w:rPr>
        <w:t xml:space="preserve"> percentiles for WHtR and total skinfo</w:t>
      </w:r>
      <w:r>
        <w:rPr>
          <w:rStyle w:val="None"/>
          <w:rFonts w:ascii="Times New Roman" w:hAnsi="Times New Roman"/>
          <w:sz w:val="20"/>
          <w:szCs w:val="20"/>
        </w:rPr>
        <w:t>lds, and HbA1c</w:t>
      </w:r>
      <w:r>
        <w:rPr>
          <w:rStyle w:val="None"/>
          <w:rFonts w:ascii="Times New Roman" w:hAnsi="Times New Roman"/>
          <w:sz w:val="20"/>
          <w:szCs w:val="20"/>
        </w:rPr>
        <w:t>≥</w:t>
      </w:r>
      <w:r>
        <w:rPr>
          <w:rStyle w:val="None"/>
          <w:rFonts w:ascii="Times New Roman" w:hAnsi="Times New Roman"/>
          <w:sz w:val="20"/>
          <w:szCs w:val="20"/>
        </w:rPr>
        <w:t>5.7% for pre-diabetes (suggested by the American Diabetes Association)</w:t>
      </w:r>
      <w:r>
        <w:rPr>
          <w:rStyle w:val="None"/>
          <w:rFonts w:ascii="Times New Roman" w:hAnsi="Times New Roman"/>
          <w:sz w:val="20"/>
          <w:szCs w:val="20"/>
          <w:vertAlign w:val="superscript"/>
        </w:rPr>
        <w:t>9</w:t>
      </w:r>
      <w:r>
        <w:rPr>
          <w:rStyle w:val="None"/>
          <w:rFonts w:ascii="Times New Roman" w:hAnsi="Times New Roman"/>
          <w:sz w:val="20"/>
          <w:szCs w:val="20"/>
        </w:rPr>
        <w:t>. For categorical data analyses, age as a confounder was dichotomized based on the population</w:t>
      </w:r>
      <w:r>
        <w:rPr>
          <w:rStyle w:val="None"/>
          <w:rFonts w:ascii="Times New Roman" w:hAnsi="Times New Roman"/>
          <w:sz w:val="20"/>
          <w:szCs w:val="20"/>
        </w:rPr>
        <w:t>’</w:t>
      </w:r>
      <w:r>
        <w:rPr>
          <w:rStyle w:val="None"/>
          <w:rFonts w:ascii="Times New Roman" w:hAnsi="Times New Roman"/>
          <w:sz w:val="20"/>
          <w:szCs w:val="20"/>
        </w:rPr>
        <w:t xml:space="preserve">s median age (&gt;30 years). The AUROC of each model was compared with several </w:t>
      </w:r>
      <w:r>
        <w:rPr>
          <w:rStyle w:val="None"/>
          <w:rFonts w:ascii="Times New Roman" w:hAnsi="Times New Roman"/>
          <w:sz w:val="20"/>
          <w:szCs w:val="20"/>
        </w:rPr>
        <w:t xml:space="preserve">models as our references: (i) history, (ii) HbA1c, and (iii) BMI. A test of equality was used to test for statistical differences between AUROC values.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To illustrate the clinical utility of different combinations of anthropometry with HbA1c</w:t>
      </w:r>
      <w:r>
        <w:rPr>
          <w:rStyle w:val="None"/>
          <w:rFonts w:ascii="Times New Roman" w:hAnsi="Times New Roman"/>
          <w:sz w:val="20"/>
          <w:szCs w:val="20"/>
        </w:rPr>
        <w:t>≥</w:t>
      </w:r>
      <w:r>
        <w:rPr>
          <w:rStyle w:val="None"/>
          <w:rFonts w:ascii="Times New Roman" w:hAnsi="Times New Roman"/>
          <w:sz w:val="20"/>
          <w:szCs w:val="20"/>
        </w:rPr>
        <w:t>5.7 as screeni</w:t>
      </w:r>
      <w:r>
        <w:rPr>
          <w:rStyle w:val="None"/>
          <w:rFonts w:ascii="Times New Roman" w:hAnsi="Times New Roman"/>
          <w:sz w:val="20"/>
          <w:szCs w:val="20"/>
        </w:rPr>
        <w:t xml:space="preserve">ng tests, we calculated the positive and negative predictive values (PPV and NPV respectively), the numbers of women identified as requiring OGTT, and the number of detected and missed cases with dysglycemia. </w:t>
      </w:r>
    </w:p>
    <w:p w:rsidR="00411AA5" w:rsidRDefault="004819B5">
      <w:pPr>
        <w:pStyle w:val="BodyA"/>
        <w:spacing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As sensitivity analyses, we excluded women wit</w:t>
      </w:r>
      <w:r>
        <w:rPr>
          <w:rStyle w:val="None"/>
          <w:rFonts w:ascii="Times New Roman" w:hAnsi="Times New Roman"/>
          <w:sz w:val="20"/>
          <w:szCs w:val="20"/>
        </w:rPr>
        <w:t>h a previous history of GDM, selected only four commonly considered risk factors as covariates (age, ethnicity, GDM history, family history of diabetes), and evaluated the different thresholds of anthropometry and HbA1c for detecting dysglycemia. The optim</w:t>
      </w:r>
      <w:r>
        <w:rPr>
          <w:rStyle w:val="None"/>
          <w:rFonts w:ascii="Times New Roman" w:hAnsi="Times New Roman"/>
          <w:sz w:val="20"/>
          <w:szCs w:val="20"/>
        </w:rPr>
        <w:t>al cut-offs of BMI (computed at 0.5 unit increments, ranging from 23</w:t>
      </w:r>
      <w:r>
        <w:rPr>
          <w:rStyle w:val="None"/>
          <w:sz w:val="20"/>
          <w:szCs w:val="20"/>
        </w:rPr>
        <w:t>−</w:t>
      </w:r>
      <w:r>
        <w:rPr>
          <w:rStyle w:val="None"/>
          <w:rFonts w:ascii="Times New Roman" w:hAnsi="Times New Roman"/>
          <w:sz w:val="20"/>
          <w:szCs w:val="20"/>
        </w:rPr>
        <w:t>27.5kg/m</w:t>
      </w:r>
      <w:r>
        <w:rPr>
          <w:rStyle w:val="None"/>
          <w:rFonts w:ascii="Times New Roman" w:hAnsi="Times New Roman"/>
          <w:sz w:val="20"/>
          <w:szCs w:val="20"/>
          <w:vertAlign w:val="superscript"/>
        </w:rPr>
        <w:t xml:space="preserve">2 </w:t>
      </w:r>
      <w:r>
        <w:rPr>
          <w:rStyle w:val="None"/>
          <w:rFonts w:ascii="Times New Roman" w:hAnsi="Times New Roman"/>
          <w:sz w:val="20"/>
          <w:szCs w:val="20"/>
        </w:rPr>
        <w:t>characterizing overweight in Asians; followed by 0.1 unit increments within the identified optimal range from 23</w:t>
      </w:r>
      <w:r>
        <w:rPr>
          <w:rStyle w:val="None"/>
          <w:sz w:val="20"/>
          <w:szCs w:val="20"/>
        </w:rPr>
        <w:t>−</w:t>
      </w:r>
      <w:r>
        <w:rPr>
          <w:rStyle w:val="None"/>
          <w:rFonts w:ascii="Times New Roman" w:hAnsi="Times New Roman"/>
          <w:sz w:val="20"/>
          <w:szCs w:val="20"/>
        </w:rPr>
        <w:t>24kg/m</w:t>
      </w:r>
      <w:r>
        <w:rPr>
          <w:rStyle w:val="None"/>
          <w:rFonts w:ascii="Times New Roman" w:hAnsi="Times New Roman"/>
          <w:sz w:val="20"/>
          <w:szCs w:val="20"/>
          <w:vertAlign w:val="superscript"/>
        </w:rPr>
        <w:t>2</w:t>
      </w:r>
      <w:r>
        <w:rPr>
          <w:rStyle w:val="None"/>
          <w:rFonts w:ascii="Times New Roman" w:hAnsi="Times New Roman"/>
          <w:sz w:val="20"/>
          <w:szCs w:val="20"/>
        </w:rPr>
        <w:t>), WHtR and total skinfolds (95</w:t>
      </w:r>
      <w:r>
        <w:rPr>
          <w:rStyle w:val="None"/>
          <w:rFonts w:ascii="Times New Roman" w:hAnsi="Times New Roman"/>
          <w:sz w:val="20"/>
          <w:szCs w:val="20"/>
          <w:vertAlign w:val="superscript"/>
        </w:rPr>
        <w:t>th</w:t>
      </w:r>
      <w:r>
        <w:rPr>
          <w:rStyle w:val="None"/>
          <w:rFonts w:ascii="Times New Roman" w:hAnsi="Times New Roman"/>
          <w:sz w:val="20"/>
          <w:szCs w:val="20"/>
        </w:rPr>
        <w:t xml:space="preserve"> and 99</w:t>
      </w:r>
      <w:r>
        <w:rPr>
          <w:rStyle w:val="None"/>
          <w:rFonts w:ascii="Times New Roman" w:hAnsi="Times New Roman"/>
          <w:sz w:val="20"/>
          <w:szCs w:val="20"/>
          <w:vertAlign w:val="superscript"/>
        </w:rPr>
        <w:t>th</w:t>
      </w:r>
      <w:r>
        <w:rPr>
          <w:rStyle w:val="None"/>
          <w:rFonts w:ascii="Times New Roman" w:hAnsi="Times New Roman"/>
          <w:sz w:val="20"/>
          <w:szCs w:val="20"/>
        </w:rPr>
        <w:t xml:space="preserve"> percentiles) a</w:t>
      </w:r>
      <w:r>
        <w:rPr>
          <w:rStyle w:val="None"/>
          <w:rFonts w:ascii="Times New Roman" w:hAnsi="Times New Roman"/>
          <w:sz w:val="20"/>
          <w:szCs w:val="20"/>
        </w:rPr>
        <w:t>nd HbA1c (computed at 0.1 unit increments, ranging from 5.0</w:t>
      </w:r>
      <w:r>
        <w:rPr>
          <w:rStyle w:val="None"/>
          <w:sz w:val="20"/>
          <w:szCs w:val="20"/>
        </w:rPr>
        <w:t>−</w:t>
      </w:r>
      <w:r>
        <w:rPr>
          <w:rStyle w:val="None"/>
          <w:rFonts w:ascii="Times New Roman" w:hAnsi="Times New Roman"/>
          <w:sz w:val="20"/>
          <w:szCs w:val="20"/>
        </w:rPr>
        <w:t>5.7%) which yielded the highest AUROC were identified and used in the model-comparison analysis. Additional sensitivity analyses were conducted with alternative established cut-offs of BMI</w:t>
      </w:r>
      <w:r>
        <w:rPr>
          <w:rStyle w:val="None"/>
          <w:rFonts w:ascii="Times New Roman" w:hAnsi="Times New Roman"/>
          <w:sz w:val="20"/>
          <w:szCs w:val="20"/>
        </w:rPr>
        <w:t>≥</w:t>
      </w:r>
      <w:r>
        <w:rPr>
          <w:rStyle w:val="None"/>
          <w:rFonts w:ascii="Times New Roman" w:hAnsi="Times New Roman"/>
          <w:sz w:val="20"/>
          <w:szCs w:val="20"/>
        </w:rPr>
        <w:t>27.5 kg</w:t>
      </w:r>
      <w:r>
        <w:rPr>
          <w:rStyle w:val="None"/>
          <w:rFonts w:ascii="Times New Roman" w:hAnsi="Times New Roman"/>
          <w:sz w:val="20"/>
          <w:szCs w:val="20"/>
        </w:rPr>
        <w:t>/m</w:t>
      </w:r>
      <w:r>
        <w:rPr>
          <w:rStyle w:val="None"/>
          <w:rFonts w:ascii="Times New Roman" w:hAnsi="Times New Roman"/>
          <w:sz w:val="20"/>
          <w:szCs w:val="20"/>
          <w:vertAlign w:val="superscript"/>
        </w:rPr>
        <w:t xml:space="preserve">2 </w:t>
      </w:r>
      <w:r>
        <w:rPr>
          <w:rStyle w:val="None"/>
          <w:rFonts w:ascii="Times New Roman" w:hAnsi="Times New Roman"/>
          <w:sz w:val="20"/>
          <w:szCs w:val="20"/>
        </w:rPr>
        <w:t>for obese in Asians[25] and HbA1c</w:t>
      </w:r>
      <w:r>
        <w:rPr>
          <w:rStyle w:val="None"/>
          <w:rFonts w:ascii="Times New Roman" w:hAnsi="Times New Roman"/>
          <w:sz w:val="20"/>
          <w:szCs w:val="20"/>
        </w:rPr>
        <w:t>≥</w:t>
      </w:r>
      <w:r>
        <w:rPr>
          <w:rStyle w:val="None"/>
          <w:rFonts w:ascii="Times New Roman" w:hAnsi="Times New Roman"/>
          <w:sz w:val="20"/>
          <w:szCs w:val="20"/>
        </w:rPr>
        <w:t>6.0%[26]. Analyses were performed using Stata 15.1 software (StataCorp LP, TX). Statistical significance was considered at P&lt;0.05.</w:t>
      </w:r>
    </w:p>
    <w:p w:rsidR="00411AA5" w:rsidRDefault="004819B5">
      <w:pPr>
        <w:pStyle w:val="BodyA"/>
        <w:spacing w:line="48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t>Results</w:t>
      </w:r>
    </w:p>
    <w:p w:rsidR="00411AA5" w:rsidRDefault="004819B5">
      <w:pPr>
        <w:pStyle w:val="BodyA"/>
        <w:spacing w:after="0"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 xml:space="preserve">A total of 971 women had at least one anthropometric measure with </w:t>
      </w:r>
      <w:r>
        <w:rPr>
          <w:rStyle w:val="None"/>
          <w:rFonts w:ascii="Times New Roman" w:hAnsi="Times New Roman"/>
          <w:sz w:val="20"/>
          <w:szCs w:val="20"/>
        </w:rPr>
        <w:t>complete FPG and 2hPG results (Supplementary Fig. S1 online), and 946 had both complete OGTT results and HbA1c data available for relevant AUROC analysis. There were no significant differences in the characteristics of excluded and included participants, e</w:t>
      </w:r>
      <w:r>
        <w:rPr>
          <w:rStyle w:val="None"/>
          <w:rFonts w:ascii="Times New Roman" w:hAnsi="Times New Roman"/>
          <w:sz w:val="20"/>
          <w:szCs w:val="20"/>
        </w:rPr>
        <w:t>xcept for a greater proportion of women with a higher level of tertiary education in the included group (Supplementary Table S3 online). Of those included, 106 women (10.9%) had dysglycemia. The median (interquartile range, IQR) of FPG, 2hPG and HbA1c were</w:t>
      </w:r>
      <w:r>
        <w:rPr>
          <w:rStyle w:val="None"/>
          <w:rFonts w:ascii="Times New Roman" w:hAnsi="Times New Roman"/>
          <w:sz w:val="20"/>
          <w:szCs w:val="20"/>
        </w:rPr>
        <w:t xml:space="preserve"> 4.7 mmol/L (4.5-5.0), 5.6 mmol/L (4.8-6.2) and 5.1% (4.9-5.2) respectively in women with normal glucose tolerance; and 5.1 mmol/L (4.7-5.6), 8.8 mmol/L (8.2-10.1) and 5.3% (5.1-5.6) respectively in women with dysglycemia (Supplementary Fig. S2 and S3 onli</w:t>
      </w:r>
      <w:r>
        <w:rPr>
          <w:rStyle w:val="None"/>
          <w:rFonts w:ascii="Times New Roman" w:hAnsi="Times New Roman"/>
          <w:sz w:val="20"/>
          <w:szCs w:val="20"/>
        </w:rPr>
        <w:t xml:space="preserve">ne). Women with dysglycemia were less likely to have attained tertiary education, more likely to have had menstrual cycle irregularity and previous GDM than women with normal glucose tolerance (Table 1). Women with dysglycemia also exhibited significantly </w:t>
      </w:r>
      <w:r>
        <w:rPr>
          <w:rStyle w:val="None"/>
          <w:rFonts w:ascii="Times New Roman" w:hAnsi="Times New Roman"/>
          <w:sz w:val="20"/>
          <w:szCs w:val="20"/>
        </w:rPr>
        <w:t>higher values for all anthropometric measures compared to women with normal glucose tolerance, except for ABSI (Supplementary Table S4 online).</w:t>
      </w:r>
      <w:r>
        <w:t xml:space="preserve"> </w:t>
      </w:r>
    </w:p>
    <w:p w:rsidR="00411AA5" w:rsidRDefault="004819B5">
      <w:pPr>
        <w:pStyle w:val="BodyA"/>
        <w:spacing w:after="0" w:line="48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&lt;Table 1 here&gt;</w:t>
      </w:r>
    </w:p>
    <w:p w:rsidR="00411AA5" w:rsidRDefault="004819B5">
      <w:pPr>
        <w:pStyle w:val="BodyA"/>
        <w:spacing w:after="0" w:line="480" w:lineRule="auto"/>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b/>
        <w:t xml:space="preserve">To select the most appropriate anthropometric measures for use in screening, we </w:t>
      </w:r>
      <w:r>
        <w:rPr>
          <w:rStyle w:val="None"/>
          <w:rFonts w:ascii="Times New Roman" w:eastAsia="Times New Roman" w:hAnsi="Times New Roman" w:cs="Times New Roman"/>
          <w:sz w:val="20"/>
          <w:szCs w:val="20"/>
        </w:rPr>
        <w:t>compared the association of each measure, alongside HbA1c, with glucose outcomes (Table 2). We observed significant positive associations of each standardized anthropometric measure and HbA1c with FPG, 2hPG and dysglycemia. Of all the anthropometric measur</w:t>
      </w:r>
      <w:r>
        <w:rPr>
          <w:rStyle w:val="None"/>
          <w:rFonts w:ascii="Times New Roman" w:eastAsia="Times New Roman" w:hAnsi="Times New Roman" w:cs="Times New Roman"/>
          <w:sz w:val="20"/>
          <w:szCs w:val="20"/>
        </w:rPr>
        <w:t xml:space="preserve">es, BMI, WHtR (amongst the abdominal adiposity indices) and total skinfolds (amongst the skinfold measures) were most strongly associated with FPG, 2hPG, and dysglycemia. ABSI was </w:t>
      </w:r>
      <w:r>
        <w:rPr>
          <w:rStyle w:val="None"/>
          <w:rFonts w:ascii="Times New Roman" w:eastAsia="Times New Roman" w:hAnsi="Times New Roman" w:cs="Times New Roman"/>
          <w:sz w:val="20"/>
          <w:szCs w:val="20"/>
        </w:rPr>
        <w:lastRenderedPageBreak/>
        <w:t>not significantly associated with any glycemic outcomes, yielding the smalle</w:t>
      </w:r>
      <w:r>
        <w:rPr>
          <w:rStyle w:val="None"/>
          <w:rFonts w:ascii="Times New Roman" w:eastAsia="Times New Roman" w:hAnsi="Times New Roman" w:cs="Times New Roman"/>
          <w:sz w:val="20"/>
          <w:szCs w:val="20"/>
        </w:rPr>
        <w:t>st R</w:t>
      </w:r>
      <w:r>
        <w:rPr>
          <w:rStyle w:val="None"/>
          <w:rFonts w:ascii="Times New Roman" w:hAnsi="Times New Roman"/>
          <w:sz w:val="20"/>
          <w:szCs w:val="20"/>
          <w:vertAlign w:val="superscript"/>
        </w:rPr>
        <w:t>2</w:t>
      </w:r>
      <w:r>
        <w:rPr>
          <w:rStyle w:val="None"/>
          <w:rFonts w:ascii="Times New Roman" w:hAnsi="Times New Roman"/>
          <w:sz w:val="20"/>
          <w:szCs w:val="20"/>
        </w:rPr>
        <w:t xml:space="preserve"> of all anthropometric indices and therefore, excluded from subsequent analyses.</w:t>
      </w:r>
    </w:p>
    <w:p w:rsidR="00411AA5" w:rsidRDefault="004819B5">
      <w:pPr>
        <w:pStyle w:val="BodyA"/>
        <w:spacing w:after="0" w:line="48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&lt;Table 2 here&gt;</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As continuous variables, the AUROC of HbA1c alone was higher than each of the anthropometric measures (BMI, WHtR, total skinfolds) (Figure 1). Without adju</w:t>
      </w:r>
      <w:r>
        <w:rPr>
          <w:rStyle w:val="None"/>
          <w:rFonts w:ascii="Times New Roman" w:hAnsi="Times New Roman"/>
          <w:sz w:val="20"/>
          <w:szCs w:val="20"/>
        </w:rPr>
        <w:t xml:space="preserve">stment for history, adding this anthropometry trio (AUROC 0.77) or simply BMI (0.76) to HbA1c did not improve the AUROC of HbA1c alone (0.76). With adjustment for history, the AUROC of HbA1c alone was improved as compared to HbA1c without history (0.79 vs </w:t>
      </w:r>
      <w:r>
        <w:rPr>
          <w:rStyle w:val="None"/>
          <w:rFonts w:ascii="Times New Roman" w:hAnsi="Times New Roman"/>
          <w:sz w:val="20"/>
          <w:szCs w:val="20"/>
        </w:rPr>
        <w:t>0.76, p=0.041). Similarly, the AUROC for the combination of anthropometry trio and HbA1c was higher with than without history (0.80 vs 0.77, p=0.03). With history, each of the three anthropometric measures had similar sensitivities (61.3-67.6%), specificit</w:t>
      </w:r>
      <w:r>
        <w:rPr>
          <w:rStyle w:val="None"/>
          <w:rFonts w:ascii="Times New Roman" w:hAnsi="Times New Roman"/>
          <w:sz w:val="20"/>
          <w:szCs w:val="20"/>
        </w:rPr>
        <w:t xml:space="preserve">ies (69.3-70.6%) and AUROC values (0.71-0.74), and as a trio, did not outperform HbA1c alone (0.74 vs 0.79, p=0.02). </w:t>
      </w:r>
    </w:p>
    <w:p w:rsidR="00411AA5" w:rsidRDefault="004819B5">
      <w:pPr>
        <w:pStyle w:val="BodyA"/>
        <w:spacing w:after="0" w:line="48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&lt;Figure 1 here&gt;</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However, in clinical practice, screening tests are interpreted using predefined validated thresholds rather than as contin</w:t>
      </w:r>
      <w:r>
        <w:rPr>
          <w:rStyle w:val="None"/>
          <w:rFonts w:ascii="Times New Roman" w:hAnsi="Times New Roman"/>
          <w:sz w:val="20"/>
          <w:szCs w:val="20"/>
        </w:rPr>
        <w:t>uous variables. We thus assessed the clinically-relevant thresholds of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WHtR</w:t>
      </w:r>
      <w:r>
        <w:rPr>
          <w:rStyle w:val="None"/>
          <w:rFonts w:ascii="Times New Roman" w:hAnsi="Times New Roman"/>
          <w:sz w:val="20"/>
          <w:szCs w:val="20"/>
        </w:rPr>
        <w:t>≥</w:t>
      </w:r>
      <w:r>
        <w:rPr>
          <w:rStyle w:val="None"/>
          <w:rFonts w:ascii="Times New Roman" w:hAnsi="Times New Roman"/>
          <w:sz w:val="20"/>
          <w:szCs w:val="20"/>
        </w:rPr>
        <w:t>90</w:t>
      </w:r>
      <w:r>
        <w:rPr>
          <w:rStyle w:val="None"/>
          <w:rFonts w:ascii="Times New Roman" w:hAnsi="Times New Roman"/>
          <w:sz w:val="20"/>
          <w:szCs w:val="20"/>
          <w:vertAlign w:val="superscript"/>
        </w:rPr>
        <w:t>th</w:t>
      </w:r>
      <w:r>
        <w:rPr>
          <w:rStyle w:val="None"/>
          <w:rFonts w:ascii="Times New Roman" w:hAnsi="Times New Roman"/>
          <w:sz w:val="20"/>
          <w:szCs w:val="20"/>
        </w:rPr>
        <w:t xml:space="preserve"> percentile, total skinfolds</w:t>
      </w:r>
      <w:r>
        <w:rPr>
          <w:rStyle w:val="None"/>
          <w:rFonts w:ascii="Times New Roman" w:hAnsi="Times New Roman"/>
          <w:sz w:val="20"/>
          <w:szCs w:val="20"/>
        </w:rPr>
        <w:t>≥</w:t>
      </w:r>
      <w:r>
        <w:rPr>
          <w:rStyle w:val="None"/>
          <w:rFonts w:ascii="Times New Roman" w:hAnsi="Times New Roman"/>
          <w:sz w:val="20"/>
          <w:szCs w:val="20"/>
        </w:rPr>
        <w:t>90</w:t>
      </w:r>
      <w:r>
        <w:rPr>
          <w:rStyle w:val="None"/>
          <w:rFonts w:ascii="Times New Roman" w:hAnsi="Times New Roman"/>
          <w:sz w:val="20"/>
          <w:szCs w:val="20"/>
          <w:vertAlign w:val="superscript"/>
        </w:rPr>
        <w:t>th</w:t>
      </w:r>
      <w:r>
        <w:rPr>
          <w:rStyle w:val="None"/>
          <w:rFonts w:ascii="Times New Roman" w:hAnsi="Times New Roman"/>
          <w:sz w:val="20"/>
          <w:szCs w:val="20"/>
        </w:rPr>
        <w:t xml:space="preserve"> percentile, and HbA1c</w:t>
      </w:r>
      <w:r>
        <w:rPr>
          <w:rStyle w:val="None"/>
          <w:rFonts w:ascii="Times New Roman" w:hAnsi="Times New Roman"/>
          <w:sz w:val="20"/>
          <w:szCs w:val="20"/>
        </w:rPr>
        <w:t>≥</w:t>
      </w:r>
      <w:r>
        <w:rPr>
          <w:rStyle w:val="None"/>
          <w:rFonts w:ascii="Times New Roman" w:hAnsi="Times New Roman"/>
          <w:sz w:val="20"/>
          <w:szCs w:val="20"/>
        </w:rPr>
        <w:t>5.7% (Figure 2). Without adjustment for history, the AUROC for HbA1c</w:t>
      </w:r>
      <w:r>
        <w:rPr>
          <w:rStyle w:val="None"/>
          <w:rFonts w:ascii="Times New Roman" w:hAnsi="Times New Roman"/>
          <w:sz w:val="20"/>
          <w:szCs w:val="20"/>
        </w:rPr>
        <w:t>≥</w:t>
      </w:r>
      <w:r>
        <w:rPr>
          <w:rStyle w:val="None"/>
          <w:rFonts w:ascii="Times New Roman" w:hAnsi="Times New Roman"/>
          <w:sz w:val="20"/>
          <w:szCs w:val="20"/>
        </w:rPr>
        <w:t xml:space="preserve">5.7% alone (0.61) was similar to each </w:t>
      </w:r>
      <w:r>
        <w:rPr>
          <w:rStyle w:val="None"/>
          <w:rFonts w:ascii="Times New Roman" w:hAnsi="Times New Roman"/>
          <w:sz w:val="20"/>
          <w:szCs w:val="20"/>
        </w:rPr>
        <w:t>of the three anthropometric measures (0.56-0.65). Adding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 xml:space="preserve">2 </w:t>
      </w:r>
      <w:r>
        <w:rPr>
          <w:rStyle w:val="None"/>
          <w:rFonts w:ascii="Times New Roman" w:hAnsi="Times New Roman"/>
          <w:sz w:val="20"/>
          <w:szCs w:val="20"/>
        </w:rPr>
        <w:t>to HbA1c</w:t>
      </w:r>
      <w:r>
        <w:rPr>
          <w:rStyle w:val="None"/>
          <w:rFonts w:ascii="Times New Roman" w:hAnsi="Times New Roman"/>
          <w:sz w:val="20"/>
          <w:szCs w:val="20"/>
        </w:rPr>
        <w:t>≥</w:t>
      </w:r>
      <w:r>
        <w:rPr>
          <w:rStyle w:val="None"/>
          <w:rFonts w:ascii="Times New Roman" w:hAnsi="Times New Roman"/>
          <w:sz w:val="20"/>
          <w:szCs w:val="20"/>
        </w:rPr>
        <w:t>5.7% significantly improved the sensitivity (24.8% vs 72.4%) and AUROC (0.61 vs 0.70, p=0.0002) of HbA1c</w:t>
      </w:r>
      <w:r>
        <w:rPr>
          <w:rStyle w:val="None"/>
          <w:rFonts w:ascii="Times New Roman" w:hAnsi="Times New Roman"/>
          <w:sz w:val="20"/>
          <w:szCs w:val="20"/>
        </w:rPr>
        <w:t>≥</w:t>
      </w:r>
      <w:r>
        <w:rPr>
          <w:rStyle w:val="None"/>
          <w:rFonts w:ascii="Times New Roman" w:hAnsi="Times New Roman"/>
          <w:sz w:val="20"/>
          <w:szCs w:val="20"/>
        </w:rPr>
        <w:t>5.7% alone when history was not considered. The AUROC of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 xml:space="preserve">2 </w:t>
      </w:r>
      <w:r>
        <w:rPr>
          <w:rStyle w:val="None"/>
          <w:rFonts w:ascii="Times New Roman" w:hAnsi="Times New Roman"/>
          <w:sz w:val="20"/>
          <w:szCs w:val="20"/>
        </w:rPr>
        <w:t>alon</w:t>
      </w:r>
      <w:r>
        <w:rPr>
          <w:rStyle w:val="None"/>
          <w:rFonts w:ascii="Times New Roman" w:hAnsi="Times New Roman"/>
          <w:sz w:val="20"/>
          <w:szCs w:val="20"/>
        </w:rPr>
        <w:t xml:space="preserve">e (0.65) was higher than that of the </w:t>
      </w:r>
      <w:r>
        <w:rPr>
          <w:rStyle w:val="None"/>
          <w:rFonts w:ascii="Times New Roman" w:hAnsi="Times New Roman"/>
          <w:sz w:val="20"/>
          <w:szCs w:val="20"/>
        </w:rPr>
        <w:t>≥</w:t>
      </w:r>
      <w:r>
        <w:rPr>
          <w:rStyle w:val="None"/>
          <w:rFonts w:ascii="Times New Roman" w:hAnsi="Times New Roman"/>
          <w:sz w:val="20"/>
          <w:szCs w:val="20"/>
        </w:rPr>
        <w:t>90</w:t>
      </w:r>
      <w:r>
        <w:rPr>
          <w:rStyle w:val="None"/>
          <w:rFonts w:ascii="Times New Roman" w:hAnsi="Times New Roman"/>
          <w:sz w:val="20"/>
          <w:szCs w:val="20"/>
          <w:vertAlign w:val="superscript"/>
        </w:rPr>
        <w:t>th</w:t>
      </w:r>
      <w:r>
        <w:rPr>
          <w:rStyle w:val="None"/>
          <w:rFonts w:ascii="Times New Roman" w:hAnsi="Times New Roman"/>
          <w:sz w:val="20"/>
          <w:szCs w:val="20"/>
        </w:rPr>
        <w:t xml:space="preserve"> percentiles of WHtR (0.56, p=0.001) and total skinfolds (0.60, p=0.03) but not as high as that of the anthropometry trio (0.68, p=0.003). However, adding the anthropometry trio to HbA1c</w:t>
      </w:r>
      <w:r>
        <w:rPr>
          <w:rStyle w:val="None"/>
          <w:rFonts w:ascii="Times New Roman" w:hAnsi="Times New Roman"/>
          <w:sz w:val="20"/>
          <w:szCs w:val="20"/>
        </w:rPr>
        <w:t>≥</w:t>
      </w:r>
      <w:r>
        <w:rPr>
          <w:rStyle w:val="None"/>
          <w:rFonts w:ascii="Times New Roman" w:hAnsi="Times New Roman"/>
          <w:sz w:val="20"/>
          <w:szCs w:val="20"/>
        </w:rPr>
        <w:t>5.7% (0.71) fared similarly</w:t>
      </w:r>
      <w:r>
        <w:rPr>
          <w:rStyle w:val="None"/>
          <w:rFonts w:ascii="Times New Roman" w:hAnsi="Times New Roman"/>
          <w:sz w:val="20"/>
          <w:szCs w:val="20"/>
        </w:rPr>
        <w:t xml:space="preserve"> to simply adding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to HbA1c</w:t>
      </w:r>
      <w:r>
        <w:rPr>
          <w:rStyle w:val="None"/>
          <w:rFonts w:ascii="Times New Roman" w:hAnsi="Times New Roman"/>
          <w:sz w:val="20"/>
          <w:szCs w:val="20"/>
        </w:rPr>
        <w:t>≥</w:t>
      </w:r>
      <w:r>
        <w:rPr>
          <w:rStyle w:val="None"/>
          <w:rFonts w:ascii="Times New Roman" w:hAnsi="Times New Roman"/>
          <w:sz w:val="20"/>
          <w:szCs w:val="20"/>
        </w:rPr>
        <w:t xml:space="preserve">5.7% (0.70). Using the international BMI cut-off of </w:t>
      </w:r>
      <w:r>
        <w:rPr>
          <w:rStyle w:val="None"/>
          <w:rFonts w:ascii="Times New Roman" w:hAnsi="Times New Roman"/>
          <w:sz w:val="20"/>
          <w:szCs w:val="20"/>
        </w:rPr>
        <w:t>≥</w:t>
      </w:r>
      <w:r>
        <w:rPr>
          <w:rStyle w:val="None"/>
          <w:rFonts w:ascii="Times New Roman" w:hAnsi="Times New Roman"/>
          <w:sz w:val="20"/>
          <w:szCs w:val="20"/>
        </w:rPr>
        <w:t>25kg/m</w:t>
      </w:r>
      <w:r>
        <w:rPr>
          <w:rStyle w:val="None"/>
          <w:rFonts w:ascii="Times New Roman" w:hAnsi="Times New Roman"/>
          <w:sz w:val="20"/>
          <w:szCs w:val="20"/>
          <w:vertAlign w:val="superscript"/>
        </w:rPr>
        <w:t>2</w:t>
      </w:r>
      <w:r>
        <w:rPr>
          <w:rStyle w:val="None"/>
          <w:rFonts w:ascii="Times New Roman" w:hAnsi="Times New Roman"/>
          <w:sz w:val="20"/>
          <w:szCs w:val="20"/>
        </w:rPr>
        <w:t xml:space="preserve"> (representing overweight/obese) to HbA1c</w:t>
      </w:r>
      <w:r>
        <w:rPr>
          <w:rStyle w:val="None"/>
          <w:rFonts w:ascii="Times New Roman" w:hAnsi="Times New Roman"/>
          <w:sz w:val="20"/>
          <w:szCs w:val="20"/>
        </w:rPr>
        <w:t>≥</w:t>
      </w:r>
      <w:r>
        <w:rPr>
          <w:rStyle w:val="None"/>
          <w:rFonts w:ascii="Times New Roman" w:hAnsi="Times New Roman"/>
          <w:sz w:val="20"/>
          <w:szCs w:val="20"/>
        </w:rPr>
        <w:t>5.7% yielded similar AUROC (0.70 vs 0.71) as using the Asian cut-off of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but the sensitivity was </w:t>
      </w:r>
      <w:r>
        <w:rPr>
          <w:rStyle w:val="None"/>
          <w:rFonts w:ascii="Times New Roman" w:hAnsi="Times New Roman"/>
          <w:sz w:val="20"/>
          <w:szCs w:val="20"/>
        </w:rPr>
        <w:t>lower with the BMI</w:t>
      </w:r>
      <w:r>
        <w:rPr>
          <w:rStyle w:val="None"/>
          <w:rFonts w:ascii="Times New Roman" w:hAnsi="Times New Roman"/>
          <w:sz w:val="20"/>
          <w:szCs w:val="20"/>
        </w:rPr>
        <w:t>≥</w:t>
      </w:r>
      <w:r>
        <w:rPr>
          <w:rStyle w:val="None"/>
          <w:rFonts w:ascii="Times New Roman" w:hAnsi="Times New Roman"/>
          <w:sz w:val="20"/>
          <w:szCs w:val="20"/>
        </w:rPr>
        <w:t>25kg/m</w:t>
      </w:r>
      <w:r>
        <w:rPr>
          <w:rStyle w:val="None"/>
          <w:rFonts w:ascii="Times New Roman" w:hAnsi="Times New Roman"/>
          <w:sz w:val="20"/>
          <w:szCs w:val="20"/>
          <w:vertAlign w:val="superscript"/>
        </w:rPr>
        <w:t>2</w:t>
      </w:r>
      <w:r>
        <w:rPr>
          <w:rStyle w:val="None"/>
          <w:rFonts w:ascii="Times New Roman" w:hAnsi="Times New Roman"/>
          <w:sz w:val="20"/>
          <w:szCs w:val="20"/>
        </w:rPr>
        <w:t xml:space="preserve"> combination</w:t>
      </w:r>
      <w:r>
        <w:rPr>
          <w:rStyle w:val="None"/>
          <w:rFonts w:ascii="Times New Roman" w:hAnsi="Times New Roman"/>
          <w:sz w:val="20"/>
          <w:szCs w:val="20"/>
          <w:vertAlign w:val="superscript"/>
        </w:rPr>
        <w:t xml:space="preserve"> </w:t>
      </w:r>
      <w:r>
        <w:rPr>
          <w:rStyle w:val="None"/>
          <w:rFonts w:ascii="Times New Roman" w:hAnsi="Times New Roman"/>
          <w:sz w:val="20"/>
          <w:szCs w:val="20"/>
        </w:rPr>
        <w:t>(61.9% vs 72.4%). Overall, adding history improved the AUROC of HbA1c</w:t>
      </w:r>
      <w:r>
        <w:rPr>
          <w:rStyle w:val="None"/>
          <w:rFonts w:ascii="Times New Roman" w:hAnsi="Times New Roman"/>
          <w:sz w:val="20"/>
          <w:szCs w:val="20"/>
        </w:rPr>
        <w:t>≥</w:t>
      </w:r>
      <w:r>
        <w:rPr>
          <w:rStyle w:val="None"/>
          <w:rFonts w:ascii="Times New Roman" w:hAnsi="Times New Roman"/>
          <w:sz w:val="20"/>
          <w:szCs w:val="20"/>
        </w:rPr>
        <w:t>5.7% as well as each anthropometric measure and in various combinations. In sensitivity analyses, incorporating only the more commonly considered r</w:t>
      </w:r>
      <w:r>
        <w:rPr>
          <w:rStyle w:val="None"/>
          <w:rFonts w:ascii="Times New Roman" w:hAnsi="Times New Roman"/>
          <w:sz w:val="20"/>
          <w:szCs w:val="20"/>
        </w:rPr>
        <w:t xml:space="preserve">isk factors of age, ethnicity, previous history of GDM and family history of diabetes, AUROC results were largely similar to when the full set of covariates was used (Supplementary Table S5 online). </w:t>
      </w:r>
    </w:p>
    <w:p w:rsidR="00411AA5" w:rsidRDefault="004819B5">
      <w:pPr>
        <w:pStyle w:val="BodyA"/>
        <w:spacing w:after="0" w:line="480" w:lineRule="auto"/>
        <w:ind w:firstLine="720"/>
        <w:jc w:val="center"/>
        <w:rPr>
          <w:rStyle w:val="None"/>
          <w:rFonts w:ascii="Times New Roman" w:eastAsia="Times New Roman" w:hAnsi="Times New Roman" w:cs="Times New Roman"/>
          <w:sz w:val="20"/>
          <w:szCs w:val="20"/>
        </w:rPr>
      </w:pPr>
      <w:r>
        <w:rPr>
          <w:rStyle w:val="None"/>
          <w:rFonts w:ascii="Times New Roman" w:hAnsi="Times New Roman"/>
          <w:sz w:val="20"/>
          <w:szCs w:val="20"/>
        </w:rPr>
        <w:t>&lt;Figure 2 here&gt;</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Table 3 illustrates the use of several o</w:t>
      </w:r>
      <w:r>
        <w:rPr>
          <w:rStyle w:val="None"/>
          <w:rFonts w:ascii="Times New Roman" w:hAnsi="Times New Roman"/>
          <w:sz w:val="20"/>
          <w:szCs w:val="20"/>
        </w:rPr>
        <w:t>ptions for first-stage screening in women with both BMI and HbA1c measures. Despite achieving the highest PPV among all, HbA1c</w:t>
      </w:r>
      <w:r>
        <w:rPr>
          <w:rStyle w:val="None"/>
          <w:rFonts w:ascii="Times New Roman" w:hAnsi="Times New Roman"/>
          <w:sz w:val="20"/>
          <w:szCs w:val="20"/>
        </w:rPr>
        <w:t>≥</w:t>
      </w:r>
      <w:r>
        <w:rPr>
          <w:rStyle w:val="None"/>
          <w:rFonts w:ascii="Times New Roman" w:hAnsi="Times New Roman"/>
          <w:sz w:val="20"/>
          <w:szCs w:val="20"/>
        </w:rPr>
        <w:t>5.7% on its own yielded the lowest sensitivity, with about 75% of all dysglycemia cases remaining undiagnosed. Adding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to HbA1c</w:t>
      </w:r>
      <w:r>
        <w:rPr>
          <w:rStyle w:val="None"/>
          <w:rFonts w:ascii="Times New Roman" w:hAnsi="Times New Roman"/>
          <w:sz w:val="20"/>
          <w:szCs w:val="20"/>
        </w:rPr>
        <w:t>≥</w:t>
      </w:r>
      <w:r>
        <w:rPr>
          <w:rStyle w:val="None"/>
          <w:rFonts w:ascii="Times New Roman" w:hAnsi="Times New Roman"/>
          <w:sz w:val="20"/>
          <w:szCs w:val="20"/>
        </w:rPr>
        <w:t>5.7% would increase the proportion of women detected with dysglycemia by threefold. Although many more women would still require an OGTT, this would be less than half the number compared with a universal OGTT strategy. Adding further anthropometr</w:t>
      </w:r>
      <w:r>
        <w:rPr>
          <w:rStyle w:val="None"/>
          <w:rFonts w:ascii="Times New Roman" w:hAnsi="Times New Roman"/>
          <w:sz w:val="20"/>
          <w:szCs w:val="20"/>
        </w:rPr>
        <w:t>y measures to HbA1c</w:t>
      </w:r>
      <w:r>
        <w:rPr>
          <w:rStyle w:val="None"/>
          <w:rFonts w:ascii="Times New Roman" w:hAnsi="Times New Roman"/>
          <w:sz w:val="20"/>
          <w:szCs w:val="20"/>
        </w:rPr>
        <w:t>≥</w:t>
      </w:r>
      <w:r>
        <w:rPr>
          <w:rStyle w:val="None"/>
          <w:rFonts w:ascii="Times New Roman" w:hAnsi="Times New Roman"/>
          <w:sz w:val="20"/>
          <w:szCs w:val="20"/>
        </w:rPr>
        <w:t>5.7% did not appreciably reduce the numbers requiring OGTT as compared to adding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 xml:space="preserve">2 </w:t>
      </w:r>
      <w:r>
        <w:rPr>
          <w:rStyle w:val="None"/>
          <w:rFonts w:ascii="Times New Roman" w:hAnsi="Times New Roman"/>
          <w:sz w:val="20"/>
          <w:szCs w:val="20"/>
        </w:rPr>
        <w:t xml:space="preserve">alone. Increasing the BMI threshold to </w:t>
      </w:r>
      <w:r>
        <w:rPr>
          <w:rStyle w:val="None"/>
          <w:rFonts w:ascii="Times New Roman" w:hAnsi="Times New Roman"/>
          <w:sz w:val="20"/>
          <w:szCs w:val="20"/>
        </w:rPr>
        <w:t>≥</w:t>
      </w:r>
      <w:r>
        <w:rPr>
          <w:rStyle w:val="None"/>
          <w:rFonts w:ascii="Times New Roman" w:hAnsi="Times New Roman"/>
          <w:sz w:val="20"/>
          <w:szCs w:val="20"/>
        </w:rPr>
        <w:t>25kg/m</w:t>
      </w:r>
      <w:r>
        <w:rPr>
          <w:rStyle w:val="None"/>
          <w:rFonts w:ascii="Times New Roman" w:hAnsi="Times New Roman"/>
          <w:sz w:val="20"/>
          <w:szCs w:val="20"/>
          <w:vertAlign w:val="superscript"/>
        </w:rPr>
        <w:t>2</w:t>
      </w:r>
      <w:r>
        <w:rPr>
          <w:rStyle w:val="None"/>
          <w:rFonts w:ascii="Times New Roman" w:hAnsi="Times New Roman"/>
          <w:sz w:val="20"/>
          <w:szCs w:val="20"/>
        </w:rPr>
        <w:t xml:space="preserve"> or adding history to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in conjunction with HbA1c</w:t>
      </w:r>
      <w:r>
        <w:rPr>
          <w:rStyle w:val="None"/>
          <w:rFonts w:ascii="Times New Roman" w:hAnsi="Times New Roman"/>
          <w:sz w:val="20"/>
          <w:szCs w:val="20"/>
        </w:rPr>
        <w:t>≥</w:t>
      </w:r>
      <w:r>
        <w:rPr>
          <w:rStyle w:val="None"/>
          <w:rFonts w:ascii="Times New Roman" w:hAnsi="Times New Roman"/>
          <w:sz w:val="20"/>
          <w:szCs w:val="20"/>
        </w:rPr>
        <w:t>5.7% performed similarly to each oth</w:t>
      </w:r>
      <w:r>
        <w:rPr>
          <w:rStyle w:val="None"/>
          <w:rFonts w:ascii="Times New Roman" w:hAnsi="Times New Roman"/>
          <w:sz w:val="20"/>
          <w:szCs w:val="20"/>
        </w:rPr>
        <w:t xml:space="preserve">er; both reducing the numbers of women requiring an OGTT to less than one-third, but missing almost 40% of dysglycemia cases. As simply having a history of GDM would warrant a preconception OGTT, sensitivity analyses were performed by excluding women with </w:t>
      </w:r>
      <w:r>
        <w:rPr>
          <w:rStyle w:val="None"/>
          <w:rFonts w:ascii="Times New Roman" w:hAnsi="Times New Roman"/>
          <w:sz w:val="20"/>
          <w:szCs w:val="20"/>
        </w:rPr>
        <w:t>a previous history of GDM (n=24), which showed largely similar results (Supplementary Table S6 online).</w:t>
      </w:r>
    </w:p>
    <w:p w:rsidR="00411AA5" w:rsidRDefault="004819B5">
      <w:pPr>
        <w:pStyle w:val="BodyA"/>
        <w:spacing w:after="0" w:line="48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&lt;Table 3 here&gt;</w:t>
      </w:r>
    </w:p>
    <w:p w:rsidR="00411AA5" w:rsidRDefault="004819B5">
      <w:pPr>
        <w:pStyle w:val="BodyA"/>
        <w:tabs>
          <w:tab w:val="left" w:pos="3261"/>
        </w:tabs>
        <w:spacing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Different cut-offs for BMI, WHtR, total skinfolds, and HbA1c in detecting dysglycemia are presented in Supplementary Table S7 online. Sin</w:t>
      </w:r>
      <w:r>
        <w:rPr>
          <w:rStyle w:val="None"/>
          <w:rFonts w:ascii="Times New Roman" w:hAnsi="Times New Roman"/>
          <w:sz w:val="20"/>
          <w:szCs w:val="20"/>
        </w:rPr>
        <w:t xml:space="preserve">ce the performance of WHtR and total skinfolds as categorical variables were generally poor, these measures were not explored further. Using various combinations of anthropometric thresholds and HbA1c yielded similar findings as the commonly used clinical </w:t>
      </w:r>
      <w:r>
        <w:rPr>
          <w:rStyle w:val="None"/>
          <w:rFonts w:ascii="Times New Roman" w:hAnsi="Times New Roman"/>
          <w:sz w:val="20"/>
          <w:szCs w:val="20"/>
        </w:rPr>
        <w:t>thresholds (Supplementary Table S8 online). Further sensitivity analyses showed that BMI</w:t>
      </w:r>
      <w:r>
        <w:rPr>
          <w:rStyle w:val="None"/>
          <w:rFonts w:ascii="Times New Roman" w:hAnsi="Times New Roman"/>
          <w:sz w:val="20"/>
          <w:szCs w:val="20"/>
        </w:rPr>
        <w:t>≥</w:t>
      </w:r>
      <w:r>
        <w:rPr>
          <w:rStyle w:val="None"/>
          <w:rFonts w:ascii="Times New Roman" w:hAnsi="Times New Roman"/>
          <w:sz w:val="20"/>
          <w:szCs w:val="20"/>
        </w:rPr>
        <w:t>27.5kg/m</w:t>
      </w:r>
      <w:r>
        <w:rPr>
          <w:rStyle w:val="None"/>
          <w:rFonts w:ascii="Times New Roman" w:hAnsi="Times New Roman"/>
          <w:sz w:val="20"/>
          <w:szCs w:val="20"/>
          <w:vertAlign w:val="superscript"/>
        </w:rPr>
        <w:t>2</w:t>
      </w:r>
      <w:r>
        <w:rPr>
          <w:rStyle w:val="None"/>
          <w:rFonts w:ascii="Times New Roman" w:hAnsi="Times New Roman"/>
          <w:sz w:val="20"/>
          <w:szCs w:val="20"/>
        </w:rPr>
        <w:t xml:space="preserve"> for defining obesity in Asians and HbA1c</w:t>
      </w:r>
      <w:r>
        <w:rPr>
          <w:rStyle w:val="None"/>
          <w:rFonts w:ascii="Times New Roman" w:hAnsi="Times New Roman"/>
          <w:sz w:val="20"/>
          <w:szCs w:val="20"/>
        </w:rPr>
        <w:t>≥</w:t>
      </w:r>
      <w:r>
        <w:rPr>
          <w:rStyle w:val="None"/>
          <w:rFonts w:ascii="Times New Roman" w:hAnsi="Times New Roman"/>
          <w:sz w:val="20"/>
          <w:szCs w:val="20"/>
        </w:rPr>
        <w:t>6.0% also yielded qualitatively similar associations to those of the primary results.</w:t>
      </w:r>
    </w:p>
    <w:p w:rsidR="00411AA5" w:rsidRDefault="004819B5">
      <w:pPr>
        <w:pStyle w:val="BodyA"/>
        <w:spacing w:line="480" w:lineRule="auto"/>
        <w:rPr>
          <w:rStyle w:val="None"/>
          <w:rFonts w:ascii="Times New Roman" w:eastAsia="Times New Roman" w:hAnsi="Times New Roman" w:cs="Times New Roman"/>
          <w:b/>
          <w:bCs/>
          <w:sz w:val="20"/>
          <w:szCs w:val="20"/>
        </w:rPr>
      </w:pPr>
      <w:r>
        <w:rPr>
          <w:rStyle w:val="None"/>
          <w:rFonts w:ascii="Times New Roman" w:hAnsi="Times New Roman"/>
          <w:b/>
          <w:bCs/>
          <w:sz w:val="20"/>
          <w:szCs w:val="20"/>
        </w:rPr>
        <w:t>Discussion</w:t>
      </w:r>
      <w:r>
        <w:rPr>
          <w:rStyle w:val="None"/>
          <w:rFonts w:ascii="Times New Roman" w:eastAsia="Times New Roman" w:hAnsi="Times New Roman" w:cs="Times New Roman"/>
          <w:sz w:val="20"/>
          <w:szCs w:val="20"/>
        </w:rPr>
        <w:tab/>
      </w:r>
    </w:p>
    <w:p w:rsidR="00411AA5" w:rsidRDefault="004819B5">
      <w:pPr>
        <w:pStyle w:val="BodyA"/>
        <w:tabs>
          <w:tab w:val="left" w:pos="3261"/>
        </w:tabs>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In this </w:t>
      </w:r>
      <w:r>
        <w:rPr>
          <w:rStyle w:val="None"/>
          <w:rFonts w:ascii="Times New Roman" w:hAnsi="Times New Roman"/>
          <w:sz w:val="20"/>
          <w:szCs w:val="20"/>
        </w:rPr>
        <w:t>multi-ethnic Singaporean population of Asian women trying to conceive, using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and HbA1c</w:t>
      </w:r>
      <w:r>
        <w:rPr>
          <w:rStyle w:val="None"/>
          <w:rFonts w:ascii="Times New Roman" w:hAnsi="Times New Roman"/>
          <w:sz w:val="20"/>
          <w:szCs w:val="20"/>
        </w:rPr>
        <w:t>≥</w:t>
      </w:r>
      <w:r>
        <w:rPr>
          <w:rStyle w:val="None"/>
          <w:rFonts w:ascii="Times New Roman" w:hAnsi="Times New Roman"/>
          <w:sz w:val="20"/>
          <w:szCs w:val="20"/>
        </w:rPr>
        <w:t>5.7% for screening was better than HbA1c</w:t>
      </w:r>
      <w:r>
        <w:rPr>
          <w:rStyle w:val="None"/>
          <w:rFonts w:ascii="Times New Roman" w:hAnsi="Times New Roman"/>
          <w:sz w:val="20"/>
          <w:szCs w:val="20"/>
        </w:rPr>
        <w:t>≥</w:t>
      </w:r>
      <w:r>
        <w:rPr>
          <w:rStyle w:val="None"/>
          <w:rFonts w:ascii="Times New Roman" w:hAnsi="Times New Roman"/>
          <w:sz w:val="20"/>
          <w:szCs w:val="20"/>
        </w:rPr>
        <w:t>5.7% alone in detecting dysglycemia. This strategy of adding BMI to HbA1c reduced the proportion of undetected cases</w:t>
      </w:r>
      <w:r>
        <w:rPr>
          <w:rStyle w:val="None"/>
          <w:rFonts w:ascii="Times New Roman" w:hAnsi="Times New Roman"/>
          <w:sz w:val="20"/>
          <w:szCs w:val="20"/>
        </w:rPr>
        <w:t xml:space="preserve"> by almost two-thirds when history was not considered in a screening algorithm, as is the case in standard clinical practice. There was limited additional value in the use of other anthropometric measures in place of BMI, in combination with HbA1c. </w:t>
      </w:r>
    </w:p>
    <w:p w:rsidR="00411AA5" w:rsidRDefault="004819B5">
      <w:pPr>
        <w:pStyle w:val="BodyC"/>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The as</w:t>
      </w:r>
      <w:r>
        <w:rPr>
          <w:rStyle w:val="None"/>
          <w:rFonts w:ascii="Times New Roman" w:hAnsi="Times New Roman"/>
          <w:sz w:val="20"/>
          <w:szCs w:val="20"/>
        </w:rPr>
        <w:t>sociation of anthropometry, a surrogate marker of insulin resistance, with diabetes in adult populations has been equivocal. Consistent with our results, two meta-analyses found that BMI, WHtR, and WC were equally discriminative in detecting incident diabe</w:t>
      </w:r>
      <w:r>
        <w:rPr>
          <w:rStyle w:val="None"/>
          <w:rFonts w:ascii="Times New Roman" w:hAnsi="Times New Roman"/>
          <w:sz w:val="20"/>
          <w:szCs w:val="20"/>
        </w:rPr>
        <w:t>tes[27]. A Canadian study found skinfold thickness in combination with WC and BMI were strong indicators of glucose intolerance[19], just as we found a combination of anthropometric measures (BMI, WHtR, total skinfolds) outperformed BMI alone. Other studie</w:t>
      </w:r>
      <w:r>
        <w:rPr>
          <w:rStyle w:val="None"/>
          <w:rFonts w:ascii="Times New Roman" w:hAnsi="Times New Roman"/>
          <w:sz w:val="20"/>
          <w:szCs w:val="20"/>
        </w:rPr>
        <w:t xml:space="preserve">s utilizing </w:t>
      </w:r>
      <w:r>
        <w:rPr>
          <w:rStyle w:val="None"/>
          <w:rFonts w:ascii="Times New Roman" w:hAnsi="Times New Roman"/>
          <w:sz w:val="20"/>
          <w:szCs w:val="20"/>
        </w:rPr>
        <w:lastRenderedPageBreak/>
        <w:t>a longitudinal rather than a cross-sectional design, however, reported changes in WC or WHtR over time as a stronger discriminator over BMI. Our finding of no association between ABSI and dysglycemia was in contrast to those of a previous meta-</w:t>
      </w:r>
      <w:r>
        <w:rPr>
          <w:rStyle w:val="None"/>
          <w:rFonts w:ascii="Times New Roman" w:hAnsi="Times New Roman"/>
          <w:sz w:val="20"/>
          <w:szCs w:val="20"/>
        </w:rPr>
        <w:t>analysis[28]. Given that ABSI was originally developed using data from a US population comprising predominantly Whites, Blacks, and Hispanics, ethnically different body shapes and fat distribution may explain the discrepancy[29].</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BMI is the most widely use</w:t>
      </w:r>
      <w:r>
        <w:rPr>
          <w:rStyle w:val="None"/>
          <w:rFonts w:ascii="Times New Roman" w:hAnsi="Times New Roman"/>
          <w:sz w:val="20"/>
          <w:szCs w:val="20"/>
        </w:rPr>
        <w:t>d anthropometric measure as it has negligible costs, is easy to measure and highly reproducible. Conversely, measurements of WC, WHtR, and skinfolds are limited by the lack of technical standardization and reproducibility in clinical practice. In our study</w:t>
      </w:r>
      <w:r>
        <w:rPr>
          <w:rStyle w:val="None"/>
          <w:rFonts w:ascii="Times New Roman" w:hAnsi="Times New Roman"/>
          <w:sz w:val="20"/>
          <w:szCs w:val="20"/>
        </w:rPr>
        <w:t>, even</w:t>
      </w:r>
      <w:r>
        <w:rPr>
          <w:rStyle w:val="None"/>
          <w:rFonts w:ascii="Times New Roman" w:hAnsi="Times New Roman"/>
          <w:sz w:val="20"/>
          <w:szCs w:val="20"/>
        </w:rPr>
        <w:t> </w:t>
      </w:r>
      <w:r>
        <w:rPr>
          <w:rStyle w:val="None"/>
          <w:rFonts w:ascii="Times New Roman" w:hAnsi="Times New Roman"/>
          <w:sz w:val="20"/>
          <w:szCs w:val="20"/>
        </w:rPr>
        <w:t>with</w:t>
      </w:r>
      <w:r>
        <w:rPr>
          <w:rStyle w:val="None"/>
          <w:rFonts w:ascii="Times New Roman" w:hAnsi="Times New Roman"/>
          <w:sz w:val="20"/>
          <w:szCs w:val="20"/>
        </w:rPr>
        <w:t> </w:t>
      </w:r>
      <w:r>
        <w:rPr>
          <w:rStyle w:val="None"/>
          <w:rFonts w:ascii="Times New Roman" w:hAnsi="Times New Roman"/>
          <w:sz w:val="20"/>
          <w:szCs w:val="20"/>
        </w:rPr>
        <w:t>a high level of training, coefficient of variation</w:t>
      </w:r>
      <w:r>
        <w:rPr>
          <w:rStyle w:val="None"/>
          <w:rFonts w:ascii="Times New Roman" w:hAnsi="Times New Roman"/>
          <w:sz w:val="20"/>
          <w:szCs w:val="20"/>
        </w:rPr>
        <w:t> </w:t>
      </w:r>
      <w:r>
        <w:rPr>
          <w:rStyle w:val="None"/>
          <w:rFonts w:ascii="Times New Roman" w:hAnsi="Times New Roman"/>
          <w:sz w:val="20"/>
          <w:szCs w:val="20"/>
        </w:rPr>
        <w:t>in skinfold</w:t>
      </w:r>
      <w:r>
        <w:rPr>
          <w:rStyle w:val="None"/>
          <w:rFonts w:ascii="Times New Roman" w:hAnsi="Times New Roman"/>
          <w:sz w:val="20"/>
          <w:szCs w:val="20"/>
        </w:rPr>
        <w:t> </w:t>
      </w:r>
      <w:r>
        <w:rPr>
          <w:rStyle w:val="None"/>
          <w:rFonts w:ascii="Times New Roman" w:hAnsi="Times New Roman"/>
          <w:sz w:val="20"/>
          <w:szCs w:val="20"/>
        </w:rPr>
        <w:t>measurements</w:t>
      </w:r>
      <w:r>
        <w:rPr>
          <w:rStyle w:val="None"/>
          <w:rFonts w:ascii="Times New Roman" w:hAnsi="Times New Roman"/>
          <w:sz w:val="20"/>
          <w:szCs w:val="20"/>
        </w:rPr>
        <w:t> </w:t>
      </w:r>
      <w:r>
        <w:rPr>
          <w:rStyle w:val="None"/>
          <w:rFonts w:ascii="Times New Roman" w:hAnsi="Times New Roman"/>
          <w:sz w:val="20"/>
          <w:szCs w:val="20"/>
        </w:rPr>
        <w:t>was still larger relative to that of weight and height</w:t>
      </w:r>
      <w:r>
        <w:rPr>
          <w:rStyle w:val="None"/>
          <w:rFonts w:ascii="Times New Roman" w:hAnsi="Times New Roman"/>
          <w:sz w:val="20"/>
          <w:szCs w:val="20"/>
        </w:rPr>
        <w:t> </w:t>
      </w:r>
      <w:r>
        <w:rPr>
          <w:rStyle w:val="None"/>
          <w:rFonts w:ascii="Times New Roman" w:hAnsi="Times New Roman"/>
          <w:sz w:val="20"/>
          <w:szCs w:val="20"/>
        </w:rPr>
        <w:t xml:space="preserve">(Supplementary </w:t>
      </w:r>
      <w:r>
        <w:rPr>
          <w:rStyle w:val="None"/>
          <w:rFonts w:ascii="Times New Roman" w:hAnsi="Times New Roman"/>
          <w:sz w:val="20"/>
          <w:szCs w:val="20"/>
          <w:lang w:val="fr-FR"/>
        </w:rPr>
        <w:t xml:space="preserve">Table </w:t>
      </w:r>
      <w:r>
        <w:rPr>
          <w:rStyle w:val="None"/>
          <w:rFonts w:ascii="Times New Roman" w:hAnsi="Times New Roman"/>
          <w:sz w:val="20"/>
          <w:szCs w:val="20"/>
        </w:rPr>
        <w:t xml:space="preserve">S2 online). As we found marginal advantage in using anthropometric combinations with HbA1c, </w:t>
      </w:r>
      <w:r>
        <w:rPr>
          <w:rStyle w:val="None"/>
          <w:rFonts w:ascii="Times New Roman" w:hAnsi="Times New Roman"/>
          <w:sz w:val="20"/>
          <w:szCs w:val="20"/>
        </w:rPr>
        <w:t xml:space="preserve">and the potential for measurement errors, the cost-benefit of applying such anthropometric measurements is unlikely to be </w:t>
      </w:r>
      <w:r>
        <w:rPr>
          <w:rStyle w:val="None"/>
          <w:rFonts w:ascii="Times New Roman" w:hAnsi="Times New Roman"/>
          <w:sz w:val="20"/>
          <w:szCs w:val="20"/>
          <w:lang w:val="fr-FR"/>
        </w:rPr>
        <w:t>favourable</w:t>
      </w:r>
      <w:r>
        <w:rPr>
          <w:rStyle w:val="None"/>
          <w:rFonts w:ascii="Times New Roman" w:hAnsi="Times New Roman"/>
          <w:sz w:val="20"/>
          <w:szCs w:val="20"/>
        </w:rPr>
        <w:t xml:space="preserve"> and remains to be evaluated.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Given the low patient acceptability and challenges of universal screening with OGTT for dysgl</w:t>
      </w:r>
      <w:r>
        <w:rPr>
          <w:rStyle w:val="None"/>
          <w:rFonts w:ascii="Times New Roman" w:hAnsi="Times New Roman"/>
          <w:sz w:val="20"/>
          <w:szCs w:val="20"/>
        </w:rPr>
        <w:t xml:space="preserve">ycemia during </w:t>
      </w:r>
      <w:r>
        <w:rPr>
          <w:rStyle w:val="None"/>
          <w:rFonts w:ascii="Times New Roman" w:hAnsi="Times New Roman"/>
          <w:sz w:val="20"/>
          <w:szCs w:val="20"/>
          <w:lang w:val="fr-FR"/>
        </w:rPr>
        <w:t>preconception</w:t>
      </w:r>
      <w:r>
        <w:rPr>
          <w:rStyle w:val="None"/>
          <w:rFonts w:ascii="Times New Roman" w:hAnsi="Times New Roman"/>
          <w:sz w:val="20"/>
          <w:szCs w:val="20"/>
        </w:rPr>
        <w:t>, we propose a two-stage screening strategy. Our results show HbA1c remains an important tool in the first stage to identify high risk women who warrant further testing in the second stage with a diagnostic OGTT. Using HbA1c toge</w:t>
      </w:r>
      <w:r>
        <w:rPr>
          <w:rStyle w:val="None"/>
          <w:rFonts w:ascii="Times New Roman" w:hAnsi="Times New Roman"/>
          <w:sz w:val="20"/>
          <w:szCs w:val="20"/>
        </w:rPr>
        <w:t>ther with anthropometry as continuous variables increased statistical power and provided the best results in detecting dysglycemia but is difficult to implement in clinical practice without applying highly sophisticated mathematical algorithms alongside po</w:t>
      </w:r>
      <w:r>
        <w:rPr>
          <w:rStyle w:val="None"/>
          <w:rFonts w:ascii="Times New Roman" w:hAnsi="Times New Roman"/>
          <w:sz w:val="20"/>
          <w:szCs w:val="20"/>
        </w:rPr>
        <w:t xml:space="preserve">pulation-specific clinical factors. Thus, using pre-defined clinical thresholds of measurable parameters remains the main stay in clinical management.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Relying solely on HbA1c</w:t>
      </w:r>
      <w:r>
        <w:rPr>
          <w:rStyle w:val="None"/>
          <w:rFonts w:ascii="Times New Roman" w:hAnsi="Times New Roman"/>
          <w:sz w:val="20"/>
          <w:szCs w:val="20"/>
        </w:rPr>
        <w:t>≥</w:t>
      </w:r>
      <w:r>
        <w:rPr>
          <w:rStyle w:val="None"/>
          <w:rFonts w:ascii="Times New Roman" w:hAnsi="Times New Roman"/>
          <w:sz w:val="20"/>
          <w:szCs w:val="20"/>
        </w:rPr>
        <w:t>5.7% resulted in the bulk of dysglycemia cases remaining undetected in our popul</w:t>
      </w:r>
      <w:r>
        <w:rPr>
          <w:rStyle w:val="None"/>
          <w:rFonts w:ascii="Times New Roman" w:hAnsi="Times New Roman"/>
          <w:sz w:val="20"/>
          <w:szCs w:val="20"/>
        </w:rPr>
        <w:t>ation. With the highest sensitivity, a combination of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and HbA1c</w:t>
      </w:r>
      <w:r>
        <w:rPr>
          <w:rStyle w:val="None"/>
          <w:rFonts w:ascii="Times New Roman" w:hAnsi="Times New Roman"/>
          <w:sz w:val="20"/>
          <w:szCs w:val="20"/>
        </w:rPr>
        <w:t>≥</w:t>
      </w:r>
      <w:r>
        <w:rPr>
          <w:rStyle w:val="None"/>
          <w:rFonts w:ascii="Times New Roman" w:hAnsi="Times New Roman"/>
          <w:sz w:val="20"/>
          <w:szCs w:val="20"/>
        </w:rPr>
        <w:t>5.7% was the best first-stage screening strategy to capture as many dysglycemia cases as possible, but it also had the lowest PPV. This has to be balanced against patient and healt</w:t>
      </w:r>
      <w:r>
        <w:rPr>
          <w:rStyle w:val="None"/>
          <w:rFonts w:ascii="Times New Roman" w:hAnsi="Times New Roman"/>
          <w:sz w:val="20"/>
          <w:szCs w:val="20"/>
        </w:rPr>
        <w:t>hcare burdens. Although disliked by women, given the relative safety and low expense of an OGTT as a second line test which is already used in routine clinical practice, this is an acceptable strategy to adopt. Such a strategy would also halve the proporti</w:t>
      </w:r>
      <w:r>
        <w:rPr>
          <w:rStyle w:val="None"/>
          <w:rFonts w:ascii="Times New Roman" w:hAnsi="Times New Roman"/>
          <w:sz w:val="20"/>
          <w:szCs w:val="20"/>
        </w:rPr>
        <w:t>on of women offered an OGTT compared to a single-step universal OGTT screening strategy. However, 27.6% of preconception dysglycemia cases would still be missed. Attempts to optimize the PPV by increasing the BMI threshold or incorporating history merely r</w:t>
      </w:r>
      <w:r>
        <w:rPr>
          <w:rStyle w:val="None"/>
          <w:rFonts w:ascii="Times New Roman" w:hAnsi="Times New Roman"/>
          <w:sz w:val="20"/>
          <w:szCs w:val="20"/>
        </w:rPr>
        <w:t>educed the number of cases requiring OGTT by 15% but still missed a further 10% of dysglycemia cases compared with the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and HbA1c</w:t>
      </w:r>
      <w:r>
        <w:rPr>
          <w:rStyle w:val="None"/>
          <w:rFonts w:ascii="Times New Roman" w:hAnsi="Times New Roman"/>
          <w:sz w:val="20"/>
          <w:szCs w:val="20"/>
        </w:rPr>
        <w:t>≥</w:t>
      </w:r>
      <w:r>
        <w:rPr>
          <w:rStyle w:val="None"/>
          <w:rFonts w:ascii="Times New Roman" w:hAnsi="Times New Roman"/>
          <w:sz w:val="20"/>
          <w:szCs w:val="20"/>
        </w:rPr>
        <w:t xml:space="preserve">5.7% combination, and therefore of no substantial increased benefit. </w:t>
      </w:r>
    </w:p>
    <w:p w:rsidR="00411AA5" w:rsidRDefault="004819B5">
      <w:pPr>
        <w:pStyle w:val="BodyA"/>
        <w:spacing w:after="0" w:line="480" w:lineRule="auto"/>
        <w:ind w:firstLine="720"/>
        <w:rPr>
          <w:rStyle w:val="None"/>
          <w:color w:val="222222"/>
          <w:u w:color="222222"/>
        </w:rPr>
      </w:pPr>
      <w:r>
        <w:rPr>
          <w:rStyle w:val="None"/>
          <w:rFonts w:ascii="Times New Roman" w:hAnsi="Times New Roman"/>
          <w:sz w:val="20"/>
          <w:szCs w:val="20"/>
        </w:rPr>
        <w:lastRenderedPageBreak/>
        <w:t>Overall, incorporating clinical history impro</w:t>
      </w:r>
      <w:r>
        <w:rPr>
          <w:rStyle w:val="None"/>
          <w:rFonts w:ascii="Times New Roman" w:hAnsi="Times New Roman"/>
          <w:sz w:val="20"/>
          <w:szCs w:val="20"/>
        </w:rPr>
        <w:t>ved the discriminative abilities (AUROC values) of anthropometry and HbA1c in detecting dysglycemia. However, in any strategy that included 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adding history yielded a lower sensitivity than the corresponding model without history. Furthermore, h</w:t>
      </w:r>
      <w:r>
        <w:rPr>
          <w:rStyle w:val="None"/>
          <w:rFonts w:ascii="Times New Roman" w:hAnsi="Times New Roman"/>
          <w:sz w:val="20"/>
          <w:szCs w:val="20"/>
        </w:rPr>
        <w:t>istory information is rarely used systematically in this context. Thus efforts to develop more elaborate systematic risk scoring algorithms including clinical history, anthropometry and HbA1c may not be of further substantial benefit to improve the detecti</w:t>
      </w:r>
      <w:r>
        <w:rPr>
          <w:rStyle w:val="None"/>
          <w:rFonts w:ascii="Times New Roman" w:hAnsi="Times New Roman"/>
          <w:sz w:val="20"/>
          <w:szCs w:val="20"/>
        </w:rPr>
        <w:t>on of women with dysglycemia. At present, universal advice on diet and lifestyle, including folic acid supplementation, is commonly given to women during preconception to optimize pregnancy outcome[30]. The cost-effectiveness of screening for preconception</w:t>
      </w:r>
      <w:r>
        <w:rPr>
          <w:rStyle w:val="None"/>
          <w:rFonts w:ascii="Times New Roman" w:hAnsi="Times New Roman"/>
          <w:sz w:val="20"/>
          <w:szCs w:val="20"/>
        </w:rPr>
        <w:t xml:space="preserve"> dysglycemia to provide more targeted therapies in reducing hyperglycemia-related pregnancy adversity is unclear, even in a population like Singapore with a high GDM rate of around 20%[31].</w:t>
      </w:r>
      <w:r>
        <w:rPr>
          <w:rStyle w:val="None"/>
          <w:color w:val="222222"/>
          <w:u w:color="222222"/>
        </w:rPr>
        <w:t xml:space="preserve"> </w:t>
      </w:r>
    </w:p>
    <w:p w:rsidR="00411AA5" w:rsidRDefault="004819B5">
      <w:pPr>
        <w:pStyle w:val="BodyA"/>
        <w:spacing w:after="0" w:line="48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Previous history of GDM, as an indication for a </w:t>
      </w:r>
      <w:r>
        <w:rPr>
          <w:rStyle w:val="None"/>
          <w:rFonts w:ascii="Times New Roman" w:hAnsi="Times New Roman"/>
          <w:sz w:val="20"/>
          <w:szCs w:val="20"/>
        </w:rPr>
        <w:t>preconception OGTT in many guidelines, is not applicable to nulliparous women which comprise a significant proportion in many developed countries including Singapore, where women prefer smaller families. Furthermore, in settings where universal screening f</w:t>
      </w:r>
      <w:r>
        <w:rPr>
          <w:rStyle w:val="None"/>
          <w:rFonts w:ascii="Times New Roman" w:hAnsi="Times New Roman"/>
          <w:sz w:val="20"/>
          <w:szCs w:val="20"/>
        </w:rPr>
        <w:t>or GDM is not practised, many GDM cases could be missed in previous pregnancies. Hence, there need be pragmatic risk assessments for the whole preconception population, whilst recognizing that preconception dysglycemia screening does not negate the need fo</w:t>
      </w:r>
      <w:r>
        <w:rPr>
          <w:rStyle w:val="None"/>
          <w:rFonts w:ascii="Times New Roman" w:hAnsi="Times New Roman"/>
          <w:sz w:val="20"/>
          <w:szCs w:val="20"/>
        </w:rPr>
        <w:t>r universal GDM screening during pregnancy.</w:t>
      </w:r>
    </w:p>
    <w:p w:rsidR="00411AA5" w:rsidRDefault="004819B5">
      <w:pPr>
        <w:pStyle w:val="BodyA"/>
        <w:spacing w:line="480" w:lineRule="auto"/>
        <w:ind w:firstLine="720"/>
      </w:pPr>
      <w:r>
        <w:rPr>
          <w:rStyle w:val="None"/>
          <w:rFonts w:ascii="Times New Roman" w:hAnsi="Times New Roman"/>
          <w:sz w:val="20"/>
          <w:szCs w:val="20"/>
        </w:rPr>
        <w:t xml:space="preserve">Strengths of our study include the analysis of a large Asian cohort recruited from a mixture of low- and high-risk settings (community and a tertiary maternity unit) comprising three major ethnic groups in </w:t>
      </w:r>
      <w:r>
        <w:rPr>
          <w:rStyle w:val="None"/>
          <w:rFonts w:ascii="Times New Roman" w:hAnsi="Times New Roman"/>
          <w:sz w:val="20"/>
          <w:szCs w:val="20"/>
        </w:rPr>
        <w:t>Singapore, with all women trying to conceive and phenotyped with comprehensive anthropometric measurements. A large set of potentially confounding variables and history were adjusted for in our analyses. However, as this was a cross-sectional study, we cou</w:t>
      </w:r>
      <w:r>
        <w:rPr>
          <w:rStyle w:val="None"/>
          <w:rFonts w:ascii="Times New Roman" w:hAnsi="Times New Roman"/>
          <w:sz w:val="20"/>
          <w:szCs w:val="20"/>
        </w:rPr>
        <w:t>ld not exclude the possibility that some women might have attempted weight loss, which could affect their anthropometric measures prior to significant changes in their metabolism as reflected by glucose concentrations and HbA1C measures. Another limitation</w:t>
      </w:r>
      <w:r>
        <w:rPr>
          <w:rStyle w:val="None"/>
          <w:rFonts w:ascii="Times New Roman" w:hAnsi="Times New Roman"/>
          <w:sz w:val="20"/>
          <w:szCs w:val="20"/>
        </w:rPr>
        <w:t xml:space="preserve"> is that women were not assessed for polycystic ovary syndrome, a risk factor for dysglycemia.</w:t>
      </w:r>
      <w:r>
        <w:rPr>
          <w:rStyle w:val="None"/>
          <w:rFonts w:ascii="Times New Roman" w:eastAsia="Times New Roman" w:hAnsi="Times New Roman" w:cs="Times New Roman"/>
          <w:b/>
          <w:bCs/>
          <w:sz w:val="20"/>
          <w:szCs w:val="20"/>
        </w:rPr>
        <w:br/>
      </w:r>
      <w:r>
        <w:rPr>
          <w:rStyle w:val="None"/>
          <w:rFonts w:ascii="Times New Roman" w:eastAsia="Times New Roman" w:hAnsi="Times New Roman" w:cs="Times New Roman"/>
          <w:b/>
          <w:bCs/>
          <w:sz w:val="20"/>
          <w:szCs w:val="20"/>
        </w:rPr>
        <w:tab/>
      </w:r>
      <w:r>
        <w:rPr>
          <w:rStyle w:val="None"/>
          <w:rFonts w:ascii="Times New Roman" w:hAnsi="Times New Roman"/>
          <w:sz w:val="20"/>
          <w:szCs w:val="20"/>
        </w:rPr>
        <w:t>In conclusion, HbA1c in combination with BMI is a fairly sensitive and pragmatic approach that may be used in routine clinical care as first-line screening test</w:t>
      </w:r>
      <w:r>
        <w:rPr>
          <w:rStyle w:val="None"/>
          <w:rFonts w:ascii="Times New Roman" w:hAnsi="Times New Roman"/>
          <w:sz w:val="20"/>
          <w:szCs w:val="20"/>
        </w:rPr>
        <w:t>s for dysglycemia in reproductive age Asian women trying to conceive. Further longitudinal research and larger epidemiological studies are warranted to assess if other combinations of anthropometry and changes in their corresponding thresholds or other met</w:t>
      </w:r>
      <w:r>
        <w:rPr>
          <w:rStyle w:val="None"/>
          <w:rFonts w:ascii="Times New Roman" w:hAnsi="Times New Roman"/>
          <w:sz w:val="20"/>
          <w:szCs w:val="20"/>
        </w:rPr>
        <w:t>abolic-related measures could further improve the detection rate of dysglycemia preconception, and better still, if they could also be useful for predicting future GDM.</w:t>
      </w:r>
      <w:r>
        <w:rPr>
          <w:rStyle w:val="None"/>
          <w:rFonts w:ascii="Arial Unicode MS" w:hAnsi="Arial Unicode MS"/>
          <w:sz w:val="20"/>
          <w:szCs w:val="20"/>
        </w:rPr>
        <w:br w:type="page"/>
      </w:r>
    </w:p>
    <w:p w:rsidR="00411AA5" w:rsidRDefault="004819B5">
      <w:pPr>
        <w:pStyle w:val="NoSpacing"/>
        <w:spacing w:after="240" w:line="480" w:lineRule="auto"/>
        <w:rPr>
          <w:rStyle w:val="None"/>
          <w:rFonts w:ascii="Times New Roman" w:eastAsia="Times New Roman" w:hAnsi="Times New Roman" w:cs="Times New Roman"/>
          <w:b/>
          <w:bCs/>
          <w:sz w:val="20"/>
          <w:szCs w:val="20"/>
        </w:rPr>
      </w:pPr>
      <w:r>
        <w:rPr>
          <w:rStyle w:val="None"/>
          <w:rFonts w:ascii="Times New Roman" w:hAnsi="Times New Roman"/>
          <w:b/>
          <w:bCs/>
          <w:sz w:val="20"/>
          <w:szCs w:val="20"/>
        </w:rPr>
        <w:lastRenderedPageBreak/>
        <w:t xml:space="preserve">Disclosure of potential conflicts of interest. </w:t>
      </w:r>
      <w:r>
        <w:rPr>
          <w:rStyle w:val="None"/>
          <w:rFonts w:ascii="Times New Roman" w:hAnsi="Times New Roman"/>
          <w:sz w:val="20"/>
          <w:szCs w:val="20"/>
        </w:rPr>
        <w:t>KMG has received reimbursement for spea</w:t>
      </w:r>
      <w:r>
        <w:rPr>
          <w:rStyle w:val="None"/>
          <w:rFonts w:ascii="Times New Roman" w:hAnsi="Times New Roman"/>
          <w:sz w:val="20"/>
          <w:szCs w:val="20"/>
        </w:rPr>
        <w:t>king at a Nestle Nutrition Institute conference and is part of an academic consortium that has received research funding from Nestec to examine relations between maternal nutrition and epigenetic and phenotypic outcomes. YSC reports grants from Abbott Nutr</w:t>
      </w:r>
      <w:r>
        <w:rPr>
          <w:rStyle w:val="None"/>
          <w:rFonts w:ascii="Times New Roman" w:hAnsi="Times New Roman"/>
          <w:sz w:val="20"/>
          <w:szCs w:val="20"/>
        </w:rPr>
        <w:t>ition, Nestec, and Danone outside the submitted work. SYC is part of an academic consortium that has received research funding from Nestec unrelated to the submitted work. All other authors declare no financial relationships with any organizations that mig</w:t>
      </w:r>
      <w:r>
        <w:rPr>
          <w:rStyle w:val="None"/>
          <w:rFonts w:ascii="Times New Roman" w:hAnsi="Times New Roman"/>
          <w:sz w:val="20"/>
          <w:szCs w:val="20"/>
        </w:rPr>
        <w:t>ht have an interest in the submitted work in the previous three years and no other relationships or activities that could appear to have influenced the submitted work.</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 xml:space="preserve">Availability of materials and data. </w:t>
      </w:r>
      <w:r>
        <w:rPr>
          <w:rStyle w:val="None"/>
          <w:rFonts w:ascii="Times New Roman" w:hAnsi="Times New Roman"/>
          <w:sz w:val="20"/>
          <w:szCs w:val="20"/>
        </w:rPr>
        <w:t>Data are available upon request to the S-PRESTO tea</w:t>
      </w:r>
      <w:r>
        <w:rPr>
          <w:rStyle w:val="None"/>
          <w:rFonts w:ascii="Times New Roman" w:hAnsi="Times New Roman"/>
          <w:sz w:val="20"/>
          <w:szCs w:val="20"/>
        </w:rPr>
        <w:t>m.</w:t>
      </w:r>
    </w:p>
    <w:p w:rsidR="00411AA5" w:rsidRDefault="004819B5">
      <w:pPr>
        <w:pStyle w:val="BodyA"/>
      </w:pPr>
      <w:r>
        <w:rPr>
          <w:rStyle w:val="None"/>
          <w:rFonts w:ascii="Arial Unicode MS" w:hAnsi="Arial Unicode MS"/>
          <w:sz w:val="20"/>
          <w:szCs w:val="20"/>
        </w:rPr>
        <w:br w:type="page"/>
      </w:r>
    </w:p>
    <w:p w:rsidR="00411AA5" w:rsidRDefault="004819B5">
      <w:pPr>
        <w:pStyle w:val="BodyA"/>
        <w:spacing w:after="0" w:line="24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lastRenderedPageBreak/>
        <w:t>References</w:t>
      </w:r>
      <w:r>
        <w:rPr>
          <w:rStyle w:val="None"/>
          <w:rFonts w:ascii="Times New Roman" w:hAnsi="Times New Roman"/>
          <w:sz w:val="20"/>
          <w:szCs w:val="20"/>
        </w:rPr>
        <w:t>:</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w:t>
      </w:r>
      <w:r>
        <w:rPr>
          <w:rStyle w:val="None"/>
          <w:rFonts w:ascii="Times New Roman" w:hAnsi="Times New Roman"/>
          <w:sz w:val="20"/>
          <w:szCs w:val="20"/>
        </w:rPr>
        <w:tab/>
        <w:t xml:space="preserve">NCD Risk Factor Collaboration. Worldwide trends in diabetes since 1980: a pooled analysis of 751 population-based studies with 4.4 million participants. </w:t>
      </w:r>
      <w:r>
        <w:rPr>
          <w:rStyle w:val="None"/>
          <w:rFonts w:ascii="Times New Roman" w:hAnsi="Times New Roman"/>
          <w:i/>
          <w:iCs/>
          <w:sz w:val="20"/>
          <w:szCs w:val="20"/>
        </w:rPr>
        <w:t>Lancet</w:t>
      </w:r>
      <w:r>
        <w:rPr>
          <w:rStyle w:val="None"/>
          <w:rFonts w:ascii="Times New Roman" w:hAnsi="Times New Roman"/>
          <w:sz w:val="20"/>
          <w:szCs w:val="20"/>
        </w:rPr>
        <w:t xml:space="preserve">. </w:t>
      </w:r>
      <w:r>
        <w:rPr>
          <w:rStyle w:val="None"/>
          <w:rFonts w:ascii="Times New Roman" w:hAnsi="Times New Roman"/>
          <w:b/>
          <w:bCs/>
          <w:sz w:val="20"/>
          <w:szCs w:val="20"/>
        </w:rPr>
        <w:t>387</w:t>
      </w:r>
      <w:r>
        <w:rPr>
          <w:rStyle w:val="None"/>
          <w:rFonts w:ascii="Times New Roman" w:hAnsi="Times New Roman"/>
          <w:sz w:val="20"/>
          <w:szCs w:val="20"/>
        </w:rPr>
        <w:t>, 1513-1530 (2016).</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w:t>
      </w:r>
      <w:r>
        <w:rPr>
          <w:rStyle w:val="None"/>
          <w:rFonts w:ascii="Times New Roman" w:hAnsi="Times New Roman"/>
          <w:sz w:val="20"/>
          <w:szCs w:val="20"/>
        </w:rPr>
        <w:tab/>
        <w:t>Beagley, J., Guariguata, L., Weil, C. &amp; Motala, A</w:t>
      </w:r>
      <w:r>
        <w:rPr>
          <w:rStyle w:val="None"/>
          <w:rFonts w:ascii="Times New Roman" w:hAnsi="Times New Roman"/>
          <w:sz w:val="20"/>
          <w:szCs w:val="20"/>
        </w:rPr>
        <w:t xml:space="preserve">. A. Global estimates of undiagnosed diabetes in adults. </w:t>
      </w:r>
      <w:r>
        <w:rPr>
          <w:rStyle w:val="None"/>
          <w:rFonts w:ascii="Times New Roman" w:hAnsi="Times New Roman"/>
          <w:i/>
          <w:iCs/>
          <w:sz w:val="20"/>
          <w:szCs w:val="20"/>
        </w:rPr>
        <w:t>Diabetes Res Clin Pract</w:t>
      </w:r>
      <w:r>
        <w:rPr>
          <w:rStyle w:val="None"/>
          <w:rFonts w:ascii="Times New Roman" w:hAnsi="Times New Roman"/>
          <w:sz w:val="20"/>
          <w:szCs w:val="20"/>
        </w:rPr>
        <w:t xml:space="preserve">. </w:t>
      </w:r>
      <w:r>
        <w:rPr>
          <w:rStyle w:val="None"/>
          <w:rFonts w:ascii="Times New Roman" w:hAnsi="Times New Roman"/>
          <w:b/>
          <w:bCs/>
          <w:sz w:val="20"/>
          <w:szCs w:val="20"/>
        </w:rPr>
        <w:t>103</w:t>
      </w:r>
      <w:r>
        <w:rPr>
          <w:rStyle w:val="None"/>
          <w:rFonts w:ascii="Times New Roman" w:hAnsi="Times New Roman"/>
          <w:sz w:val="20"/>
          <w:szCs w:val="20"/>
        </w:rPr>
        <w:t>, 150-160 (2014).</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3.</w:t>
      </w:r>
      <w:r>
        <w:rPr>
          <w:rStyle w:val="None"/>
          <w:rFonts w:ascii="Times New Roman" w:hAnsi="Times New Roman"/>
          <w:sz w:val="20"/>
          <w:szCs w:val="20"/>
        </w:rPr>
        <w:tab/>
        <w:t>Reece, E. A., Leguizam</w:t>
      </w:r>
      <w:r>
        <w:rPr>
          <w:rStyle w:val="None"/>
          <w:rFonts w:ascii="Times New Roman" w:hAnsi="Times New Roman"/>
          <w:sz w:val="20"/>
          <w:szCs w:val="20"/>
        </w:rPr>
        <w:t>ó</w:t>
      </w:r>
      <w:r>
        <w:rPr>
          <w:rStyle w:val="None"/>
          <w:rFonts w:ascii="Times New Roman" w:hAnsi="Times New Roman"/>
          <w:sz w:val="20"/>
          <w:szCs w:val="20"/>
        </w:rPr>
        <w:t xml:space="preserve">n, G. &amp; Wiznitzer, A. Gestational diabetes: the need for a common ground. </w:t>
      </w:r>
      <w:r>
        <w:rPr>
          <w:rStyle w:val="None"/>
          <w:rFonts w:ascii="Times New Roman" w:hAnsi="Times New Roman"/>
          <w:i/>
          <w:iCs/>
          <w:sz w:val="20"/>
          <w:szCs w:val="20"/>
        </w:rPr>
        <w:t>Lancet</w:t>
      </w:r>
      <w:r>
        <w:rPr>
          <w:rStyle w:val="None"/>
          <w:rFonts w:ascii="Times New Roman" w:hAnsi="Times New Roman"/>
          <w:sz w:val="20"/>
          <w:szCs w:val="20"/>
        </w:rPr>
        <w:t xml:space="preserve">. </w:t>
      </w:r>
      <w:r>
        <w:rPr>
          <w:rStyle w:val="None"/>
          <w:rFonts w:ascii="Times New Roman" w:hAnsi="Times New Roman"/>
          <w:b/>
          <w:bCs/>
          <w:sz w:val="20"/>
          <w:szCs w:val="20"/>
        </w:rPr>
        <w:t>373</w:t>
      </w:r>
      <w:r>
        <w:rPr>
          <w:rStyle w:val="None"/>
          <w:rFonts w:ascii="Times New Roman" w:hAnsi="Times New Roman"/>
          <w:sz w:val="20"/>
          <w:szCs w:val="20"/>
        </w:rPr>
        <w:t>, 1789-1797 (2009).</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4.</w:t>
      </w:r>
      <w:r>
        <w:rPr>
          <w:rStyle w:val="None"/>
          <w:rFonts w:ascii="Times New Roman" w:hAnsi="Times New Roman"/>
          <w:sz w:val="20"/>
          <w:szCs w:val="20"/>
        </w:rPr>
        <w:tab/>
        <w:t xml:space="preserve">Dabelea, D. et al. Intrauterine exposure to diabetes conveys risks for type 2 diabetes and obesity: a study of discordant sibships. </w:t>
      </w:r>
      <w:r>
        <w:rPr>
          <w:rStyle w:val="None"/>
          <w:rFonts w:ascii="Times New Roman" w:hAnsi="Times New Roman"/>
          <w:i/>
          <w:iCs/>
          <w:sz w:val="20"/>
          <w:szCs w:val="20"/>
        </w:rPr>
        <w:t>Diabetes</w:t>
      </w:r>
      <w:r>
        <w:rPr>
          <w:rStyle w:val="None"/>
          <w:rFonts w:ascii="Times New Roman" w:hAnsi="Times New Roman"/>
          <w:sz w:val="20"/>
          <w:szCs w:val="20"/>
        </w:rPr>
        <w:t xml:space="preserve">. </w:t>
      </w:r>
      <w:r>
        <w:rPr>
          <w:rStyle w:val="None"/>
          <w:rFonts w:ascii="Times New Roman" w:hAnsi="Times New Roman"/>
          <w:b/>
          <w:bCs/>
          <w:sz w:val="20"/>
          <w:szCs w:val="20"/>
        </w:rPr>
        <w:t>49</w:t>
      </w:r>
      <w:r>
        <w:rPr>
          <w:rStyle w:val="None"/>
          <w:rFonts w:ascii="Times New Roman" w:hAnsi="Times New Roman"/>
          <w:sz w:val="20"/>
          <w:szCs w:val="20"/>
        </w:rPr>
        <w:t>, 22</w:t>
      </w:r>
      <w:r>
        <w:rPr>
          <w:rStyle w:val="None"/>
          <w:rFonts w:ascii="Times New Roman" w:hAnsi="Times New Roman"/>
          <w:sz w:val="20"/>
          <w:szCs w:val="20"/>
        </w:rPr>
        <w:t>08-2211 (2000).</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5.</w:t>
      </w:r>
      <w:r>
        <w:rPr>
          <w:rStyle w:val="None"/>
          <w:rFonts w:ascii="Times New Roman" w:hAnsi="Times New Roman"/>
          <w:sz w:val="20"/>
          <w:szCs w:val="20"/>
        </w:rPr>
        <w:tab/>
        <w:t xml:space="preserve">Ma, R. C. W. &amp; Popkin, B. M. Intergenerational diabetes and obesity-A cycle to break? </w:t>
      </w:r>
      <w:r>
        <w:rPr>
          <w:rStyle w:val="None"/>
          <w:rFonts w:ascii="Times New Roman" w:hAnsi="Times New Roman"/>
          <w:i/>
          <w:iCs/>
          <w:sz w:val="20"/>
          <w:szCs w:val="20"/>
        </w:rPr>
        <w:t>PLoS Med</w:t>
      </w:r>
      <w:r>
        <w:rPr>
          <w:rStyle w:val="None"/>
          <w:rFonts w:ascii="Times New Roman" w:hAnsi="Times New Roman"/>
          <w:sz w:val="20"/>
          <w:szCs w:val="20"/>
        </w:rPr>
        <w:t xml:space="preserve">. </w:t>
      </w:r>
      <w:r>
        <w:rPr>
          <w:rStyle w:val="None"/>
          <w:rFonts w:ascii="Times New Roman" w:hAnsi="Times New Roman"/>
          <w:b/>
          <w:bCs/>
          <w:sz w:val="20"/>
          <w:szCs w:val="20"/>
        </w:rPr>
        <w:t>14</w:t>
      </w:r>
      <w:r>
        <w:rPr>
          <w:rStyle w:val="None"/>
          <w:rFonts w:ascii="Times New Roman" w:hAnsi="Times New Roman"/>
          <w:sz w:val="20"/>
          <w:szCs w:val="20"/>
        </w:rPr>
        <w:t xml:space="preserve">, e1002415 (2017). </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6.</w:t>
      </w:r>
      <w:r>
        <w:rPr>
          <w:rStyle w:val="None"/>
          <w:rFonts w:ascii="Times New Roman" w:hAnsi="Times New Roman"/>
          <w:sz w:val="20"/>
          <w:szCs w:val="20"/>
        </w:rPr>
        <w:tab/>
        <w:t xml:space="preserve">Diabetes care and research in Europe. The St. Vincent Declaration. </w:t>
      </w:r>
      <w:r>
        <w:rPr>
          <w:rStyle w:val="None"/>
          <w:rFonts w:ascii="Times New Roman" w:hAnsi="Times New Roman"/>
          <w:i/>
          <w:iCs/>
          <w:sz w:val="20"/>
          <w:szCs w:val="20"/>
        </w:rPr>
        <w:t>Diabet Med</w:t>
      </w:r>
      <w:r>
        <w:rPr>
          <w:rStyle w:val="None"/>
          <w:rFonts w:ascii="Times New Roman" w:hAnsi="Times New Roman"/>
          <w:sz w:val="20"/>
          <w:szCs w:val="20"/>
        </w:rPr>
        <w:t xml:space="preserve">. </w:t>
      </w:r>
      <w:r>
        <w:rPr>
          <w:rStyle w:val="None"/>
          <w:rFonts w:ascii="Times New Roman" w:hAnsi="Times New Roman"/>
          <w:b/>
          <w:bCs/>
          <w:sz w:val="20"/>
          <w:szCs w:val="20"/>
        </w:rPr>
        <w:t>7</w:t>
      </w:r>
      <w:r>
        <w:rPr>
          <w:rStyle w:val="None"/>
          <w:rFonts w:ascii="Times New Roman" w:hAnsi="Times New Roman"/>
          <w:sz w:val="20"/>
          <w:szCs w:val="20"/>
        </w:rPr>
        <w:t>, 360 (1990).</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 xml:space="preserve">7. </w:t>
      </w:r>
      <w:r>
        <w:rPr>
          <w:rStyle w:val="None"/>
          <w:rFonts w:ascii="Times New Roman" w:hAnsi="Times New Roman"/>
          <w:sz w:val="20"/>
          <w:szCs w:val="20"/>
        </w:rPr>
        <w:tab/>
        <w:t xml:space="preserve">Fleming, T. P. et </w:t>
      </w:r>
      <w:r>
        <w:rPr>
          <w:rStyle w:val="None"/>
          <w:rFonts w:ascii="Times New Roman" w:hAnsi="Times New Roman"/>
          <w:sz w:val="20"/>
          <w:szCs w:val="20"/>
        </w:rPr>
        <w:t xml:space="preserve">al. Origins of lifetime health around the time of conception: causes and consequences. </w:t>
      </w:r>
      <w:r>
        <w:rPr>
          <w:rStyle w:val="None"/>
          <w:rFonts w:ascii="Times New Roman" w:hAnsi="Times New Roman"/>
          <w:i/>
          <w:iCs/>
          <w:sz w:val="20"/>
          <w:szCs w:val="20"/>
        </w:rPr>
        <w:t>Lancet</w:t>
      </w:r>
      <w:r>
        <w:rPr>
          <w:rStyle w:val="None"/>
          <w:rFonts w:ascii="Times New Roman" w:hAnsi="Times New Roman"/>
          <w:sz w:val="20"/>
          <w:szCs w:val="20"/>
        </w:rPr>
        <w:t xml:space="preserve">. </w:t>
      </w:r>
      <w:r>
        <w:rPr>
          <w:rStyle w:val="None"/>
          <w:rFonts w:ascii="Times New Roman" w:hAnsi="Times New Roman"/>
          <w:b/>
          <w:bCs/>
          <w:sz w:val="20"/>
          <w:szCs w:val="20"/>
        </w:rPr>
        <w:t>391</w:t>
      </w:r>
      <w:r>
        <w:rPr>
          <w:rStyle w:val="None"/>
          <w:rFonts w:ascii="Times New Roman" w:hAnsi="Times New Roman"/>
          <w:sz w:val="20"/>
          <w:szCs w:val="20"/>
        </w:rPr>
        <w:t>, 1842</w:t>
      </w:r>
      <w:r>
        <w:rPr>
          <w:rStyle w:val="None"/>
          <w:rFonts w:ascii="Times New Roman" w:hAnsi="Times New Roman"/>
          <w:sz w:val="20"/>
          <w:szCs w:val="20"/>
        </w:rPr>
        <w:t>–</w:t>
      </w:r>
      <w:r>
        <w:rPr>
          <w:rStyle w:val="None"/>
          <w:rFonts w:ascii="Times New Roman" w:hAnsi="Times New Roman"/>
          <w:sz w:val="20"/>
          <w:szCs w:val="20"/>
        </w:rPr>
        <w:t>1852 (2018)</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8.</w:t>
      </w:r>
      <w:r>
        <w:rPr>
          <w:rStyle w:val="None"/>
          <w:rFonts w:ascii="Times New Roman" w:hAnsi="Times New Roman"/>
          <w:sz w:val="20"/>
          <w:szCs w:val="20"/>
        </w:rPr>
        <w:tab/>
        <w:t>Bearak, J., Popinchalk, A., Alkema, L., &amp; Sedgh, G. Global, regional, and subregional trends in unintended pregnancy and its outcomes fr</w:t>
      </w:r>
      <w:r>
        <w:rPr>
          <w:rStyle w:val="None"/>
          <w:rFonts w:ascii="Times New Roman" w:hAnsi="Times New Roman"/>
          <w:sz w:val="20"/>
          <w:szCs w:val="20"/>
        </w:rPr>
        <w:t xml:space="preserve">om 1990 to 2014: estimates from a Bayesian hierarchical model. </w:t>
      </w:r>
      <w:r>
        <w:rPr>
          <w:rStyle w:val="None"/>
          <w:rFonts w:ascii="Times New Roman" w:hAnsi="Times New Roman"/>
          <w:i/>
          <w:iCs/>
          <w:sz w:val="20"/>
          <w:szCs w:val="20"/>
        </w:rPr>
        <w:t>Lancet</w:t>
      </w:r>
      <w:r>
        <w:rPr>
          <w:rStyle w:val="None"/>
          <w:rFonts w:ascii="Times New Roman" w:hAnsi="Times New Roman"/>
          <w:i/>
          <w:iCs/>
          <w:sz w:val="20"/>
          <w:szCs w:val="20"/>
        </w:rPr>
        <w:t> </w:t>
      </w:r>
      <w:r>
        <w:rPr>
          <w:rStyle w:val="None"/>
          <w:rFonts w:ascii="Times New Roman" w:hAnsi="Times New Roman"/>
          <w:i/>
          <w:iCs/>
          <w:sz w:val="20"/>
          <w:szCs w:val="20"/>
        </w:rPr>
        <w:t xml:space="preserve">Glob Health. </w:t>
      </w:r>
      <w:r>
        <w:rPr>
          <w:rStyle w:val="None"/>
          <w:rFonts w:ascii="Times New Roman" w:hAnsi="Times New Roman"/>
          <w:b/>
          <w:bCs/>
          <w:sz w:val="20"/>
          <w:szCs w:val="20"/>
        </w:rPr>
        <w:t>6</w:t>
      </w:r>
      <w:r>
        <w:rPr>
          <w:rStyle w:val="None"/>
          <w:rFonts w:ascii="Times New Roman" w:hAnsi="Times New Roman"/>
          <w:sz w:val="20"/>
          <w:szCs w:val="20"/>
        </w:rPr>
        <w:t>, e380-e389 (2018).</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9.</w:t>
      </w:r>
      <w:r>
        <w:rPr>
          <w:rStyle w:val="None"/>
          <w:rFonts w:ascii="Times New Roman" w:hAnsi="Times New Roman"/>
          <w:sz w:val="20"/>
          <w:szCs w:val="20"/>
        </w:rPr>
        <w:tab/>
        <w:t>World Health Organization. Definition and diagnosis of diabetes mellitus and intermediate hyperglycemia: report of a WHO/IDF consultation. Geneva: Wo</w:t>
      </w:r>
      <w:r>
        <w:rPr>
          <w:rStyle w:val="None"/>
          <w:rFonts w:ascii="Times New Roman" w:hAnsi="Times New Roman"/>
          <w:sz w:val="20"/>
          <w:szCs w:val="20"/>
        </w:rPr>
        <w:t>rld Hearth Organization. (2006).</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10.</w:t>
      </w:r>
      <w:r>
        <w:rPr>
          <w:rStyle w:val="None"/>
          <w:rFonts w:ascii="Times New Roman" w:hAnsi="Times New Roman"/>
          <w:sz w:val="20"/>
          <w:szCs w:val="20"/>
        </w:rPr>
        <w:tab/>
        <w:t>American Diabetes Association. 2. Classification and diagnosis of diabetes: standards of medical care in diabetes</w:t>
      </w:r>
      <w:r>
        <w:rPr>
          <w:rStyle w:val="None"/>
          <w:rFonts w:ascii="Times New Roman" w:hAnsi="Times New Roman"/>
          <w:sz w:val="20"/>
          <w:szCs w:val="20"/>
        </w:rPr>
        <w:t>—</w:t>
      </w:r>
      <w:r>
        <w:rPr>
          <w:rStyle w:val="None"/>
          <w:rFonts w:ascii="Times New Roman" w:hAnsi="Times New Roman"/>
          <w:sz w:val="20"/>
          <w:szCs w:val="20"/>
        </w:rPr>
        <w:t xml:space="preserve">2019. </w:t>
      </w:r>
      <w:r>
        <w:rPr>
          <w:rStyle w:val="None"/>
          <w:rFonts w:ascii="Times New Roman" w:hAnsi="Times New Roman"/>
          <w:i/>
          <w:iCs/>
          <w:sz w:val="20"/>
          <w:szCs w:val="20"/>
        </w:rPr>
        <w:t>Diabetes Care</w:t>
      </w:r>
      <w:r>
        <w:rPr>
          <w:rStyle w:val="None"/>
          <w:rFonts w:ascii="Times New Roman" w:hAnsi="Times New Roman"/>
          <w:sz w:val="20"/>
          <w:szCs w:val="20"/>
        </w:rPr>
        <w:t xml:space="preserve">. </w:t>
      </w:r>
      <w:r>
        <w:rPr>
          <w:rStyle w:val="None"/>
          <w:rFonts w:ascii="Times New Roman" w:hAnsi="Times New Roman"/>
          <w:b/>
          <w:bCs/>
          <w:sz w:val="20"/>
          <w:szCs w:val="20"/>
        </w:rPr>
        <w:t>42</w:t>
      </w:r>
      <w:r>
        <w:rPr>
          <w:rStyle w:val="None"/>
          <w:rFonts w:ascii="Times New Roman" w:hAnsi="Times New Roman"/>
          <w:sz w:val="20"/>
          <w:szCs w:val="20"/>
        </w:rPr>
        <w:t>, S13 (2019).</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11.</w:t>
      </w:r>
      <w:r>
        <w:rPr>
          <w:rStyle w:val="None"/>
          <w:rFonts w:ascii="Times New Roman" w:hAnsi="Times New Roman"/>
          <w:sz w:val="20"/>
          <w:szCs w:val="20"/>
        </w:rPr>
        <w:tab/>
        <w:t>Wheeler, E. et al. Impact of common genetic determinants of Hemo</w:t>
      </w:r>
      <w:r>
        <w:rPr>
          <w:rStyle w:val="None"/>
          <w:rFonts w:ascii="Times New Roman" w:hAnsi="Times New Roman"/>
          <w:sz w:val="20"/>
          <w:szCs w:val="20"/>
        </w:rPr>
        <w:t xml:space="preserve">globin A1c on type 2 diabetes risk and diagnosis in ancestrally diverse populations: A transethnic genome-wide meta-analysis. </w:t>
      </w:r>
      <w:r>
        <w:rPr>
          <w:rStyle w:val="None"/>
          <w:rFonts w:ascii="Times New Roman" w:hAnsi="Times New Roman"/>
          <w:i/>
          <w:iCs/>
          <w:sz w:val="20"/>
          <w:szCs w:val="20"/>
        </w:rPr>
        <w:t>PLoS Med</w:t>
      </w:r>
      <w:r>
        <w:rPr>
          <w:rStyle w:val="None"/>
          <w:rFonts w:ascii="Times New Roman" w:hAnsi="Times New Roman"/>
          <w:sz w:val="20"/>
          <w:szCs w:val="20"/>
        </w:rPr>
        <w:t xml:space="preserve">. </w:t>
      </w:r>
      <w:r>
        <w:rPr>
          <w:rStyle w:val="None"/>
          <w:rFonts w:ascii="Times New Roman" w:hAnsi="Times New Roman"/>
          <w:b/>
          <w:bCs/>
          <w:sz w:val="20"/>
          <w:szCs w:val="20"/>
        </w:rPr>
        <w:t>14</w:t>
      </w:r>
      <w:r>
        <w:rPr>
          <w:rStyle w:val="None"/>
          <w:rFonts w:ascii="Times New Roman" w:hAnsi="Times New Roman"/>
          <w:sz w:val="20"/>
          <w:szCs w:val="20"/>
        </w:rPr>
        <w:t>, e1002383 (2017).</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12.</w:t>
      </w:r>
      <w:r>
        <w:rPr>
          <w:rStyle w:val="None"/>
          <w:rFonts w:ascii="Times New Roman" w:hAnsi="Times New Roman"/>
          <w:sz w:val="20"/>
          <w:szCs w:val="20"/>
        </w:rPr>
        <w:tab/>
      </w:r>
      <w:r>
        <w:rPr>
          <w:rStyle w:val="None"/>
          <w:rFonts w:ascii="Times New Roman" w:hAnsi="Times New Roman"/>
          <w:sz w:val="20"/>
          <w:szCs w:val="20"/>
        </w:rPr>
        <w:t xml:space="preserve">Fucharoen, S. &amp; Winichagoon, P. Haemoglobinopathies in Southeast Asia. </w:t>
      </w:r>
      <w:r>
        <w:rPr>
          <w:rStyle w:val="None"/>
          <w:rFonts w:ascii="Times New Roman" w:hAnsi="Times New Roman"/>
          <w:i/>
          <w:iCs/>
          <w:sz w:val="20"/>
          <w:szCs w:val="20"/>
        </w:rPr>
        <w:t xml:space="preserve">Indian J Med Res. </w:t>
      </w:r>
      <w:r>
        <w:rPr>
          <w:rStyle w:val="None"/>
          <w:rFonts w:ascii="Times New Roman" w:hAnsi="Times New Roman"/>
          <w:b/>
          <w:bCs/>
          <w:sz w:val="20"/>
          <w:szCs w:val="20"/>
        </w:rPr>
        <w:t>134</w:t>
      </w:r>
      <w:r>
        <w:rPr>
          <w:rStyle w:val="None"/>
          <w:rFonts w:ascii="Times New Roman" w:hAnsi="Times New Roman"/>
          <w:sz w:val="20"/>
          <w:szCs w:val="20"/>
        </w:rPr>
        <w:t>, 498-506 (2011).</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13.</w:t>
      </w:r>
      <w:r>
        <w:rPr>
          <w:rStyle w:val="None"/>
          <w:rFonts w:ascii="Times New Roman" w:hAnsi="Times New Roman"/>
          <w:sz w:val="20"/>
          <w:szCs w:val="20"/>
        </w:rPr>
        <w:tab/>
        <w:t xml:space="preserve">International Expert Committee. International Expert Committee report on the role of the A1C assay in the diagnosis of diabetes. </w:t>
      </w:r>
      <w:r>
        <w:rPr>
          <w:rStyle w:val="None"/>
          <w:rFonts w:ascii="Times New Roman" w:hAnsi="Times New Roman"/>
          <w:i/>
          <w:iCs/>
          <w:sz w:val="20"/>
          <w:szCs w:val="20"/>
        </w:rPr>
        <w:t>Diabetes Care</w:t>
      </w:r>
      <w:r>
        <w:rPr>
          <w:rStyle w:val="None"/>
          <w:rFonts w:ascii="Times New Roman" w:hAnsi="Times New Roman"/>
          <w:sz w:val="20"/>
          <w:szCs w:val="20"/>
        </w:rPr>
        <w:t xml:space="preserve">. </w:t>
      </w:r>
      <w:r>
        <w:rPr>
          <w:rStyle w:val="None"/>
          <w:rFonts w:ascii="Times New Roman" w:hAnsi="Times New Roman"/>
          <w:b/>
          <w:bCs/>
          <w:sz w:val="20"/>
          <w:szCs w:val="20"/>
        </w:rPr>
        <w:t>32</w:t>
      </w:r>
      <w:r>
        <w:rPr>
          <w:rStyle w:val="None"/>
          <w:rFonts w:ascii="Times New Roman" w:hAnsi="Times New Roman"/>
          <w:sz w:val="20"/>
          <w:szCs w:val="20"/>
        </w:rPr>
        <w:t>, 1327-1334 (2009).</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14.</w:t>
      </w:r>
      <w:r>
        <w:rPr>
          <w:rStyle w:val="None"/>
          <w:rFonts w:ascii="Times New Roman" w:hAnsi="Times New Roman"/>
          <w:sz w:val="20"/>
          <w:szCs w:val="20"/>
        </w:rPr>
        <w:tab/>
        <w:t>American Diabetes Association. Standards of medical care in diabetes</w:t>
      </w:r>
      <w:r>
        <w:rPr>
          <w:rStyle w:val="None"/>
          <w:rFonts w:ascii="Times New Roman" w:hAnsi="Times New Roman"/>
          <w:sz w:val="20"/>
          <w:szCs w:val="20"/>
        </w:rPr>
        <w:t>—</w:t>
      </w:r>
      <w:r>
        <w:rPr>
          <w:rStyle w:val="None"/>
          <w:rFonts w:ascii="Times New Roman" w:hAnsi="Times New Roman"/>
          <w:sz w:val="20"/>
          <w:szCs w:val="20"/>
        </w:rPr>
        <w:t xml:space="preserve">2012. </w:t>
      </w:r>
      <w:r>
        <w:rPr>
          <w:rStyle w:val="None"/>
          <w:rFonts w:ascii="Times New Roman" w:hAnsi="Times New Roman"/>
          <w:i/>
          <w:iCs/>
          <w:sz w:val="20"/>
          <w:szCs w:val="20"/>
        </w:rPr>
        <w:t>Diabetes Care</w:t>
      </w:r>
      <w:r>
        <w:rPr>
          <w:rStyle w:val="None"/>
          <w:rFonts w:ascii="Times New Roman" w:hAnsi="Times New Roman"/>
          <w:sz w:val="20"/>
          <w:szCs w:val="20"/>
        </w:rPr>
        <w:t xml:space="preserve">. </w:t>
      </w:r>
      <w:r>
        <w:rPr>
          <w:rStyle w:val="None"/>
          <w:rFonts w:ascii="Times New Roman" w:hAnsi="Times New Roman"/>
          <w:b/>
          <w:bCs/>
          <w:sz w:val="20"/>
          <w:szCs w:val="20"/>
        </w:rPr>
        <w:t>35</w:t>
      </w:r>
      <w:r>
        <w:rPr>
          <w:rStyle w:val="None"/>
          <w:rFonts w:ascii="Times New Roman" w:hAnsi="Times New Roman"/>
          <w:sz w:val="20"/>
          <w:szCs w:val="20"/>
        </w:rPr>
        <w:t>, S11-S63 (2012).</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15.</w:t>
      </w:r>
      <w:r>
        <w:rPr>
          <w:rStyle w:val="None"/>
          <w:rFonts w:ascii="Times New Roman" w:hAnsi="Times New Roman"/>
          <w:sz w:val="20"/>
          <w:szCs w:val="20"/>
        </w:rPr>
        <w:tab/>
        <w:t xml:space="preserve">Hartwig, S. et al. Association of change of anthropometric measurements with incident type 2 diabetes mellitus: a </w:t>
      </w:r>
      <w:r>
        <w:rPr>
          <w:rStyle w:val="None"/>
          <w:rFonts w:ascii="Times New Roman" w:hAnsi="Times New Roman"/>
          <w:sz w:val="20"/>
          <w:szCs w:val="20"/>
        </w:rPr>
        <w:t xml:space="preserve">pooled analysis of the prospective population-based CARLA and SHIP cohort studies. </w:t>
      </w:r>
      <w:r>
        <w:rPr>
          <w:rStyle w:val="None"/>
          <w:rFonts w:ascii="Times New Roman" w:hAnsi="Times New Roman"/>
          <w:i/>
          <w:iCs/>
          <w:sz w:val="20"/>
          <w:szCs w:val="20"/>
        </w:rPr>
        <w:t>Medicine</w:t>
      </w:r>
      <w:r>
        <w:rPr>
          <w:rStyle w:val="None"/>
          <w:rFonts w:ascii="Times New Roman" w:hAnsi="Times New Roman"/>
          <w:sz w:val="20"/>
          <w:szCs w:val="20"/>
        </w:rPr>
        <w:t xml:space="preserve">. </w:t>
      </w:r>
      <w:r>
        <w:rPr>
          <w:rStyle w:val="None"/>
          <w:rFonts w:ascii="Times New Roman" w:hAnsi="Times New Roman"/>
          <w:b/>
          <w:bCs/>
          <w:sz w:val="20"/>
          <w:szCs w:val="20"/>
        </w:rPr>
        <w:t>94</w:t>
      </w:r>
      <w:r>
        <w:rPr>
          <w:rStyle w:val="None"/>
          <w:rFonts w:ascii="Times New Roman" w:hAnsi="Times New Roman"/>
          <w:sz w:val="20"/>
          <w:szCs w:val="20"/>
        </w:rPr>
        <w:t>, e1394 (2015).</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16.</w:t>
      </w:r>
      <w:r>
        <w:rPr>
          <w:rStyle w:val="None"/>
          <w:rFonts w:ascii="Times New Roman" w:hAnsi="Times New Roman"/>
          <w:sz w:val="20"/>
          <w:szCs w:val="20"/>
        </w:rPr>
        <w:tab/>
        <w:t>Bi, X. et al. DXA-measured visceral adipose tissue predicts impaired glucose tolerance and metabolic syndrome in obese Caucasian and African-</w:t>
      </w:r>
      <w:r>
        <w:rPr>
          <w:rStyle w:val="None"/>
          <w:rFonts w:ascii="Times New Roman" w:hAnsi="Times New Roman"/>
          <w:sz w:val="20"/>
          <w:szCs w:val="20"/>
        </w:rPr>
        <w:t xml:space="preserve">American women. </w:t>
      </w:r>
      <w:r>
        <w:rPr>
          <w:rStyle w:val="None"/>
          <w:rFonts w:ascii="Times New Roman" w:hAnsi="Times New Roman"/>
          <w:i/>
          <w:iCs/>
          <w:sz w:val="20"/>
          <w:szCs w:val="20"/>
        </w:rPr>
        <w:t>Eur J Clin Nutr</w:t>
      </w:r>
      <w:r>
        <w:rPr>
          <w:rStyle w:val="None"/>
          <w:rFonts w:ascii="Times New Roman" w:hAnsi="Times New Roman"/>
          <w:sz w:val="20"/>
          <w:szCs w:val="20"/>
        </w:rPr>
        <w:t xml:space="preserve">. </w:t>
      </w:r>
      <w:r>
        <w:rPr>
          <w:rStyle w:val="None"/>
          <w:rFonts w:ascii="Times New Roman" w:hAnsi="Times New Roman"/>
          <w:b/>
          <w:bCs/>
          <w:sz w:val="20"/>
          <w:szCs w:val="20"/>
        </w:rPr>
        <w:t>69</w:t>
      </w:r>
      <w:r>
        <w:rPr>
          <w:rStyle w:val="None"/>
          <w:rFonts w:ascii="Times New Roman" w:hAnsi="Times New Roman"/>
          <w:sz w:val="20"/>
          <w:szCs w:val="20"/>
        </w:rPr>
        <w:t>, 329-336 (2015).</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17.</w:t>
      </w:r>
      <w:r>
        <w:rPr>
          <w:rStyle w:val="None"/>
          <w:rFonts w:ascii="Times New Roman" w:hAnsi="Times New Roman"/>
          <w:sz w:val="20"/>
          <w:szCs w:val="20"/>
        </w:rPr>
        <w:tab/>
        <w:t xml:space="preserve">Ross, R., Fortier, L., &amp; Hudson, R. Separate associations between visceral and subcutaneous adipose tissue distribution, insulin and glucose levels in obese women. </w:t>
      </w:r>
      <w:r>
        <w:rPr>
          <w:rStyle w:val="None"/>
          <w:rFonts w:ascii="Times New Roman" w:hAnsi="Times New Roman"/>
          <w:i/>
          <w:iCs/>
          <w:sz w:val="20"/>
          <w:szCs w:val="20"/>
        </w:rPr>
        <w:t>Diabetes Care</w:t>
      </w:r>
      <w:r>
        <w:rPr>
          <w:rStyle w:val="None"/>
          <w:rFonts w:ascii="Times New Roman" w:hAnsi="Times New Roman"/>
          <w:sz w:val="20"/>
          <w:szCs w:val="20"/>
        </w:rPr>
        <w:t xml:space="preserve">. </w:t>
      </w:r>
      <w:r>
        <w:rPr>
          <w:rStyle w:val="None"/>
          <w:rFonts w:ascii="Times New Roman" w:hAnsi="Times New Roman"/>
          <w:b/>
          <w:bCs/>
          <w:sz w:val="20"/>
          <w:szCs w:val="20"/>
        </w:rPr>
        <w:t>19</w:t>
      </w:r>
      <w:r>
        <w:rPr>
          <w:rStyle w:val="None"/>
          <w:rFonts w:ascii="Times New Roman" w:hAnsi="Times New Roman"/>
          <w:sz w:val="20"/>
          <w:szCs w:val="20"/>
        </w:rPr>
        <w:t>, 1404-1411 (1996)</w:t>
      </w:r>
      <w:r>
        <w:rPr>
          <w:rStyle w:val="None"/>
          <w:rFonts w:ascii="Times New Roman" w:hAnsi="Times New Roman"/>
          <w:sz w:val="20"/>
          <w:szCs w:val="20"/>
        </w:rPr>
        <w:t>.</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18.</w:t>
      </w:r>
      <w:r>
        <w:rPr>
          <w:rStyle w:val="None"/>
          <w:rFonts w:ascii="Times New Roman" w:hAnsi="Times New Roman"/>
          <w:sz w:val="20"/>
          <w:szCs w:val="20"/>
        </w:rPr>
        <w:tab/>
        <w:t xml:space="preserve">Krakauer, N. Y., &amp; Krakauer, J. C. A new body shape index predicts mortality hazard independently of body mass index. </w:t>
      </w:r>
      <w:r>
        <w:rPr>
          <w:rStyle w:val="None"/>
          <w:rFonts w:ascii="Times New Roman" w:hAnsi="Times New Roman"/>
          <w:i/>
          <w:iCs/>
          <w:sz w:val="20"/>
          <w:szCs w:val="20"/>
        </w:rPr>
        <w:t>PLoS One</w:t>
      </w:r>
      <w:r>
        <w:rPr>
          <w:rStyle w:val="None"/>
          <w:rFonts w:ascii="Times New Roman" w:hAnsi="Times New Roman"/>
          <w:sz w:val="20"/>
          <w:szCs w:val="20"/>
        </w:rPr>
        <w:t xml:space="preserve">. </w:t>
      </w:r>
      <w:r>
        <w:rPr>
          <w:rStyle w:val="None"/>
          <w:rFonts w:ascii="Times New Roman" w:hAnsi="Times New Roman"/>
          <w:b/>
          <w:bCs/>
          <w:sz w:val="20"/>
          <w:szCs w:val="20"/>
        </w:rPr>
        <w:t>7</w:t>
      </w:r>
      <w:r>
        <w:rPr>
          <w:rStyle w:val="None"/>
          <w:rFonts w:ascii="Times New Roman" w:hAnsi="Times New Roman"/>
          <w:sz w:val="20"/>
          <w:szCs w:val="20"/>
        </w:rPr>
        <w:t>,</w:t>
      </w:r>
      <w:r>
        <w:rPr>
          <w:rStyle w:val="None"/>
          <w:rFonts w:ascii="Times New Roman" w:hAnsi="Times New Roman"/>
          <w:b/>
          <w:bCs/>
          <w:sz w:val="20"/>
          <w:szCs w:val="20"/>
        </w:rPr>
        <w:t xml:space="preserve"> </w:t>
      </w:r>
      <w:r>
        <w:rPr>
          <w:rStyle w:val="None"/>
          <w:rFonts w:ascii="Times New Roman" w:hAnsi="Times New Roman"/>
          <w:sz w:val="20"/>
          <w:szCs w:val="20"/>
        </w:rPr>
        <w:t>e39504 (2012).</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19.</w:t>
      </w:r>
      <w:r>
        <w:rPr>
          <w:rStyle w:val="None"/>
          <w:rFonts w:ascii="Times New Roman" w:hAnsi="Times New Roman"/>
          <w:sz w:val="20"/>
          <w:szCs w:val="20"/>
        </w:rPr>
        <w:tab/>
        <w:t>Sievenpiper, J. L. et al. Simple skinfold-thickness measurements complement conventional anthropomet</w:t>
      </w:r>
      <w:r>
        <w:rPr>
          <w:rStyle w:val="None"/>
          <w:rFonts w:ascii="Times New Roman" w:hAnsi="Times New Roman"/>
          <w:sz w:val="20"/>
          <w:szCs w:val="20"/>
        </w:rPr>
        <w:t xml:space="preserve">ric assessments in predicting glucose tolerance. </w:t>
      </w:r>
      <w:r>
        <w:rPr>
          <w:rStyle w:val="None"/>
          <w:rFonts w:ascii="Times New Roman" w:hAnsi="Times New Roman"/>
          <w:i/>
          <w:iCs/>
          <w:sz w:val="20"/>
          <w:szCs w:val="20"/>
        </w:rPr>
        <w:t>Am J Clin Nutr</w:t>
      </w:r>
      <w:r>
        <w:rPr>
          <w:rStyle w:val="None"/>
          <w:rFonts w:ascii="Times New Roman" w:hAnsi="Times New Roman"/>
          <w:sz w:val="20"/>
          <w:szCs w:val="20"/>
        </w:rPr>
        <w:t xml:space="preserve">. </w:t>
      </w:r>
      <w:r>
        <w:rPr>
          <w:rStyle w:val="None"/>
          <w:rFonts w:ascii="Times New Roman" w:hAnsi="Times New Roman"/>
          <w:b/>
          <w:bCs/>
          <w:sz w:val="20"/>
          <w:szCs w:val="20"/>
        </w:rPr>
        <w:t>73</w:t>
      </w:r>
      <w:r>
        <w:rPr>
          <w:rStyle w:val="None"/>
          <w:rFonts w:ascii="Times New Roman" w:hAnsi="Times New Roman"/>
          <w:sz w:val="20"/>
          <w:szCs w:val="20"/>
        </w:rPr>
        <w:t>,</w:t>
      </w:r>
      <w:r>
        <w:rPr>
          <w:rStyle w:val="None"/>
          <w:rFonts w:ascii="Times New Roman" w:hAnsi="Times New Roman"/>
          <w:b/>
          <w:bCs/>
          <w:sz w:val="20"/>
          <w:szCs w:val="20"/>
        </w:rPr>
        <w:t xml:space="preserve"> </w:t>
      </w:r>
      <w:r>
        <w:rPr>
          <w:rStyle w:val="None"/>
          <w:rFonts w:ascii="Times New Roman" w:hAnsi="Times New Roman"/>
          <w:sz w:val="20"/>
          <w:szCs w:val="20"/>
        </w:rPr>
        <w:t>567-573 (2001).</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20.</w:t>
      </w:r>
      <w:r>
        <w:rPr>
          <w:rStyle w:val="None"/>
          <w:rFonts w:ascii="Times New Roman" w:hAnsi="Times New Roman"/>
          <w:sz w:val="20"/>
          <w:szCs w:val="20"/>
        </w:rPr>
        <w:tab/>
        <w:t xml:space="preserve">Hamilton, C. M. et al. The PhenX Toolkit: get the most from your measures. </w:t>
      </w:r>
      <w:r>
        <w:rPr>
          <w:rStyle w:val="None"/>
          <w:rFonts w:ascii="Times New Roman" w:hAnsi="Times New Roman"/>
          <w:i/>
          <w:iCs/>
          <w:sz w:val="20"/>
          <w:szCs w:val="20"/>
        </w:rPr>
        <w:t>Am J Epidemiol</w:t>
      </w:r>
      <w:r>
        <w:rPr>
          <w:rStyle w:val="None"/>
          <w:rFonts w:ascii="Times New Roman" w:hAnsi="Times New Roman"/>
          <w:sz w:val="20"/>
          <w:szCs w:val="20"/>
        </w:rPr>
        <w:t xml:space="preserve">. </w:t>
      </w:r>
      <w:r>
        <w:rPr>
          <w:rStyle w:val="None"/>
          <w:rFonts w:ascii="Times New Roman" w:hAnsi="Times New Roman"/>
          <w:b/>
          <w:bCs/>
          <w:sz w:val="20"/>
          <w:szCs w:val="20"/>
        </w:rPr>
        <w:t>174</w:t>
      </w:r>
      <w:r>
        <w:rPr>
          <w:rStyle w:val="None"/>
          <w:rFonts w:ascii="Times New Roman" w:hAnsi="Times New Roman"/>
          <w:sz w:val="20"/>
          <w:szCs w:val="20"/>
        </w:rPr>
        <w:t>, 253-260 (2011).</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21.</w:t>
      </w:r>
      <w:r>
        <w:rPr>
          <w:rStyle w:val="None"/>
          <w:rFonts w:ascii="Times New Roman" w:hAnsi="Times New Roman"/>
          <w:sz w:val="20"/>
          <w:szCs w:val="20"/>
        </w:rPr>
        <w:tab/>
        <w:t xml:space="preserve">Perini, T. A., de Oliveira, G. L., Ornellas, J. D. </w:t>
      </w:r>
      <w:r>
        <w:rPr>
          <w:rStyle w:val="None"/>
          <w:rFonts w:ascii="Times New Roman" w:hAnsi="Times New Roman"/>
          <w:sz w:val="20"/>
          <w:szCs w:val="20"/>
        </w:rPr>
        <w:t xml:space="preserve">S., &amp; de Oliveira, F. P. Technical error of measurement in anthropometry. </w:t>
      </w:r>
      <w:r>
        <w:rPr>
          <w:rStyle w:val="None"/>
          <w:rFonts w:ascii="Times New Roman" w:hAnsi="Times New Roman"/>
          <w:i/>
          <w:iCs/>
          <w:sz w:val="20"/>
          <w:szCs w:val="20"/>
        </w:rPr>
        <w:t>Revista Brasileira de Medicina do Esporte</w:t>
      </w:r>
      <w:r>
        <w:rPr>
          <w:rStyle w:val="None"/>
          <w:rFonts w:ascii="Times New Roman" w:hAnsi="Times New Roman"/>
          <w:sz w:val="20"/>
          <w:szCs w:val="20"/>
        </w:rPr>
        <w:t xml:space="preserve">. </w:t>
      </w:r>
      <w:r>
        <w:rPr>
          <w:rStyle w:val="None"/>
          <w:rFonts w:ascii="Times New Roman" w:hAnsi="Times New Roman"/>
          <w:b/>
          <w:bCs/>
          <w:sz w:val="20"/>
          <w:szCs w:val="20"/>
        </w:rPr>
        <w:t>11</w:t>
      </w:r>
      <w:r>
        <w:rPr>
          <w:rStyle w:val="None"/>
          <w:rFonts w:ascii="Times New Roman" w:hAnsi="Times New Roman"/>
          <w:sz w:val="20"/>
          <w:szCs w:val="20"/>
        </w:rPr>
        <w:t>, 81-85 (2005).</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22.</w:t>
      </w:r>
      <w:r>
        <w:rPr>
          <w:rStyle w:val="None"/>
          <w:rFonts w:ascii="Times New Roman" w:hAnsi="Times New Roman"/>
          <w:sz w:val="20"/>
          <w:szCs w:val="20"/>
        </w:rPr>
        <w:tab/>
        <w:t>Nicholson, W. K., Asao, K., Brancati, F., Coresh, J., Pankow, J. S., &amp; Powe, N. R.</w:t>
      </w:r>
      <w:r>
        <w:rPr>
          <w:rStyle w:val="None"/>
          <w:rFonts w:ascii="Times New Roman" w:hAnsi="Times New Roman"/>
          <w:sz w:val="20"/>
          <w:szCs w:val="20"/>
        </w:rPr>
        <w:t> </w:t>
      </w:r>
      <w:r>
        <w:rPr>
          <w:rStyle w:val="None"/>
          <w:rFonts w:ascii="Times New Roman" w:hAnsi="Times New Roman"/>
          <w:sz w:val="20"/>
          <w:szCs w:val="20"/>
        </w:rPr>
        <w:t xml:space="preserve">Parity and risk of type 2 diabetes. </w:t>
      </w:r>
      <w:r>
        <w:rPr>
          <w:rStyle w:val="None"/>
          <w:rFonts w:ascii="Times New Roman" w:hAnsi="Times New Roman"/>
          <w:i/>
          <w:iCs/>
          <w:sz w:val="20"/>
          <w:szCs w:val="20"/>
        </w:rPr>
        <w:t>Diabetes Care</w:t>
      </w:r>
      <w:r>
        <w:rPr>
          <w:rStyle w:val="None"/>
          <w:rFonts w:ascii="Times New Roman" w:hAnsi="Times New Roman"/>
          <w:sz w:val="20"/>
          <w:szCs w:val="20"/>
        </w:rPr>
        <w:t xml:space="preserve">. </w:t>
      </w:r>
      <w:r>
        <w:rPr>
          <w:rStyle w:val="None"/>
          <w:rFonts w:ascii="Times New Roman" w:hAnsi="Times New Roman"/>
          <w:b/>
          <w:bCs/>
          <w:sz w:val="20"/>
          <w:szCs w:val="20"/>
        </w:rPr>
        <w:t>29</w:t>
      </w:r>
      <w:r>
        <w:rPr>
          <w:rStyle w:val="None"/>
          <w:rFonts w:ascii="Times New Roman" w:hAnsi="Times New Roman"/>
          <w:sz w:val="20"/>
          <w:szCs w:val="20"/>
        </w:rPr>
        <w:t>, 2349 (2006).</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23.</w:t>
      </w:r>
      <w:r>
        <w:rPr>
          <w:rStyle w:val="None"/>
          <w:rFonts w:ascii="Times New Roman" w:hAnsi="Times New Roman"/>
          <w:sz w:val="20"/>
          <w:szCs w:val="20"/>
        </w:rPr>
        <w:tab/>
      </w:r>
      <w:r>
        <w:rPr>
          <w:rStyle w:val="None"/>
          <w:rFonts w:ascii="Times New Roman" w:hAnsi="Times New Roman"/>
          <w:sz w:val="20"/>
          <w:szCs w:val="20"/>
        </w:rPr>
        <w:t xml:space="preserve">Solomon, C. G. et al. Long or highly irregular menstrual cycles as a marker for risk of type 2 diabetes mellitus. </w:t>
      </w:r>
      <w:r>
        <w:rPr>
          <w:rStyle w:val="None"/>
          <w:rFonts w:ascii="Times New Roman" w:hAnsi="Times New Roman"/>
          <w:i/>
          <w:iCs/>
          <w:sz w:val="20"/>
          <w:szCs w:val="20"/>
        </w:rPr>
        <w:t>JAMA</w:t>
      </w:r>
      <w:r>
        <w:rPr>
          <w:rStyle w:val="None"/>
          <w:rFonts w:ascii="Times New Roman" w:hAnsi="Times New Roman"/>
          <w:sz w:val="20"/>
          <w:szCs w:val="20"/>
        </w:rPr>
        <w:t xml:space="preserve">. </w:t>
      </w:r>
      <w:r>
        <w:rPr>
          <w:rStyle w:val="None"/>
          <w:rFonts w:ascii="Times New Roman" w:hAnsi="Times New Roman"/>
          <w:b/>
          <w:bCs/>
          <w:sz w:val="20"/>
          <w:szCs w:val="20"/>
        </w:rPr>
        <w:t xml:space="preserve">286, </w:t>
      </w:r>
      <w:r>
        <w:rPr>
          <w:rStyle w:val="None"/>
          <w:rFonts w:ascii="Times New Roman" w:hAnsi="Times New Roman"/>
          <w:sz w:val="20"/>
          <w:szCs w:val="20"/>
        </w:rPr>
        <w:t>2421-2426 (2001).</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24.</w:t>
      </w:r>
      <w:r>
        <w:rPr>
          <w:rStyle w:val="None"/>
          <w:rFonts w:ascii="Times New Roman" w:hAnsi="Times New Roman"/>
          <w:sz w:val="20"/>
          <w:szCs w:val="20"/>
        </w:rPr>
        <w:tab/>
        <w:t>Pan, A., Schernhammer, E. S., Sun, Q., &amp; Hu, F. B. Rotating night shift work and risk of type 2 diabetes: two</w:t>
      </w:r>
      <w:r>
        <w:rPr>
          <w:rStyle w:val="None"/>
          <w:rFonts w:ascii="Times New Roman" w:hAnsi="Times New Roman"/>
          <w:sz w:val="20"/>
          <w:szCs w:val="20"/>
        </w:rPr>
        <w:t xml:space="preserve"> prospective cohort studies in women. </w:t>
      </w:r>
      <w:r>
        <w:rPr>
          <w:rStyle w:val="None"/>
          <w:rFonts w:ascii="Times New Roman" w:hAnsi="Times New Roman"/>
          <w:i/>
          <w:iCs/>
          <w:sz w:val="20"/>
          <w:szCs w:val="20"/>
        </w:rPr>
        <w:t>PLoS Med</w:t>
      </w:r>
      <w:r>
        <w:rPr>
          <w:rStyle w:val="None"/>
          <w:rFonts w:ascii="Times New Roman" w:hAnsi="Times New Roman"/>
          <w:sz w:val="20"/>
          <w:szCs w:val="20"/>
        </w:rPr>
        <w:t xml:space="preserve">. </w:t>
      </w:r>
      <w:r>
        <w:rPr>
          <w:rStyle w:val="None"/>
          <w:rFonts w:ascii="Times New Roman" w:hAnsi="Times New Roman"/>
          <w:b/>
          <w:bCs/>
          <w:sz w:val="20"/>
          <w:szCs w:val="20"/>
        </w:rPr>
        <w:t>8</w:t>
      </w:r>
      <w:r>
        <w:rPr>
          <w:rStyle w:val="None"/>
          <w:rFonts w:ascii="Times New Roman" w:hAnsi="Times New Roman"/>
          <w:sz w:val="20"/>
          <w:szCs w:val="20"/>
        </w:rPr>
        <w:t>, e1001141 (2011).</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25.</w:t>
      </w:r>
      <w:r>
        <w:rPr>
          <w:rStyle w:val="None"/>
          <w:rFonts w:ascii="Times New Roman" w:hAnsi="Times New Roman"/>
          <w:sz w:val="20"/>
          <w:szCs w:val="20"/>
        </w:rPr>
        <w:tab/>
        <w:t xml:space="preserve">WHO Expert Consultation. Appropriate body-mass index for Asian populations and its implications for policy and intervention strategies. </w:t>
      </w:r>
      <w:r>
        <w:rPr>
          <w:rStyle w:val="None"/>
          <w:rFonts w:ascii="Times New Roman" w:hAnsi="Times New Roman"/>
          <w:i/>
          <w:iCs/>
          <w:sz w:val="20"/>
          <w:szCs w:val="20"/>
        </w:rPr>
        <w:t>Lancet</w:t>
      </w:r>
      <w:r>
        <w:rPr>
          <w:rStyle w:val="None"/>
          <w:rFonts w:ascii="Times New Roman" w:hAnsi="Times New Roman"/>
          <w:sz w:val="20"/>
          <w:szCs w:val="20"/>
        </w:rPr>
        <w:t xml:space="preserve">. </w:t>
      </w:r>
      <w:r>
        <w:rPr>
          <w:rStyle w:val="None"/>
          <w:rFonts w:ascii="Times New Roman" w:hAnsi="Times New Roman"/>
          <w:b/>
          <w:bCs/>
          <w:sz w:val="20"/>
          <w:szCs w:val="20"/>
        </w:rPr>
        <w:t>363</w:t>
      </w:r>
      <w:r>
        <w:rPr>
          <w:rStyle w:val="None"/>
          <w:rFonts w:ascii="Times New Roman" w:hAnsi="Times New Roman"/>
          <w:sz w:val="20"/>
          <w:szCs w:val="20"/>
        </w:rPr>
        <w:t>, 157-163 (2004).</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26.</w:t>
      </w:r>
      <w:r>
        <w:rPr>
          <w:rStyle w:val="None"/>
          <w:rFonts w:ascii="Times New Roman" w:hAnsi="Times New Roman"/>
          <w:sz w:val="20"/>
          <w:szCs w:val="20"/>
        </w:rPr>
        <w:tab/>
        <w:t>Selvin, E. et a</w:t>
      </w:r>
      <w:r>
        <w:rPr>
          <w:rStyle w:val="None"/>
          <w:rFonts w:ascii="Times New Roman" w:hAnsi="Times New Roman"/>
          <w:sz w:val="20"/>
          <w:szCs w:val="20"/>
        </w:rPr>
        <w:t xml:space="preserve">l. Glycated hemoglobin, diabetes, and cardiovascular risk in nondiabetic adults. N Engl J Med. </w:t>
      </w:r>
      <w:r>
        <w:rPr>
          <w:rStyle w:val="None"/>
          <w:rFonts w:ascii="Times New Roman" w:hAnsi="Times New Roman"/>
          <w:b/>
          <w:bCs/>
          <w:sz w:val="20"/>
          <w:szCs w:val="20"/>
        </w:rPr>
        <w:t>362</w:t>
      </w:r>
      <w:r>
        <w:rPr>
          <w:rStyle w:val="None"/>
          <w:rFonts w:ascii="Times New Roman" w:hAnsi="Times New Roman"/>
          <w:sz w:val="20"/>
          <w:szCs w:val="20"/>
        </w:rPr>
        <w:t>, 800-811 (2010).</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27.</w:t>
      </w:r>
      <w:r>
        <w:rPr>
          <w:rStyle w:val="None"/>
          <w:rFonts w:ascii="Times New Roman" w:hAnsi="Times New Roman"/>
          <w:sz w:val="20"/>
          <w:szCs w:val="20"/>
        </w:rPr>
        <w:tab/>
        <w:t xml:space="preserve">Vazquez, G., Duval, S., Jacobs Jr, D. R., &amp; Silventoinen, K. Comparison of body mass index, waist circumference, and waist/hip ratio in </w:t>
      </w:r>
      <w:r>
        <w:rPr>
          <w:rStyle w:val="None"/>
          <w:rFonts w:ascii="Times New Roman" w:hAnsi="Times New Roman"/>
          <w:sz w:val="20"/>
          <w:szCs w:val="20"/>
        </w:rPr>
        <w:t xml:space="preserve">predicting incident diabetes: a meta-analysis. </w:t>
      </w:r>
      <w:r>
        <w:rPr>
          <w:rStyle w:val="None"/>
          <w:rFonts w:ascii="Times New Roman" w:hAnsi="Times New Roman"/>
          <w:i/>
          <w:iCs/>
          <w:sz w:val="20"/>
          <w:szCs w:val="20"/>
        </w:rPr>
        <w:t>Epidemiol Rev</w:t>
      </w:r>
      <w:r>
        <w:rPr>
          <w:rStyle w:val="None"/>
          <w:rFonts w:ascii="Times New Roman" w:hAnsi="Times New Roman"/>
          <w:sz w:val="20"/>
          <w:szCs w:val="20"/>
        </w:rPr>
        <w:t xml:space="preserve">. </w:t>
      </w:r>
      <w:r>
        <w:rPr>
          <w:rStyle w:val="None"/>
          <w:rFonts w:ascii="Times New Roman" w:hAnsi="Times New Roman"/>
          <w:b/>
          <w:bCs/>
          <w:sz w:val="20"/>
          <w:szCs w:val="20"/>
        </w:rPr>
        <w:t>29</w:t>
      </w:r>
      <w:r>
        <w:rPr>
          <w:rStyle w:val="None"/>
          <w:rFonts w:ascii="Times New Roman" w:hAnsi="Times New Roman"/>
          <w:sz w:val="20"/>
          <w:szCs w:val="20"/>
        </w:rPr>
        <w:t>:115-128 (2007).</w:t>
      </w:r>
      <w:r>
        <w:rPr>
          <w:rStyle w:val="None"/>
          <w:rFonts w:ascii="Times New Roman" w:hAnsi="Times New Roman"/>
          <w:sz w:val="20"/>
          <w:szCs w:val="20"/>
        </w:rPr>
        <w:t> </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28.</w:t>
      </w:r>
      <w:r>
        <w:rPr>
          <w:rStyle w:val="None"/>
          <w:rFonts w:ascii="Times New Roman" w:hAnsi="Times New Roman"/>
          <w:sz w:val="20"/>
          <w:szCs w:val="20"/>
        </w:rPr>
        <w:tab/>
        <w:t xml:space="preserve">Ji, M., Zhang, S., &amp; An, R. Effectiveness of A Body Shape Index (ABSI) in predicting chronic diseases and mortality: a systematic review and meta-analysis. </w:t>
      </w:r>
      <w:r>
        <w:rPr>
          <w:rStyle w:val="None"/>
          <w:rFonts w:ascii="Times New Roman" w:hAnsi="Times New Roman"/>
          <w:i/>
          <w:iCs/>
          <w:sz w:val="20"/>
          <w:szCs w:val="20"/>
        </w:rPr>
        <w:t>Obes Rev.</w:t>
      </w:r>
      <w:r>
        <w:rPr>
          <w:rStyle w:val="None"/>
          <w:rFonts w:ascii="Times New Roman" w:hAnsi="Times New Roman"/>
          <w:sz w:val="20"/>
          <w:szCs w:val="20"/>
        </w:rPr>
        <w:t xml:space="preserve"> </w:t>
      </w:r>
      <w:r>
        <w:rPr>
          <w:rStyle w:val="None"/>
          <w:rFonts w:ascii="Times New Roman" w:hAnsi="Times New Roman"/>
          <w:b/>
          <w:bCs/>
          <w:sz w:val="20"/>
          <w:szCs w:val="20"/>
        </w:rPr>
        <w:t>19</w:t>
      </w:r>
      <w:r>
        <w:rPr>
          <w:rStyle w:val="None"/>
          <w:rFonts w:ascii="Times New Roman" w:hAnsi="Times New Roman"/>
          <w:sz w:val="20"/>
          <w:szCs w:val="20"/>
        </w:rPr>
        <w:t xml:space="preserve">, </w:t>
      </w:r>
      <w:r>
        <w:rPr>
          <w:rStyle w:val="None"/>
          <w:rFonts w:ascii="Times New Roman" w:hAnsi="Times New Roman"/>
          <w:sz w:val="20"/>
          <w:szCs w:val="20"/>
        </w:rPr>
        <w:t>737-759 (2018).</w:t>
      </w:r>
      <w:r>
        <w:rPr>
          <w:rStyle w:val="None"/>
          <w:rFonts w:ascii="Times New Roman" w:hAnsi="Times New Roman"/>
          <w:sz w:val="20"/>
          <w:szCs w:val="20"/>
        </w:rPr>
        <w:t> </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29.</w:t>
      </w:r>
      <w:r>
        <w:rPr>
          <w:rStyle w:val="None"/>
          <w:rFonts w:ascii="Times New Roman" w:hAnsi="Times New Roman"/>
          <w:sz w:val="20"/>
          <w:szCs w:val="20"/>
        </w:rPr>
        <w:tab/>
        <w:t xml:space="preserve">Lim, L. L., Tan, A. T. B., Moses, K., Rajadhyaksha, V., &amp; Chan, S. P. Place of sodium-glucose cotransporter-2 inhibitors in East Asian subjects with type 2 diabetes mellitus: Insights into the management of Asian phenotype. </w:t>
      </w:r>
      <w:r>
        <w:rPr>
          <w:rStyle w:val="None"/>
          <w:rFonts w:ascii="Times New Roman" w:hAnsi="Times New Roman"/>
          <w:i/>
          <w:iCs/>
          <w:sz w:val="20"/>
          <w:szCs w:val="20"/>
        </w:rPr>
        <w:t xml:space="preserve">J Diabetes </w:t>
      </w:r>
      <w:r>
        <w:rPr>
          <w:rStyle w:val="None"/>
          <w:rFonts w:ascii="Times New Roman" w:hAnsi="Times New Roman"/>
          <w:i/>
          <w:iCs/>
          <w:sz w:val="20"/>
          <w:szCs w:val="20"/>
        </w:rPr>
        <w:t>Complications.</w:t>
      </w:r>
      <w:r>
        <w:rPr>
          <w:rStyle w:val="None"/>
          <w:rFonts w:ascii="Times New Roman" w:hAnsi="Times New Roman"/>
          <w:sz w:val="20"/>
          <w:szCs w:val="20"/>
        </w:rPr>
        <w:t xml:space="preserve"> </w:t>
      </w:r>
      <w:r>
        <w:rPr>
          <w:rStyle w:val="None"/>
          <w:rFonts w:ascii="Times New Roman" w:hAnsi="Times New Roman"/>
          <w:b/>
          <w:bCs/>
          <w:sz w:val="20"/>
          <w:szCs w:val="20"/>
        </w:rPr>
        <w:t>31</w:t>
      </w:r>
      <w:r>
        <w:rPr>
          <w:rStyle w:val="None"/>
          <w:rFonts w:ascii="Times New Roman" w:hAnsi="Times New Roman"/>
          <w:sz w:val="20"/>
          <w:szCs w:val="20"/>
        </w:rPr>
        <w:t>, 494-503 (2017).</w:t>
      </w:r>
    </w:p>
    <w:p w:rsidR="00411AA5" w:rsidRDefault="004819B5">
      <w:pPr>
        <w:pStyle w:val="Default"/>
        <w:spacing w:before="0"/>
        <w:rPr>
          <w:rStyle w:val="None"/>
          <w:rFonts w:ascii="Times New Roman" w:eastAsia="Times New Roman" w:hAnsi="Times New Roman" w:cs="Times New Roman"/>
          <w:sz w:val="20"/>
          <w:szCs w:val="20"/>
        </w:rPr>
      </w:pPr>
      <w:r>
        <w:rPr>
          <w:rStyle w:val="None"/>
          <w:rFonts w:ascii="Times New Roman" w:hAnsi="Times New Roman"/>
          <w:sz w:val="20"/>
          <w:szCs w:val="20"/>
        </w:rPr>
        <w:t>30.</w:t>
      </w:r>
      <w:r>
        <w:rPr>
          <w:rStyle w:val="None"/>
          <w:rFonts w:ascii="Times New Roman" w:hAnsi="Times New Roman"/>
          <w:sz w:val="20"/>
          <w:szCs w:val="20"/>
        </w:rPr>
        <w:tab/>
        <w:t>World Health Organization. Guideline: daily iron and folic acid supplementation in pregnant women: Geneva: World Health Organization (2012).</w:t>
      </w:r>
    </w:p>
    <w:p w:rsidR="00411AA5" w:rsidRDefault="004819B5">
      <w:pPr>
        <w:pStyle w:val="Default"/>
        <w:spacing w:before="0" w:after="160"/>
        <w:sectPr w:rsidR="00411AA5">
          <w:headerReference w:type="default" r:id="rId7"/>
          <w:footerReference w:type="default" r:id="rId8"/>
          <w:pgSz w:w="11900" w:h="16840"/>
          <w:pgMar w:top="1440" w:right="1440" w:bottom="1440" w:left="1440" w:header="709" w:footer="709" w:gutter="0"/>
          <w:cols w:space="720"/>
        </w:sectPr>
      </w:pPr>
      <w:r>
        <w:rPr>
          <w:rStyle w:val="None"/>
          <w:rFonts w:ascii="Times New Roman" w:hAnsi="Times New Roman"/>
          <w:sz w:val="20"/>
          <w:szCs w:val="20"/>
        </w:rPr>
        <w:t>31.</w:t>
      </w:r>
      <w:r>
        <w:rPr>
          <w:rStyle w:val="None"/>
          <w:rFonts w:ascii="Times New Roman" w:hAnsi="Times New Roman"/>
          <w:sz w:val="20"/>
          <w:szCs w:val="20"/>
        </w:rPr>
        <w:tab/>
        <w:t xml:space="preserve">Chong, Y. S. et al. Ethnic </w:t>
      </w:r>
      <w:r>
        <w:rPr>
          <w:rStyle w:val="None"/>
          <w:rFonts w:ascii="Times New Roman" w:hAnsi="Times New Roman"/>
          <w:sz w:val="20"/>
          <w:szCs w:val="20"/>
        </w:rPr>
        <w:t>differences translate to inadequacy of high-risk screening for gestational diabetes mellitus in an Asian population: a cohort study.</w:t>
      </w:r>
      <w:r>
        <w:rPr>
          <w:rStyle w:val="None"/>
          <w:rFonts w:ascii="Times New Roman" w:hAnsi="Times New Roman"/>
          <w:i/>
          <w:iCs/>
          <w:sz w:val="20"/>
          <w:szCs w:val="20"/>
        </w:rPr>
        <w:t xml:space="preserve"> BMC Pregnancy Childbirth.</w:t>
      </w:r>
      <w:r>
        <w:rPr>
          <w:rStyle w:val="None"/>
          <w:rFonts w:ascii="Times New Roman" w:hAnsi="Times New Roman"/>
          <w:sz w:val="20"/>
          <w:szCs w:val="20"/>
        </w:rPr>
        <w:t xml:space="preserve"> </w:t>
      </w:r>
      <w:r>
        <w:rPr>
          <w:rStyle w:val="None"/>
          <w:rFonts w:ascii="Times New Roman" w:hAnsi="Times New Roman"/>
          <w:b/>
          <w:bCs/>
          <w:sz w:val="20"/>
          <w:szCs w:val="20"/>
        </w:rPr>
        <w:t>14</w:t>
      </w:r>
      <w:r>
        <w:rPr>
          <w:rStyle w:val="None"/>
          <w:rFonts w:ascii="Times New Roman" w:hAnsi="Times New Roman"/>
          <w:sz w:val="20"/>
          <w:szCs w:val="20"/>
        </w:rPr>
        <w:t>, 345 (2014).</w:t>
      </w:r>
    </w:p>
    <w:p w:rsidR="00411AA5" w:rsidRDefault="004819B5">
      <w:pPr>
        <w:pStyle w:val="BodyA"/>
        <w:spacing w:line="24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lastRenderedPageBreak/>
        <w:t>Table 1.</w:t>
      </w:r>
      <w:r>
        <w:rPr>
          <w:rStyle w:val="None"/>
          <w:rFonts w:ascii="Times New Roman" w:hAnsi="Times New Roman"/>
          <w:sz w:val="20"/>
          <w:szCs w:val="20"/>
        </w:rPr>
        <w:t xml:space="preserve"> Demographics and clinical characteristics of all women by glycemic statu</w:t>
      </w:r>
      <w:r>
        <w:rPr>
          <w:rStyle w:val="None"/>
          <w:rFonts w:ascii="Times New Roman" w:hAnsi="Times New Roman"/>
          <w:sz w:val="20"/>
          <w:szCs w:val="20"/>
        </w:rPr>
        <w:t>s</w:t>
      </w:r>
    </w:p>
    <w:tbl>
      <w:tblPr>
        <w:tblW w:w="9020" w:type="dxa"/>
        <w:tblInd w:w="1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
        <w:gridCol w:w="3019"/>
        <w:gridCol w:w="1686"/>
        <w:gridCol w:w="1838"/>
        <w:gridCol w:w="1521"/>
        <w:gridCol w:w="731"/>
      </w:tblGrid>
      <w:tr w:rsidR="00411AA5">
        <w:trPr>
          <w:trHeight w:val="373"/>
        </w:trPr>
        <w:tc>
          <w:tcPr>
            <w:tcW w:w="2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411AA5" w:rsidRDefault="00411AA5"/>
        </w:tc>
        <w:tc>
          <w:tcPr>
            <w:tcW w:w="30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11AA5" w:rsidRDefault="00411AA5"/>
        </w:tc>
        <w:tc>
          <w:tcPr>
            <w:tcW w:w="16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NoSpacing"/>
              <w:jc w:val="center"/>
              <w:rPr>
                <w:rStyle w:val="None"/>
                <w:rFonts w:ascii="Times New Roman" w:eastAsia="Times New Roman" w:hAnsi="Times New Roman" w:cs="Times New Roman"/>
                <w:b/>
                <w:bCs/>
                <w:sz w:val="16"/>
                <w:szCs w:val="16"/>
                <w:vertAlign w:val="superscript"/>
              </w:rPr>
            </w:pPr>
            <w:r>
              <w:rPr>
                <w:rStyle w:val="None"/>
                <w:rFonts w:ascii="Times New Roman" w:hAnsi="Times New Roman"/>
                <w:b/>
                <w:bCs/>
                <w:sz w:val="16"/>
                <w:szCs w:val="16"/>
              </w:rPr>
              <w:t>All (%)</w:t>
            </w:r>
            <w:r>
              <w:rPr>
                <w:rStyle w:val="None"/>
                <w:rFonts w:ascii="Times New Roman" w:hAnsi="Times New Roman"/>
                <w:color w:val="1C1D1E"/>
                <w:sz w:val="16"/>
                <w:szCs w:val="16"/>
                <w:u w:color="1C1D1E"/>
                <w:shd w:val="clear" w:color="auto" w:fill="FFFFFF"/>
              </w:rPr>
              <w:t>†</w:t>
            </w:r>
          </w:p>
          <w:p w:rsidR="00411AA5" w:rsidRDefault="004819B5">
            <w:pPr>
              <w:pStyle w:val="NoSpacing"/>
              <w:jc w:val="center"/>
            </w:pPr>
            <w:r>
              <w:rPr>
                <w:rStyle w:val="None"/>
                <w:rFonts w:ascii="Times New Roman" w:hAnsi="Times New Roman"/>
                <w:b/>
                <w:bCs/>
                <w:sz w:val="16"/>
                <w:szCs w:val="16"/>
              </w:rPr>
              <w:t>(n=971)</w:t>
            </w:r>
          </w:p>
        </w:tc>
        <w:tc>
          <w:tcPr>
            <w:tcW w:w="18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b/>
                <w:bCs/>
                <w:sz w:val="16"/>
                <w:szCs w:val="16"/>
              </w:rPr>
              <w:t>Normal Glucose Tolerance (n=865)</w:t>
            </w:r>
          </w:p>
        </w:tc>
        <w:tc>
          <w:tcPr>
            <w:tcW w:w="15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b/>
                <w:bCs/>
                <w:sz w:val="16"/>
                <w:szCs w:val="16"/>
              </w:rPr>
              <w:t>Dysglycemia</w:t>
            </w:r>
            <w:r>
              <w:rPr>
                <w:rStyle w:val="None"/>
                <w:rFonts w:ascii="Times New Roman" w:eastAsia="Times New Roman" w:hAnsi="Times New Roman" w:cs="Times New Roman"/>
                <w:b/>
                <w:bCs/>
                <w:sz w:val="16"/>
                <w:szCs w:val="16"/>
              </w:rPr>
              <w:br/>
            </w:r>
            <w:r>
              <w:rPr>
                <w:rStyle w:val="None"/>
                <w:rFonts w:ascii="Times New Roman" w:hAnsi="Times New Roman"/>
                <w:b/>
                <w:bCs/>
                <w:sz w:val="16"/>
                <w:szCs w:val="16"/>
              </w:rPr>
              <w:t>(n=106)</w:t>
            </w:r>
          </w:p>
        </w:tc>
        <w:tc>
          <w:tcPr>
            <w:tcW w:w="73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b/>
                <w:bCs/>
                <w:sz w:val="16"/>
                <w:szCs w:val="16"/>
              </w:rPr>
              <w:t>p-value</w:t>
            </w:r>
          </w:p>
        </w:tc>
      </w:tr>
      <w:tr w:rsidR="00411AA5">
        <w:trPr>
          <w:trHeight w:val="315"/>
        </w:trPr>
        <w:tc>
          <w:tcPr>
            <w:tcW w:w="3244"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i/>
                <w:iCs/>
                <w:sz w:val="16"/>
                <w:szCs w:val="16"/>
                <w:u w:val="single"/>
              </w:rPr>
              <w:t>Demographics</w:t>
            </w:r>
            <w:r>
              <w:rPr>
                <w:rStyle w:val="None"/>
                <w:rFonts w:ascii="Times New Roman" w:hAnsi="Times New Roman"/>
                <w:color w:val="1C1D1E"/>
                <w:sz w:val="16"/>
                <w:szCs w:val="16"/>
                <w:u w:color="1C1D1E"/>
                <w:shd w:val="clear" w:color="auto" w:fill="FFFFFF"/>
              </w:rPr>
              <w:t>‡</w:t>
            </w:r>
          </w:p>
        </w:tc>
        <w:tc>
          <w:tcPr>
            <w:tcW w:w="1685"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193"/>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Age (year)</w:t>
            </w:r>
            <w:r>
              <w:rPr>
                <w:rStyle w:val="None"/>
                <w:rFonts w:ascii="Times New Roman" w:hAnsi="Times New Roman"/>
                <w:color w:val="1C1D1E"/>
                <w:sz w:val="16"/>
                <w:szCs w:val="16"/>
                <w:u w:color="1C1D1E"/>
                <w:shd w:val="clear" w:color="auto" w:fill="FFFFFF"/>
              </w:rPr>
              <w:t>§</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 xml:space="preserve">30.8 </w:t>
            </w:r>
            <w:r>
              <w:rPr>
                <w:rStyle w:val="None"/>
                <w:rFonts w:ascii="Times New Roman" w:hAnsi="Times New Roman"/>
                <w:sz w:val="16"/>
                <w:szCs w:val="16"/>
              </w:rPr>
              <w:t xml:space="preserve">± </w:t>
            </w:r>
            <w:r>
              <w:rPr>
                <w:rStyle w:val="None"/>
                <w:rFonts w:ascii="Times New Roman" w:hAnsi="Times New Roman"/>
                <w:sz w:val="16"/>
                <w:szCs w:val="16"/>
              </w:rPr>
              <w:t>3.7</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 xml:space="preserve">30.8 </w:t>
            </w:r>
            <w:r>
              <w:rPr>
                <w:rStyle w:val="None"/>
                <w:rFonts w:ascii="Times New Roman" w:hAnsi="Times New Roman"/>
                <w:sz w:val="16"/>
                <w:szCs w:val="16"/>
              </w:rPr>
              <w:t xml:space="preserve">± </w:t>
            </w:r>
            <w:r>
              <w:rPr>
                <w:rStyle w:val="None"/>
                <w:rFonts w:ascii="Times New Roman" w:hAnsi="Times New Roman"/>
                <w:sz w:val="16"/>
                <w:szCs w:val="16"/>
              </w:rPr>
              <w:t>4.0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0.97</w:t>
            </w:r>
          </w:p>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Ethnicity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0.21</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Chinese</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630 (72.8)</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68 (64.2)</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Malay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130 (15.0)</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23 (21.7)</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Indian</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75 (8.7)</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12 (11.3)</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Mixed</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30 (3.5)</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3 (2.8)</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Educational level</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&lt;0.01</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No/Primary/Secondary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98 (11.3)</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16 (15.1)</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Post-secondary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202 (23.4)</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41 (38.7)</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spacing w:line="180" w:lineRule="exact"/>
            </w:pPr>
            <w:r>
              <w:rPr>
                <w:rStyle w:val="None"/>
                <w:rFonts w:ascii="Times New Roman" w:hAnsi="Times New Roman"/>
                <w:sz w:val="16"/>
                <w:szCs w:val="16"/>
              </w:rPr>
              <w:t>Tertiary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spacing w:line="180" w:lineRule="exact"/>
              <w:jc w:val="center"/>
            </w:pPr>
            <w:r>
              <w:rPr>
                <w:rStyle w:val="None"/>
                <w:rFonts w:ascii="Times New Roman" w:hAnsi="Times New Roman"/>
                <w:sz w:val="16"/>
                <w:szCs w:val="16"/>
              </w:rPr>
              <w:t>565 (65.3)</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spacing w:line="180" w:lineRule="exact"/>
              <w:jc w:val="center"/>
            </w:pPr>
            <w:r>
              <w:rPr>
                <w:rStyle w:val="None"/>
                <w:rFonts w:ascii="Times New Roman" w:hAnsi="Times New Roman"/>
                <w:sz w:val="16"/>
                <w:szCs w:val="16"/>
              </w:rPr>
              <w:t>49 (46.2)</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Smoking history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0.55</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Never</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775 (89.6)</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93 (87.7)</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Previous smoker</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51 (5.9)</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9 (8.5)</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Current smoker</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39 (4.5)</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4 (3.8)</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Employment status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0.37</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Unemployed</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119 (13.8)</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18 (17.0)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Employed</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746 (86.2)</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88 (83.0)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Shift work</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0.41</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No/Unemployed</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781 (90.3)</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93 (87.7)</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Yes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84 (9.7)</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13 (12.3)</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i/>
                <w:iCs/>
                <w:sz w:val="16"/>
                <w:szCs w:val="16"/>
                <w:u w:val="single"/>
              </w:rPr>
              <w:t>Clinical characteristics</w:t>
            </w:r>
            <w:r>
              <w:rPr>
                <w:rStyle w:val="None"/>
                <w:rFonts w:ascii="Times New Roman" w:hAnsi="Times New Roman"/>
                <w:color w:val="1C1D1E"/>
                <w:sz w:val="16"/>
                <w:szCs w:val="16"/>
                <w:u w:color="1C1D1E"/>
                <w:shd w:val="clear" w:color="auto" w:fill="FFFFFF"/>
              </w:rPr>
              <w:t>‡</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Menstrual cycle regularity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&lt;0.01</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Regular</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576 (66.6)</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53 (50.0)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Irregular</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289 (33.4)</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53 (50.0)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Parity</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0.95</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Nulliparous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560 (64.7)</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67 (63.2)</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Primiparous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232 (26.8)</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30 (28.3)</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Multiparous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73 (8.4)</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9 (8.5)</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Previous history of GDM</w:t>
            </w:r>
            <w:r>
              <w:rPr>
                <w:rStyle w:val="None"/>
                <w:rFonts w:ascii="Times New Roman" w:hAnsi="Times New Roman"/>
                <w:sz w:val="16"/>
                <w:szCs w:val="16"/>
                <w:shd w:val="clear" w:color="auto" w:fill="FEFB00"/>
              </w:rPr>
              <w:t>¶</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490 (50.4)</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shd w:val="clear" w:color="auto" w:fill="FEFB00"/>
              </w:rPr>
              <w:t xml:space="preserve">0.06 </w:t>
            </w:r>
            <w:r>
              <w:rPr>
                <w:rStyle w:val="None"/>
                <w:rFonts w:ascii="Times New Roman" w:hAnsi="Times New Roman"/>
                <w:sz w:val="16"/>
                <w:szCs w:val="16"/>
                <w:shd w:val="clear" w:color="auto" w:fill="FEFB00"/>
              </w:rPr>
              <w:t>¶</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No</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411 (95.8)</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55 (90.2)</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Yes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18 (4.2)</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6 (9.8)</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History of hypertension</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0.08</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No</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861 (99.5)</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104 (98.1)</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Yes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4 (0.5)</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 (1.9)</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10"/>
        </w:trPr>
        <w:tc>
          <w:tcPr>
            <w:tcW w:w="3244" w:type="dxa"/>
            <w:gridSpan w:val="2"/>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b/>
                <w:bCs/>
                <w:sz w:val="16"/>
                <w:szCs w:val="16"/>
              </w:rPr>
              <w:t>Family history of diabetes</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NoSpacing"/>
              <w:jc w:val="center"/>
            </w:pPr>
            <w:r>
              <w:rPr>
                <w:rStyle w:val="None"/>
                <w:rFonts w:ascii="Times New Roman" w:hAnsi="Times New Roman"/>
                <w:sz w:val="16"/>
                <w:szCs w:val="16"/>
              </w:rPr>
              <w:t>971 (100.0)</w:t>
            </w:r>
          </w:p>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0.33</w:t>
            </w:r>
          </w:p>
        </w:tc>
      </w:tr>
      <w:tr w:rsidR="00411AA5">
        <w:trPr>
          <w:trHeight w:val="310"/>
        </w:trPr>
        <w:tc>
          <w:tcPr>
            <w:tcW w:w="226" w:type="dxa"/>
            <w:tcBorders>
              <w:top w:val="nil"/>
              <w:left w:val="nil"/>
              <w:bottom w:val="nil"/>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No</w:t>
            </w:r>
          </w:p>
        </w:tc>
        <w:tc>
          <w:tcPr>
            <w:tcW w:w="1685" w:type="dxa"/>
            <w:tcBorders>
              <w:top w:val="nil"/>
              <w:left w:val="nil"/>
              <w:bottom w:val="nil"/>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611 (70.6)</w:t>
            </w:r>
          </w:p>
        </w:tc>
        <w:tc>
          <w:tcPr>
            <w:tcW w:w="1520"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70 (66.0)</w:t>
            </w:r>
          </w:p>
        </w:tc>
        <w:tc>
          <w:tcPr>
            <w:tcW w:w="731" w:type="dxa"/>
            <w:tcBorders>
              <w:top w:val="nil"/>
              <w:left w:val="nil"/>
              <w:bottom w:val="nil"/>
              <w:right w:val="nil"/>
            </w:tcBorders>
            <w:shd w:val="clear" w:color="auto" w:fill="auto"/>
            <w:tcMar>
              <w:top w:w="80" w:type="dxa"/>
              <w:left w:w="80" w:type="dxa"/>
              <w:bottom w:w="80" w:type="dxa"/>
              <w:right w:w="80" w:type="dxa"/>
            </w:tcMar>
            <w:vAlign w:val="center"/>
          </w:tcPr>
          <w:p w:rsidR="00411AA5" w:rsidRDefault="00411AA5"/>
        </w:tc>
      </w:tr>
      <w:tr w:rsidR="00411AA5">
        <w:trPr>
          <w:trHeight w:val="305"/>
        </w:trPr>
        <w:tc>
          <w:tcPr>
            <w:tcW w:w="22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411AA5" w:rsidRDefault="00411AA5"/>
        </w:tc>
        <w:tc>
          <w:tcPr>
            <w:tcW w:w="30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AA5" w:rsidRDefault="004819B5">
            <w:pPr>
              <w:pStyle w:val="NoSpacing"/>
            </w:pPr>
            <w:r>
              <w:rPr>
                <w:rStyle w:val="None"/>
                <w:rFonts w:ascii="Times New Roman" w:hAnsi="Times New Roman"/>
                <w:sz w:val="16"/>
                <w:szCs w:val="16"/>
              </w:rPr>
              <w:t>Yes</w:t>
            </w:r>
          </w:p>
        </w:tc>
        <w:tc>
          <w:tcPr>
            <w:tcW w:w="1685"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18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254 (29.4)</w:t>
            </w:r>
          </w:p>
        </w:tc>
        <w:tc>
          <w:tcPr>
            <w:tcW w:w="15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AA5" w:rsidRDefault="004819B5">
            <w:pPr>
              <w:pStyle w:val="NoSpacing"/>
              <w:jc w:val="center"/>
            </w:pPr>
            <w:r>
              <w:rPr>
                <w:rStyle w:val="None"/>
                <w:rFonts w:ascii="Times New Roman" w:hAnsi="Times New Roman"/>
                <w:sz w:val="16"/>
                <w:szCs w:val="16"/>
              </w:rPr>
              <w:t>36 (34.0)</w:t>
            </w:r>
          </w:p>
        </w:tc>
        <w:tc>
          <w:tcPr>
            <w:tcW w:w="73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411AA5" w:rsidRDefault="00411AA5"/>
        </w:tc>
      </w:tr>
    </w:tbl>
    <w:p w:rsidR="00411AA5" w:rsidRDefault="00411AA5">
      <w:pPr>
        <w:pStyle w:val="BodyA"/>
        <w:widowControl w:val="0"/>
        <w:spacing w:line="240" w:lineRule="auto"/>
        <w:ind w:left="1296" w:hanging="1296"/>
        <w:rPr>
          <w:rStyle w:val="None"/>
          <w:rFonts w:ascii="Times New Roman" w:eastAsia="Times New Roman" w:hAnsi="Times New Roman" w:cs="Times New Roman"/>
          <w:sz w:val="20"/>
          <w:szCs w:val="20"/>
        </w:rPr>
      </w:pPr>
    </w:p>
    <w:p w:rsidR="00411AA5" w:rsidRDefault="00411AA5">
      <w:pPr>
        <w:pStyle w:val="BodyA"/>
        <w:widowControl w:val="0"/>
        <w:spacing w:line="240" w:lineRule="auto"/>
        <w:ind w:left="1188" w:hanging="1188"/>
        <w:rPr>
          <w:rFonts w:ascii="Times New Roman" w:eastAsia="Times New Roman" w:hAnsi="Times New Roman" w:cs="Times New Roman"/>
          <w:sz w:val="20"/>
          <w:szCs w:val="20"/>
        </w:rPr>
      </w:pPr>
    </w:p>
    <w:p w:rsidR="00411AA5" w:rsidRDefault="004819B5">
      <w:pPr>
        <w:pStyle w:val="NoSpacing"/>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0"/>
          <w:szCs w:val="20"/>
        </w:rPr>
        <w:br/>
      </w:r>
      <w:r>
        <w:rPr>
          <w:rStyle w:val="None"/>
          <w:rFonts w:ascii="Times New Roman" w:hAnsi="Times New Roman"/>
          <w:color w:val="1C1D1E"/>
          <w:sz w:val="18"/>
          <w:szCs w:val="18"/>
          <w:u w:color="1C1D1E"/>
        </w:rPr>
        <w:t>†</w:t>
      </w:r>
      <w:r>
        <w:rPr>
          <w:rStyle w:val="None"/>
          <w:rFonts w:ascii="Times New Roman" w:hAnsi="Times New Roman"/>
          <w:sz w:val="18"/>
          <w:szCs w:val="18"/>
        </w:rPr>
        <w:t xml:space="preserve"> Total sample size (n) is not always 971 due to the missing values</w:t>
      </w:r>
    </w:p>
    <w:p w:rsidR="00411AA5" w:rsidRDefault="004819B5">
      <w:pPr>
        <w:pStyle w:val="NoSpacing"/>
        <w:rPr>
          <w:rStyle w:val="None"/>
          <w:rFonts w:ascii="Times New Roman" w:eastAsia="Times New Roman" w:hAnsi="Times New Roman" w:cs="Times New Roman"/>
          <w:sz w:val="18"/>
          <w:szCs w:val="18"/>
        </w:rPr>
      </w:pPr>
      <w:r>
        <w:rPr>
          <w:rStyle w:val="None"/>
          <w:rFonts w:ascii="Times New Roman" w:hAnsi="Times New Roman"/>
          <w:color w:val="1C1D1E"/>
          <w:sz w:val="18"/>
          <w:szCs w:val="18"/>
          <w:u w:color="1C1D1E"/>
        </w:rPr>
        <w:t>‡</w:t>
      </w:r>
      <w:r>
        <w:rPr>
          <w:rStyle w:val="None"/>
          <w:rFonts w:ascii="Times New Roman" w:hAnsi="Times New Roman"/>
          <w:sz w:val="18"/>
          <w:szCs w:val="18"/>
        </w:rPr>
        <w:t xml:space="preserve"> n (%)</w:t>
      </w:r>
    </w:p>
    <w:p w:rsidR="00411AA5" w:rsidRDefault="004819B5">
      <w:pPr>
        <w:pStyle w:val="NoSpacing"/>
        <w:rPr>
          <w:rStyle w:val="None"/>
          <w:rFonts w:ascii="Times New Roman" w:eastAsia="Times New Roman" w:hAnsi="Times New Roman" w:cs="Times New Roman"/>
          <w:sz w:val="18"/>
          <w:szCs w:val="18"/>
        </w:rPr>
      </w:pPr>
      <w:r>
        <w:rPr>
          <w:rStyle w:val="None"/>
          <w:rFonts w:ascii="Times New Roman" w:hAnsi="Times New Roman"/>
          <w:color w:val="1C1D1E"/>
          <w:sz w:val="18"/>
          <w:szCs w:val="18"/>
          <w:u w:color="1C1D1E"/>
        </w:rPr>
        <w:t>§</w:t>
      </w:r>
      <w:r>
        <w:rPr>
          <w:rStyle w:val="None"/>
          <w:rFonts w:ascii="Times New Roman" w:hAnsi="Times New Roman"/>
          <w:sz w:val="18"/>
          <w:szCs w:val="18"/>
        </w:rPr>
        <w:t xml:space="preserve"> Mean </w:t>
      </w:r>
      <w:r>
        <w:rPr>
          <w:rStyle w:val="None"/>
          <w:rFonts w:ascii="Times New Roman" w:hAnsi="Times New Roman"/>
          <w:sz w:val="18"/>
          <w:szCs w:val="18"/>
        </w:rPr>
        <w:t xml:space="preserve">± </w:t>
      </w:r>
      <w:r>
        <w:rPr>
          <w:rStyle w:val="None"/>
          <w:rFonts w:ascii="Times New Roman" w:hAnsi="Times New Roman"/>
          <w:sz w:val="18"/>
          <w:szCs w:val="18"/>
        </w:rPr>
        <w:t>SD</w:t>
      </w:r>
    </w:p>
    <w:p w:rsidR="00411AA5" w:rsidRDefault="004819B5">
      <w:pPr>
        <w:pStyle w:val="NoSpacing"/>
        <w:rPr>
          <w:rStyle w:val="None"/>
          <w:rFonts w:ascii="Times New Roman" w:eastAsia="Times New Roman" w:hAnsi="Times New Roman" w:cs="Times New Roman"/>
          <w:sz w:val="18"/>
          <w:szCs w:val="18"/>
        </w:rPr>
      </w:pPr>
      <w:r>
        <w:rPr>
          <w:rStyle w:val="None"/>
          <w:rFonts w:ascii="Times New Roman" w:hAnsi="Times New Roman"/>
          <w:sz w:val="18"/>
          <w:szCs w:val="18"/>
        </w:rPr>
        <w:t xml:space="preserve">¶ </w:t>
      </w:r>
      <w:r>
        <w:rPr>
          <w:rStyle w:val="None"/>
          <w:rFonts w:ascii="Times New Roman" w:hAnsi="Times New Roman"/>
          <w:sz w:val="18"/>
          <w:szCs w:val="18"/>
        </w:rPr>
        <w:t xml:space="preserve">Excluding nulliparous women </w:t>
      </w:r>
    </w:p>
    <w:p w:rsidR="00411AA5" w:rsidRDefault="004819B5">
      <w:pPr>
        <w:pStyle w:val="NoSpacing"/>
        <w:sectPr w:rsidR="00411AA5">
          <w:headerReference w:type="default" r:id="rId9"/>
          <w:footerReference w:type="default" r:id="rId10"/>
          <w:pgSz w:w="11900" w:h="16840"/>
          <w:pgMar w:top="1440" w:right="1440" w:bottom="1440" w:left="1440" w:header="709" w:footer="709" w:gutter="0"/>
          <w:cols w:space="720"/>
        </w:sectPr>
      </w:pPr>
      <w:r>
        <w:rPr>
          <w:rStyle w:val="None"/>
          <w:rFonts w:ascii="Times New Roman" w:hAnsi="Times New Roman"/>
          <w:sz w:val="18"/>
          <w:szCs w:val="18"/>
        </w:rPr>
        <w:t>GDM, Gestational diabetes mellitus.</w:t>
      </w:r>
    </w:p>
    <w:p w:rsidR="00411AA5" w:rsidRDefault="004819B5">
      <w:pPr>
        <w:pStyle w:val="NoSpacing"/>
        <w:rPr>
          <w:rStyle w:val="None"/>
          <w:rFonts w:ascii="Times New Roman" w:eastAsia="Times New Roman" w:hAnsi="Times New Roman" w:cs="Times New Roman"/>
          <w:sz w:val="20"/>
          <w:szCs w:val="20"/>
        </w:rPr>
      </w:pPr>
      <w:r>
        <w:rPr>
          <w:rStyle w:val="None"/>
          <w:rFonts w:ascii="Times New Roman" w:hAnsi="Times New Roman"/>
          <w:b/>
          <w:bCs/>
          <w:sz w:val="20"/>
          <w:szCs w:val="20"/>
        </w:rPr>
        <w:lastRenderedPageBreak/>
        <w:t>Table 2.</w:t>
      </w:r>
      <w:r>
        <w:rPr>
          <w:rStyle w:val="None"/>
          <w:rFonts w:ascii="Times New Roman" w:hAnsi="Times New Roman"/>
          <w:sz w:val="20"/>
          <w:szCs w:val="20"/>
        </w:rPr>
        <w:t xml:space="preserve"> Associations of anthropometric and HbA1c z-scores with glucose outcomes in reproductive age women</w:t>
      </w:r>
    </w:p>
    <w:tbl>
      <w:tblPr>
        <w:tblW w:w="9019"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1"/>
        <w:gridCol w:w="1005"/>
        <w:gridCol w:w="1054"/>
        <w:gridCol w:w="676"/>
        <w:gridCol w:w="1050"/>
        <w:gridCol w:w="969"/>
        <w:gridCol w:w="643"/>
        <w:gridCol w:w="962"/>
        <w:gridCol w:w="936"/>
        <w:gridCol w:w="633"/>
      </w:tblGrid>
      <w:tr w:rsidR="00411AA5">
        <w:trPr>
          <w:trHeight w:val="483"/>
        </w:trPr>
        <w:tc>
          <w:tcPr>
            <w:tcW w:w="10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10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FPG</w:t>
            </w:r>
          </w:p>
        </w:tc>
        <w:tc>
          <w:tcPr>
            <w:tcW w:w="10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6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10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2hPG</w:t>
            </w:r>
          </w:p>
        </w:tc>
        <w:tc>
          <w:tcPr>
            <w:tcW w:w="9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6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189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Dysglycemia</w:t>
            </w:r>
          </w:p>
        </w:tc>
        <w:tc>
          <w:tcPr>
            <w:tcW w:w="6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r>
      <w:tr w:rsidR="00411AA5">
        <w:trPr>
          <w:trHeight w:val="793"/>
        </w:trPr>
        <w:tc>
          <w:tcPr>
            <w:tcW w:w="10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z-scores</w:t>
            </w:r>
          </w:p>
        </w:tc>
        <w:tc>
          <w:tcPr>
            <w:tcW w:w="10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1 </w:t>
            </w:r>
            <w:r>
              <w:rPr>
                <w:rStyle w:val="None"/>
                <w:rFonts w:ascii="Times New Roman" w:eastAsia="Times New Roman" w:hAnsi="Times New Roman" w:cs="Times New Roman"/>
                <w:b/>
                <w:bCs/>
                <w:sz w:val="16"/>
                <w:szCs w:val="16"/>
              </w:rPr>
              <w:br/>
              <w:t xml:space="preserve">β </w:t>
            </w:r>
            <w:r>
              <w:rPr>
                <w:rStyle w:val="None"/>
                <w:rFonts w:ascii="Times New Roman" w:hAnsi="Times New Roman"/>
                <w:b/>
                <w:bCs/>
                <w:sz w:val="16"/>
                <w:szCs w:val="16"/>
              </w:rPr>
              <w:t>(95% CI)</w:t>
            </w:r>
            <w:r>
              <w:rPr>
                <w:rStyle w:val="None"/>
                <w:rFonts w:ascii="Times New Roman" w:hAnsi="Times New Roman"/>
                <w:sz w:val="16"/>
                <w:szCs w:val="16"/>
              </w:rPr>
              <w:t xml:space="preserve"> </w:t>
            </w:r>
          </w:p>
        </w:tc>
        <w:tc>
          <w:tcPr>
            <w:tcW w:w="10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2 </w:t>
            </w:r>
            <w:r>
              <w:rPr>
                <w:rStyle w:val="None"/>
                <w:rFonts w:ascii="Times New Roman" w:eastAsia="Times New Roman" w:hAnsi="Times New Roman" w:cs="Times New Roman"/>
                <w:b/>
                <w:bCs/>
                <w:sz w:val="16"/>
                <w:szCs w:val="16"/>
              </w:rPr>
              <w:br/>
              <w:t xml:space="preserve">β </w:t>
            </w:r>
            <w:r>
              <w:rPr>
                <w:rStyle w:val="None"/>
                <w:rFonts w:ascii="Times New Roman" w:hAnsi="Times New Roman"/>
                <w:b/>
                <w:bCs/>
                <w:sz w:val="16"/>
                <w:szCs w:val="16"/>
              </w:rPr>
              <w:t>(95% CI)</w:t>
            </w:r>
          </w:p>
        </w:tc>
        <w:tc>
          <w:tcPr>
            <w:tcW w:w="6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Adj R</w:t>
            </w:r>
            <w:r>
              <w:rPr>
                <w:rStyle w:val="None"/>
                <w:rFonts w:ascii="Times New Roman" w:hAnsi="Times New Roman"/>
                <w:b/>
                <w:bCs/>
                <w:sz w:val="16"/>
                <w:szCs w:val="16"/>
                <w:vertAlign w:val="superscript"/>
              </w:rPr>
              <w:t xml:space="preserve">2 </w:t>
            </w:r>
            <w:r>
              <w:rPr>
                <w:rStyle w:val="None"/>
                <w:rFonts w:ascii="Times New Roman" w:hAnsi="Times New Roman"/>
                <w:b/>
                <w:bCs/>
                <w:sz w:val="16"/>
                <w:szCs w:val="16"/>
              </w:rPr>
              <w:t>(%)</w:t>
            </w:r>
          </w:p>
        </w:tc>
        <w:tc>
          <w:tcPr>
            <w:tcW w:w="10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1 </w:t>
            </w:r>
            <w:r>
              <w:rPr>
                <w:rStyle w:val="None"/>
                <w:rFonts w:ascii="Times New Roman" w:eastAsia="Times New Roman" w:hAnsi="Times New Roman" w:cs="Times New Roman"/>
                <w:b/>
                <w:bCs/>
                <w:sz w:val="16"/>
                <w:szCs w:val="16"/>
              </w:rPr>
              <w:br/>
              <w:t xml:space="preserve">β </w:t>
            </w:r>
            <w:r>
              <w:rPr>
                <w:rStyle w:val="None"/>
                <w:rFonts w:ascii="Times New Roman" w:hAnsi="Times New Roman"/>
                <w:b/>
                <w:bCs/>
                <w:sz w:val="16"/>
                <w:szCs w:val="16"/>
              </w:rPr>
              <w:t>(95% CI)</w:t>
            </w:r>
            <w:r>
              <w:rPr>
                <w:rStyle w:val="None"/>
                <w:rFonts w:ascii="Times New Roman" w:hAnsi="Times New Roman"/>
                <w:sz w:val="16"/>
                <w:szCs w:val="16"/>
              </w:rPr>
              <w:t xml:space="preserve"> </w:t>
            </w:r>
          </w:p>
        </w:tc>
        <w:tc>
          <w:tcPr>
            <w:tcW w:w="9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2 </w:t>
            </w:r>
            <w:r>
              <w:rPr>
                <w:rStyle w:val="None"/>
                <w:rFonts w:ascii="Times New Roman" w:eastAsia="Times New Roman" w:hAnsi="Times New Roman" w:cs="Times New Roman"/>
                <w:b/>
                <w:bCs/>
                <w:sz w:val="16"/>
                <w:szCs w:val="16"/>
              </w:rPr>
              <w:br/>
              <w:t xml:space="preserve">β </w:t>
            </w:r>
            <w:r>
              <w:rPr>
                <w:rStyle w:val="None"/>
                <w:rFonts w:ascii="Times New Roman" w:hAnsi="Times New Roman"/>
                <w:b/>
                <w:bCs/>
                <w:sz w:val="16"/>
                <w:szCs w:val="16"/>
              </w:rPr>
              <w:t>(95% CI)</w:t>
            </w:r>
          </w:p>
        </w:tc>
        <w:tc>
          <w:tcPr>
            <w:tcW w:w="6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Adj R</w:t>
            </w:r>
            <w:r>
              <w:rPr>
                <w:rStyle w:val="None"/>
                <w:rFonts w:ascii="Times New Roman" w:hAnsi="Times New Roman"/>
                <w:b/>
                <w:bCs/>
                <w:sz w:val="16"/>
                <w:szCs w:val="16"/>
                <w:vertAlign w:val="superscript"/>
              </w:rPr>
              <w:t xml:space="preserve">2 </w:t>
            </w:r>
            <w:r>
              <w:rPr>
                <w:rStyle w:val="None"/>
                <w:rFonts w:ascii="Times New Roman" w:hAnsi="Times New Roman"/>
                <w:b/>
                <w:bCs/>
                <w:sz w:val="16"/>
                <w:szCs w:val="16"/>
              </w:rPr>
              <w:t>(%)</w:t>
            </w:r>
          </w:p>
        </w:tc>
        <w:tc>
          <w:tcPr>
            <w:tcW w:w="9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1 </w:t>
            </w:r>
            <w:r>
              <w:rPr>
                <w:rStyle w:val="None"/>
                <w:rFonts w:ascii="Times New Roman" w:eastAsia="Times New Roman" w:hAnsi="Times New Roman" w:cs="Times New Roman"/>
                <w:b/>
                <w:bCs/>
                <w:sz w:val="16"/>
                <w:szCs w:val="16"/>
              </w:rPr>
              <w:br/>
            </w:r>
            <w:r>
              <w:rPr>
                <w:rStyle w:val="None"/>
                <w:rFonts w:ascii="Times New Roman" w:hAnsi="Times New Roman"/>
                <w:b/>
                <w:bCs/>
                <w:sz w:val="16"/>
                <w:szCs w:val="16"/>
              </w:rPr>
              <w:t>OR (95% CI)</w:t>
            </w:r>
            <w:r>
              <w:rPr>
                <w:rStyle w:val="None"/>
                <w:rFonts w:ascii="Times New Roman" w:hAnsi="Times New Roman"/>
                <w:sz w:val="16"/>
                <w:szCs w:val="16"/>
              </w:rPr>
              <w:t xml:space="preserve"> </w:t>
            </w:r>
          </w:p>
        </w:tc>
        <w:tc>
          <w:tcPr>
            <w:tcW w:w="9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 xml:space="preserve">Analysis 2 </w:t>
            </w:r>
            <w:r>
              <w:rPr>
                <w:rStyle w:val="None"/>
                <w:rFonts w:ascii="Times New Roman" w:eastAsia="Times New Roman" w:hAnsi="Times New Roman" w:cs="Times New Roman"/>
                <w:b/>
                <w:bCs/>
                <w:sz w:val="16"/>
                <w:szCs w:val="16"/>
              </w:rPr>
              <w:br/>
            </w:r>
            <w:r>
              <w:rPr>
                <w:rStyle w:val="None"/>
                <w:rFonts w:ascii="Times New Roman" w:hAnsi="Times New Roman"/>
                <w:b/>
                <w:bCs/>
                <w:sz w:val="16"/>
                <w:szCs w:val="16"/>
              </w:rPr>
              <w:t>OR (95% CI)</w:t>
            </w:r>
          </w:p>
        </w:tc>
        <w:tc>
          <w:tcPr>
            <w:tcW w:w="6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Adj R</w:t>
            </w:r>
            <w:r>
              <w:rPr>
                <w:rStyle w:val="None"/>
                <w:rFonts w:ascii="Times New Roman" w:hAnsi="Times New Roman"/>
                <w:b/>
                <w:bCs/>
                <w:sz w:val="16"/>
                <w:szCs w:val="16"/>
                <w:vertAlign w:val="superscript"/>
              </w:rPr>
              <w:t xml:space="preserve">2 </w:t>
            </w:r>
            <w:r>
              <w:rPr>
                <w:rStyle w:val="None"/>
                <w:rFonts w:ascii="Times New Roman" w:hAnsi="Times New Roman"/>
                <w:b/>
                <w:bCs/>
                <w:sz w:val="16"/>
                <w:szCs w:val="16"/>
              </w:rPr>
              <w:t>(%)</w:t>
            </w:r>
          </w:p>
        </w:tc>
      </w:tr>
      <w:tr w:rsidR="00411AA5">
        <w:trPr>
          <w:trHeight w:val="558"/>
        </w:trPr>
        <w:tc>
          <w:tcPr>
            <w:tcW w:w="1091"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BMI</w:t>
            </w:r>
          </w:p>
        </w:tc>
        <w:tc>
          <w:tcPr>
            <w:tcW w:w="1005"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0.18 (0.13, 0.23)</w:t>
            </w:r>
          </w:p>
        </w:tc>
        <w:tc>
          <w:tcPr>
            <w:tcW w:w="1054"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0.18 (0.13, 0.23)</w:t>
            </w:r>
          </w:p>
        </w:tc>
        <w:tc>
          <w:tcPr>
            <w:tcW w:w="676"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9.6</w:t>
            </w:r>
          </w:p>
        </w:tc>
        <w:tc>
          <w:tcPr>
            <w:tcW w:w="1050"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0.53 (0.40, 0.66)</w:t>
            </w:r>
          </w:p>
        </w:tc>
        <w:tc>
          <w:tcPr>
            <w:tcW w:w="969"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0.51 (0.37, 0.66)</w:t>
            </w:r>
          </w:p>
        </w:tc>
        <w:tc>
          <w:tcPr>
            <w:tcW w:w="643"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10.5</w:t>
            </w:r>
          </w:p>
        </w:tc>
        <w:tc>
          <w:tcPr>
            <w:tcW w:w="962"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1.60 (1.32-1.93)</w:t>
            </w:r>
          </w:p>
        </w:tc>
        <w:tc>
          <w:tcPr>
            <w:tcW w:w="936"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1.62 (1.32-1.99)</w:t>
            </w:r>
          </w:p>
        </w:tc>
        <w:tc>
          <w:tcPr>
            <w:tcW w:w="633"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8.1</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Waist Circumference</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0.16 (0.11, 0.21)</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0.15 (0.10, 0.20)</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8.3</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 xml:space="preserve">0.47 </w:t>
            </w:r>
            <w:r>
              <w:rPr>
                <w:rStyle w:val="None"/>
                <w:rFonts w:ascii="Times New Roman" w:hAnsi="Times New Roman"/>
                <w:sz w:val="16"/>
                <w:szCs w:val="16"/>
              </w:rPr>
              <w:t>(0.33, 0.60)</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0.45 (0.31, 0.59)</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9.5</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1.55 (1.27-1.89)</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1.59 (1.28-1.98)</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7.5</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Hip Circumference</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0.14 (0.09, 0.19)</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0.13 (0.08, 0.18)</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7.6</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0.35 (0.21, 0.48)</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0.32 (0.18, 0.46)</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7.7</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1.34 (1.10-1.63)</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1.32 (1.06-1.63)</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5.9</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Waist-to-hip ratio</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0.09 (0.04, 0.13)</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 xml:space="preserve">0.08 </w:t>
            </w:r>
            <w:r>
              <w:rPr>
                <w:rStyle w:val="None"/>
                <w:rFonts w:ascii="Times New Roman" w:hAnsi="Times New Roman"/>
                <w:sz w:val="16"/>
                <w:szCs w:val="16"/>
              </w:rPr>
              <w:t>(0.03, 0.13)</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6.0</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0.35 (0.22, 0.48)</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0.33 (0.20, 0.46)</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8.1</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1.55 (1.25-1.92)</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1.60 (1.28-2.00)</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7.5</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Waist-to-height ratio</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0.17 (0.12, 0.22)</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0.17 (0.11, 0.22)</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8.8</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0.53 (0.40, 0.67)</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0.53 (0.38, 0.67)</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10.6</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1.66 (1.36-2.03)</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1.74 (1.39-2.17)</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8.4</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ABSI</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 xml:space="preserve">-0.02 </w:t>
            </w:r>
            <w:r>
              <w:rPr>
                <w:rStyle w:val="None"/>
                <w:rFonts w:ascii="Times New Roman" w:hAnsi="Times New Roman"/>
                <w:sz w:val="16"/>
                <w:szCs w:val="16"/>
              </w:rPr>
              <w:t>(-0.07, 0.03)</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-0.03 (-0.07, 0.02)</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5.1</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-0.02 (-0.14, 0.11)</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-0.03 (-0.16, 0.1)</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5.8</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0.95 (0.77-1.17)</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0.96 (0.77-1.18)</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5.0</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Peripheral skinfolds</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0.17 (0.12, 0.21)</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0.15 (0.11, 0.2)</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8.7</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0.57 (0.44, 0.70)</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0.54 (0.40, 0.68)</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11.5</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1.80 (1.47-2.20)</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 xml:space="preserve">1.82 </w:t>
            </w:r>
            <w:r>
              <w:rPr>
                <w:rStyle w:val="None"/>
                <w:rFonts w:ascii="Times New Roman" w:hAnsi="Times New Roman"/>
                <w:sz w:val="16"/>
                <w:szCs w:val="16"/>
              </w:rPr>
              <w:t>(1.46-2.27)</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9.3</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Truncal skinfolds</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0.17 (0.12, 0.21)</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0.15 (0.10, 0.2)</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8.4</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0.57 (0.44, 0.70)</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0.53 (0.39, 0.66)</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11.8</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1.94 (1.57-2.40)</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1.95 (1.56-2.45)</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10.5</w:t>
            </w:r>
          </w:p>
        </w:tc>
      </w:tr>
      <w:tr w:rsidR="00411AA5">
        <w:trPr>
          <w:trHeight w:val="55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Total skinfolds</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0.17 (0.12, 0.22)</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0.16 (0.11, 0.2)</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8.5</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0.59 (0.46, 0.72)</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0.56 (0.42, 0.69)</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12.3</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1.97 (1.59-2.44)</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2.02 (1.60-2.55)</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10.8</w:t>
            </w:r>
          </w:p>
        </w:tc>
      </w:tr>
      <w:tr w:rsidR="00411AA5">
        <w:trPr>
          <w:trHeight w:val="733"/>
        </w:trPr>
        <w:tc>
          <w:tcPr>
            <w:tcW w:w="109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rPr>
                <w:rStyle w:val="None"/>
                <w:rFonts w:ascii="Times New Roman" w:eastAsia="Times New Roman" w:hAnsi="Times New Roman" w:cs="Times New Roman"/>
                <w:b/>
                <w:bCs/>
                <w:sz w:val="16"/>
                <w:szCs w:val="16"/>
              </w:rPr>
            </w:pPr>
            <w:r>
              <w:rPr>
                <w:rStyle w:val="None"/>
                <w:rFonts w:ascii="Times New Roman" w:hAnsi="Times New Roman"/>
                <w:b/>
                <w:bCs/>
                <w:sz w:val="16"/>
                <w:szCs w:val="16"/>
              </w:rPr>
              <w:t>Subscapular-to-</w:t>
            </w:r>
          </w:p>
          <w:p w:rsidR="00411AA5" w:rsidRDefault="004819B5">
            <w:pPr>
              <w:pStyle w:val="BodyA"/>
              <w:spacing w:after="0" w:line="240" w:lineRule="auto"/>
            </w:pPr>
            <w:r>
              <w:rPr>
                <w:rStyle w:val="None"/>
                <w:rFonts w:ascii="Times New Roman" w:hAnsi="Times New Roman"/>
                <w:b/>
                <w:bCs/>
                <w:sz w:val="16"/>
                <w:szCs w:val="16"/>
              </w:rPr>
              <w:t>triceps ratio</w:t>
            </w:r>
          </w:p>
        </w:tc>
        <w:tc>
          <w:tcPr>
            <w:tcW w:w="1005"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0.11 (0.07, 0.16)</w:t>
            </w:r>
          </w:p>
        </w:tc>
        <w:tc>
          <w:tcPr>
            <w:tcW w:w="105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0.12 (0.07, 0.16)</w:t>
            </w:r>
          </w:p>
        </w:tc>
        <w:tc>
          <w:tcPr>
            <w:tcW w:w="67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7.1</w:t>
            </w:r>
          </w:p>
        </w:tc>
        <w:tc>
          <w:tcPr>
            <w:tcW w:w="105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0.34 (0.21, 0.47)</w:t>
            </w:r>
          </w:p>
        </w:tc>
        <w:tc>
          <w:tcPr>
            <w:tcW w:w="969"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0.34 (0.21, 0.47)</w:t>
            </w:r>
          </w:p>
        </w:tc>
        <w:tc>
          <w:tcPr>
            <w:tcW w:w="64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8.8</w:t>
            </w:r>
          </w:p>
        </w:tc>
        <w:tc>
          <w:tcPr>
            <w:tcW w:w="962"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1.50 (1.23-1.83)</w:t>
            </w:r>
          </w:p>
        </w:tc>
        <w:tc>
          <w:tcPr>
            <w:tcW w:w="93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1.53 (1.25-1.87)</w:t>
            </w:r>
          </w:p>
        </w:tc>
        <w:tc>
          <w:tcPr>
            <w:tcW w:w="6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7.6</w:t>
            </w:r>
          </w:p>
        </w:tc>
      </w:tr>
      <w:tr w:rsidR="00411AA5">
        <w:trPr>
          <w:trHeight w:val="548"/>
        </w:trPr>
        <w:tc>
          <w:tcPr>
            <w:tcW w:w="1091"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b/>
                <w:bCs/>
                <w:sz w:val="16"/>
                <w:szCs w:val="16"/>
              </w:rPr>
              <w:t>HbA1c</w:t>
            </w:r>
          </w:p>
        </w:tc>
        <w:tc>
          <w:tcPr>
            <w:tcW w:w="1005"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0.59 (0.56, 0.62)</w:t>
            </w:r>
          </w:p>
        </w:tc>
        <w:tc>
          <w:tcPr>
            <w:tcW w:w="1054"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0.58 (0.55, 0.61)</w:t>
            </w:r>
          </w:p>
        </w:tc>
        <w:tc>
          <w:tcPr>
            <w:tcW w:w="676"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62.5</w:t>
            </w:r>
          </w:p>
        </w:tc>
        <w:tc>
          <w:tcPr>
            <w:tcW w:w="1050"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 xml:space="preserve">1.41 (1.31, </w:t>
            </w:r>
            <w:r>
              <w:rPr>
                <w:rStyle w:val="None"/>
                <w:rFonts w:ascii="Times New Roman" w:hAnsi="Times New Roman"/>
                <w:sz w:val="16"/>
                <w:szCs w:val="16"/>
              </w:rPr>
              <w:t>1.51)</w:t>
            </w:r>
          </w:p>
        </w:tc>
        <w:tc>
          <w:tcPr>
            <w:tcW w:w="969"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1.39 (1.29, 1.49)</w:t>
            </w:r>
          </w:p>
        </w:tc>
        <w:tc>
          <w:tcPr>
            <w:tcW w:w="643"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47.7</w:t>
            </w:r>
          </w:p>
        </w:tc>
        <w:tc>
          <w:tcPr>
            <w:tcW w:w="962"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3.84 (2.69-5.47)</w:t>
            </w:r>
          </w:p>
        </w:tc>
        <w:tc>
          <w:tcPr>
            <w:tcW w:w="936"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4.09 (2.81-5.94)</w:t>
            </w:r>
          </w:p>
        </w:tc>
        <w:tc>
          <w:tcPr>
            <w:tcW w:w="633"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spacing w:after="0" w:line="240" w:lineRule="auto"/>
            </w:pPr>
            <w:r>
              <w:rPr>
                <w:rStyle w:val="None"/>
                <w:rFonts w:ascii="Times New Roman" w:hAnsi="Times New Roman"/>
                <w:sz w:val="16"/>
                <w:szCs w:val="16"/>
              </w:rPr>
              <w:t>18.2</w:t>
            </w:r>
          </w:p>
        </w:tc>
      </w:tr>
    </w:tbl>
    <w:p w:rsidR="00411AA5" w:rsidRDefault="00411AA5">
      <w:pPr>
        <w:pStyle w:val="NoSpacing"/>
        <w:widowControl w:val="0"/>
        <w:ind w:left="756" w:hanging="756"/>
        <w:rPr>
          <w:rStyle w:val="None"/>
          <w:rFonts w:ascii="Times New Roman" w:eastAsia="Times New Roman" w:hAnsi="Times New Roman" w:cs="Times New Roman"/>
          <w:sz w:val="20"/>
          <w:szCs w:val="20"/>
        </w:rPr>
      </w:pPr>
    </w:p>
    <w:p w:rsidR="00411AA5" w:rsidRDefault="00411AA5">
      <w:pPr>
        <w:pStyle w:val="NoSpacing"/>
        <w:widowControl w:val="0"/>
        <w:ind w:left="648" w:hanging="648"/>
        <w:rPr>
          <w:rFonts w:ascii="Times New Roman" w:eastAsia="Times New Roman" w:hAnsi="Times New Roman" w:cs="Times New Roman"/>
          <w:sz w:val="20"/>
          <w:szCs w:val="20"/>
        </w:rPr>
      </w:pPr>
    </w:p>
    <w:p w:rsidR="00411AA5" w:rsidRDefault="004819B5">
      <w:pPr>
        <w:pStyle w:val="NoSpacing"/>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br/>
      </w:r>
      <w:r>
        <w:rPr>
          <w:rStyle w:val="None"/>
          <w:rFonts w:ascii="Times New Roman" w:hAnsi="Times New Roman"/>
          <w:sz w:val="20"/>
          <w:szCs w:val="20"/>
        </w:rPr>
        <w:t xml:space="preserve">Regression estimates and odds ratios reflect a 1-SD increase in each index per mmol/L increment in glucose and with dysglycemia compared with normal glucose tolerance, </w:t>
      </w:r>
      <w:r>
        <w:rPr>
          <w:rStyle w:val="None"/>
          <w:rFonts w:ascii="Times New Roman" w:hAnsi="Times New Roman"/>
          <w:sz w:val="20"/>
          <w:szCs w:val="20"/>
        </w:rPr>
        <w:t>respectively.</w:t>
      </w:r>
    </w:p>
    <w:p w:rsidR="00411AA5" w:rsidRDefault="004819B5">
      <w:pPr>
        <w:pStyle w:val="NoSpacing"/>
        <w:rPr>
          <w:rStyle w:val="None"/>
          <w:rFonts w:ascii="Times New Roman" w:eastAsia="Times New Roman" w:hAnsi="Times New Roman" w:cs="Times New Roman"/>
          <w:sz w:val="20"/>
          <w:szCs w:val="20"/>
        </w:rPr>
      </w:pPr>
      <w:r>
        <w:rPr>
          <w:rStyle w:val="None"/>
          <w:rFonts w:ascii="Times New Roman" w:hAnsi="Times New Roman"/>
          <w:sz w:val="20"/>
          <w:szCs w:val="20"/>
        </w:rPr>
        <w:t>Analysis 1: Adjusted for educational level and menstrual cycle regularity</w:t>
      </w:r>
    </w:p>
    <w:p w:rsidR="00411AA5" w:rsidRDefault="004819B5">
      <w:pPr>
        <w:pStyle w:val="NoSpacing"/>
        <w:rPr>
          <w:rStyle w:val="None"/>
          <w:rFonts w:ascii="Times New Roman" w:eastAsia="Times New Roman" w:hAnsi="Times New Roman" w:cs="Times New Roman"/>
          <w:sz w:val="20"/>
          <w:szCs w:val="20"/>
        </w:rPr>
      </w:pPr>
      <w:r>
        <w:rPr>
          <w:rStyle w:val="None"/>
          <w:rFonts w:ascii="Times New Roman" w:hAnsi="Times New Roman"/>
          <w:sz w:val="20"/>
          <w:szCs w:val="20"/>
        </w:rPr>
        <w:t xml:space="preserve">Analysis 2: Adjusted for all covariates in Analysis 1; age, ethnicity, smoking history, shift work, parity, GDM history and family history of diabetes </w:t>
      </w:r>
    </w:p>
    <w:p w:rsidR="00411AA5" w:rsidRDefault="004819B5">
      <w:pPr>
        <w:pStyle w:val="BodyA"/>
        <w:tabs>
          <w:tab w:val="left" w:pos="990"/>
        </w:tabs>
        <w:spacing w:after="0"/>
        <w:outlineLvl w:val="0"/>
        <w:rPr>
          <w:rStyle w:val="None"/>
          <w:rFonts w:ascii="Times New Roman" w:eastAsia="Times New Roman" w:hAnsi="Times New Roman" w:cs="Times New Roman"/>
          <w:sz w:val="20"/>
          <w:szCs w:val="20"/>
        </w:rPr>
      </w:pPr>
      <w:r>
        <w:rPr>
          <w:rStyle w:val="None"/>
          <w:rFonts w:ascii="Times New Roman" w:hAnsi="Times New Roman"/>
          <w:sz w:val="20"/>
          <w:szCs w:val="20"/>
        </w:rPr>
        <w:t>Adjusted R</w:t>
      </w:r>
      <w:r>
        <w:rPr>
          <w:rStyle w:val="None"/>
          <w:rFonts w:ascii="Times New Roman" w:hAnsi="Times New Roman"/>
          <w:sz w:val="20"/>
          <w:szCs w:val="20"/>
          <w:vertAlign w:val="superscript"/>
        </w:rPr>
        <w:t>2</w:t>
      </w:r>
      <w:r>
        <w:rPr>
          <w:rStyle w:val="None"/>
          <w:rFonts w:ascii="Times New Roman" w:hAnsi="Times New Roman"/>
          <w:sz w:val="20"/>
          <w:szCs w:val="20"/>
        </w:rPr>
        <w:t xml:space="preserve">: </w:t>
      </w:r>
      <w:r>
        <w:rPr>
          <w:rStyle w:val="None"/>
          <w:rFonts w:ascii="Times New Roman" w:hAnsi="Times New Roman"/>
          <w:sz w:val="20"/>
          <w:szCs w:val="20"/>
        </w:rPr>
        <w:t>Explained variance for Analysis 2</w:t>
      </w:r>
    </w:p>
    <w:p w:rsidR="00411AA5" w:rsidRDefault="004819B5">
      <w:pPr>
        <w:pStyle w:val="BodyA"/>
        <w:tabs>
          <w:tab w:val="left" w:pos="990"/>
        </w:tabs>
        <w:spacing w:after="0"/>
        <w:rPr>
          <w:rStyle w:val="None"/>
          <w:rFonts w:ascii="Times New Roman" w:eastAsia="Times New Roman" w:hAnsi="Times New Roman" w:cs="Times New Roman"/>
        </w:rPr>
      </w:pPr>
      <w:r>
        <w:rPr>
          <w:rStyle w:val="None"/>
          <w:rFonts w:ascii="Times New Roman" w:hAnsi="Times New Roman"/>
          <w:sz w:val="20"/>
          <w:szCs w:val="20"/>
        </w:rPr>
        <w:t>ABSI, A Body Shape Index; BMI, body mass index; CI, confidence interval; FPG, Fasting plasma glucose; HbA1c, glycated hemoglobin; OR, odds ratio; 2hPG, 2-hour plasma glucose.</w:t>
      </w:r>
    </w:p>
    <w:p w:rsidR="00411AA5" w:rsidRDefault="004819B5">
      <w:pPr>
        <w:pStyle w:val="BodyA"/>
      </w:pPr>
      <w:r>
        <w:rPr>
          <w:rStyle w:val="None"/>
          <w:rFonts w:ascii="Arial Unicode MS" w:hAnsi="Arial Unicode MS"/>
          <w:sz w:val="20"/>
          <w:szCs w:val="20"/>
        </w:rPr>
        <w:br w:type="page"/>
      </w:r>
    </w:p>
    <w:p w:rsidR="00411AA5" w:rsidRDefault="004819B5">
      <w:pPr>
        <w:pStyle w:val="BodyA"/>
        <w:tabs>
          <w:tab w:val="left" w:pos="3261"/>
        </w:tabs>
        <w:spacing w:after="0" w:line="240" w:lineRule="auto"/>
        <w:rPr>
          <w:rStyle w:val="None"/>
          <w:rFonts w:ascii="Times New Roman" w:eastAsia="Times New Roman" w:hAnsi="Times New Roman" w:cs="Times New Roman"/>
          <w:sz w:val="20"/>
          <w:szCs w:val="20"/>
        </w:rPr>
      </w:pPr>
      <w:r>
        <w:rPr>
          <w:rStyle w:val="None"/>
          <w:rFonts w:ascii="Times New Roman" w:hAnsi="Times New Roman"/>
          <w:b/>
          <w:bCs/>
          <w:sz w:val="20"/>
          <w:szCs w:val="20"/>
        </w:rPr>
        <w:lastRenderedPageBreak/>
        <w:t xml:space="preserve">Table 3. </w:t>
      </w:r>
      <w:r>
        <w:rPr>
          <w:rStyle w:val="None"/>
          <w:rFonts w:ascii="Times New Roman" w:hAnsi="Times New Roman"/>
          <w:sz w:val="20"/>
          <w:szCs w:val="20"/>
        </w:rPr>
        <w:t>Clinical utility of different strate</w:t>
      </w:r>
      <w:r>
        <w:rPr>
          <w:rStyle w:val="None"/>
          <w:rFonts w:ascii="Times New Roman" w:hAnsi="Times New Roman"/>
          <w:sz w:val="20"/>
          <w:szCs w:val="20"/>
        </w:rPr>
        <w:t>gies in detecting dysglycemia preconception among 946 Asian women who provided both BMI and HbA1C measures (105 out of 946 women with HbA1c measure had dysglycemia)</w:t>
      </w:r>
    </w:p>
    <w:tbl>
      <w:tblPr>
        <w:tblW w:w="8352" w:type="dxa"/>
        <w:tblInd w:w="1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1"/>
        <w:gridCol w:w="2526"/>
        <w:gridCol w:w="1033"/>
        <w:gridCol w:w="1058"/>
        <w:gridCol w:w="1190"/>
        <w:gridCol w:w="1094"/>
        <w:gridCol w:w="1090"/>
      </w:tblGrid>
      <w:tr w:rsidR="00411AA5">
        <w:trPr>
          <w:trHeight w:val="1772"/>
        </w:trPr>
        <w:tc>
          <w:tcPr>
            <w:tcW w:w="3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25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11AA5"/>
        </w:tc>
        <w:tc>
          <w:tcPr>
            <w:tcW w:w="10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Positive predictive value (%)</w:t>
            </w:r>
          </w:p>
        </w:tc>
        <w:tc>
          <w:tcPr>
            <w:tcW w:w="10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Negative predictive value (%)</w:t>
            </w:r>
          </w:p>
        </w:tc>
        <w:tc>
          <w:tcPr>
            <w:tcW w:w="11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 xml:space="preserve">Number to proceed to OGTT (% </w:t>
            </w:r>
            <w:r>
              <w:rPr>
                <w:rStyle w:val="None"/>
                <w:rFonts w:ascii="Times New Roman" w:hAnsi="Times New Roman"/>
                <w:sz w:val="20"/>
                <w:szCs w:val="20"/>
              </w:rPr>
              <w:t>of all screened)</w:t>
            </w:r>
          </w:p>
        </w:tc>
        <w:tc>
          <w:tcPr>
            <w:tcW w:w="10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Number of dysglycemia identified (% of all dysglycemia)</w:t>
            </w:r>
          </w:p>
        </w:tc>
        <w:tc>
          <w:tcPr>
            <w:tcW w:w="10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Number of dysglycemia cases missed (% of all dysglycemia)</w:t>
            </w:r>
          </w:p>
        </w:tc>
      </w:tr>
      <w:tr w:rsidR="00411AA5">
        <w:trPr>
          <w:trHeight w:val="877"/>
        </w:trPr>
        <w:tc>
          <w:tcPr>
            <w:tcW w:w="361"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1.</w:t>
            </w:r>
          </w:p>
        </w:tc>
        <w:tc>
          <w:tcPr>
            <w:tcW w:w="2526"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HbA1c</w:t>
            </w:r>
            <w:r>
              <w:rPr>
                <w:rStyle w:val="None"/>
                <w:rFonts w:ascii="Times New Roman" w:hAnsi="Times New Roman"/>
                <w:sz w:val="20"/>
                <w:szCs w:val="20"/>
              </w:rPr>
              <w:t>≥</w:t>
            </w:r>
            <w:r>
              <w:rPr>
                <w:rStyle w:val="None"/>
                <w:rFonts w:ascii="Times New Roman" w:hAnsi="Times New Roman"/>
                <w:sz w:val="20"/>
                <w:szCs w:val="20"/>
              </w:rPr>
              <w:t>5.7%</w:t>
            </w:r>
          </w:p>
        </w:tc>
        <w:tc>
          <w:tcPr>
            <w:tcW w:w="1033"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63.4</w:t>
            </w:r>
          </w:p>
        </w:tc>
        <w:tc>
          <w:tcPr>
            <w:tcW w:w="1058"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91.3</w:t>
            </w:r>
          </w:p>
        </w:tc>
        <w:tc>
          <w:tcPr>
            <w:tcW w:w="1190"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41 (4.3%)</w:t>
            </w:r>
          </w:p>
        </w:tc>
        <w:tc>
          <w:tcPr>
            <w:tcW w:w="1094"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26 (24.8%)</w:t>
            </w:r>
          </w:p>
        </w:tc>
        <w:tc>
          <w:tcPr>
            <w:tcW w:w="1090" w:type="dxa"/>
            <w:tcBorders>
              <w:top w:val="single" w:sz="4" w:space="0" w:color="000000"/>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79 (75.2%)</w:t>
            </w:r>
          </w:p>
        </w:tc>
      </w:tr>
      <w:tr w:rsidR="00411AA5">
        <w:trPr>
          <w:trHeight w:val="747"/>
        </w:trPr>
        <w:tc>
          <w:tcPr>
            <w:tcW w:w="36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w:t>
            </w:r>
          </w:p>
        </w:tc>
        <w:tc>
          <w:tcPr>
            <w:tcW w:w="252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BMI</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 xml:space="preserve">2 </w:t>
            </w:r>
            <w:r>
              <w:rPr>
                <w:rStyle w:val="None"/>
                <w:rFonts w:ascii="Times New Roman" w:hAnsi="Times New Roman"/>
                <w:sz w:val="20"/>
                <w:szCs w:val="20"/>
              </w:rPr>
              <w:t>+HbA1c</w:t>
            </w:r>
            <w:r>
              <w:rPr>
                <w:rStyle w:val="None"/>
                <w:rFonts w:ascii="Times New Roman" w:hAnsi="Times New Roman"/>
                <w:sz w:val="20"/>
                <w:szCs w:val="20"/>
              </w:rPr>
              <w:t>≥</w:t>
            </w:r>
            <w:r>
              <w:rPr>
                <w:rStyle w:val="None"/>
                <w:rFonts w:ascii="Times New Roman" w:hAnsi="Times New Roman"/>
                <w:sz w:val="20"/>
                <w:szCs w:val="20"/>
              </w:rPr>
              <w:t>5.7%</w:t>
            </w:r>
          </w:p>
        </w:tc>
        <w:tc>
          <w:tcPr>
            <w:tcW w:w="10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17.6</w:t>
            </w:r>
          </w:p>
        </w:tc>
        <w:tc>
          <w:tcPr>
            <w:tcW w:w="1058"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94.4</w:t>
            </w:r>
          </w:p>
        </w:tc>
        <w:tc>
          <w:tcPr>
            <w:tcW w:w="11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433 (45.8%)</w:t>
            </w:r>
          </w:p>
        </w:tc>
        <w:tc>
          <w:tcPr>
            <w:tcW w:w="109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76 (72.4%)</w:t>
            </w:r>
          </w:p>
        </w:tc>
        <w:tc>
          <w:tcPr>
            <w:tcW w:w="10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 xml:space="preserve">29 </w:t>
            </w:r>
            <w:r>
              <w:rPr>
                <w:rStyle w:val="None"/>
                <w:rFonts w:ascii="Times New Roman" w:hAnsi="Times New Roman"/>
                <w:sz w:val="20"/>
                <w:szCs w:val="20"/>
              </w:rPr>
              <w:t>(27.6%)</w:t>
            </w:r>
          </w:p>
        </w:tc>
      </w:tr>
      <w:tr w:rsidR="00411AA5">
        <w:trPr>
          <w:trHeight w:val="1112"/>
        </w:trPr>
        <w:tc>
          <w:tcPr>
            <w:tcW w:w="36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3.</w:t>
            </w:r>
          </w:p>
        </w:tc>
        <w:tc>
          <w:tcPr>
            <w:tcW w:w="252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 xml:space="preserve">BMI </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2</w:t>
            </w:r>
            <w:r>
              <w:rPr>
                <w:rStyle w:val="None"/>
                <w:rFonts w:ascii="Times New Roman" w:hAnsi="Times New Roman"/>
                <w:sz w:val="20"/>
                <w:szCs w:val="20"/>
              </w:rPr>
              <w:t xml:space="preserve"> </w:t>
            </w:r>
            <w:r>
              <w:rPr>
                <w:rStyle w:val="None"/>
                <w:rFonts w:ascii="Times New Roman" w:hAnsi="Times New Roman"/>
                <w:sz w:val="20"/>
                <w:szCs w:val="20"/>
              </w:rPr>
              <w:br/>
              <w:t xml:space="preserve">+ WHtR </w:t>
            </w:r>
            <w:r>
              <w:rPr>
                <w:rStyle w:val="None"/>
                <w:rFonts w:ascii="Times New Roman" w:hAnsi="Times New Roman"/>
                <w:sz w:val="20"/>
                <w:szCs w:val="20"/>
              </w:rPr>
              <w:t>≥</w:t>
            </w:r>
            <w:r>
              <w:rPr>
                <w:rStyle w:val="None"/>
                <w:rFonts w:ascii="Times New Roman" w:hAnsi="Times New Roman"/>
                <w:sz w:val="20"/>
                <w:szCs w:val="20"/>
              </w:rPr>
              <w:t xml:space="preserve">90th percentile </w:t>
            </w:r>
            <w:r>
              <w:rPr>
                <w:rStyle w:val="None"/>
                <w:rFonts w:ascii="Times New Roman" w:eastAsia="Times New Roman" w:hAnsi="Times New Roman" w:cs="Times New Roman"/>
                <w:sz w:val="20"/>
                <w:szCs w:val="20"/>
              </w:rPr>
              <w:br/>
            </w:r>
            <w:r>
              <w:rPr>
                <w:rStyle w:val="None"/>
                <w:rFonts w:ascii="Times New Roman" w:hAnsi="Times New Roman"/>
                <w:sz w:val="20"/>
                <w:szCs w:val="20"/>
              </w:rPr>
              <w:t xml:space="preserve">+ Total skinfolds </w:t>
            </w:r>
            <w:r>
              <w:rPr>
                <w:rStyle w:val="None"/>
                <w:rFonts w:ascii="Times New Roman" w:hAnsi="Times New Roman"/>
                <w:sz w:val="20"/>
                <w:szCs w:val="20"/>
              </w:rPr>
              <w:t>≥</w:t>
            </w:r>
            <w:r>
              <w:rPr>
                <w:rStyle w:val="None"/>
                <w:rFonts w:ascii="Times New Roman" w:hAnsi="Times New Roman"/>
                <w:sz w:val="20"/>
                <w:szCs w:val="20"/>
              </w:rPr>
              <w:t xml:space="preserve">90th percentile + HbA1c </w:t>
            </w:r>
            <w:r>
              <w:rPr>
                <w:rStyle w:val="None"/>
                <w:rFonts w:ascii="Times New Roman" w:hAnsi="Times New Roman"/>
                <w:sz w:val="20"/>
                <w:szCs w:val="20"/>
              </w:rPr>
              <w:t>≥</w:t>
            </w:r>
            <w:r>
              <w:rPr>
                <w:rStyle w:val="None"/>
                <w:rFonts w:ascii="Times New Roman" w:hAnsi="Times New Roman"/>
                <w:sz w:val="20"/>
                <w:szCs w:val="20"/>
              </w:rPr>
              <w:t>5.7%</w:t>
            </w:r>
            <w:r>
              <w:rPr>
                <w:rStyle w:val="None"/>
                <w:rFonts w:ascii="Times New Roman" w:hAnsi="Times New Roman"/>
                <w:color w:val="1C1D1E"/>
                <w:sz w:val="20"/>
                <w:szCs w:val="20"/>
                <w:u w:color="1C1D1E"/>
                <w:shd w:val="clear" w:color="auto" w:fill="FFFFFF"/>
              </w:rPr>
              <w:t>†</w:t>
            </w:r>
          </w:p>
        </w:tc>
        <w:tc>
          <w:tcPr>
            <w:tcW w:w="10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18.2</w:t>
            </w:r>
          </w:p>
        </w:tc>
        <w:tc>
          <w:tcPr>
            <w:tcW w:w="1058"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94.0</w:t>
            </w:r>
          </w:p>
        </w:tc>
        <w:tc>
          <w:tcPr>
            <w:tcW w:w="11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395 (42.4%)</w:t>
            </w:r>
          </w:p>
        </w:tc>
        <w:tc>
          <w:tcPr>
            <w:tcW w:w="109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72 (69.2%)</w:t>
            </w:r>
          </w:p>
        </w:tc>
        <w:tc>
          <w:tcPr>
            <w:tcW w:w="10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32 (30.8%)</w:t>
            </w:r>
          </w:p>
        </w:tc>
      </w:tr>
      <w:tr w:rsidR="00411AA5">
        <w:trPr>
          <w:trHeight w:val="747"/>
        </w:trPr>
        <w:tc>
          <w:tcPr>
            <w:tcW w:w="361"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4.</w:t>
            </w:r>
          </w:p>
        </w:tc>
        <w:tc>
          <w:tcPr>
            <w:tcW w:w="2526"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BMI</w:t>
            </w:r>
            <w:r>
              <w:rPr>
                <w:rStyle w:val="None"/>
                <w:rFonts w:ascii="Times New Roman" w:hAnsi="Times New Roman"/>
                <w:sz w:val="20"/>
                <w:szCs w:val="20"/>
              </w:rPr>
              <w:t>≥</w:t>
            </w:r>
            <w:r>
              <w:rPr>
                <w:rStyle w:val="None"/>
                <w:rFonts w:ascii="Times New Roman" w:hAnsi="Times New Roman"/>
                <w:sz w:val="20"/>
                <w:szCs w:val="20"/>
              </w:rPr>
              <w:t>25kg/m</w:t>
            </w:r>
            <w:r>
              <w:rPr>
                <w:rStyle w:val="None"/>
                <w:rFonts w:ascii="Times New Roman" w:hAnsi="Times New Roman"/>
                <w:sz w:val="20"/>
                <w:szCs w:val="20"/>
                <w:vertAlign w:val="superscript"/>
              </w:rPr>
              <w:t>2</w:t>
            </w:r>
            <w:r>
              <w:rPr>
                <w:rStyle w:val="None"/>
                <w:rFonts w:ascii="Times New Roman" w:eastAsia="Times New Roman" w:hAnsi="Times New Roman" w:cs="Times New Roman"/>
                <w:sz w:val="20"/>
                <w:szCs w:val="20"/>
                <w:vertAlign w:val="superscript"/>
              </w:rPr>
              <w:br/>
            </w:r>
            <w:r>
              <w:rPr>
                <w:rStyle w:val="None"/>
                <w:rFonts w:ascii="Times New Roman" w:hAnsi="Times New Roman"/>
                <w:sz w:val="20"/>
                <w:szCs w:val="20"/>
              </w:rPr>
              <w:t>+HbA1c</w:t>
            </w:r>
            <w:r>
              <w:rPr>
                <w:rStyle w:val="None"/>
                <w:rFonts w:ascii="Times New Roman" w:hAnsi="Times New Roman"/>
                <w:sz w:val="20"/>
                <w:szCs w:val="20"/>
              </w:rPr>
              <w:t>≥</w:t>
            </w:r>
            <w:r>
              <w:rPr>
                <w:rStyle w:val="None"/>
                <w:rFonts w:ascii="Times New Roman" w:hAnsi="Times New Roman"/>
                <w:sz w:val="20"/>
                <w:szCs w:val="20"/>
              </w:rPr>
              <w:t>5.7%</w:t>
            </w:r>
          </w:p>
        </w:tc>
        <w:tc>
          <w:tcPr>
            <w:tcW w:w="1033"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23.5</w:t>
            </w:r>
          </w:p>
        </w:tc>
        <w:tc>
          <w:tcPr>
            <w:tcW w:w="1058"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94.0</w:t>
            </w:r>
          </w:p>
        </w:tc>
        <w:tc>
          <w:tcPr>
            <w:tcW w:w="11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277 (29.3%)</w:t>
            </w:r>
          </w:p>
        </w:tc>
        <w:tc>
          <w:tcPr>
            <w:tcW w:w="1094"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65 (61.9%)</w:t>
            </w:r>
          </w:p>
        </w:tc>
        <w:tc>
          <w:tcPr>
            <w:tcW w:w="1090" w:type="dxa"/>
            <w:tcBorders>
              <w:top w:val="nil"/>
              <w:left w:val="nil"/>
              <w:bottom w:val="nil"/>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40 (38.1%)</w:t>
            </w:r>
          </w:p>
        </w:tc>
      </w:tr>
      <w:tr w:rsidR="00411AA5">
        <w:trPr>
          <w:trHeight w:val="747"/>
        </w:trPr>
        <w:tc>
          <w:tcPr>
            <w:tcW w:w="361"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5.</w:t>
            </w:r>
          </w:p>
        </w:tc>
        <w:tc>
          <w:tcPr>
            <w:tcW w:w="2526"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 xml:space="preserve">BMI </w:t>
            </w:r>
            <w:r>
              <w:rPr>
                <w:rStyle w:val="None"/>
                <w:rFonts w:ascii="Times New Roman" w:hAnsi="Times New Roman"/>
                <w:sz w:val="20"/>
                <w:szCs w:val="20"/>
              </w:rPr>
              <w:t>≥</w:t>
            </w:r>
            <w:r>
              <w:rPr>
                <w:rStyle w:val="None"/>
                <w:rFonts w:ascii="Times New Roman" w:hAnsi="Times New Roman"/>
                <w:sz w:val="20"/>
                <w:szCs w:val="20"/>
              </w:rPr>
              <w:t>23kg/m</w:t>
            </w:r>
            <w:r>
              <w:rPr>
                <w:rStyle w:val="None"/>
                <w:rFonts w:ascii="Times New Roman" w:hAnsi="Times New Roman"/>
                <w:sz w:val="20"/>
                <w:szCs w:val="20"/>
                <w:vertAlign w:val="superscript"/>
              </w:rPr>
              <w:t xml:space="preserve">2 </w:t>
            </w:r>
            <w:r>
              <w:rPr>
                <w:rStyle w:val="None"/>
                <w:rFonts w:ascii="Times New Roman" w:eastAsia="Times New Roman" w:hAnsi="Times New Roman" w:cs="Times New Roman"/>
                <w:sz w:val="20"/>
                <w:szCs w:val="20"/>
                <w:vertAlign w:val="superscript"/>
              </w:rPr>
              <w:br/>
            </w:r>
            <w:r>
              <w:rPr>
                <w:rStyle w:val="None"/>
                <w:rFonts w:ascii="Times New Roman" w:hAnsi="Times New Roman"/>
                <w:sz w:val="20"/>
                <w:szCs w:val="20"/>
              </w:rPr>
              <w:t xml:space="preserve">+ HbA1c </w:t>
            </w:r>
            <w:r>
              <w:rPr>
                <w:rStyle w:val="None"/>
                <w:rFonts w:ascii="Times New Roman" w:hAnsi="Times New Roman"/>
                <w:sz w:val="20"/>
                <w:szCs w:val="20"/>
              </w:rPr>
              <w:t>≥</w:t>
            </w:r>
            <w:r>
              <w:rPr>
                <w:rStyle w:val="None"/>
                <w:rFonts w:ascii="Times New Roman" w:hAnsi="Times New Roman"/>
                <w:sz w:val="20"/>
                <w:szCs w:val="20"/>
              </w:rPr>
              <w:t xml:space="preserve">5.7% + </w:t>
            </w:r>
            <w:r>
              <w:rPr>
                <w:rStyle w:val="None"/>
                <w:rFonts w:ascii="Times New Roman" w:hAnsi="Times New Roman"/>
                <w:sz w:val="20"/>
                <w:szCs w:val="20"/>
              </w:rPr>
              <w:t>History</w:t>
            </w:r>
            <w:r>
              <w:rPr>
                <w:rStyle w:val="None"/>
                <w:rFonts w:ascii="Times New Roman" w:hAnsi="Times New Roman"/>
                <w:color w:val="1C1D1E"/>
                <w:sz w:val="18"/>
                <w:szCs w:val="18"/>
                <w:u w:color="1C1D1E"/>
                <w:shd w:val="clear" w:color="auto" w:fill="FFFFFF"/>
              </w:rPr>
              <w:t>‡</w:t>
            </w:r>
          </w:p>
        </w:tc>
        <w:tc>
          <w:tcPr>
            <w:tcW w:w="1033"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23.2</w:t>
            </w:r>
          </w:p>
        </w:tc>
        <w:tc>
          <w:tcPr>
            <w:tcW w:w="1058"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93.9</w:t>
            </w:r>
          </w:p>
        </w:tc>
        <w:tc>
          <w:tcPr>
            <w:tcW w:w="1190"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276 (29.2%)</w:t>
            </w:r>
          </w:p>
        </w:tc>
        <w:tc>
          <w:tcPr>
            <w:tcW w:w="1094"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64 (61.0%)</w:t>
            </w:r>
          </w:p>
        </w:tc>
        <w:tc>
          <w:tcPr>
            <w:tcW w:w="1090" w:type="dxa"/>
            <w:tcBorders>
              <w:top w:val="nil"/>
              <w:left w:val="nil"/>
              <w:bottom w:val="single" w:sz="4" w:space="0" w:color="000000"/>
              <w:right w:val="nil"/>
            </w:tcBorders>
            <w:shd w:val="clear" w:color="auto" w:fill="auto"/>
            <w:tcMar>
              <w:top w:w="80" w:type="dxa"/>
              <w:left w:w="80" w:type="dxa"/>
              <w:bottom w:w="80" w:type="dxa"/>
              <w:right w:w="80" w:type="dxa"/>
            </w:tcMar>
          </w:tcPr>
          <w:p w:rsidR="00411AA5" w:rsidRDefault="004819B5">
            <w:pPr>
              <w:pStyle w:val="BodyA"/>
              <w:tabs>
                <w:tab w:val="left" w:pos="3261"/>
              </w:tabs>
              <w:spacing w:after="0" w:line="240" w:lineRule="auto"/>
            </w:pPr>
            <w:r>
              <w:rPr>
                <w:rStyle w:val="None"/>
                <w:rFonts w:ascii="Times New Roman" w:hAnsi="Times New Roman"/>
                <w:sz w:val="20"/>
                <w:szCs w:val="20"/>
              </w:rPr>
              <w:t>41 (39.0%)</w:t>
            </w:r>
          </w:p>
        </w:tc>
      </w:tr>
    </w:tbl>
    <w:p w:rsidR="00411AA5" w:rsidRDefault="00411AA5">
      <w:pPr>
        <w:pStyle w:val="BodyA"/>
        <w:widowControl w:val="0"/>
        <w:tabs>
          <w:tab w:val="left" w:pos="3261"/>
        </w:tabs>
        <w:spacing w:after="0" w:line="240" w:lineRule="auto"/>
        <w:ind w:left="1296" w:hanging="1296"/>
        <w:rPr>
          <w:rStyle w:val="None"/>
          <w:rFonts w:ascii="Times New Roman" w:eastAsia="Times New Roman" w:hAnsi="Times New Roman" w:cs="Times New Roman"/>
          <w:sz w:val="20"/>
          <w:szCs w:val="20"/>
        </w:rPr>
      </w:pPr>
    </w:p>
    <w:p w:rsidR="00411AA5" w:rsidRDefault="00411AA5">
      <w:pPr>
        <w:pStyle w:val="BodyA"/>
        <w:widowControl w:val="0"/>
        <w:tabs>
          <w:tab w:val="left" w:pos="3261"/>
        </w:tabs>
        <w:spacing w:after="0" w:line="240" w:lineRule="auto"/>
        <w:ind w:left="1188" w:hanging="1188"/>
        <w:rPr>
          <w:rFonts w:ascii="Times New Roman" w:eastAsia="Times New Roman" w:hAnsi="Times New Roman" w:cs="Times New Roman"/>
          <w:sz w:val="20"/>
          <w:szCs w:val="20"/>
        </w:rPr>
      </w:pPr>
    </w:p>
    <w:p w:rsidR="00411AA5" w:rsidRDefault="004819B5">
      <w:pPr>
        <w:pStyle w:val="BodyA"/>
        <w:tabs>
          <w:tab w:val="left" w:pos="5827"/>
        </w:tabs>
        <w:sectPr w:rsidR="00411AA5">
          <w:headerReference w:type="default" r:id="rId11"/>
          <w:pgSz w:w="11900" w:h="16840"/>
          <w:pgMar w:top="1440" w:right="1440" w:bottom="1440" w:left="1440" w:header="709" w:footer="709" w:gutter="0"/>
          <w:cols w:space="720"/>
        </w:sectPr>
      </w:pPr>
      <w:r>
        <w:rPr>
          <w:rStyle w:val="None"/>
          <w:rFonts w:ascii="Times New Roman" w:eastAsia="Times New Roman" w:hAnsi="Times New Roman" w:cs="Times New Roman"/>
          <w:sz w:val="20"/>
          <w:szCs w:val="20"/>
        </w:rPr>
        <w:br/>
      </w:r>
      <w:r>
        <w:rPr>
          <w:rStyle w:val="None"/>
          <w:rFonts w:ascii="Times New Roman" w:hAnsi="Times New Roman"/>
          <w:color w:val="1C1D1E"/>
          <w:sz w:val="20"/>
          <w:szCs w:val="20"/>
          <w:u w:color="1C1D1E"/>
        </w:rPr>
        <w:t xml:space="preserve">† </w:t>
      </w:r>
      <w:r>
        <w:rPr>
          <w:rStyle w:val="None"/>
          <w:rFonts w:ascii="Times New Roman" w:hAnsi="Times New Roman"/>
          <w:color w:val="1C1D1E"/>
          <w:sz w:val="20"/>
          <w:szCs w:val="20"/>
          <w:u w:color="1C1D1E"/>
        </w:rPr>
        <w:t xml:space="preserve">n=932 provided all measurements (104 out of 932 women with dysglycemia). </w:t>
      </w:r>
      <w:r>
        <w:rPr>
          <w:rStyle w:val="None"/>
          <w:rFonts w:ascii="Times New Roman" w:eastAsia="Times New Roman" w:hAnsi="Times New Roman" w:cs="Times New Roman"/>
          <w:color w:val="1C1D1E"/>
          <w:sz w:val="20"/>
          <w:szCs w:val="20"/>
          <w:u w:color="1C1D1E"/>
        </w:rPr>
        <w:br/>
      </w:r>
      <w:r>
        <w:rPr>
          <w:rStyle w:val="None"/>
          <w:rFonts w:ascii="Times New Roman" w:hAnsi="Times New Roman"/>
          <w:color w:val="1C1D1E"/>
          <w:sz w:val="18"/>
          <w:szCs w:val="18"/>
          <w:u w:color="1C1D1E"/>
        </w:rPr>
        <w:t xml:space="preserve">‡ </w:t>
      </w:r>
      <w:r>
        <w:rPr>
          <w:rStyle w:val="None"/>
          <w:rFonts w:ascii="Times New Roman" w:hAnsi="Times New Roman"/>
          <w:color w:val="1C1D1E"/>
          <w:sz w:val="20"/>
          <w:szCs w:val="20"/>
          <w:u w:color="1C1D1E"/>
        </w:rPr>
        <w:t xml:space="preserve">History variables included: Age (&gt;30 years), ethnicity, educational level, smoking history, shift work, </w:t>
      </w:r>
      <w:r>
        <w:rPr>
          <w:rStyle w:val="None"/>
          <w:rFonts w:ascii="Times New Roman" w:hAnsi="Times New Roman"/>
          <w:color w:val="1C1D1E"/>
          <w:sz w:val="20"/>
          <w:szCs w:val="20"/>
          <w:u w:color="1C1D1E"/>
        </w:rPr>
        <w:t>menstrual cycle regularity, parity, GDM history, and family history of diabetes.</w:t>
      </w:r>
    </w:p>
    <w:p w:rsidR="00411AA5" w:rsidRDefault="004819B5">
      <w:pPr>
        <w:pStyle w:val="BodyA"/>
        <w:tabs>
          <w:tab w:val="left" w:pos="5827"/>
        </w:tabs>
        <w:spacing w:line="480" w:lineRule="auto"/>
      </w:pPr>
      <w:r>
        <w:rPr>
          <w:rStyle w:val="None"/>
          <w:rFonts w:ascii="Times New Roman" w:hAnsi="Times New Roman"/>
          <w:b/>
          <w:bCs/>
          <w:sz w:val="20"/>
          <w:szCs w:val="20"/>
        </w:rPr>
        <w:lastRenderedPageBreak/>
        <w:t xml:space="preserve">Figure legends </w:t>
      </w:r>
      <w:r>
        <w:rPr>
          <w:rStyle w:val="None"/>
          <w:rFonts w:ascii="Times New Roman" w:eastAsia="Times New Roman" w:hAnsi="Times New Roman" w:cs="Times New Roman"/>
          <w:b/>
          <w:bCs/>
          <w:sz w:val="20"/>
          <w:szCs w:val="20"/>
        </w:rPr>
        <w:br/>
      </w:r>
      <w:r>
        <w:rPr>
          <w:rStyle w:val="None"/>
          <w:rFonts w:ascii="Times New Roman" w:eastAsia="Times New Roman" w:hAnsi="Times New Roman" w:cs="Times New Roman"/>
          <w:b/>
          <w:bCs/>
          <w:sz w:val="20"/>
          <w:szCs w:val="20"/>
        </w:rPr>
        <w:br/>
      </w:r>
      <w:r>
        <w:rPr>
          <w:rStyle w:val="None"/>
          <w:rFonts w:ascii="Times New Roman" w:hAnsi="Times New Roman"/>
          <w:b/>
          <w:bCs/>
          <w:sz w:val="20"/>
          <w:szCs w:val="20"/>
        </w:rPr>
        <w:t xml:space="preserve">Figure 1. </w:t>
      </w:r>
      <w:r>
        <w:rPr>
          <w:rStyle w:val="None"/>
          <w:rFonts w:ascii="Times New Roman" w:hAnsi="Times New Roman"/>
          <w:sz w:val="20"/>
          <w:szCs w:val="20"/>
        </w:rPr>
        <w:t xml:space="preserve">Continuous measures of anthropometry and HbA1c </w:t>
      </w:r>
      <w:r>
        <w:rPr>
          <w:rStyle w:val="None"/>
          <w:rFonts w:ascii="Times New Roman" w:hAnsi="Times New Roman"/>
          <w:sz w:val="20"/>
          <w:szCs w:val="20"/>
        </w:rPr>
        <w:t xml:space="preserve">– </w:t>
      </w:r>
      <w:r>
        <w:rPr>
          <w:rStyle w:val="None"/>
          <w:rFonts w:ascii="Times New Roman" w:hAnsi="Times New Roman"/>
          <w:sz w:val="20"/>
          <w:szCs w:val="20"/>
        </w:rPr>
        <w:t xml:space="preserve">The AUROC, sensitivity and specificity in detecting dysglycemia without and with </w:t>
      </w:r>
      <w:r>
        <w:rPr>
          <w:rStyle w:val="None"/>
          <w:rFonts w:ascii="Times New Roman" w:hAnsi="Times New Roman"/>
          <w:sz w:val="20"/>
          <w:szCs w:val="20"/>
        </w:rPr>
        <w:t>adjustment for history</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b/>
          <w:bCs/>
          <w:sz w:val="20"/>
          <w:szCs w:val="20"/>
        </w:rPr>
        <w:t xml:space="preserve">Figure 2. </w:t>
      </w:r>
      <w:r>
        <w:rPr>
          <w:rStyle w:val="None"/>
          <w:rFonts w:ascii="Times New Roman" w:hAnsi="Times New Roman"/>
          <w:sz w:val="20"/>
          <w:szCs w:val="20"/>
        </w:rPr>
        <w:t xml:space="preserve">Categorical measures of anthropometry and HbA1c </w:t>
      </w:r>
      <w:r>
        <w:rPr>
          <w:rStyle w:val="None"/>
          <w:rFonts w:ascii="Times New Roman" w:hAnsi="Times New Roman"/>
          <w:sz w:val="20"/>
          <w:szCs w:val="20"/>
        </w:rPr>
        <w:t xml:space="preserve">– </w:t>
      </w:r>
      <w:r>
        <w:rPr>
          <w:rStyle w:val="None"/>
          <w:rFonts w:ascii="Times New Roman" w:hAnsi="Times New Roman"/>
          <w:sz w:val="20"/>
          <w:szCs w:val="20"/>
        </w:rPr>
        <w:t>The AUROC, sensitivity and specificity in detecting dysglycemia without and with adjustment for history</w:t>
      </w:r>
    </w:p>
    <w:sectPr w:rsidR="00411AA5">
      <w:headerReference w:type="default" r:id="rId12"/>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B5" w:rsidRDefault="004819B5">
      <w:r>
        <w:separator/>
      </w:r>
    </w:p>
  </w:endnote>
  <w:endnote w:type="continuationSeparator" w:id="0">
    <w:p w:rsidR="004819B5" w:rsidRDefault="0048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819B5">
    <w:pPr>
      <w:pStyle w:val="Footer"/>
      <w:tabs>
        <w:tab w:val="clear" w:pos="9026"/>
        <w:tab w:val="right" w:pos="9000"/>
      </w:tabs>
      <w:jc w:val="right"/>
    </w:pPr>
    <w:r>
      <w:rPr>
        <w:rStyle w:val="NoneA"/>
      </w:rPr>
      <w:fldChar w:fldCharType="begin"/>
    </w:r>
    <w:r>
      <w:rPr>
        <w:rStyle w:val="NoneA"/>
      </w:rPr>
      <w:instrText xml:space="preserve"> PAGE </w:instrText>
    </w:r>
    <w:r w:rsidR="00C610ED">
      <w:rPr>
        <w:rStyle w:val="NoneA"/>
      </w:rPr>
      <w:fldChar w:fldCharType="separate"/>
    </w:r>
    <w:r w:rsidR="00C610ED">
      <w:rPr>
        <w:rStyle w:val="NoneA"/>
        <w:noProof/>
      </w:rPr>
      <w:t>1</w:t>
    </w:r>
    <w:r>
      <w:rPr>
        <w:rStyle w:val="None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819B5">
    <w:pPr>
      <w:pStyle w:val="Footer"/>
      <w:tabs>
        <w:tab w:val="clear" w:pos="9026"/>
        <w:tab w:val="right" w:pos="9000"/>
      </w:tabs>
      <w:jc w:val="right"/>
    </w:pPr>
    <w:r>
      <w:rPr>
        <w:rStyle w:val="NoneA"/>
      </w:rPr>
      <w:fldChar w:fldCharType="begin"/>
    </w:r>
    <w:r>
      <w:rPr>
        <w:rStyle w:val="NoneA"/>
      </w:rPr>
      <w:instrText xml:space="preserve"> PAGE </w:instrText>
    </w:r>
    <w:r w:rsidR="00C610ED">
      <w:rPr>
        <w:rStyle w:val="NoneA"/>
      </w:rPr>
      <w:fldChar w:fldCharType="separate"/>
    </w:r>
    <w:r w:rsidR="00C610ED">
      <w:rPr>
        <w:rStyle w:val="NoneA"/>
        <w:noProof/>
      </w:rPr>
      <w:t>17</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B5" w:rsidRDefault="004819B5">
      <w:r>
        <w:separator/>
      </w:r>
    </w:p>
  </w:footnote>
  <w:footnote w:type="continuationSeparator" w:id="0">
    <w:p w:rsidR="004819B5" w:rsidRDefault="0048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11AA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11AA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11AA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A5" w:rsidRDefault="00411A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A5"/>
    <w:rsid w:val="00411AA5"/>
    <w:rsid w:val="004819B5"/>
    <w:rsid w:val="00C6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472FA-5956-4F83-8B08-5085DE8E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oneA">
    <w:name w:val="None A"/>
  </w:style>
  <w:style w:type="paragraph" w:styleId="NoSpacing">
    <w:name w:val="No Spacing"/>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0"/>
      <w:szCs w:val="20"/>
      <w:u w:val="single" w:color="0563C1"/>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gchan@nus.edu.s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6635</Words>
  <Characters>37823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Drake</dc:creator>
  <cp:lastModifiedBy>Drake K.A.</cp:lastModifiedBy>
  <cp:revision>2</cp:revision>
  <dcterms:created xsi:type="dcterms:W3CDTF">2020-05-14T08:42:00Z</dcterms:created>
  <dcterms:modified xsi:type="dcterms:W3CDTF">2020-05-14T08:42:00Z</dcterms:modified>
</cp:coreProperties>
</file>