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55AC3" w14:textId="77777777" w:rsidR="0073172D" w:rsidRPr="0034113C" w:rsidRDefault="0073172D" w:rsidP="0073172D">
      <w:pPr>
        <w:jc w:val="center"/>
        <w:rPr>
          <w:rFonts w:ascii="Calibri" w:eastAsia="Calibri" w:hAnsi="Calibri" w:cs="Calibri"/>
          <w:sz w:val="24"/>
        </w:rPr>
      </w:pPr>
      <w:bookmarkStart w:id="0" w:name="_Toc504132243"/>
      <w:bookmarkStart w:id="1" w:name="_GoBack"/>
      <w:bookmarkEnd w:id="1"/>
      <w:r w:rsidRPr="0034113C">
        <w:rPr>
          <w:rFonts w:ascii="Calibri" w:eastAsia="Calibri" w:hAnsi="Calibri" w:cs="Calibri"/>
          <w:sz w:val="24"/>
        </w:rPr>
        <w:t>The impact of regional 99mTc-HMPAO single photon emission computed tomography (SPECT) imaging on clinician diagnostic confidence in a mixed cognitive impairment sample</w:t>
      </w:r>
    </w:p>
    <w:p w14:paraId="0147BE04" w14:textId="77777777" w:rsidR="0073172D" w:rsidRPr="0034113C" w:rsidRDefault="0073172D" w:rsidP="0073172D">
      <w:pPr>
        <w:jc w:val="center"/>
        <w:rPr>
          <w:rFonts w:ascii="Calibri" w:eastAsia="Calibri" w:hAnsi="Calibri" w:cs="Calibri"/>
          <w:sz w:val="24"/>
        </w:rPr>
      </w:pPr>
    </w:p>
    <w:p w14:paraId="38514465" w14:textId="77777777" w:rsidR="0073172D" w:rsidRPr="0034113C" w:rsidRDefault="0073172D" w:rsidP="0073172D">
      <w:pPr>
        <w:jc w:val="center"/>
        <w:rPr>
          <w:rFonts w:ascii="Calibri" w:eastAsia="Calibri" w:hAnsi="Calibri" w:cs="Calibri"/>
          <w:sz w:val="24"/>
          <w:vertAlign w:val="superscript"/>
        </w:rPr>
      </w:pPr>
      <w:r w:rsidRPr="0034113C">
        <w:rPr>
          <w:rFonts w:ascii="Calibri" w:eastAsia="Calibri" w:hAnsi="Calibri" w:cs="Calibri"/>
          <w:color w:val="000000"/>
          <w:sz w:val="24"/>
        </w:rPr>
        <w:t xml:space="preserve">Prosser, AMJ </w:t>
      </w:r>
      <w:r w:rsidRPr="0034113C">
        <w:rPr>
          <w:rFonts w:ascii="Calibri" w:eastAsia="Calibri" w:hAnsi="Calibri" w:cs="Calibri"/>
          <w:sz w:val="24"/>
        </w:rPr>
        <w:t>¹</w:t>
      </w:r>
      <w:r w:rsidRPr="0034113C">
        <w:rPr>
          <w:rFonts w:ascii="Calibri" w:eastAsia="Calibri" w:hAnsi="Calibri" w:cs="Calibri"/>
          <w:sz w:val="24"/>
          <w:vertAlign w:val="superscript"/>
        </w:rPr>
        <w:t>, 2</w:t>
      </w:r>
      <w:r w:rsidRPr="0034113C">
        <w:rPr>
          <w:rFonts w:ascii="Calibri" w:eastAsia="Calibri" w:hAnsi="Calibri" w:cs="Calibri"/>
          <w:color w:val="000000"/>
          <w:sz w:val="24"/>
        </w:rPr>
        <w:t xml:space="preserve">., </w:t>
      </w:r>
      <w:proofErr w:type="spellStart"/>
      <w:r w:rsidRPr="0034113C">
        <w:rPr>
          <w:rFonts w:ascii="Calibri" w:eastAsia="Calibri" w:hAnsi="Calibri" w:cs="Calibri"/>
          <w:color w:val="000000"/>
          <w:sz w:val="24"/>
        </w:rPr>
        <w:t>Tossici</w:t>
      </w:r>
      <w:proofErr w:type="spellEnd"/>
      <w:r w:rsidRPr="0034113C">
        <w:rPr>
          <w:rFonts w:ascii="Calibri" w:eastAsia="Calibri" w:hAnsi="Calibri" w:cs="Calibri"/>
          <w:color w:val="000000"/>
          <w:sz w:val="24"/>
        </w:rPr>
        <w:t xml:space="preserve">-Bolt, L </w:t>
      </w:r>
      <w:r w:rsidRPr="0034113C">
        <w:rPr>
          <w:rFonts w:ascii="Calibri" w:eastAsia="Calibri" w:hAnsi="Calibri" w:cs="Calibri"/>
          <w:sz w:val="24"/>
          <w:vertAlign w:val="superscript"/>
        </w:rPr>
        <w:t>3</w:t>
      </w:r>
      <w:r w:rsidRPr="0034113C">
        <w:rPr>
          <w:rFonts w:ascii="Calibri" w:eastAsia="Calibri" w:hAnsi="Calibri" w:cs="Calibri"/>
          <w:sz w:val="24"/>
        </w:rPr>
        <w:t>., a</w:t>
      </w:r>
      <w:r w:rsidRPr="0034113C">
        <w:rPr>
          <w:rFonts w:ascii="Calibri" w:eastAsia="Calibri" w:hAnsi="Calibri" w:cs="Calibri"/>
          <w:color w:val="000000"/>
          <w:sz w:val="24"/>
        </w:rPr>
        <w:t xml:space="preserve">nd Kipps CM </w:t>
      </w:r>
      <w:r w:rsidRPr="0034113C">
        <w:rPr>
          <w:rFonts w:ascii="Calibri" w:eastAsia="Calibri" w:hAnsi="Calibri" w:cs="Calibri"/>
          <w:sz w:val="24"/>
          <w:vertAlign w:val="superscript"/>
        </w:rPr>
        <w:t>1, 4, 5</w:t>
      </w:r>
    </w:p>
    <w:p w14:paraId="0C1E2C6B" w14:textId="77777777" w:rsidR="0073172D" w:rsidRPr="0034113C" w:rsidRDefault="0073172D" w:rsidP="0073172D">
      <w:pPr>
        <w:spacing w:after="0"/>
        <w:ind w:left="142" w:hanging="142"/>
        <w:rPr>
          <w:rFonts w:ascii="Calibri" w:eastAsia="Calibri" w:hAnsi="Calibri" w:cs="Calibri"/>
          <w:sz w:val="24"/>
        </w:rPr>
      </w:pPr>
      <w:r w:rsidRPr="0034113C">
        <w:rPr>
          <w:rFonts w:ascii="Calibri" w:eastAsia="Calibri" w:hAnsi="Calibri" w:cs="Calibri"/>
          <w:sz w:val="24"/>
        </w:rPr>
        <w:t xml:space="preserve">¹ NIHR ARC Wessex, University of Southampton, UK </w:t>
      </w:r>
    </w:p>
    <w:p w14:paraId="7C9ACF1F" w14:textId="77777777" w:rsidR="0073172D" w:rsidRPr="0034113C" w:rsidRDefault="0073172D" w:rsidP="0073172D">
      <w:pPr>
        <w:spacing w:after="0"/>
        <w:ind w:left="142" w:hanging="142"/>
        <w:rPr>
          <w:rFonts w:ascii="Calibri" w:eastAsia="Calibri" w:hAnsi="Calibri" w:cs="Calibri"/>
          <w:sz w:val="24"/>
        </w:rPr>
      </w:pPr>
      <w:r w:rsidRPr="0034113C">
        <w:rPr>
          <w:rFonts w:ascii="Calibri" w:eastAsia="Calibri" w:hAnsi="Calibri" w:cs="Calibri"/>
          <w:sz w:val="24"/>
          <w:vertAlign w:val="superscript"/>
        </w:rPr>
        <w:t>2</w:t>
      </w:r>
      <w:r w:rsidRPr="0034113C">
        <w:rPr>
          <w:rFonts w:ascii="Calibri" w:eastAsia="Calibri" w:hAnsi="Calibri" w:cs="Calibri"/>
          <w:sz w:val="24"/>
        </w:rPr>
        <w:t xml:space="preserve"> Faculty of Health Sciences, University of Southampton, UK</w:t>
      </w:r>
    </w:p>
    <w:p w14:paraId="5A08D8B0" w14:textId="77777777" w:rsidR="0073172D" w:rsidRPr="0034113C" w:rsidRDefault="0073172D" w:rsidP="0073172D">
      <w:pPr>
        <w:spacing w:after="0"/>
        <w:ind w:left="142" w:hanging="142"/>
        <w:rPr>
          <w:rFonts w:ascii="Calibri" w:eastAsia="Calibri" w:hAnsi="Calibri" w:cs="Calibri"/>
          <w:sz w:val="24"/>
        </w:rPr>
      </w:pPr>
      <w:r w:rsidRPr="0034113C">
        <w:rPr>
          <w:rFonts w:ascii="Calibri" w:eastAsia="Calibri" w:hAnsi="Calibri" w:cs="Calibri"/>
          <w:sz w:val="24"/>
          <w:vertAlign w:val="superscript"/>
        </w:rPr>
        <w:t>3</w:t>
      </w:r>
      <w:r w:rsidRPr="0034113C">
        <w:rPr>
          <w:rFonts w:ascii="Calibri" w:eastAsia="Calibri" w:hAnsi="Calibri" w:cs="Calibri"/>
          <w:sz w:val="24"/>
        </w:rPr>
        <w:t xml:space="preserve"> Medical Physics and bioengineering, University Hospital Southampton NHS Foundation Trust, UK</w:t>
      </w:r>
    </w:p>
    <w:p w14:paraId="206DBEAB" w14:textId="77777777" w:rsidR="0073172D" w:rsidRPr="0034113C" w:rsidRDefault="0073172D" w:rsidP="0073172D">
      <w:pPr>
        <w:spacing w:after="0"/>
        <w:rPr>
          <w:rFonts w:ascii="Calibri" w:eastAsia="Calibri" w:hAnsi="Calibri" w:cs="Calibri"/>
          <w:sz w:val="24"/>
        </w:rPr>
      </w:pPr>
      <w:r w:rsidRPr="0034113C">
        <w:rPr>
          <w:rFonts w:ascii="Calibri" w:eastAsia="Calibri" w:hAnsi="Calibri" w:cs="Calibri"/>
          <w:sz w:val="24"/>
          <w:vertAlign w:val="superscript"/>
        </w:rPr>
        <w:t>4</w:t>
      </w:r>
      <w:r w:rsidRPr="0034113C">
        <w:rPr>
          <w:rFonts w:ascii="Calibri" w:eastAsia="Calibri" w:hAnsi="Calibri" w:cs="Calibri"/>
          <w:sz w:val="24"/>
        </w:rPr>
        <w:t xml:space="preserve"> Clinical and Experimental Sciences, Faculty of Medicine, University of Southampton, UK</w:t>
      </w:r>
    </w:p>
    <w:p w14:paraId="2D385AB9" w14:textId="77777777" w:rsidR="0073172D" w:rsidRPr="0034113C" w:rsidRDefault="0073172D" w:rsidP="0073172D">
      <w:pPr>
        <w:spacing w:after="0"/>
        <w:rPr>
          <w:rFonts w:ascii="Calibri" w:eastAsia="Calibri" w:hAnsi="Calibri" w:cs="Calibri"/>
          <w:sz w:val="24"/>
        </w:rPr>
      </w:pPr>
      <w:r w:rsidRPr="0034113C">
        <w:rPr>
          <w:rFonts w:ascii="Calibri" w:eastAsia="Calibri" w:hAnsi="Calibri" w:cs="Calibri"/>
          <w:sz w:val="24"/>
          <w:vertAlign w:val="superscript"/>
        </w:rPr>
        <w:t>5</w:t>
      </w:r>
      <w:r w:rsidRPr="0034113C">
        <w:rPr>
          <w:rFonts w:ascii="Calibri" w:eastAsia="Calibri" w:hAnsi="Calibri" w:cs="Calibri"/>
          <w:sz w:val="24"/>
        </w:rPr>
        <w:t xml:space="preserve"> Wessex Neurological Centre, University Hospital Southampton NHS Foundation Trust, UK</w:t>
      </w:r>
    </w:p>
    <w:p w14:paraId="3D800F5D" w14:textId="77777777" w:rsidR="0073172D" w:rsidRPr="0034113C" w:rsidRDefault="0073172D" w:rsidP="0073172D">
      <w:pPr>
        <w:spacing w:after="0"/>
        <w:rPr>
          <w:rFonts w:ascii="Calibri" w:eastAsia="Calibri" w:hAnsi="Calibri" w:cs="Calibri"/>
          <w:sz w:val="24"/>
        </w:rPr>
      </w:pPr>
    </w:p>
    <w:p w14:paraId="74DA36A1" w14:textId="77777777" w:rsidR="0073172D" w:rsidRPr="0034113C" w:rsidRDefault="0073172D" w:rsidP="0073172D">
      <w:pPr>
        <w:spacing w:after="0"/>
        <w:rPr>
          <w:rFonts w:ascii="Calibri" w:eastAsia="Calibri" w:hAnsi="Calibri" w:cs="Calibri"/>
          <w:sz w:val="24"/>
        </w:rPr>
      </w:pPr>
      <w:r w:rsidRPr="0034113C">
        <w:rPr>
          <w:rFonts w:ascii="Calibri" w:eastAsia="Calibri" w:hAnsi="Calibri" w:cs="Calibri"/>
          <w:sz w:val="24"/>
        </w:rPr>
        <w:t>Corresponding author:</w:t>
      </w:r>
    </w:p>
    <w:p w14:paraId="726EA224" w14:textId="77777777" w:rsidR="0073172D" w:rsidRPr="0034113C" w:rsidRDefault="0073172D" w:rsidP="0073172D">
      <w:pPr>
        <w:tabs>
          <w:tab w:val="left" w:pos="2475"/>
        </w:tabs>
        <w:spacing w:after="0"/>
        <w:rPr>
          <w:rFonts w:ascii="Calibri" w:eastAsia="Calibri" w:hAnsi="Calibri" w:cs="Calibri"/>
          <w:sz w:val="24"/>
        </w:rPr>
      </w:pPr>
      <w:r w:rsidRPr="0034113C">
        <w:rPr>
          <w:rFonts w:ascii="Calibri" w:eastAsia="Calibri" w:hAnsi="Calibri" w:cs="Calibri"/>
          <w:sz w:val="24"/>
        </w:rPr>
        <w:t xml:space="preserve">Angus Prosser, University Hospital Southampton NHS Foundation Trust, Academic Geriatric Medicine, MP807, </w:t>
      </w:r>
      <w:proofErr w:type="spellStart"/>
      <w:r w:rsidRPr="0034113C">
        <w:rPr>
          <w:rFonts w:ascii="Calibri" w:eastAsia="Calibri" w:hAnsi="Calibri" w:cs="Calibri"/>
          <w:sz w:val="24"/>
        </w:rPr>
        <w:t>Tremona</w:t>
      </w:r>
      <w:proofErr w:type="spellEnd"/>
      <w:r w:rsidRPr="0034113C">
        <w:rPr>
          <w:rFonts w:ascii="Calibri" w:eastAsia="Calibri" w:hAnsi="Calibri" w:cs="Calibri"/>
          <w:sz w:val="24"/>
        </w:rPr>
        <w:t xml:space="preserve"> Road, Southampton, Hampshire, SO16 6YD, UK</w:t>
      </w:r>
    </w:p>
    <w:p w14:paraId="194F2F66" w14:textId="77777777" w:rsidR="0073172D" w:rsidRPr="0034113C" w:rsidRDefault="0073172D" w:rsidP="0073172D">
      <w:pPr>
        <w:spacing w:after="0"/>
        <w:rPr>
          <w:rFonts w:ascii="Calibri" w:eastAsia="Calibri" w:hAnsi="Calibri" w:cs="Calibri"/>
          <w:sz w:val="24"/>
        </w:rPr>
      </w:pPr>
    </w:p>
    <w:p w14:paraId="0DDA1A53" w14:textId="77777777" w:rsidR="0073172D" w:rsidRPr="0034113C" w:rsidRDefault="0073172D" w:rsidP="0073172D">
      <w:pPr>
        <w:spacing w:after="0" w:line="240" w:lineRule="auto"/>
        <w:contextualSpacing/>
        <w:rPr>
          <w:rFonts w:ascii="Calibri" w:eastAsia="Calibri" w:hAnsi="Calibri" w:cs="Calibri"/>
          <w:sz w:val="24"/>
          <w:lang w:val="fr-FR"/>
        </w:rPr>
      </w:pPr>
      <w:r w:rsidRPr="0034113C">
        <w:rPr>
          <w:rFonts w:ascii="Calibri" w:eastAsia="Calibri" w:hAnsi="Calibri" w:cs="Calibri"/>
          <w:sz w:val="24"/>
          <w:lang w:val="fr-FR"/>
        </w:rPr>
        <w:t>Email: Angus.Prosser@soton.ac.uk</w:t>
      </w:r>
    </w:p>
    <w:p w14:paraId="03309376" w14:textId="77777777" w:rsidR="0073172D" w:rsidRPr="0034113C" w:rsidRDefault="0073172D" w:rsidP="0073172D">
      <w:pPr>
        <w:spacing w:line="240" w:lineRule="auto"/>
        <w:contextualSpacing/>
        <w:rPr>
          <w:rFonts w:ascii="Calibri" w:eastAsia="Calibri" w:hAnsi="Calibri" w:cs="Calibri"/>
          <w:sz w:val="24"/>
        </w:rPr>
      </w:pPr>
      <w:r w:rsidRPr="0034113C">
        <w:rPr>
          <w:rFonts w:ascii="Calibri" w:eastAsia="Calibri" w:hAnsi="Calibri" w:cs="Calibri"/>
          <w:sz w:val="24"/>
        </w:rPr>
        <w:t>Telephone: +44(0)2381 206132</w:t>
      </w:r>
    </w:p>
    <w:p w14:paraId="7995B6E8" w14:textId="77777777" w:rsidR="0073172D" w:rsidRPr="0034113C" w:rsidRDefault="0073172D" w:rsidP="0073172D">
      <w:pPr>
        <w:spacing w:line="240" w:lineRule="auto"/>
        <w:contextualSpacing/>
        <w:rPr>
          <w:rFonts w:ascii="Calibri" w:eastAsia="Calibri" w:hAnsi="Calibri" w:cs="Calibri"/>
          <w:sz w:val="24"/>
        </w:rPr>
      </w:pPr>
      <w:r w:rsidRPr="0034113C">
        <w:rPr>
          <w:rFonts w:ascii="Calibri" w:eastAsia="Calibri" w:hAnsi="Calibri" w:cs="Calibri"/>
          <w:sz w:val="24"/>
        </w:rPr>
        <w:t>Fax: +44(0)2381 205023</w:t>
      </w:r>
    </w:p>
    <w:p w14:paraId="7F96E674" w14:textId="77777777" w:rsidR="0073172D" w:rsidRPr="0034113C" w:rsidRDefault="0073172D" w:rsidP="0073172D">
      <w:pPr>
        <w:spacing w:after="0" w:line="240" w:lineRule="auto"/>
        <w:contextualSpacing/>
        <w:rPr>
          <w:rFonts w:ascii="Times New Roman" w:hAnsi="Times New Roman"/>
          <w:sz w:val="24"/>
        </w:rPr>
      </w:pPr>
      <w:proofErr w:type="spellStart"/>
      <w:r w:rsidRPr="0034113C">
        <w:rPr>
          <w:rFonts w:ascii="Calibri" w:eastAsia="Calibri" w:hAnsi="Calibri" w:cs="Calibri"/>
          <w:sz w:val="24"/>
        </w:rPr>
        <w:t>Orcid</w:t>
      </w:r>
      <w:proofErr w:type="spellEnd"/>
      <w:r w:rsidRPr="0034113C">
        <w:rPr>
          <w:rFonts w:ascii="Calibri" w:eastAsia="Calibri" w:hAnsi="Calibri" w:cs="Calibri"/>
          <w:sz w:val="24"/>
        </w:rPr>
        <w:t xml:space="preserve"> ID: 0000-0003-2705-1222</w:t>
      </w:r>
    </w:p>
    <w:p w14:paraId="5B13F0F1" w14:textId="77777777" w:rsidR="0073172D" w:rsidRPr="0034113C" w:rsidRDefault="0073172D" w:rsidP="0073172D">
      <w:pPr>
        <w:spacing w:after="0"/>
        <w:contextualSpacing/>
        <w:rPr>
          <w:rFonts w:ascii="Calibri" w:eastAsia="Calibri" w:hAnsi="Calibri" w:cs="Calibri"/>
          <w:sz w:val="24"/>
        </w:rPr>
      </w:pPr>
    </w:p>
    <w:p w14:paraId="270F30AF" w14:textId="77777777" w:rsidR="0073172D" w:rsidRPr="0034113C" w:rsidRDefault="0073172D" w:rsidP="0073172D">
      <w:pPr>
        <w:spacing w:after="0"/>
        <w:contextualSpacing/>
        <w:rPr>
          <w:rFonts w:ascii="Calibri" w:eastAsia="Calibri" w:hAnsi="Calibri" w:cs="Calibri"/>
          <w:sz w:val="24"/>
        </w:rPr>
      </w:pPr>
    </w:p>
    <w:p w14:paraId="0CCB68F8" w14:textId="7913C7CC" w:rsidR="0073172D" w:rsidRPr="0034113C" w:rsidRDefault="0073172D" w:rsidP="0073172D">
      <w:pPr>
        <w:spacing w:after="0"/>
        <w:contextualSpacing/>
        <w:rPr>
          <w:rFonts w:ascii="Calibri" w:eastAsia="Calibri" w:hAnsi="Calibri" w:cs="Calibri"/>
          <w:sz w:val="24"/>
        </w:rPr>
      </w:pPr>
      <w:r w:rsidRPr="0034113C">
        <w:rPr>
          <w:rFonts w:ascii="Calibri" w:eastAsia="Calibri" w:hAnsi="Calibri" w:cs="Calibri"/>
          <w:sz w:val="24"/>
        </w:rPr>
        <w:t>Funding</w:t>
      </w:r>
      <w:r w:rsidR="00A67A94">
        <w:rPr>
          <w:rFonts w:ascii="Calibri" w:eastAsia="Calibri" w:hAnsi="Calibri" w:cs="Calibri"/>
          <w:sz w:val="24"/>
        </w:rPr>
        <w:t xml:space="preserve"> and Acknowledgements</w:t>
      </w:r>
      <w:r w:rsidRPr="0034113C">
        <w:rPr>
          <w:rFonts w:ascii="Calibri" w:eastAsia="Calibri" w:hAnsi="Calibri" w:cs="Calibri"/>
          <w:sz w:val="24"/>
        </w:rPr>
        <w:t xml:space="preserve">: </w:t>
      </w:r>
      <w:r w:rsidR="00A67A94" w:rsidRPr="00A67A94">
        <w:rPr>
          <w:rFonts w:ascii="Calibri" w:eastAsia="Calibri" w:hAnsi="Calibri" w:cs="Calibri"/>
          <w:sz w:val="24"/>
        </w:rPr>
        <w:t>This report is independent research funded by the National Institute for Health Research Applied Research Collaboration Wessex (NIHR ARC Wessex). The views expressed in this publication are those of the author(s) and not necessarily those of the National Institute for Health Research or the Department of Health and Social Care.</w:t>
      </w:r>
    </w:p>
    <w:p w14:paraId="728698D4" w14:textId="77777777" w:rsidR="0073172D" w:rsidRPr="0034113C" w:rsidRDefault="0073172D" w:rsidP="0073172D">
      <w:pPr>
        <w:spacing w:after="0"/>
        <w:contextualSpacing/>
        <w:rPr>
          <w:rFonts w:ascii="Calibri" w:eastAsia="Calibri" w:hAnsi="Calibri" w:cs="Calibri"/>
          <w:sz w:val="24"/>
        </w:rPr>
      </w:pPr>
    </w:p>
    <w:p w14:paraId="30A1F9B3" w14:textId="77777777" w:rsidR="0073172D" w:rsidRPr="0034113C" w:rsidRDefault="0073172D" w:rsidP="0073172D">
      <w:pPr>
        <w:spacing w:after="0"/>
        <w:contextualSpacing/>
        <w:rPr>
          <w:rFonts w:ascii="Calibri" w:eastAsia="Calibri" w:hAnsi="Calibri" w:cs="Calibri"/>
          <w:sz w:val="24"/>
        </w:rPr>
      </w:pPr>
      <w:r w:rsidRPr="0034113C">
        <w:rPr>
          <w:rFonts w:ascii="Calibri" w:eastAsia="Calibri" w:hAnsi="Calibri" w:cs="Calibri"/>
          <w:sz w:val="24"/>
        </w:rPr>
        <w:t>Disclaimer:  The authors declare no conflict of interest.</w:t>
      </w:r>
    </w:p>
    <w:p w14:paraId="1D7818A3" w14:textId="42D32DD5" w:rsidR="0073172D" w:rsidRPr="0073172D" w:rsidRDefault="0073172D" w:rsidP="0073172D">
      <w:pPr>
        <w:pStyle w:val="Heading2"/>
        <w:pageBreakBefore/>
        <w:numPr>
          <w:ilvl w:val="0"/>
          <w:numId w:val="0"/>
        </w:numPr>
        <w:spacing w:line="480" w:lineRule="auto"/>
        <w:rPr>
          <w:rFonts w:asciiTheme="minorHAnsi" w:hAnsiTheme="minorHAnsi" w:cstheme="minorHAnsi"/>
          <w:color w:val="000000" w:themeColor="text1"/>
        </w:rPr>
      </w:pPr>
      <w:r w:rsidRPr="0073172D">
        <w:rPr>
          <w:rFonts w:asciiTheme="minorHAnsi" w:hAnsiTheme="minorHAnsi" w:cstheme="minorHAnsi"/>
          <w:color w:val="000000" w:themeColor="text1"/>
        </w:rPr>
        <w:lastRenderedPageBreak/>
        <w:t>A</w:t>
      </w:r>
      <w:r>
        <w:rPr>
          <w:rFonts w:asciiTheme="minorHAnsi" w:hAnsiTheme="minorHAnsi" w:cstheme="minorHAnsi"/>
          <w:color w:val="000000" w:themeColor="text1"/>
        </w:rPr>
        <w:t>bstract</w:t>
      </w:r>
    </w:p>
    <w:p w14:paraId="6A44840E" w14:textId="04467160" w:rsidR="0073172D" w:rsidRDefault="0073172D" w:rsidP="0073172D">
      <w:pPr>
        <w:keepNext w:val="0"/>
        <w:keepLines w:val="0"/>
        <w:spacing w:after="0" w:line="480" w:lineRule="auto"/>
        <w:rPr>
          <w:rFonts w:asciiTheme="minorHAnsi" w:eastAsia="Calibri" w:hAnsiTheme="minorHAnsi" w:cstheme="minorHAnsi"/>
          <w:color w:val="000000" w:themeColor="text1"/>
          <w:sz w:val="24"/>
        </w:rPr>
      </w:pPr>
      <w:r w:rsidRPr="0073172D">
        <w:rPr>
          <w:rFonts w:asciiTheme="minorHAnsi" w:eastAsia="Calibri" w:hAnsiTheme="minorHAnsi" w:cstheme="minorHAnsi"/>
          <w:color w:val="000000" w:themeColor="text1"/>
          <w:sz w:val="24"/>
        </w:rPr>
        <w:t>AIM: To assess the clinical impact of regional cerebral blood</w:t>
      </w:r>
      <w:r>
        <w:rPr>
          <w:rFonts w:asciiTheme="minorHAnsi" w:eastAsia="Calibri" w:hAnsiTheme="minorHAnsi" w:cstheme="minorHAnsi"/>
          <w:color w:val="000000" w:themeColor="text1"/>
          <w:sz w:val="24"/>
        </w:rPr>
        <w:t xml:space="preserve"> </w:t>
      </w:r>
      <w:r w:rsidRPr="0073172D">
        <w:rPr>
          <w:rFonts w:asciiTheme="minorHAnsi" w:eastAsia="Calibri" w:hAnsiTheme="minorHAnsi" w:cstheme="minorHAnsi"/>
          <w:color w:val="000000" w:themeColor="text1"/>
          <w:sz w:val="24"/>
        </w:rPr>
        <w:t>flow (</w:t>
      </w:r>
      <w:proofErr w:type="spellStart"/>
      <w:r w:rsidRPr="0073172D">
        <w:rPr>
          <w:rFonts w:asciiTheme="minorHAnsi" w:eastAsia="Calibri" w:hAnsiTheme="minorHAnsi" w:cstheme="minorHAnsi"/>
          <w:color w:val="000000" w:themeColor="text1"/>
          <w:sz w:val="24"/>
        </w:rPr>
        <w:t>rCBF</w:t>
      </w:r>
      <w:proofErr w:type="spellEnd"/>
      <w:r w:rsidRPr="0073172D">
        <w:rPr>
          <w:rFonts w:asciiTheme="minorHAnsi" w:eastAsia="Calibri" w:hAnsiTheme="minorHAnsi" w:cstheme="minorHAnsi"/>
          <w:color w:val="000000" w:themeColor="text1"/>
          <w:sz w:val="24"/>
        </w:rPr>
        <w:t>) single-photon-emission computed tomography (SPECT) imaging on diagnosis and clinician diagnostic confidence in a cohort of individuals with cognitive impairment.</w:t>
      </w:r>
    </w:p>
    <w:p w14:paraId="343AE50E" w14:textId="77777777" w:rsidR="0073172D" w:rsidRDefault="0073172D" w:rsidP="003A3A37">
      <w:pPr>
        <w:keepNext w:val="0"/>
        <w:keepLines w:val="0"/>
        <w:spacing w:after="0" w:line="480" w:lineRule="auto"/>
        <w:rPr>
          <w:rFonts w:asciiTheme="minorHAnsi" w:eastAsia="Calibri" w:hAnsiTheme="minorHAnsi" w:cstheme="minorHAnsi"/>
          <w:color w:val="000000" w:themeColor="text1"/>
          <w:sz w:val="24"/>
        </w:rPr>
      </w:pPr>
      <w:r w:rsidRPr="0073172D">
        <w:rPr>
          <w:rFonts w:asciiTheme="minorHAnsi" w:eastAsia="Calibri" w:hAnsiTheme="minorHAnsi" w:cstheme="minorHAnsi"/>
          <w:color w:val="000000" w:themeColor="text1"/>
          <w:sz w:val="24"/>
        </w:rPr>
        <w:t>MATERIALS AND METHODS: Forty-one clinicians who referred 79 patients for a [99mTc]-</w:t>
      </w:r>
      <w:proofErr w:type="spellStart"/>
      <w:r w:rsidRPr="0073172D">
        <w:rPr>
          <w:rFonts w:asciiTheme="minorHAnsi" w:eastAsia="Calibri" w:hAnsiTheme="minorHAnsi" w:cstheme="minorHAnsi"/>
          <w:color w:val="000000" w:themeColor="text1"/>
          <w:sz w:val="24"/>
        </w:rPr>
        <w:t>hexamethylpropyleneamine</w:t>
      </w:r>
      <w:proofErr w:type="spellEnd"/>
      <w:r w:rsidRPr="0073172D">
        <w:rPr>
          <w:rFonts w:asciiTheme="minorHAnsi" w:eastAsia="Calibri" w:hAnsiTheme="minorHAnsi" w:cstheme="minorHAnsi"/>
          <w:color w:val="000000" w:themeColor="text1"/>
          <w:sz w:val="24"/>
        </w:rPr>
        <w:t xml:space="preserve"> oxime (HMPAO) SPECT for cognitive complaints completed a two-part questionnaire to determine the diagnosis and diagnostic confidence (using a 0</w:t>
      </w:r>
      <w:r>
        <w:rPr>
          <w:rFonts w:asciiTheme="minorHAnsi" w:eastAsia="Calibri" w:hAnsiTheme="minorHAnsi" w:cstheme="minorHAnsi"/>
          <w:color w:val="000000" w:themeColor="text1"/>
          <w:sz w:val="24"/>
        </w:rPr>
        <w:t>-</w:t>
      </w:r>
      <w:r w:rsidRPr="0073172D">
        <w:rPr>
          <w:rFonts w:asciiTheme="minorHAnsi" w:eastAsia="Calibri" w:hAnsiTheme="minorHAnsi" w:cstheme="minorHAnsi"/>
          <w:color w:val="000000" w:themeColor="text1"/>
          <w:sz w:val="24"/>
        </w:rPr>
        <w:t>100 visual</w:t>
      </w:r>
      <w:r>
        <w:rPr>
          <w:rFonts w:asciiTheme="minorHAnsi" w:eastAsia="Calibri" w:hAnsiTheme="minorHAnsi" w:cstheme="minorHAnsi"/>
          <w:color w:val="000000" w:themeColor="text1"/>
          <w:sz w:val="24"/>
        </w:rPr>
        <w:t xml:space="preserve"> </w:t>
      </w:r>
      <w:r w:rsidRPr="0073172D">
        <w:rPr>
          <w:rFonts w:asciiTheme="minorHAnsi" w:eastAsia="Calibri" w:hAnsiTheme="minorHAnsi" w:cstheme="minorHAnsi"/>
          <w:color w:val="000000" w:themeColor="text1"/>
          <w:sz w:val="24"/>
        </w:rPr>
        <w:t>analogue scale [VAS]) before and after imaging. SPECT images were analysed using statistical</w:t>
      </w:r>
      <w:r>
        <w:rPr>
          <w:rFonts w:asciiTheme="minorHAnsi" w:eastAsia="Calibri" w:hAnsiTheme="minorHAnsi" w:cstheme="minorHAnsi"/>
          <w:color w:val="000000" w:themeColor="text1"/>
          <w:sz w:val="24"/>
        </w:rPr>
        <w:t xml:space="preserve"> </w:t>
      </w:r>
      <w:r w:rsidRPr="0073172D">
        <w:rPr>
          <w:rFonts w:asciiTheme="minorHAnsi" w:eastAsia="Calibri" w:hAnsiTheme="minorHAnsi" w:cstheme="minorHAnsi"/>
          <w:color w:val="000000" w:themeColor="text1"/>
          <w:sz w:val="24"/>
        </w:rPr>
        <w:t>parametric mapping and interpreted semi-quantitatively. Clinicians were also asked directly</w:t>
      </w:r>
      <w:r>
        <w:rPr>
          <w:rFonts w:asciiTheme="minorHAnsi" w:eastAsia="Calibri" w:hAnsiTheme="minorHAnsi" w:cstheme="minorHAnsi"/>
          <w:color w:val="000000" w:themeColor="text1"/>
          <w:sz w:val="24"/>
        </w:rPr>
        <w:t xml:space="preserve"> </w:t>
      </w:r>
      <w:r w:rsidRPr="0073172D">
        <w:rPr>
          <w:rFonts w:asciiTheme="minorHAnsi" w:eastAsia="Calibri" w:hAnsiTheme="minorHAnsi" w:cstheme="minorHAnsi"/>
          <w:color w:val="000000" w:themeColor="text1"/>
          <w:sz w:val="24"/>
        </w:rPr>
        <w:t>for their opinion on whether the imaging contributed to their diagnostic process.</w:t>
      </w:r>
    </w:p>
    <w:p w14:paraId="232FF6BB" w14:textId="3FBF7352" w:rsidR="0073172D" w:rsidRDefault="0073172D" w:rsidP="003A3A37">
      <w:pPr>
        <w:keepNext w:val="0"/>
        <w:keepLines w:val="0"/>
        <w:spacing w:after="0" w:line="480" w:lineRule="auto"/>
        <w:rPr>
          <w:rFonts w:asciiTheme="minorHAnsi" w:eastAsia="Calibri" w:hAnsiTheme="minorHAnsi" w:cstheme="minorHAnsi"/>
          <w:color w:val="000000" w:themeColor="text1"/>
          <w:sz w:val="24"/>
        </w:rPr>
      </w:pPr>
      <w:r w:rsidRPr="0073172D">
        <w:rPr>
          <w:rFonts w:asciiTheme="minorHAnsi" w:eastAsia="Calibri" w:hAnsiTheme="minorHAnsi" w:cstheme="minorHAnsi"/>
          <w:color w:val="000000" w:themeColor="text1"/>
          <w:sz w:val="24"/>
        </w:rPr>
        <w:t>RESULTS: Diagnosis changed after imaging in 44% of cases, and confidence was significantly</w:t>
      </w:r>
      <w:r>
        <w:rPr>
          <w:rFonts w:asciiTheme="minorHAnsi" w:eastAsia="Calibri" w:hAnsiTheme="minorHAnsi" w:cstheme="minorHAnsi"/>
          <w:color w:val="000000" w:themeColor="text1"/>
          <w:sz w:val="24"/>
        </w:rPr>
        <w:t xml:space="preserve"> </w:t>
      </w:r>
      <w:r w:rsidRPr="0073172D">
        <w:rPr>
          <w:rFonts w:asciiTheme="minorHAnsi" w:eastAsia="Calibri" w:hAnsiTheme="minorHAnsi" w:cstheme="minorHAnsi"/>
          <w:color w:val="000000" w:themeColor="text1"/>
          <w:sz w:val="24"/>
        </w:rPr>
        <w:t>improved (VAS score change</w:t>
      </w:r>
      <w:r>
        <w:rPr>
          <w:rFonts w:asciiTheme="minorHAnsi" w:eastAsia="Calibri" w:hAnsiTheme="minorHAnsi" w:cstheme="minorHAnsi"/>
          <w:color w:val="000000" w:themeColor="text1"/>
          <w:sz w:val="24"/>
        </w:rPr>
        <w:t>= +</w:t>
      </w:r>
      <w:r w:rsidRPr="0073172D">
        <w:rPr>
          <w:rFonts w:asciiTheme="minorHAnsi" w:eastAsia="Calibri" w:hAnsiTheme="minorHAnsi" w:cstheme="minorHAnsi"/>
          <w:color w:val="000000" w:themeColor="text1"/>
          <w:sz w:val="24"/>
        </w:rPr>
        <w:t>26.3</w:t>
      </w:r>
      <w:r>
        <w:rPr>
          <w:rFonts w:asciiTheme="minorHAnsi" w:eastAsia="Calibri" w:hAnsiTheme="minorHAnsi" w:cstheme="minorHAnsi"/>
          <w:color w:val="000000" w:themeColor="text1"/>
          <w:sz w:val="24"/>
        </w:rPr>
        <w:t xml:space="preserve"> ± </w:t>
      </w:r>
      <w:r w:rsidRPr="0073172D">
        <w:rPr>
          <w:rFonts w:asciiTheme="minorHAnsi" w:eastAsia="Calibri" w:hAnsiTheme="minorHAnsi" w:cstheme="minorHAnsi"/>
          <w:color w:val="000000" w:themeColor="text1"/>
          <w:sz w:val="24"/>
        </w:rPr>
        <w:t>22.2) after imaging in cases where the pre-imaging</w:t>
      </w:r>
      <w:r>
        <w:rPr>
          <w:rFonts w:asciiTheme="minorHAnsi" w:eastAsia="Calibri" w:hAnsiTheme="minorHAnsi" w:cstheme="minorHAnsi"/>
          <w:color w:val="000000" w:themeColor="text1"/>
          <w:sz w:val="24"/>
        </w:rPr>
        <w:t xml:space="preserve"> </w:t>
      </w:r>
      <w:r w:rsidRPr="0073172D">
        <w:rPr>
          <w:rFonts w:asciiTheme="minorHAnsi" w:eastAsia="Calibri" w:hAnsiTheme="minorHAnsi" w:cstheme="minorHAnsi"/>
          <w:color w:val="000000" w:themeColor="text1"/>
          <w:sz w:val="24"/>
        </w:rPr>
        <w:t>confidence was low (p&lt;0.001). Clinician confidence was not significantly different (VAS</w:t>
      </w:r>
      <w:r>
        <w:rPr>
          <w:rFonts w:asciiTheme="minorHAnsi" w:eastAsia="Calibri" w:hAnsiTheme="minorHAnsi" w:cstheme="minorHAnsi"/>
          <w:color w:val="000000" w:themeColor="text1"/>
          <w:sz w:val="24"/>
        </w:rPr>
        <w:t xml:space="preserve"> </w:t>
      </w:r>
      <w:r w:rsidRPr="0073172D">
        <w:rPr>
          <w:rFonts w:asciiTheme="minorHAnsi" w:eastAsia="Calibri" w:hAnsiTheme="minorHAnsi" w:cstheme="minorHAnsi"/>
          <w:color w:val="000000" w:themeColor="text1"/>
          <w:sz w:val="24"/>
        </w:rPr>
        <w:t>score change</w:t>
      </w:r>
      <w:r>
        <w:rPr>
          <w:rFonts w:asciiTheme="minorHAnsi" w:eastAsia="Calibri" w:hAnsiTheme="minorHAnsi" w:cstheme="minorHAnsi"/>
          <w:color w:val="000000" w:themeColor="text1"/>
          <w:sz w:val="24"/>
        </w:rPr>
        <w:t>= +</w:t>
      </w:r>
      <w:r w:rsidRPr="0073172D">
        <w:rPr>
          <w:rFonts w:asciiTheme="minorHAnsi" w:eastAsia="Calibri" w:hAnsiTheme="minorHAnsi" w:cstheme="minorHAnsi"/>
          <w:color w:val="000000" w:themeColor="text1"/>
          <w:sz w:val="24"/>
        </w:rPr>
        <w:t>6.6</w:t>
      </w:r>
      <w:r>
        <w:rPr>
          <w:rFonts w:asciiTheme="minorHAnsi" w:eastAsia="Calibri" w:hAnsiTheme="minorHAnsi" w:cstheme="minorHAnsi"/>
          <w:color w:val="000000" w:themeColor="text1"/>
          <w:sz w:val="24"/>
        </w:rPr>
        <w:t xml:space="preserve"> ± </w:t>
      </w:r>
      <w:r w:rsidRPr="0073172D">
        <w:rPr>
          <w:rFonts w:asciiTheme="minorHAnsi" w:eastAsia="Calibri" w:hAnsiTheme="minorHAnsi" w:cstheme="minorHAnsi"/>
          <w:color w:val="000000" w:themeColor="text1"/>
          <w:sz w:val="24"/>
        </w:rPr>
        <w:t>25.5) after imaging when pre-imaging confidence was moderate to high.</w:t>
      </w:r>
      <w:r>
        <w:rPr>
          <w:rFonts w:asciiTheme="minorHAnsi" w:eastAsia="Calibri" w:hAnsiTheme="minorHAnsi" w:cstheme="minorHAnsi"/>
          <w:color w:val="000000" w:themeColor="text1"/>
          <w:sz w:val="24"/>
        </w:rPr>
        <w:t xml:space="preserve"> </w:t>
      </w:r>
      <w:r w:rsidRPr="0073172D">
        <w:rPr>
          <w:rFonts w:asciiTheme="minorHAnsi" w:eastAsia="Calibri" w:hAnsiTheme="minorHAnsi" w:cstheme="minorHAnsi"/>
          <w:color w:val="000000" w:themeColor="text1"/>
          <w:sz w:val="24"/>
        </w:rPr>
        <w:t>Interestingly, a proportion of clinicians with the highest confidence levels became less certain</w:t>
      </w:r>
      <w:r>
        <w:rPr>
          <w:rFonts w:asciiTheme="minorHAnsi" w:eastAsia="Calibri" w:hAnsiTheme="minorHAnsi" w:cstheme="minorHAnsi"/>
          <w:color w:val="000000" w:themeColor="text1"/>
          <w:sz w:val="24"/>
        </w:rPr>
        <w:t xml:space="preserve"> </w:t>
      </w:r>
      <w:r w:rsidRPr="0073172D">
        <w:rPr>
          <w:rFonts w:asciiTheme="minorHAnsi" w:eastAsia="Calibri" w:hAnsiTheme="minorHAnsi" w:cstheme="minorHAnsi"/>
          <w:color w:val="000000" w:themeColor="text1"/>
          <w:sz w:val="24"/>
        </w:rPr>
        <w:t>about their diagnosis following imaging results. When asked directly, 96% of clinicians stated</w:t>
      </w:r>
      <w:r>
        <w:rPr>
          <w:rFonts w:asciiTheme="minorHAnsi" w:eastAsia="Calibri" w:hAnsiTheme="minorHAnsi" w:cstheme="minorHAnsi"/>
          <w:color w:val="000000" w:themeColor="text1"/>
          <w:sz w:val="24"/>
        </w:rPr>
        <w:t xml:space="preserve"> </w:t>
      </w:r>
      <w:r w:rsidRPr="0073172D">
        <w:rPr>
          <w:rFonts w:asciiTheme="minorHAnsi" w:eastAsia="Calibri" w:hAnsiTheme="minorHAnsi" w:cstheme="minorHAnsi"/>
          <w:color w:val="000000" w:themeColor="text1"/>
          <w:sz w:val="24"/>
        </w:rPr>
        <w:t>that the imaging contributed to the diagnostic process.</w:t>
      </w:r>
    </w:p>
    <w:p w14:paraId="0E38374B" w14:textId="74597086" w:rsidR="00D038FF" w:rsidRPr="00537443" w:rsidRDefault="0073172D" w:rsidP="003A3A37">
      <w:pPr>
        <w:keepNext w:val="0"/>
        <w:keepLines w:val="0"/>
        <w:spacing w:after="0" w:line="480" w:lineRule="auto"/>
        <w:rPr>
          <w:rFonts w:asciiTheme="minorHAnsi" w:eastAsia="Calibri" w:hAnsiTheme="minorHAnsi" w:cstheme="minorHAnsi"/>
          <w:color w:val="000000" w:themeColor="text1"/>
          <w:sz w:val="24"/>
        </w:rPr>
      </w:pPr>
      <w:r w:rsidRPr="0073172D">
        <w:rPr>
          <w:rFonts w:asciiTheme="minorHAnsi" w:eastAsia="Calibri" w:hAnsiTheme="minorHAnsi" w:cstheme="minorHAnsi"/>
          <w:color w:val="000000" w:themeColor="text1"/>
          <w:sz w:val="24"/>
        </w:rPr>
        <w:t>CONCLUSIONS: In a mixed clinical cognitive impairment cohort, perfusion SPECT is valued by</w:t>
      </w:r>
      <w:r>
        <w:rPr>
          <w:rFonts w:asciiTheme="minorHAnsi" w:eastAsia="Calibri" w:hAnsiTheme="minorHAnsi" w:cstheme="minorHAnsi"/>
          <w:color w:val="000000" w:themeColor="text1"/>
          <w:sz w:val="24"/>
        </w:rPr>
        <w:t xml:space="preserve"> </w:t>
      </w:r>
      <w:r w:rsidRPr="0073172D">
        <w:rPr>
          <w:rFonts w:asciiTheme="minorHAnsi" w:eastAsia="Calibri" w:hAnsiTheme="minorHAnsi" w:cstheme="minorHAnsi"/>
          <w:color w:val="000000" w:themeColor="text1"/>
          <w:sz w:val="24"/>
        </w:rPr>
        <w:t xml:space="preserve">referring clinicians and contributes to diagnostic decision making. Imaging is of </w:t>
      </w:r>
      <w:proofErr w:type="gramStart"/>
      <w:r w:rsidRPr="0073172D">
        <w:rPr>
          <w:rFonts w:asciiTheme="minorHAnsi" w:eastAsia="Calibri" w:hAnsiTheme="minorHAnsi" w:cstheme="minorHAnsi"/>
          <w:color w:val="000000" w:themeColor="text1"/>
          <w:sz w:val="24"/>
        </w:rPr>
        <w:t>particular</w:t>
      </w:r>
      <w:r>
        <w:rPr>
          <w:rFonts w:asciiTheme="minorHAnsi" w:eastAsia="Calibri" w:hAnsiTheme="minorHAnsi" w:cstheme="minorHAnsi"/>
          <w:color w:val="000000" w:themeColor="text1"/>
          <w:sz w:val="24"/>
        </w:rPr>
        <w:t xml:space="preserve"> </w:t>
      </w:r>
      <w:r w:rsidRPr="0073172D">
        <w:rPr>
          <w:rFonts w:asciiTheme="minorHAnsi" w:eastAsia="Calibri" w:hAnsiTheme="minorHAnsi" w:cstheme="minorHAnsi"/>
          <w:color w:val="000000" w:themeColor="text1"/>
          <w:sz w:val="24"/>
        </w:rPr>
        <w:t>value</w:t>
      </w:r>
      <w:proofErr w:type="gramEnd"/>
      <w:r w:rsidRPr="0073172D">
        <w:rPr>
          <w:rFonts w:asciiTheme="minorHAnsi" w:eastAsia="Calibri" w:hAnsiTheme="minorHAnsi" w:cstheme="minorHAnsi"/>
          <w:color w:val="000000" w:themeColor="text1"/>
          <w:sz w:val="24"/>
        </w:rPr>
        <w:t xml:space="preserve"> when diagnostic confidence is low prior to imaging.</w:t>
      </w:r>
    </w:p>
    <w:p w14:paraId="659E4E1B" w14:textId="77777777" w:rsidR="006D7CA6" w:rsidRPr="00537443" w:rsidRDefault="006D7CA6" w:rsidP="003A3A37">
      <w:pPr>
        <w:keepNext w:val="0"/>
        <w:keepLines w:val="0"/>
        <w:spacing w:after="0" w:line="480" w:lineRule="auto"/>
        <w:rPr>
          <w:rFonts w:asciiTheme="minorHAnsi" w:eastAsia="Calibri" w:hAnsiTheme="minorHAnsi" w:cstheme="minorHAnsi"/>
          <w:color w:val="000000" w:themeColor="text1"/>
          <w:sz w:val="24"/>
        </w:rPr>
      </w:pPr>
    </w:p>
    <w:p w14:paraId="7BFAC74A" w14:textId="110596A2" w:rsidR="002A5BCA" w:rsidRPr="00537443" w:rsidRDefault="00A67666" w:rsidP="003A3A37">
      <w:pPr>
        <w:keepNext w:val="0"/>
        <w:keepLines w:val="0"/>
        <w:spacing w:after="0" w:line="480" w:lineRule="auto"/>
        <w:rPr>
          <w:rFonts w:asciiTheme="minorHAnsi" w:eastAsia="Calibri" w:hAnsiTheme="minorHAnsi" w:cstheme="minorHAnsi"/>
          <w:color w:val="000000" w:themeColor="text1"/>
          <w:sz w:val="24"/>
        </w:rPr>
      </w:pPr>
      <w:r w:rsidRPr="00537443">
        <w:rPr>
          <w:rFonts w:asciiTheme="minorHAnsi" w:eastAsia="Calibri" w:hAnsiTheme="minorHAnsi" w:cstheme="minorHAnsi"/>
          <w:color w:val="000000" w:themeColor="text1"/>
          <w:sz w:val="24"/>
        </w:rPr>
        <w:t xml:space="preserve">Keywords: SPECT, </w:t>
      </w:r>
      <w:r w:rsidR="004F342F">
        <w:rPr>
          <w:rFonts w:asciiTheme="minorHAnsi" w:eastAsia="Calibri" w:hAnsiTheme="minorHAnsi" w:cstheme="minorHAnsi"/>
          <w:color w:val="000000" w:themeColor="text1"/>
          <w:sz w:val="24"/>
        </w:rPr>
        <w:t>99mTc-</w:t>
      </w:r>
      <w:r w:rsidRPr="00537443">
        <w:rPr>
          <w:rFonts w:asciiTheme="minorHAnsi" w:eastAsia="Calibri" w:hAnsiTheme="minorHAnsi" w:cstheme="minorHAnsi"/>
          <w:color w:val="000000" w:themeColor="text1"/>
          <w:sz w:val="24"/>
        </w:rPr>
        <w:t>HMPAO, Dementia, Impact, Diagnostic confidence</w:t>
      </w:r>
    </w:p>
    <w:bookmarkEnd w:id="0"/>
    <w:p w14:paraId="659F9901" w14:textId="77777777" w:rsidR="0094757E" w:rsidRPr="00537443" w:rsidRDefault="0094757E" w:rsidP="003A3A37">
      <w:pPr>
        <w:pStyle w:val="Heading2"/>
        <w:pageBreakBefore/>
        <w:numPr>
          <w:ilvl w:val="0"/>
          <w:numId w:val="0"/>
        </w:numPr>
        <w:spacing w:line="480" w:lineRule="auto"/>
        <w:rPr>
          <w:rFonts w:asciiTheme="minorHAnsi" w:hAnsiTheme="minorHAnsi" w:cstheme="minorHAnsi"/>
          <w:color w:val="000000" w:themeColor="text1"/>
        </w:rPr>
      </w:pPr>
      <w:r w:rsidRPr="00537443">
        <w:rPr>
          <w:rFonts w:asciiTheme="minorHAnsi" w:hAnsiTheme="minorHAnsi" w:cstheme="minorHAnsi"/>
          <w:color w:val="000000" w:themeColor="text1"/>
        </w:rPr>
        <w:lastRenderedPageBreak/>
        <w:t>Introduction</w:t>
      </w:r>
    </w:p>
    <w:p w14:paraId="36BDA41D" w14:textId="0D63E5C7" w:rsidR="0033360A" w:rsidRPr="00537443" w:rsidRDefault="0033360A" w:rsidP="003A3A37">
      <w:pPr>
        <w:keepNext w:val="0"/>
        <w:keepLines w:val="0"/>
        <w:spacing w:line="480" w:lineRule="auto"/>
        <w:rPr>
          <w:rFonts w:asciiTheme="minorHAnsi" w:hAnsiTheme="minorHAnsi" w:cstheme="minorHAnsi"/>
          <w:color w:val="000000" w:themeColor="text1"/>
          <w:sz w:val="24"/>
        </w:rPr>
      </w:pPr>
      <w:r w:rsidRPr="00537443">
        <w:rPr>
          <w:rFonts w:asciiTheme="minorHAnsi" w:hAnsiTheme="minorHAnsi" w:cstheme="minorHAnsi"/>
          <w:color w:val="000000" w:themeColor="text1"/>
          <w:sz w:val="24"/>
        </w:rPr>
        <w:t>Brain perfusion</w:t>
      </w:r>
      <w:r w:rsidR="00BE766C" w:rsidRPr="00537443">
        <w:rPr>
          <w:rFonts w:asciiTheme="minorHAnsi" w:hAnsiTheme="minorHAnsi" w:cstheme="minorHAnsi"/>
          <w:color w:val="000000" w:themeColor="text1"/>
          <w:sz w:val="24"/>
        </w:rPr>
        <w:t xml:space="preserve"> single photon emission computed tomography</w:t>
      </w:r>
      <w:r w:rsidRPr="00537443">
        <w:rPr>
          <w:rFonts w:asciiTheme="minorHAnsi" w:hAnsiTheme="minorHAnsi" w:cstheme="minorHAnsi"/>
          <w:color w:val="000000" w:themeColor="text1"/>
          <w:sz w:val="24"/>
        </w:rPr>
        <w:t xml:space="preserve"> </w:t>
      </w:r>
      <w:r w:rsidR="00BE766C" w:rsidRPr="00537443">
        <w:rPr>
          <w:rFonts w:asciiTheme="minorHAnsi" w:hAnsiTheme="minorHAnsi" w:cstheme="minorHAnsi"/>
          <w:color w:val="000000" w:themeColor="text1"/>
          <w:sz w:val="24"/>
        </w:rPr>
        <w:t>(</w:t>
      </w:r>
      <w:r w:rsidR="00434112" w:rsidRPr="00537443">
        <w:rPr>
          <w:rFonts w:asciiTheme="minorHAnsi" w:hAnsiTheme="minorHAnsi" w:cstheme="minorHAnsi"/>
          <w:color w:val="000000" w:themeColor="text1"/>
          <w:sz w:val="24"/>
        </w:rPr>
        <w:t>SPECT</w:t>
      </w:r>
      <w:r w:rsidR="00BE766C" w:rsidRPr="00537443">
        <w:rPr>
          <w:rFonts w:asciiTheme="minorHAnsi" w:hAnsiTheme="minorHAnsi" w:cstheme="minorHAnsi"/>
          <w:color w:val="000000" w:themeColor="text1"/>
          <w:sz w:val="24"/>
        </w:rPr>
        <w:t>)</w:t>
      </w:r>
      <w:r w:rsidR="00434112" w:rsidRPr="00537443">
        <w:rPr>
          <w:rFonts w:asciiTheme="minorHAnsi" w:hAnsiTheme="minorHAnsi" w:cstheme="minorHAnsi"/>
          <w:color w:val="000000" w:themeColor="text1"/>
          <w:sz w:val="24"/>
        </w:rPr>
        <w:t xml:space="preserve"> is an ageing</w:t>
      </w:r>
      <w:r w:rsidRPr="00537443">
        <w:rPr>
          <w:rFonts w:asciiTheme="minorHAnsi" w:hAnsiTheme="minorHAnsi" w:cstheme="minorHAnsi"/>
          <w:color w:val="000000" w:themeColor="text1"/>
          <w:sz w:val="24"/>
        </w:rPr>
        <w:t xml:space="preserve"> technology; however, it is still frequently used </w:t>
      </w:r>
      <w:r w:rsidR="00CF74F6" w:rsidRPr="00537443">
        <w:rPr>
          <w:rFonts w:asciiTheme="minorHAnsi" w:hAnsiTheme="minorHAnsi" w:cstheme="minorHAnsi"/>
          <w:color w:val="000000" w:themeColor="text1"/>
          <w:sz w:val="24"/>
        </w:rPr>
        <w:t xml:space="preserve">and </w:t>
      </w:r>
      <w:r w:rsidRPr="00537443">
        <w:rPr>
          <w:rFonts w:asciiTheme="minorHAnsi" w:hAnsiTheme="minorHAnsi" w:cstheme="minorHAnsi"/>
          <w:color w:val="000000" w:themeColor="text1"/>
          <w:sz w:val="24"/>
        </w:rPr>
        <w:t xml:space="preserve">is included in UK National Institute for Health and Care Excellence (NICE) guidelines on dementia diagnosis and assessment </w:t>
      </w:r>
      <w:r w:rsidR="00CA3EED" w:rsidRPr="00537443">
        <w:rPr>
          <w:rFonts w:asciiTheme="minorHAnsi" w:hAnsiTheme="minorHAnsi" w:cstheme="minorHAnsi"/>
          <w:color w:val="000000" w:themeColor="text1"/>
          <w:sz w:val="24"/>
        </w:rPr>
        <w:fldChar w:fldCharType="begin" w:fldLock="1"/>
      </w:r>
      <w:r w:rsidR="00D902A8">
        <w:rPr>
          <w:rFonts w:asciiTheme="minorHAnsi" w:hAnsiTheme="minorHAnsi" w:cstheme="minorHAnsi"/>
          <w:color w:val="000000" w:themeColor="text1"/>
          <w:sz w:val="24"/>
        </w:rPr>
        <w:instrText>ADDIN CSL_CITATION {"citationItems":[{"id":"ITEM-1","itemData":{"DOI":"10.1523/JNEUROSCI.3473-08.2008.Composition","ISBN":"9781473129788","ISSN":"1473129788","abstract":"The recommendations in this guideline represent the view of NICE, arrived at after careful consideration of the evidence available. When exercising their judgement, professionals and practitioners are expected to take this guideline fully into account, alongside the individual needs, preferences and values of their patients or the people using their service. It is not mandatory to apply the recommendations, and the guideline does not override the responsibility to make decisions appropriate to the circumstances of the individual, in consultation with them and their families and carers or guardian. Local commissioners and providers of healthcare have a responsibility to enable the guideline to be applied when individual professionals and people using services wish to use it. They should do so in the context of local and national priorities for funding and developing services, and in light of their duties to have due regard to the need to eliminate unlawful discrimination, to advance equality of opportunity and to reduce health inequalities. Nothing in this guideline should be interpreted in a way that would be inconsistent with complying with those duties. Commissioners and providers have a responsibility to promote an environmentally sustainable health and care system and should assess and reduce the environmental impact of implementing NICE recommendations wherever possible.","author":[{"dropping-particle":"","family":"National Institute for Health and Care Excellence","given":"","non-dropping-particle":"","parse-names":false,"suffix":""}],"id":"ITEM-1","issued":{"date-parts":[["2018"]]},"number-of-pages":"131","publisher-place":"London","title":"Dementia: assessment, management and support for people living with dementia and their carers. Guideline 97","type":"report"},"uris":["http://www.mendeley.com/documents/?uuid=1aa29597-3d40-4a69-a048-04426dc5ea78"]}],"mendeley":{"formattedCitation":"[&lt;i&gt;1&lt;/i&gt;]","plainTextFormattedCitation":"[1]","previouslyFormattedCitation":"[1]"},"properties":{"noteIndex":0},"schema":"https://github.com/citation-style-language/schema/raw/master/csl-citation.json"}</w:instrText>
      </w:r>
      <w:r w:rsidR="00CA3EED" w:rsidRPr="00537443">
        <w:rPr>
          <w:rFonts w:asciiTheme="minorHAnsi" w:hAnsiTheme="minorHAnsi" w:cstheme="minorHAnsi"/>
          <w:color w:val="000000" w:themeColor="text1"/>
          <w:sz w:val="24"/>
        </w:rPr>
        <w:fldChar w:fldCharType="separate"/>
      </w:r>
      <w:r w:rsidR="00D902A8" w:rsidRPr="00D902A8">
        <w:rPr>
          <w:rFonts w:asciiTheme="minorHAnsi" w:hAnsiTheme="minorHAnsi" w:cstheme="minorHAnsi"/>
          <w:noProof/>
          <w:color w:val="000000" w:themeColor="text1"/>
          <w:sz w:val="24"/>
        </w:rPr>
        <w:t>[</w:t>
      </w:r>
      <w:r w:rsidR="00D902A8" w:rsidRPr="00D902A8">
        <w:rPr>
          <w:rFonts w:asciiTheme="minorHAnsi" w:hAnsiTheme="minorHAnsi" w:cstheme="minorHAnsi"/>
          <w:i/>
          <w:noProof/>
          <w:color w:val="000000" w:themeColor="text1"/>
          <w:sz w:val="24"/>
        </w:rPr>
        <w:t>1</w:t>
      </w:r>
      <w:r w:rsidR="00D902A8" w:rsidRPr="00D902A8">
        <w:rPr>
          <w:rFonts w:asciiTheme="minorHAnsi" w:hAnsiTheme="minorHAnsi" w:cstheme="minorHAnsi"/>
          <w:noProof/>
          <w:color w:val="000000" w:themeColor="text1"/>
          <w:sz w:val="24"/>
        </w:rPr>
        <w:t>]</w:t>
      </w:r>
      <w:r w:rsidR="00CA3EED" w:rsidRPr="00537443">
        <w:rPr>
          <w:rFonts w:asciiTheme="minorHAnsi" w:hAnsiTheme="minorHAnsi" w:cstheme="minorHAnsi"/>
          <w:color w:val="000000" w:themeColor="text1"/>
          <w:sz w:val="24"/>
        </w:rPr>
        <w:fldChar w:fldCharType="end"/>
      </w:r>
      <w:r w:rsidRPr="00537443">
        <w:rPr>
          <w:rFonts w:asciiTheme="minorHAnsi" w:hAnsiTheme="minorHAnsi" w:cstheme="minorHAnsi"/>
          <w:color w:val="000000" w:themeColor="text1"/>
          <w:sz w:val="24"/>
        </w:rPr>
        <w:t>. Although dementia subtype diagnostic guidelines recommend the use of</w:t>
      </w:r>
      <w:r w:rsidR="00BE766C" w:rsidRPr="00537443">
        <w:rPr>
          <w:rFonts w:asciiTheme="minorHAnsi" w:hAnsiTheme="minorHAnsi" w:cstheme="minorHAnsi"/>
          <w:color w:val="000000" w:themeColor="text1"/>
          <w:sz w:val="24"/>
        </w:rPr>
        <w:t xml:space="preserve"> positron emission tomography</w:t>
      </w:r>
      <w:r w:rsidRPr="00537443">
        <w:rPr>
          <w:rFonts w:asciiTheme="minorHAnsi" w:hAnsiTheme="minorHAnsi" w:cstheme="minorHAnsi"/>
          <w:color w:val="000000" w:themeColor="text1"/>
          <w:sz w:val="24"/>
        </w:rPr>
        <w:t xml:space="preserve"> </w:t>
      </w:r>
      <w:r w:rsidR="00BE766C" w:rsidRPr="00537443">
        <w:rPr>
          <w:rFonts w:asciiTheme="minorHAnsi" w:hAnsiTheme="minorHAnsi" w:cstheme="minorHAnsi"/>
          <w:color w:val="000000" w:themeColor="text1"/>
          <w:sz w:val="24"/>
        </w:rPr>
        <w:t>(</w:t>
      </w:r>
      <w:r w:rsidRPr="00537443">
        <w:rPr>
          <w:rFonts w:asciiTheme="minorHAnsi" w:hAnsiTheme="minorHAnsi" w:cstheme="minorHAnsi"/>
          <w:color w:val="000000" w:themeColor="text1"/>
          <w:sz w:val="24"/>
        </w:rPr>
        <w:t>PET</w:t>
      </w:r>
      <w:r w:rsidR="00BE766C" w:rsidRPr="00537443">
        <w:rPr>
          <w:rFonts w:asciiTheme="minorHAnsi" w:hAnsiTheme="minorHAnsi" w:cstheme="minorHAnsi"/>
          <w:color w:val="000000" w:themeColor="text1"/>
          <w:sz w:val="24"/>
        </w:rPr>
        <w:t>)</w:t>
      </w:r>
      <w:r w:rsidRPr="00537443">
        <w:rPr>
          <w:rFonts w:asciiTheme="minorHAnsi" w:hAnsiTheme="minorHAnsi" w:cstheme="minorHAnsi"/>
          <w:color w:val="000000" w:themeColor="text1"/>
          <w:sz w:val="24"/>
        </w:rPr>
        <w:t xml:space="preserve"> imaging over perfusion SPECT due to improved resolution and signal to noise ratio, whether this can provide a significant advantage in clinical use is a contentious issue </w:t>
      </w:r>
      <w:r w:rsidR="00CA3EED" w:rsidRPr="00537443">
        <w:rPr>
          <w:rFonts w:asciiTheme="minorHAnsi" w:hAnsiTheme="minorHAnsi" w:cstheme="minorHAnsi"/>
          <w:color w:val="000000" w:themeColor="text1"/>
          <w:sz w:val="24"/>
        </w:rPr>
        <w:fldChar w:fldCharType="begin" w:fldLock="1"/>
      </w:r>
      <w:r w:rsidR="00D902A8">
        <w:rPr>
          <w:rFonts w:asciiTheme="minorHAnsi" w:hAnsiTheme="minorHAnsi" w:cstheme="minorHAnsi"/>
          <w:color w:val="000000" w:themeColor="text1"/>
          <w:sz w:val="24"/>
        </w:rPr>
        <w:instrText>ADDIN CSL_CITATION {"citationItems":[{"id":"ITEM-1","itemData":{"DOI":"10.2967/jnumed.114.143347","ISSN":"0161-5505","abstract":"Brain imaging with glucose (18F-FDG) PET or blood flow (hexame- thylpropyleneamine oxime) SPECT is widely used for the differential diagnosis of dementia, though direct comparisons to clearly estab- lish superiority of one method have not been undertaken. Methods: Subjects with Alzheimer disease (AD; n5 38) and dementia with Lewy bodies (DLB; n 5 30) and controls (n 5 30) underwent 18F-FDG PET and SPECT in balanced order. The main outcome measure was area under the curve (AUC) of receiver-operating-characteristic analysis of visual scan rating. Results: Consensus diagnosis with 18F-FDG PET was superior to SPECT for both dementia vs. no-dementia (AUC 5 0.93 vs. 0.72, P 5 0.001) and AD vs. DLB (AUC 5 0.80 vs. 0.58, P 5 0.005) comparisons. The sensitivity and specificity for dementia/no-dementia was 85% and 90%, respectively, for 18F- FDG PET and 71% and 70%, respectively, for SPECT. Conclusion: 18F-FDG PET was significantly superior to blood flow SPECT. We recommend 18F-FDG PET be performed instead of perfusion SPECT for the differential diagnosis of degenerative dementia if functional imaging is indicated.","author":[{"dropping-particle":"","family":"O'Brien","given":"J. T.","non-dropping-particle":"","parse-names":false,"suffix":""},{"dropping-particle":"","family":"Firbank","given":"M. J.","non-dropping-particle":"","parse-names":false,"suffix":""},{"dropping-particle":"","family":"Davison","given":"C.","non-dropping-particle":"","parse-names":false,"suffix":""},{"dropping-particle":"","family":"Barnett","given":"N.","non-dropping-particle":"","parse-names":false,"suffix":""},{"dropping-particle":"","family":"Bamford","given":"C.","non-dropping-particle":"","parse-names":false,"suffix":""},{"dropping-particle":"","family":"Donaldson","given":"C.","non-dropping-particle":"","parse-names":false,"suffix":""},{"dropping-particle":"","family":"Olsen","given":"K.","non-dropping-particle":"","parse-names":false,"suffix":""},{"dropping-particle":"","family":"Herholz","given":"K.","non-dropping-particle":"","parse-names":false,"suffix":""},{"dropping-particle":"","family":"Williams","given":"D.","non-dropping-particle":"","parse-names":false,"suffix":""},{"dropping-particle":"","family":"Lloyd","given":"J.","non-dropping-particle":"","parse-names":false,"suffix":""}],"container-title":"Journal of Nuclear Medicine","id":"ITEM-1","issue":"12","issued":{"date-parts":[["2014","12"]]},"page":"1959-1965","title":"18F-FDG PET and Perfusion SPECT in the Diagnosis of Alzheimer and Lewy Body Dementias","type":"article-journal","volume":"55"},"uris":["http://www.mendeley.com/documents/?uuid=e608e1ce-f492-4308-a304-fa7d67202e5a"]},{"id":"ITEM-2","itemData":{"DOI":"10.2174/1876388X01002020040","ISSN":"1876388X","abstract":"Although research interest within functional imaging has moved towards applications of MRI, such as BOLD and perfusion imaging, there is a wealth of clinical experience in emission tomographic imaging techniques that make the use of these modalities relevant for the decades to come. This review touches upon the technical and practical issues that distinguish SPECT from PET, describes perfusion and metabolic changes observed in the dementias, compares the clinical utility of the two techniques, and reports data on clinical sensitivity and specificity, as well as diagnostic head-to head comparisons in dementia, and specifically Alzheimer’s disease. While few centres have a genuine choice between PET and SPECT, either appears to be good enough to help with the differential diagnosis of dementia in difficult cases.","author":[{"dropping-particle":"","family":"Ebmeier","given":"Klaus P.","non-dropping-particle":"","parse-names":false,"suffix":""}],"container-title":"The Open Nuclear Medicine Journal","id":"ITEM-2","issue":"2","issued":{"date-parts":[["2010"]]},"page":"40-45","title":"Is there Still a Place for Perfusion SPECT in the Diagnosis of Dementia?","type":"article-journal","volume":"2"},"uris":["http://www.mendeley.com/documents/?uuid=bce17176-d2ff-421b-a997-a0fc96f33035"]}],"mendeley":{"formattedCitation":"[&lt;i&gt;2&lt;/i&gt;,&lt;i&gt;3&lt;/i&gt;]","plainTextFormattedCitation":"[2,3]","previouslyFormattedCitation":"[2,3]"},"properties":{"noteIndex":0},"schema":"https://github.com/citation-style-language/schema/raw/master/csl-citation.json"}</w:instrText>
      </w:r>
      <w:r w:rsidR="00CA3EED" w:rsidRPr="00537443">
        <w:rPr>
          <w:rFonts w:asciiTheme="minorHAnsi" w:hAnsiTheme="minorHAnsi" w:cstheme="minorHAnsi"/>
          <w:color w:val="000000" w:themeColor="text1"/>
          <w:sz w:val="24"/>
        </w:rPr>
        <w:fldChar w:fldCharType="separate"/>
      </w:r>
      <w:r w:rsidR="00D902A8" w:rsidRPr="00D902A8">
        <w:rPr>
          <w:rFonts w:asciiTheme="minorHAnsi" w:hAnsiTheme="minorHAnsi" w:cstheme="minorHAnsi"/>
          <w:noProof/>
          <w:color w:val="000000" w:themeColor="text1"/>
          <w:sz w:val="24"/>
        </w:rPr>
        <w:t>[</w:t>
      </w:r>
      <w:r w:rsidR="00D902A8" w:rsidRPr="00D902A8">
        <w:rPr>
          <w:rFonts w:asciiTheme="minorHAnsi" w:hAnsiTheme="minorHAnsi" w:cstheme="minorHAnsi"/>
          <w:i/>
          <w:noProof/>
          <w:color w:val="000000" w:themeColor="text1"/>
          <w:sz w:val="24"/>
        </w:rPr>
        <w:t>2</w:t>
      </w:r>
      <w:r w:rsidR="00D902A8" w:rsidRPr="00D902A8">
        <w:rPr>
          <w:rFonts w:asciiTheme="minorHAnsi" w:hAnsiTheme="minorHAnsi" w:cstheme="minorHAnsi"/>
          <w:noProof/>
          <w:color w:val="000000" w:themeColor="text1"/>
          <w:sz w:val="24"/>
        </w:rPr>
        <w:t>,</w:t>
      </w:r>
      <w:r w:rsidR="00D902A8" w:rsidRPr="00D902A8">
        <w:rPr>
          <w:rFonts w:asciiTheme="minorHAnsi" w:hAnsiTheme="minorHAnsi" w:cstheme="minorHAnsi"/>
          <w:i/>
          <w:noProof/>
          <w:color w:val="000000" w:themeColor="text1"/>
          <w:sz w:val="24"/>
        </w:rPr>
        <w:t>3</w:t>
      </w:r>
      <w:r w:rsidR="00D902A8" w:rsidRPr="00D902A8">
        <w:rPr>
          <w:rFonts w:asciiTheme="minorHAnsi" w:hAnsiTheme="minorHAnsi" w:cstheme="minorHAnsi"/>
          <w:noProof/>
          <w:color w:val="000000" w:themeColor="text1"/>
          <w:sz w:val="24"/>
        </w:rPr>
        <w:t>]</w:t>
      </w:r>
      <w:r w:rsidR="00CA3EED" w:rsidRPr="00537443">
        <w:rPr>
          <w:rFonts w:asciiTheme="minorHAnsi" w:hAnsiTheme="minorHAnsi" w:cstheme="minorHAnsi"/>
          <w:color w:val="000000" w:themeColor="text1"/>
          <w:sz w:val="24"/>
        </w:rPr>
        <w:fldChar w:fldCharType="end"/>
      </w:r>
      <w:r w:rsidRPr="00537443">
        <w:rPr>
          <w:rFonts w:asciiTheme="minorHAnsi" w:hAnsiTheme="minorHAnsi" w:cstheme="minorHAnsi"/>
          <w:color w:val="000000" w:themeColor="text1"/>
          <w:sz w:val="24"/>
        </w:rPr>
        <w:t>. Additionally, perfusion SPECT brain imaging is cheaper and more w</w:t>
      </w:r>
      <w:r w:rsidR="00B11B1E" w:rsidRPr="00537443">
        <w:rPr>
          <w:rFonts w:asciiTheme="minorHAnsi" w:hAnsiTheme="minorHAnsi" w:cstheme="minorHAnsi"/>
          <w:color w:val="000000" w:themeColor="text1"/>
          <w:sz w:val="24"/>
        </w:rPr>
        <w:t>idely available than metabolic PE</w:t>
      </w:r>
      <w:r w:rsidRPr="00537443">
        <w:rPr>
          <w:rFonts w:asciiTheme="minorHAnsi" w:hAnsiTheme="minorHAnsi" w:cstheme="minorHAnsi"/>
          <w:color w:val="000000" w:themeColor="text1"/>
          <w:sz w:val="24"/>
        </w:rPr>
        <w:t>T</w:t>
      </w:r>
      <w:r w:rsidR="006F77CB" w:rsidRPr="00537443">
        <w:rPr>
          <w:rFonts w:asciiTheme="minorHAnsi" w:hAnsiTheme="minorHAnsi" w:cstheme="minorHAnsi"/>
          <w:color w:val="000000" w:themeColor="text1"/>
          <w:sz w:val="24"/>
        </w:rPr>
        <w:t xml:space="preserve"> in the UK</w:t>
      </w:r>
      <w:r w:rsidRPr="00537443">
        <w:rPr>
          <w:rFonts w:asciiTheme="minorHAnsi" w:hAnsiTheme="minorHAnsi" w:cstheme="minorHAnsi"/>
          <w:color w:val="000000" w:themeColor="text1"/>
          <w:sz w:val="24"/>
        </w:rPr>
        <w:t>.</w:t>
      </w:r>
    </w:p>
    <w:p w14:paraId="244DC3D4" w14:textId="6BAA8451" w:rsidR="00703E25" w:rsidRPr="00537443" w:rsidRDefault="0078352D" w:rsidP="003A3A37">
      <w:pPr>
        <w:keepNext w:val="0"/>
        <w:keepLines w:val="0"/>
        <w:spacing w:line="480" w:lineRule="auto"/>
        <w:rPr>
          <w:rFonts w:asciiTheme="minorHAnsi" w:hAnsiTheme="minorHAnsi" w:cstheme="minorHAnsi"/>
          <w:color w:val="000000" w:themeColor="text1"/>
          <w:sz w:val="24"/>
        </w:rPr>
      </w:pPr>
      <w:r w:rsidRPr="00537443">
        <w:rPr>
          <w:rFonts w:asciiTheme="minorHAnsi" w:hAnsiTheme="minorHAnsi" w:cstheme="minorHAnsi"/>
          <w:color w:val="000000" w:themeColor="text1"/>
          <w:sz w:val="24"/>
        </w:rPr>
        <w:t xml:space="preserve">With the development of statistical methods </w:t>
      </w:r>
      <w:r w:rsidR="00AF5DC7" w:rsidRPr="00537443">
        <w:rPr>
          <w:rFonts w:asciiTheme="minorHAnsi" w:hAnsiTheme="minorHAnsi" w:cstheme="minorHAnsi"/>
          <w:color w:val="000000" w:themeColor="text1"/>
          <w:sz w:val="24"/>
        </w:rPr>
        <w:t>of imaging analysis (such as voxel based morphometry</w:t>
      </w:r>
      <w:r w:rsidRPr="00537443">
        <w:rPr>
          <w:rFonts w:asciiTheme="minorHAnsi" w:hAnsiTheme="minorHAnsi" w:cstheme="minorHAnsi"/>
          <w:color w:val="000000" w:themeColor="text1"/>
          <w:sz w:val="24"/>
        </w:rPr>
        <w:t>), perfusion</w:t>
      </w:r>
      <w:r w:rsidR="00D0143D" w:rsidRPr="00537443">
        <w:rPr>
          <w:rFonts w:asciiTheme="minorHAnsi" w:hAnsiTheme="minorHAnsi" w:cstheme="minorHAnsi"/>
          <w:color w:val="000000" w:themeColor="text1"/>
          <w:sz w:val="24"/>
        </w:rPr>
        <w:t xml:space="preserve"> </w:t>
      </w:r>
      <w:r w:rsidRPr="00537443">
        <w:rPr>
          <w:rFonts w:asciiTheme="minorHAnsi" w:hAnsiTheme="minorHAnsi" w:cstheme="minorHAnsi"/>
          <w:color w:val="000000" w:themeColor="text1"/>
          <w:sz w:val="24"/>
        </w:rPr>
        <w:t>SPECT imaging has been shown to have improved diagnostic accuracy over clinical assessme</w:t>
      </w:r>
      <w:r w:rsidR="007E6E01" w:rsidRPr="00537443">
        <w:rPr>
          <w:rFonts w:asciiTheme="minorHAnsi" w:hAnsiTheme="minorHAnsi" w:cstheme="minorHAnsi"/>
          <w:color w:val="000000" w:themeColor="text1"/>
          <w:sz w:val="24"/>
        </w:rPr>
        <w:t>nt and structural imaging alone</w:t>
      </w:r>
      <w:r w:rsidR="00722944" w:rsidRPr="00537443">
        <w:rPr>
          <w:rFonts w:asciiTheme="minorHAnsi" w:hAnsiTheme="minorHAnsi" w:cstheme="minorHAnsi"/>
          <w:color w:val="000000" w:themeColor="text1"/>
          <w:sz w:val="24"/>
        </w:rPr>
        <w:t xml:space="preserve"> in dementia diagnosis</w:t>
      </w:r>
      <w:r w:rsidR="007E6E01" w:rsidRPr="00537443">
        <w:rPr>
          <w:rFonts w:asciiTheme="minorHAnsi" w:hAnsiTheme="minorHAnsi" w:cstheme="minorHAnsi"/>
          <w:color w:val="000000" w:themeColor="text1"/>
          <w:sz w:val="24"/>
        </w:rPr>
        <w:t xml:space="preserve"> </w:t>
      </w:r>
      <w:r w:rsidR="00CA3EED" w:rsidRPr="00537443">
        <w:rPr>
          <w:rFonts w:asciiTheme="minorHAnsi" w:hAnsiTheme="minorHAnsi" w:cstheme="minorHAnsi"/>
          <w:color w:val="000000" w:themeColor="text1"/>
          <w:sz w:val="24"/>
        </w:rPr>
        <w:fldChar w:fldCharType="begin" w:fldLock="1"/>
      </w:r>
      <w:r w:rsidR="00D902A8">
        <w:rPr>
          <w:rFonts w:asciiTheme="minorHAnsi" w:hAnsiTheme="minorHAnsi" w:cstheme="minorHAnsi"/>
          <w:color w:val="000000" w:themeColor="text1"/>
          <w:sz w:val="24"/>
        </w:rPr>
        <w:instrText>ADDIN CSL_CITATION {"citationItems":[{"id":"ITEM-1","itemData":{"DOI":"10.1007/s00259-004-1704-9","ISSN":"1619-7070","PMID":"15821961","abstract":"PURPOSE: The purpose of this study was to compare the accuracy of MR imaging and brain perfusion single-photon emission tomography (SPECT) in diagnosing Alzheimer's disease (AD).\n\nMETHODS: The transaxial section display of brain perfusion SPECT, three-dimensional stereotactic surface projection (3D-SSP) SPECT image sets, thin-section MR imaging of the hippocampus and perfusion MR imaging were evaluated in 66 subjects comprising 35 AD patients and 31 subjects without AD. SPECT and MR imaging were visually interpreted by two experts and two novices, and the diagnostic ability of each modality was evaluated by receiver operating characteristic (ROC) analysis.\n\nRESULTS: In the experts' interpretations, there was no significant difference in the area under the ROC curve (Az) between 3D-SSP and thin-section MR imaging, whereas the Az of transaxial SPECT display was significantly lower than that of 3D-SSP (3D-SSP: 0.97, thin-section MR imaging: 0.96, transaxial SPECT: 0.91), and the Az of perfusion MR imaging was lowest (0.63). The sensitivity and specificity of each modality were, respectively, 80.0% and 96.8% for 3D-SSP, 77.1% and 96.8% for thin-section MR imaging, 60.0% and 93.5% for transaxial SPECT display and 34.3% and 100% for perfusion MR imaging. In the novices' interpretations, the Az, sensitivity and specificity of 3D-SSP were superior to those of thin-section MR imaging.\n\nCONCLUSION: Thin-section hippocampal MR imaging and 3D-SSP image sets had potentially equivalent value for the diagnosis of AD, and they were superior to transaxial SPECT display and perfusion MR imaging. For avoidance of the effect of interpreters' experience on image evaluation, 3D-SSP appears to be optimal.","author":[{"dropping-particle":"","family":"Kubota","given":"Takao","non-dropping-particle":"","parse-names":false,"suffix":""},{"dropping-particle":"","family":"Ushijima","given":"Yo","non-dropping-particle":"","parse-names":false,"suffix":""},{"dropping-particle":"","family":"Yamada","given":"Kei","non-dropping-particle":"","parse-names":false,"suffix":""},{"dropping-particle":"","family":"Okuyama","given":"Chio","non-dropping-particle":"","parse-names":false,"suffix":""},{"dropping-particle":"","family":"Kizu","given":"Osamu","non-dropping-particle":"","parse-names":false,"suffix":""},{"dropping-particle":"","family":"Nishimura","given":"Tsunehiko","non-dropping-particle":"","parse-names":false,"suffix":""}],"container-title":"European journal of nuclear medicine and molecular imaging","id":"ITEM-1","issue":"4","issued":{"date-parts":[["2005","4"]]},"page":"414-21","title":"Diagnosis of Alzheimer's disease using brain perfusion SPECT and MR imaging: which modality achieves better diagnostic accuracy?","type":"article-journal","volume":"32"},"uris":["http://www.mendeley.com/documents/?uuid=a652d1a9-4ff4-4cef-9ebe-cce25fe61098"]},{"id":"ITEM-2","itemData":{"abstract":"Objective: Numerous studies have suggested that temporoparietal hypoperfusion seen on brain imag- ing with SPECT may be useful in diagnosing AD during life. However, these studies have often been limited by lack of pathologic validation and unrepresentative samples. The authors performed this study to determine whether SPECT imaging provides diagnostically useful information in addition to that obtained from a clinical examination. Methods: Clinical data and SPECT images were collected prospectively, and patients were followed to autopsy. Clinical history, pathologic findings, and SPECT images were each evaluated by raters blind to other features, and clinical and SPECT diagnoses were compared with pathologic diagnoses. The study population consisted of 70 patients with dementia, followed to autopsy; 14 controls followed to autopsy; and 71 controls (no autopsy performed). The primary outcome was the likelihood of a pathologic diagnosis of AD given a positive clinical diagnosis, a positive SPECT diagnosis, and both. Results: When all participants (patients and controls) were included in the analysis, the clinical diagnosis of “probable” AD was associated with an 84% likelihood of pathologic AD. A positive SPECT scan raised the likelihood of AD to 92%, whereas a negative SPECT scan lowered the likelihood to 70%. SPECT was more useful when the clinical diagnosis was “possible” AD, with the likelihood of 67% without SPECT, 84% with a positive SPECT, and 52% with a negative SPECT. Similar results were found when only patients with dementia were included in the analysis. Conclusions: In the evalua- tion of dementia, SPECT imaging can provide clinically useful information indicating the presence of AD in addition to the information that is obtained from clinical evaluation.","author":[{"dropping-particle":"","family":"Jagust","given":"W","non-dropping-particle":"","parse-names":false,"suffix":""},{"dropping-particle":"","family":"Thisted","given":"R","non-dropping-particle":"","parse-names":false,"suffix":""},{"dropping-particle":"","family":"Devous","given":"Md","non-dropping-particle":"","parse-names":false,"suffix":""}],"container-title":"Neurology","id":"ITEM-2","issued":{"date-parts":[["2001"]]},"page":"950-956","title":"SPECT perfusion imaging in the diagnosis of Alzheimer's disease A clinical-pathologic study","type":"article-journal","volume":"56"},"uris":["http://www.mendeley.com/documents/?uuid=e89ada72-bf12-4366-912a-deacd63e173e"]}],"mendeley":{"formattedCitation":"[&lt;i&gt;4&lt;/i&gt;,&lt;i&gt;5&lt;/i&gt;]","plainTextFormattedCitation":"[4,5]","previouslyFormattedCitation":"[4,5]"},"properties":{"noteIndex":0},"schema":"https://github.com/citation-style-language/schema/raw/master/csl-citation.json"}</w:instrText>
      </w:r>
      <w:r w:rsidR="00CA3EED" w:rsidRPr="00537443">
        <w:rPr>
          <w:rFonts w:asciiTheme="minorHAnsi" w:hAnsiTheme="minorHAnsi" w:cstheme="minorHAnsi"/>
          <w:color w:val="000000" w:themeColor="text1"/>
          <w:sz w:val="24"/>
        </w:rPr>
        <w:fldChar w:fldCharType="separate"/>
      </w:r>
      <w:r w:rsidR="00D902A8" w:rsidRPr="00D902A8">
        <w:rPr>
          <w:rFonts w:asciiTheme="minorHAnsi" w:hAnsiTheme="minorHAnsi" w:cstheme="minorHAnsi"/>
          <w:noProof/>
          <w:color w:val="000000" w:themeColor="text1"/>
          <w:sz w:val="24"/>
        </w:rPr>
        <w:t>[</w:t>
      </w:r>
      <w:r w:rsidR="00D902A8" w:rsidRPr="00D902A8">
        <w:rPr>
          <w:rFonts w:asciiTheme="minorHAnsi" w:hAnsiTheme="minorHAnsi" w:cstheme="minorHAnsi"/>
          <w:i/>
          <w:noProof/>
          <w:color w:val="000000" w:themeColor="text1"/>
          <w:sz w:val="24"/>
        </w:rPr>
        <w:t>4</w:t>
      </w:r>
      <w:r w:rsidR="00D902A8" w:rsidRPr="00D902A8">
        <w:rPr>
          <w:rFonts w:asciiTheme="minorHAnsi" w:hAnsiTheme="minorHAnsi" w:cstheme="minorHAnsi"/>
          <w:noProof/>
          <w:color w:val="000000" w:themeColor="text1"/>
          <w:sz w:val="24"/>
        </w:rPr>
        <w:t>,</w:t>
      </w:r>
      <w:r w:rsidR="00D902A8" w:rsidRPr="00D902A8">
        <w:rPr>
          <w:rFonts w:asciiTheme="minorHAnsi" w:hAnsiTheme="minorHAnsi" w:cstheme="minorHAnsi"/>
          <w:i/>
          <w:noProof/>
          <w:color w:val="000000" w:themeColor="text1"/>
          <w:sz w:val="24"/>
        </w:rPr>
        <w:t>5</w:t>
      </w:r>
      <w:r w:rsidR="00D902A8" w:rsidRPr="00D902A8">
        <w:rPr>
          <w:rFonts w:asciiTheme="minorHAnsi" w:hAnsiTheme="minorHAnsi" w:cstheme="minorHAnsi"/>
          <w:noProof/>
          <w:color w:val="000000" w:themeColor="text1"/>
          <w:sz w:val="24"/>
        </w:rPr>
        <w:t>]</w:t>
      </w:r>
      <w:r w:rsidR="00CA3EED" w:rsidRPr="00537443">
        <w:rPr>
          <w:rFonts w:asciiTheme="minorHAnsi" w:hAnsiTheme="minorHAnsi" w:cstheme="minorHAnsi"/>
          <w:color w:val="000000" w:themeColor="text1"/>
          <w:sz w:val="24"/>
        </w:rPr>
        <w:fldChar w:fldCharType="end"/>
      </w:r>
      <w:r w:rsidRPr="00537443">
        <w:rPr>
          <w:rFonts w:asciiTheme="minorHAnsi" w:hAnsiTheme="minorHAnsi" w:cstheme="minorHAnsi"/>
          <w:color w:val="000000" w:themeColor="text1"/>
          <w:sz w:val="24"/>
        </w:rPr>
        <w:t>. Semi-quantitative methods of analysis have also been shown to provide a significant increase in diagnostic accuracy</w:t>
      </w:r>
      <w:r w:rsidR="006C58B2" w:rsidRPr="00537443">
        <w:rPr>
          <w:rFonts w:asciiTheme="minorHAnsi" w:hAnsiTheme="minorHAnsi" w:cstheme="minorHAnsi"/>
          <w:color w:val="000000" w:themeColor="text1"/>
          <w:sz w:val="24"/>
        </w:rPr>
        <w:t xml:space="preserve"> and inter-rater reliability</w:t>
      </w:r>
      <w:r w:rsidRPr="00537443">
        <w:rPr>
          <w:rFonts w:asciiTheme="minorHAnsi" w:hAnsiTheme="minorHAnsi" w:cstheme="minorHAnsi"/>
          <w:color w:val="000000" w:themeColor="text1"/>
          <w:sz w:val="24"/>
        </w:rPr>
        <w:t xml:space="preserve"> over visual assessment</w:t>
      </w:r>
      <w:r w:rsidR="007E6E01" w:rsidRPr="00537443">
        <w:rPr>
          <w:rFonts w:asciiTheme="minorHAnsi" w:hAnsiTheme="minorHAnsi" w:cstheme="minorHAnsi"/>
          <w:color w:val="000000" w:themeColor="text1"/>
          <w:sz w:val="24"/>
        </w:rPr>
        <w:t xml:space="preserve"> </w:t>
      </w:r>
      <w:r w:rsidR="00CA3EED" w:rsidRPr="00537443">
        <w:rPr>
          <w:rFonts w:asciiTheme="minorHAnsi" w:hAnsiTheme="minorHAnsi" w:cstheme="minorHAnsi"/>
          <w:color w:val="000000" w:themeColor="text1"/>
          <w:sz w:val="24"/>
        </w:rPr>
        <w:fldChar w:fldCharType="begin" w:fldLock="1"/>
      </w:r>
      <w:r w:rsidR="00D902A8">
        <w:rPr>
          <w:rFonts w:asciiTheme="minorHAnsi" w:hAnsiTheme="minorHAnsi" w:cstheme="minorHAnsi"/>
          <w:color w:val="000000" w:themeColor="text1"/>
          <w:sz w:val="24"/>
        </w:rPr>
        <w:instrText>ADDIN CSL_CITATION {"citationItems":[{"id":"ITEM-1","itemData":{"DOI":"10.1097/00006231-200512000-00009","ISBN":"0143-3636 (Print)","ISSN":"0143-3636","PMID":"16264357","abstract":"AIM To assess the role of 99mTc-hexamethylpropyleneamine oxime single-photon emission computed tomography (99mTc-HMPAO SPECT) imaging of the precuneus and medial temporal lobe in the individual patient with mild Alzheimer's disease and dementia with Lewy bodies (DLB) using statistical parametric mapping and visual image interpretation. METHODS Thirty-four patients with mild late-onset Alzheimer's disease, 20 patients with early-onset Alzheimer's disease, 15 patients with DLB and 31 healthy controls were studied. All patients fulfilled appropriate clinical criteria; the DLB patients also had evidence of dopaminergic presynaptic terminal loss on 123I-N-omega-fluoropropyl-2beta-carbomethoxy-3beta-(4-iodophenyl)-tropane imaging. 99mTc-HMPAO SPECT brain scans were acquired on a multidetector gamma camera and images were assessed separately by visual interpretation and with SPM99. RESULTS Statistical parametric maps were significantly more accurate than visual image interpretation in all disease categories. In patients with mild late-onset Alzheimer's disease, statistical parametric mapping demonstrated significant hypoperfusion to the precuneus in 59% and to the medial temporal lobe in 53%. Seventy-six per cent of these patients had a defect in either location. No controls had precuneal or medial temporal lobe hypoperfusion (specificity, 100%). Statistical parametric mapping also demonstrated 73% of patients with DLB to have precuneal abnormalities, but only 6% had medial temporal lobe involvement. CONCLUSION These findings illustrate the capability of statistical parametric mapping to demonstrate reliable abnormalities in the majority, but not all, patients with either mild Alzheimer's disease or DLB. Precuneal hypoperfusion is not specific to Alzheimer's disease and is equally likely to be found in DLB. In this study, medial temporal hypoperfusion was significantly more common in Alzheimer's disease than in DLB. Statistical parametric maps appear to be considerably more reliable than simple visual interpretation of 99mTc-HMPAO images for these regions.","author":[{"dropping-particle":"","family":"Kemp","given":"Paul M","non-dropping-particle":"","parse-names":false,"suffix":""},{"dropping-particle":"","family":"Hoffmann","given":"Sandra A","non-dropping-particle":"","parse-names":false,"suffix":""},{"dropping-particle":"","family":"Holmes","given":"Clive","non-dropping-particle":"","parse-names":false,"suffix":""},{"dropping-particle":"","family":"Bolt","given":"Livia","non-dropping-particle":"","parse-names":false,"suffix":""},{"dropping-particle":"","family":"Ward","given":"Tony","non-dropping-particle":"","parse-names":false,"suffix":""},{"dropping-particle":"","family":"Holmes","given":"Robin B","non-dropping-particle":"","parse-names":false,"suffix":""},{"dropping-particle":"","family":"Fleming","given":"John S","non-dropping-particle":"","parse-names":false,"suffix":""}],"container-title":"Nuclear medicine communications","id":"ITEM-1","issue":"12","issued":{"date-parts":[["2005","12"]]},"page":"1099-106","title":"The contribution of statistical parametric mapping in the assessment of precuneal and medial temporal lobe perfusion by 99mTc-HMPAO SPECT in mild Alzheimer's and Lewy body dementia.","type":"article-journal","volume":"26"},"uris":["http://www.mendeley.com/documents/?uuid=31a48d63-c481-4747-81ff-91115856eb40"]},{"id":"ITEM-2","itemData":{"DOI":"10.1007/s00259-004-1704-9","ISSN":"1619-7070","PMID":"15821961","abstract":"PURPOSE: The purpose of this study was to compare the accuracy of MR imaging and brain perfusion single-photon emission tomography (SPECT) in diagnosing Alzheimer's disease (AD).\n\nMETHODS: The transaxial section display of brain perfusion SPECT, three-dimensional stereotactic surface projection (3D-SSP) SPECT image sets, thin-section MR imaging of the hippocampus and perfusion MR imaging were evaluated in 66 subjects comprising 35 AD patients and 31 subjects without AD. SPECT and MR imaging were visually interpreted by two experts and two novices, and the diagnostic ability of each modality was evaluated by receiver operating characteristic (ROC) analysis.\n\nRESULTS: In the experts' interpretations, there was no significant difference in the area under the ROC curve (Az) between 3D-SSP and thin-section MR imaging, whereas the Az of transaxial SPECT display was significantly lower than that of 3D-SSP (3D-SSP: 0.97, thin-section MR imaging: 0.96, transaxial SPECT: 0.91), and the Az of perfusion MR imaging was lowest (0.63). The sensitivity and specificity of each modality were, respectively, 80.0% and 96.8% for 3D-SSP, 77.1% and 96.8% for thin-section MR imaging, 60.0% and 93.5% for transaxial SPECT display and 34.3% and 100% for perfusion MR imaging. In the novices' interpretations, the Az, sensitivity and specificity of 3D-SSP were superior to those of thin-section MR imaging.\n\nCONCLUSION: Thin-section hippocampal MR imaging and 3D-SSP image sets had potentially equivalent value for the diagnosis of AD, and they were superior to transaxial SPECT display and perfusion MR imaging. For avoidance of the effect of interpreters' experience on image evaluation, 3D-SSP appears to be optimal.","author":[{"dropping-particle":"","family":"Kubota","given":"Takao","non-dropping-particle":"","parse-names":false,"suffix":""},{"dropping-particle":"","family":"Ushijima","given":"Yo","non-dropping-particle":"","parse-names":false,"suffix":""},{"dropping-particle":"","family":"Yamada","given":"Kei","non-dropping-particle":"","parse-names":false,"suffix":""},{"dropping-particle":"","family":"Okuyama","given":"Chio","non-dropping-particle":"","parse-names":false,"suffix":""},{"dropping-particle":"","family":"Kizu","given":"Osamu","non-dropping-particle":"","parse-names":false,"suffix":""},{"dropping-particle":"","family":"Nishimura","given":"Tsunehiko","non-dropping-particle":"","parse-names":false,"suffix":""}],"container-title":"European journal of nuclear medicine and molecular imaging","id":"ITEM-2","issue":"4","issued":{"date-parts":[["2005","4"]]},"page":"414-21","title":"Diagnosis of Alzheimer's disease using brain perfusion SPECT and MR imaging: which modality achieves better diagnostic accuracy?","type":"article-journal","volume":"32"},"uris":["http://www.mendeley.com/documents/?uuid=a652d1a9-4ff4-4cef-9ebe-cce25fe61098"]},{"id":"ITEM-3","itemData":{"DOI":"10.1007/BF02984969","ISSN":"0914-7187","PMID":"14971605","abstract":"OBJECTIVES Alzheimer's disease (AD) is diagnosed by either inspection of the brain perfusion SPECT, or three-dimensional stereotactic surface display (3D-SSP). The purpose was to compare diagnostic performances of these methods. METHODS Sixteen nuclear medicine physicians independently interpreted 99mTc-ECD SPECT in one session and SPECT with 3D-SSP in another session without clinical information for 50 studies of AD patients and 40 studies of healthy volunteers. Probabilities of AD were reported according to a subjective scale from 0% (normal) to 100% (definite AD). Receiver operating characteristics curves were generated to calculate areas under the ROC curves (Az's) for the inspection as well as for an automated diagnosis based on a mean Z value in the bilateral posterior cingulate gyri in a 3D-SSP template. RESULTS Mean Az for visual interpretation of SPECT alone (0.679 +/- 0.058) was significantly smaller than that for visual interpretation of both SPECT and 3D-SSP (0.778 +/- 0.060). Az for the automated diagnosis (0.883 +/- 0.037) was significantly greater than that for both modes of visual interpretation. CONCLUSIONS 3D-SSP enhanced performance of the nuclear medicine physicians inspecting SPECT. Performance of the automated diagnosis exceeded that of the physicians inspecting SPECT with and without 3D-SSP.","author":[{"dropping-particle":"","family":"Honda","given":"Norinari","non-dropping-particle":"","parse-names":false,"suffix":""},{"dropping-particle":"","family":"Machida","given":"Kikuo","non-dropping-particle":"","parse-names":false,"suffix":""},{"dropping-particle":"","family":"Matsumoto","given":"Tohru","non-dropping-particle":"","parse-names":false,"suffix":""},{"dropping-particle":"","family":"Matsuda","given":"Hiroshi","non-dropping-particle":"","parse-names":false,"suffix":""},{"dropping-particle":"","family":"Imabayashi","given":"Etsuko","non-dropping-particle":"","parse-names":false,"suffix":""},{"dropping-particle":"","family":"Hashimoto","given":"Jun","non-dropping-particle":"","parse-names":false,"suffix":""},{"dropping-particle":"","family":"Hosono","given":"Makoto","non-dropping-particle":"","parse-names":false,"suffix":""},{"dropping-particle":"","family":"Inoue","given":"Yusuke","non-dropping-particle":"","parse-names":false,"suffix":""},{"dropping-particle":"","family":"Koizum","given":"Kiyoshi","non-dropping-particle":"","parse-names":false,"suffix":""},{"dropping-particle":"","family":"Kosuda","given":"Shigeru","non-dropping-particle":"","parse-names":false,"suffix":""},{"dropping-particle":"","family":"Momose","given":"Toshimitsu","non-dropping-particle":"","parse-names":false,"suffix":""},{"dropping-particle":"","family":"Mori","given":"Yutaka","non-dropping-particle":"","parse-names":false,"suffix":""},{"dropping-particle":"","family":"Oshima","given":"Motoo","non-dropping-particle":"","parse-names":false,"suffix":""}],"container-title":"Annals of nuclear medicine","id":"ITEM-3","issue":"8","issued":{"date-parts":[["2003","12"]]},"page":"641-8","title":"Three-dimensional stereotactic surface projection of brain perfusion SPECT improves diagnosis of Alzheimer's disease.","type":"article-journal","volume":"17"},"uris":["http://www.mendeley.com/documents/?uuid=507e3c37-a2b7-4342-8dc4-f87cd1241d54"]},{"id":"ITEM-4","itemData":{"DOI":"10.1176/appi.ajgp.12.6.554","ISBN":"10647481","ISSN":"1064-7481","PMID":"15545324","abstract":"OBJECTIVE The authors sought to determine the diagnostic accuracy of 99mTc-HMPAO-SPECT in discriminating between Alzheimer disease (AD) and other dementias. METHODS Articles published between 1985 and 2002 were retrieved systematically from MEDLINE and EMBASE, cross-referencing with personal collections and 13 narrative reviews. Of 301 studies identified, 48 survived exclusion criteria and contained extractable data. Two authors independently assessed and graded the methodology of all included studies. Diagnostic comparison groups included vascular dementia (VD; 13 studies), fronto-temporal dementia (FTD; 7 studies), normal healthy volunteers (27 studies), and non-dementia patients (13 studies). Where statistically justified, groups were pooled in a metaanalysis; summary receiver operating curves were constructed; and heterogeneity across studies examined by regression of the diagnostic odds ratio. RESULTS The pooled weighted sensitivity of 99mTc-HMPAO-SPECT in discriminating clinically defined AD from VD was 71.3%; its specificity was 75.9%. The pooled weighted sensitivity and specificity for AD versus FTD were 71.5% and 78.2%, respectively. Variation in outcome across studies was not found to be attributable to any single factor. CONCLUSION Pathological verification studies suggest that clinical criteria may be more sensitive in detecting AD than brain SPECT (81% versus 74%). However, SPECT studies provide a higher specificity against other types of dementia than clinical criteria (91% versus 70%). SPECT may, therefore, be helpful in the differential diagnosis of AD. Clinical follow-up studies are urgently required to establish its predictive validity with regard to natural history and treatment response.","author":[{"dropping-particle":"","family":"Dougall","given":"Nadine J","non-dropping-particle":"","parse-names":false,"suffix":""}],"container-title":"American Journal of Geriatric Psychiatry","id":"ITEM-4","issue":"6","issued":{"date-parts":[["2004","12","1"]]},"note":"From Duplicate 1 (Systematic review of the diagnostic accuracy of 99mTc-HMPAO-SPECT in dementia. - DARE)\n\nNot full text - only summary available.\n\nREQUEST FULL TEXT","page":"554-570","title":"Systematic Review of the Diagnostic Accuracy of 99mTc-HMPAO-SPECT in Dementia","type":"article-journal","volume":"12"},"uris":["http://www.mendeley.com/documents/?uuid=9db55d29-9fbc-4bac-a012-e927133ca40f"]},{"id":"ITEM-5","itemData":{"DOI":"10.1212/WNL.0b013e31829d86e8","ISBN":"0028-3878 1526-632X (electronic)","ISSN":"1526-632X","PMID":"23897875","abstract":"Revised diagnostic criteria for Alzheimer disease (AD) acknowledge a key role of imaging biomarkers for early diagnosis. Diagnostic accuracy depends on which marker (i.e., amyloid imaging, ¹⁸F-fluorodeoxyglucose [FDG]-PET, SPECT, MRI) as well as how it is measured (\"metric\": visual, manual, semiautomated, or automated segmentation/computation). We evaluated diagnostic accuracy of marker vs metric in separating AD from healthy and prognostic accuracy to predict progression in mild cognitive impairment. The outcome measure was positive (negative) likelihood ratio, LR+ (LR-), defined as the ratio between the probability of positive (negative) test outcome in patients and the probability of positive (negative) test outcome in healthy controls. Diagnostic LR+ of markers was between 4.4 and 9.4 and LR- between 0.25 and 0.08, whereas prognostic LR+ and LR- were between 1.7 and 7.5, and 0.50 and 0.11, respectively. Within metrics, LRs varied up to 100-fold: LR+ from approximately 1 to 100; LR- from approximately 1.00 to 0.01. Markers accounted for 11% and 18% of diagnostic and prognostic variance of LR+ and 16% and 24% of LR-. Across all markers, metrics accounted for an equal or larger amount of variance than markers: 13% and 62% of diagnostic and prognostic variance of LR+, and 29% and 18% of LR-. Within markers, the largest proportion of diagnostic LR+ and LR- variability was within ¹⁸F-FDG-PET and MRI metrics, respectively. Diagnostic and prognostic accuracy of imaging AD biomarkers is at least as dependent on how the biomarker is measured as on the biomarker itself. Standard operating procedures are key to biomarker use in the clinical routine and drug trials.","author":[{"dropping-particle":"","family":"Frisoni","given":"Giovanni B.","non-dropping-particle":"","parse-names":false,"suffix":""},{"dropping-particle":"","family":"Bocchetta","given":"Martina","non-dropping-particle":"","parse-names":false,"suffix":""},{"dropping-particle":"","family":"Chételat","given":"Gael","non-dropping-particle":"","parse-names":false,"suffix":""},{"dropping-particle":"","family":"Rabinovici","given":"Gil D.","non-dropping-particle":"","parse-names":false,"suffix":""},{"dropping-particle":"","family":"Leon","given":"Mony J","non-dropping-particle":"de","parse-names":false,"suffix":""},{"dropping-particle":"","family":"Kaye","given":"Jeffrey","non-dropping-particle":"","parse-names":false,"suffix":""},{"dropping-particle":"","family":"Reiman","given":"Eric M.","non-dropping-particle":"","parse-names":false,"suffix":""},{"dropping-particle":"","family":"Scheltens","given":"Philip","non-dropping-particle":"","parse-names":false,"suffix":""},{"dropping-particle":"","family":"Barkhof","given":"Frederik","non-dropping-particle":"","parse-names":false,"suffix":""},{"dropping-particle":"","family":"Black","given":"Sandra E.","non-dropping-particle":"","parse-names":false,"suffix":""},{"dropping-particle":"","family":"Brooks","given":"David J.","non-dropping-particle":"","parse-names":false,"suffix":""},{"dropping-particle":"","family":"Carrillo","given":"Maria C.","non-dropping-particle":"","parse-names":false,"suffix":""},{"dropping-particle":"","family":"Fox","given":"Nick C.","non-dropping-particle":"","parse-names":false,"suffix":""},{"dropping-particle":"","family":"Herholz","given":"Karl","non-dropping-particle":"","parse-names":false,"suffix":""},{"dropping-particle":"","family":"Nordberg","given":"Agneta","non-dropping-particle":"","parse-names":false,"suffix":""},{"dropping-particle":"","family":"Jack","given":"Clifford R.","non-dropping-particle":"","parse-names":false,"suffix":""},{"dropping-particle":"","family":"Jagust","given":"William J.","non-dropping-particle":"","parse-names":false,"suffix":""},{"dropping-particle":"","family":"Johnson","given":"Keith a.","non-dropping-particle":"","parse-names":false,"suffix":""},{"dropping-particle":"","family":"Rowe","given":"Christopher C.","non-dropping-particle":"","parse-names":false,"suffix":""},{"dropping-particle":"","family":"Sperling","given":"Reisa a.","non-dropping-particle":"","parse-names":false,"suffix":""},{"dropping-particle":"","family":"Thies","given":"William","non-dropping-particle":"","parse-names":false,"suffix":""},{"dropping-particle":"","family":"Wahlund","given":"Lars-Olof","non-dropping-particle":"","parse-names":false,"suffix":""},{"dropping-particle":"","family":"Weiner","given":"Michael W.","non-dropping-particle":"","parse-names":false,"suffix":""},{"dropping-particle":"","family":"Pasqualetti","given":"Patrizio","non-dropping-particle":"","parse-names":false,"suffix":""},{"dropping-particle":"","family":"Decarli","given":"Charles","non-dropping-particle":"","parse-names":false,"suffix":""},{"dropping-particle":"","family":"ISTAART's NeuroImaging Professional Interest Area","given":"","non-dropping-particle":"","parse-names":false,"suffix":""}],"container-title":"Neurology","id":"ITEM-5","issue":"5","issued":{"date-parts":[["2013","7","30"]]},"note":"Completed","page":"487-500","title":"Imaging markers for Alzheimer disease: which vs how.","type":"article-journal","volume":"81"},"uris":["http://www.mendeley.com/documents/?uuid=4b3fc00f-8936-4676-93d1-3ffaff31fe94"]}],"mendeley":{"formattedCitation":"[&lt;i&gt;4&lt;/i&gt;,&lt;i&gt;6&lt;/i&gt;–&lt;i&gt;9&lt;/i&gt;]","plainTextFormattedCitation":"[4,6–9]","previouslyFormattedCitation":"[4,6–9]"},"properties":{"noteIndex":0},"schema":"https://github.com/citation-style-language/schema/raw/master/csl-citation.json"}</w:instrText>
      </w:r>
      <w:r w:rsidR="00CA3EED" w:rsidRPr="00537443">
        <w:rPr>
          <w:rFonts w:asciiTheme="minorHAnsi" w:hAnsiTheme="minorHAnsi" w:cstheme="minorHAnsi"/>
          <w:color w:val="000000" w:themeColor="text1"/>
          <w:sz w:val="24"/>
        </w:rPr>
        <w:fldChar w:fldCharType="separate"/>
      </w:r>
      <w:r w:rsidR="00D902A8" w:rsidRPr="00D902A8">
        <w:rPr>
          <w:rFonts w:asciiTheme="minorHAnsi" w:hAnsiTheme="minorHAnsi" w:cstheme="minorHAnsi"/>
          <w:noProof/>
          <w:color w:val="000000" w:themeColor="text1"/>
          <w:sz w:val="24"/>
        </w:rPr>
        <w:t>[</w:t>
      </w:r>
      <w:r w:rsidR="00D902A8" w:rsidRPr="00D902A8">
        <w:rPr>
          <w:rFonts w:asciiTheme="minorHAnsi" w:hAnsiTheme="minorHAnsi" w:cstheme="minorHAnsi"/>
          <w:i/>
          <w:noProof/>
          <w:color w:val="000000" w:themeColor="text1"/>
          <w:sz w:val="24"/>
        </w:rPr>
        <w:t>4</w:t>
      </w:r>
      <w:r w:rsidR="00D902A8" w:rsidRPr="00D902A8">
        <w:rPr>
          <w:rFonts w:asciiTheme="minorHAnsi" w:hAnsiTheme="minorHAnsi" w:cstheme="minorHAnsi"/>
          <w:noProof/>
          <w:color w:val="000000" w:themeColor="text1"/>
          <w:sz w:val="24"/>
        </w:rPr>
        <w:t>,</w:t>
      </w:r>
      <w:r w:rsidR="00D902A8" w:rsidRPr="00D902A8">
        <w:rPr>
          <w:rFonts w:asciiTheme="minorHAnsi" w:hAnsiTheme="minorHAnsi" w:cstheme="minorHAnsi"/>
          <w:i/>
          <w:noProof/>
          <w:color w:val="000000" w:themeColor="text1"/>
          <w:sz w:val="24"/>
        </w:rPr>
        <w:t>6</w:t>
      </w:r>
      <w:r w:rsidR="00D902A8" w:rsidRPr="00D902A8">
        <w:rPr>
          <w:rFonts w:asciiTheme="minorHAnsi" w:hAnsiTheme="minorHAnsi" w:cstheme="minorHAnsi"/>
          <w:noProof/>
          <w:color w:val="000000" w:themeColor="text1"/>
          <w:sz w:val="24"/>
        </w:rPr>
        <w:t>–</w:t>
      </w:r>
      <w:r w:rsidR="00D902A8" w:rsidRPr="00D902A8">
        <w:rPr>
          <w:rFonts w:asciiTheme="minorHAnsi" w:hAnsiTheme="minorHAnsi" w:cstheme="minorHAnsi"/>
          <w:i/>
          <w:noProof/>
          <w:color w:val="000000" w:themeColor="text1"/>
          <w:sz w:val="24"/>
        </w:rPr>
        <w:t>9</w:t>
      </w:r>
      <w:r w:rsidR="00D902A8" w:rsidRPr="00D902A8">
        <w:rPr>
          <w:rFonts w:asciiTheme="minorHAnsi" w:hAnsiTheme="minorHAnsi" w:cstheme="minorHAnsi"/>
          <w:noProof/>
          <w:color w:val="000000" w:themeColor="text1"/>
          <w:sz w:val="24"/>
        </w:rPr>
        <w:t>]</w:t>
      </w:r>
      <w:r w:rsidR="00CA3EED" w:rsidRPr="00537443">
        <w:rPr>
          <w:rFonts w:asciiTheme="minorHAnsi" w:hAnsiTheme="minorHAnsi" w:cstheme="minorHAnsi"/>
          <w:color w:val="000000" w:themeColor="text1"/>
          <w:sz w:val="24"/>
        </w:rPr>
        <w:fldChar w:fldCharType="end"/>
      </w:r>
      <w:r w:rsidRPr="00537443">
        <w:rPr>
          <w:rFonts w:asciiTheme="minorHAnsi" w:hAnsiTheme="minorHAnsi" w:cstheme="minorHAnsi"/>
          <w:color w:val="000000" w:themeColor="text1"/>
          <w:sz w:val="24"/>
        </w:rPr>
        <w:t>.</w:t>
      </w:r>
      <w:r w:rsidR="002653BB" w:rsidRPr="00537443">
        <w:rPr>
          <w:rFonts w:asciiTheme="minorHAnsi" w:hAnsiTheme="minorHAnsi" w:cstheme="minorHAnsi"/>
          <w:color w:val="000000" w:themeColor="text1"/>
          <w:sz w:val="24"/>
        </w:rPr>
        <w:t xml:space="preserve"> </w:t>
      </w:r>
      <w:r w:rsidRPr="00537443">
        <w:rPr>
          <w:rFonts w:asciiTheme="minorHAnsi" w:hAnsiTheme="minorHAnsi" w:cstheme="minorHAnsi"/>
          <w:color w:val="000000" w:themeColor="text1"/>
          <w:sz w:val="24"/>
        </w:rPr>
        <w:t>Despite the benefits of semi-quantitative analysis, it is rarely used clinically to aid reporting</w:t>
      </w:r>
      <w:r w:rsidR="002653BB" w:rsidRPr="00537443">
        <w:rPr>
          <w:rFonts w:asciiTheme="minorHAnsi" w:hAnsiTheme="minorHAnsi" w:cstheme="minorHAnsi"/>
          <w:color w:val="000000" w:themeColor="text1"/>
          <w:sz w:val="24"/>
        </w:rPr>
        <w:t>.</w:t>
      </w:r>
      <w:r w:rsidR="0087219C" w:rsidRPr="00537443">
        <w:rPr>
          <w:rFonts w:asciiTheme="minorHAnsi" w:hAnsiTheme="minorHAnsi" w:cstheme="minorHAnsi"/>
          <w:color w:val="000000" w:themeColor="text1"/>
          <w:sz w:val="24"/>
        </w:rPr>
        <w:t xml:space="preserve"> </w:t>
      </w:r>
      <w:r w:rsidR="00C4641E" w:rsidRPr="00537443">
        <w:rPr>
          <w:rFonts w:asciiTheme="minorHAnsi" w:hAnsiTheme="minorHAnsi" w:cstheme="minorHAnsi"/>
          <w:color w:val="000000" w:themeColor="text1"/>
          <w:sz w:val="24"/>
        </w:rPr>
        <w:t xml:space="preserve">Additionally, although </w:t>
      </w:r>
      <w:r w:rsidR="00186382" w:rsidRPr="00537443">
        <w:rPr>
          <w:rFonts w:asciiTheme="minorHAnsi" w:hAnsiTheme="minorHAnsi" w:cstheme="minorHAnsi"/>
          <w:color w:val="000000" w:themeColor="text1"/>
          <w:sz w:val="24"/>
        </w:rPr>
        <w:t>there is extensive literature on perfusion SPECT imaging accuracy in dementia diagnosis</w:t>
      </w:r>
      <w:r w:rsidR="0001511B" w:rsidRPr="00537443">
        <w:rPr>
          <w:rFonts w:asciiTheme="minorHAnsi" w:hAnsiTheme="minorHAnsi" w:cstheme="minorHAnsi"/>
          <w:color w:val="000000" w:themeColor="text1"/>
          <w:sz w:val="24"/>
        </w:rPr>
        <w:t xml:space="preserve"> </w:t>
      </w:r>
      <w:r w:rsidR="00CA3EED" w:rsidRPr="00537443">
        <w:rPr>
          <w:rFonts w:asciiTheme="minorHAnsi" w:hAnsiTheme="minorHAnsi" w:cstheme="minorHAnsi"/>
          <w:noProof/>
          <w:color w:val="000000" w:themeColor="text1"/>
          <w:sz w:val="24"/>
        </w:rPr>
        <w:fldChar w:fldCharType="begin" w:fldLock="1"/>
      </w:r>
      <w:r w:rsidR="00D902A8">
        <w:rPr>
          <w:rFonts w:asciiTheme="minorHAnsi" w:hAnsiTheme="minorHAnsi" w:cstheme="minorHAnsi"/>
          <w:noProof/>
          <w:color w:val="000000" w:themeColor="text1"/>
          <w:sz w:val="24"/>
        </w:rPr>
        <w:instrText>ADDIN CSL_CITATION {"citationItems":[{"id":"ITEM-1","itemData":{"DOI":"10.1176/appi.ajgp.12.6.554","ISBN":"10647481","ISSN":"1064-7481","PMID":"15545324","abstract":"OBJECTIVE The authors sought to determine the diagnostic accuracy of 99mTc-HMPAO-SPECT in discriminating between Alzheimer disease (AD) and other dementias. METHODS Articles published between 1985 and 2002 were retrieved systematically from MEDLINE and EMBASE, cross-referencing with personal collections and 13 narrative reviews. Of 301 studies identified, 48 survived exclusion criteria and contained extractable data. Two authors independently assessed and graded the methodology of all included studies. Diagnostic comparison groups included vascular dementia (VD; 13 studies), fronto-temporal dementia (FTD; 7 studies), normal healthy volunteers (27 studies), and non-dementia patients (13 studies). Where statistically justified, groups were pooled in a metaanalysis; summary receiver operating curves were constructed; and heterogeneity across studies examined by regression of the diagnostic odds ratio. RESULTS The pooled weighted sensitivity of 99mTc-HMPAO-SPECT in discriminating clinically defined AD from VD was 71.3%; its specificity was 75.9%. The pooled weighted sensitivity and specificity for AD versus FTD were 71.5% and 78.2%, respectively. Variation in outcome across studies was not found to be attributable to any single factor. CONCLUSION Pathological verification studies suggest that clinical criteria may be more sensitive in detecting AD than brain SPECT (81% versus 74%). However, SPECT studies provide a higher specificity against other types of dementia than clinical criteria (91% versus 70%). SPECT may, therefore, be helpful in the differential diagnosis of AD. Clinical follow-up studies are urgently required to establish its predictive validity with regard to natural history and treatment response.","author":[{"dropping-particle":"","family":"Dougall","given":"Nadine J","non-dropping-particle":"","parse-names":false,"suffix":""}],"container-title":"American Journal of Geriatric Psychiatry","id":"ITEM-1","issue":"6","issued":{"date-parts":[["2004","12","1"]]},"note":"From Duplicate 1 (Systematic review of the diagnostic accuracy of 99mTc-HMPAO-SPECT in dementia. - DARE)\n\nNot full text - only summary available.\n\nREQUEST FULL TEXT","page":"554-570","title":"Systematic Review of the Diagnostic Accuracy of 99mTc-HMPAO-SPECT in Dementia","type":"article-journal","volume":"12"},"uris":["http://www.mendeley.com/documents/?uuid=9db55d29-9fbc-4bac-a012-e927133ca40f"]},{"id":"ITEM-2","itemData":{"DOI":"10.1007/s00406-013-0426-z","ISSN":"1433-8491","PMID":"23917803","abstract":"Single-photon emission-computed tomography (SPECT) may potentially contribute to the diagnostic work up of patients with neurodegenerative dementia. This systematic review aims to establish the diagnostic utility of 99mTc-hexamethylpropyleneamine (99mTc-HMPAO) and 99mTc-ethylcysteine dimer SPECT in distinguishing between Alzheimer's disease (AD) and frontotemporal dementia (FTD), AD and vascular dementia (VD), AD and dementia with Lewy bodies (DLB), and AD and normal controls (NC). We searched MEDLINE and Embase databases via OVID for articles from January 1985 to May 2012 and identified additional studies from reviews and references. Of 755 studies, 49 studies met the inclusion and exclusion criteria for this systematic review; AD versus FTD (n=13), AD versus VD (n=18), AD versus DLB (n=5), and AD versus NC (n=18). We compiled relevant data and graded the studies with an internal and external validity criteria checklist. We pooled the studies with a clinical diagnosis and those using 99mTc-HMPAO SPECT in a meta-analysis, calculating the pooled weighted sensitivity, specificity, likelihood ratios, and diagnostic odds ratios using DerSimonian-Laird random-effects model. The pooled weighted sensitivity and specificity of 99mTc-HMPAO-SPECT in distinguishing clinically diagnosed AD from FTD are 79.7 and 79.9%, respectively, AD from VD are 74.5 and 72.4%, AD from DLB are 70.2 and 76.2%, and AD from NC are 76.1 and 85.4%. SPECT does have diagnostic value, particularly in differentiating Alzheimer's disease from frontotemporal dementia and normal controls; however, it should not be used in isolation, rather as an adjunct, and interpreted in the context of clinical information and paraclinical test results.","author":[{"dropping-particle":"","family":"Yeo","given":"Jing Ming","non-dropping-particle":"","parse-names":false,"suffix":""},{"dropping-particle":"","family":"Lim","given":"Xuxin","non-dropping-particle":"","parse-names":false,"suffix":""},{"dropping-particle":"","family":"Khan","given":"Zubair","non-dropping-particle":"","parse-names":false,"suffix":""},{"dropping-particle":"","family":"Pal","given":"Suvankar","non-dropping-particle":"","parse-names":false,"suffix":""}],"container-title":"European archives of psychiatry and clinical neuroscience","id":"ITEM-2","issue":"7","issued":{"date-parts":[["2013","10"]]},"page":"539-52","title":"Systematic review of the diagnostic utility of SPECT imaging in dementia.","type":"article-journal","volume":"263"},"uris":["http://www.mendeley.com/documents/?uuid=9251226e-440b-4c98-a2b8-a2a5ea1b90e1"]}],"mendeley":{"formattedCitation":"[&lt;i&gt;8&lt;/i&gt;,&lt;i&gt;10&lt;/i&gt;]","plainTextFormattedCitation":"[8,10]","previouslyFormattedCitation":"[8,10]"},"properties":{"noteIndex":0},"schema":"https://github.com/citation-style-language/schema/raw/master/csl-citation.json"}</w:instrText>
      </w:r>
      <w:r w:rsidR="00CA3EED" w:rsidRPr="00537443">
        <w:rPr>
          <w:rFonts w:asciiTheme="minorHAnsi" w:hAnsiTheme="minorHAnsi" w:cstheme="minorHAnsi"/>
          <w:noProof/>
          <w:color w:val="000000" w:themeColor="text1"/>
          <w:sz w:val="24"/>
        </w:rPr>
        <w:fldChar w:fldCharType="separate"/>
      </w:r>
      <w:r w:rsidR="00D902A8" w:rsidRPr="00D902A8">
        <w:rPr>
          <w:rFonts w:asciiTheme="minorHAnsi" w:hAnsiTheme="minorHAnsi" w:cstheme="minorHAnsi"/>
          <w:noProof/>
          <w:color w:val="000000" w:themeColor="text1"/>
          <w:sz w:val="24"/>
        </w:rPr>
        <w:t>[</w:t>
      </w:r>
      <w:r w:rsidR="00D902A8" w:rsidRPr="00D902A8">
        <w:rPr>
          <w:rFonts w:asciiTheme="minorHAnsi" w:hAnsiTheme="minorHAnsi" w:cstheme="minorHAnsi"/>
          <w:i/>
          <w:noProof/>
          <w:color w:val="000000" w:themeColor="text1"/>
          <w:sz w:val="24"/>
        </w:rPr>
        <w:t>8</w:t>
      </w:r>
      <w:r w:rsidR="00D902A8" w:rsidRPr="00D902A8">
        <w:rPr>
          <w:rFonts w:asciiTheme="minorHAnsi" w:hAnsiTheme="minorHAnsi" w:cstheme="minorHAnsi"/>
          <w:noProof/>
          <w:color w:val="000000" w:themeColor="text1"/>
          <w:sz w:val="24"/>
        </w:rPr>
        <w:t>,</w:t>
      </w:r>
      <w:r w:rsidR="00D902A8" w:rsidRPr="00D902A8">
        <w:rPr>
          <w:rFonts w:asciiTheme="minorHAnsi" w:hAnsiTheme="minorHAnsi" w:cstheme="minorHAnsi"/>
          <w:i/>
          <w:noProof/>
          <w:color w:val="000000" w:themeColor="text1"/>
          <w:sz w:val="24"/>
        </w:rPr>
        <w:t>10</w:t>
      </w:r>
      <w:r w:rsidR="00D902A8" w:rsidRPr="00D902A8">
        <w:rPr>
          <w:rFonts w:asciiTheme="minorHAnsi" w:hAnsiTheme="minorHAnsi" w:cstheme="minorHAnsi"/>
          <w:noProof/>
          <w:color w:val="000000" w:themeColor="text1"/>
          <w:sz w:val="24"/>
        </w:rPr>
        <w:t>]</w:t>
      </w:r>
      <w:r w:rsidR="00CA3EED" w:rsidRPr="00537443">
        <w:rPr>
          <w:rFonts w:asciiTheme="minorHAnsi" w:hAnsiTheme="minorHAnsi" w:cstheme="minorHAnsi"/>
          <w:noProof/>
          <w:color w:val="000000" w:themeColor="text1"/>
          <w:sz w:val="24"/>
        </w:rPr>
        <w:fldChar w:fldCharType="end"/>
      </w:r>
      <w:r w:rsidR="00186382" w:rsidRPr="00537443">
        <w:rPr>
          <w:rFonts w:asciiTheme="minorHAnsi" w:hAnsiTheme="minorHAnsi" w:cstheme="minorHAnsi"/>
          <w:color w:val="000000" w:themeColor="text1"/>
          <w:sz w:val="24"/>
        </w:rPr>
        <w:t xml:space="preserve">, research has been limited as to its </w:t>
      </w:r>
      <w:r w:rsidR="003C2E02" w:rsidRPr="00537443">
        <w:rPr>
          <w:rFonts w:asciiTheme="minorHAnsi" w:hAnsiTheme="minorHAnsi" w:cstheme="minorHAnsi"/>
          <w:color w:val="000000" w:themeColor="text1"/>
          <w:sz w:val="24"/>
        </w:rPr>
        <w:t xml:space="preserve">actual </w:t>
      </w:r>
      <w:r w:rsidR="00186382" w:rsidRPr="00537443">
        <w:rPr>
          <w:rFonts w:asciiTheme="minorHAnsi" w:hAnsiTheme="minorHAnsi" w:cstheme="minorHAnsi"/>
          <w:color w:val="000000" w:themeColor="text1"/>
          <w:sz w:val="24"/>
        </w:rPr>
        <w:t xml:space="preserve">ability to change diagnosis and alter diagnostic confidence </w:t>
      </w:r>
      <w:r w:rsidR="00703E25" w:rsidRPr="00537443">
        <w:rPr>
          <w:rFonts w:asciiTheme="minorHAnsi" w:hAnsiTheme="minorHAnsi" w:cstheme="minorHAnsi"/>
          <w:color w:val="000000" w:themeColor="text1"/>
          <w:sz w:val="24"/>
        </w:rPr>
        <w:t xml:space="preserve">in clinical situations. Prior studies investigating the influence of perfusion SPECT imaging on diagnosis and diagnostic confidence in clinical samples are now dated in methods of acquisition, analysis and reporting </w:t>
      </w:r>
      <w:r w:rsidR="00CA3EED" w:rsidRPr="00537443">
        <w:rPr>
          <w:rFonts w:asciiTheme="minorHAnsi" w:hAnsiTheme="minorHAnsi" w:cstheme="minorHAnsi"/>
          <w:color w:val="000000" w:themeColor="text1"/>
          <w:sz w:val="24"/>
        </w:rPr>
        <w:fldChar w:fldCharType="begin" w:fldLock="1"/>
      </w:r>
      <w:r w:rsidR="00D902A8">
        <w:rPr>
          <w:rFonts w:asciiTheme="minorHAnsi" w:hAnsiTheme="minorHAnsi" w:cstheme="minorHAnsi"/>
          <w:color w:val="000000" w:themeColor="text1"/>
          <w:sz w:val="24"/>
        </w:rPr>
        <w:instrText>ADDIN CSL_CITATION {"citationItems":[{"id":"ITEM-1","itemData":{"DOI":"10.1007/BF00868397","ISBN":"0340-5354 (Print)\\r0340-5354 (Linking)","ISSN":"0340-5354; 0340-5354","PMID":"7561970","abstract":"Based on the observation of bilateral temporoparietal hypoperfusion in Alzheimer's disease (AD), single photon emission computed tomography (SPECT) is advocated by some as a powerful diagnostic tool in the evaluation of demented patients. We studied whether routine brain SPECT in elderly, mildly demented outpatients increases the a priori diagnostic sensitivity and specificity of a careful clinical examination. 99mTc-HMPAO SPECT imaging was performed in 110 patients for a first evaluation for dementia. A semiquantitative measure of temporoparietal (TP) perfusion was calculated as the ratio of the activity in the temporoparietal cortex to activity in the cerebellum. A diagnosis of probable AD according to the McKhann criteria was made in 68 patients (mean age of 79.3 years) based on the results of a clinical examination, ancillary investigations and a 6-month follow-up. TP perfusion was significantly lower in AD patients than in 18 age-matched, non-demented controls. However, at a specificity of 89%, sensitivity was only 43% for detecting probable AD. The clinicians judged that SPECT had contributed to the final diagnosis in only 8% of the demented patients investigated. Routine brain SPECT in elderly, mildly demented outpatients does not contribute substantially to diagnostic accuracy after a careful clinical examination using current diagnostic criteria. Clinical guidelines have to be developed for the use of SPECT in patients with (suspected) dementia.","author":[{"dropping-particle":"","family":"Gool","given":"W a","non-dropping-particle":"Van","parse-names":false,"suffix":""},{"dropping-particle":"","family":"Walstra","given":"G J","non-dropping-particle":"","parse-names":false,"suffix":""},{"dropping-particle":"","family":"Teunisse","given":"S","non-dropping-particle":"","parse-names":false,"suffix":""},{"dropping-particle":"","family":"Zant","given":"F M","non-dropping-particle":"Van der","parse-names":false,"suffix":""},{"dropping-particle":"","family":"Weinstein","given":"H C","non-dropping-particle":"","parse-names":false,"suffix":""},{"dropping-particle":"","family":"Royen","given":"E a","non-dropping-particle":"Van","parse-names":false,"suffix":""}],"container-title":"Journal of neurology","id":"ITEM-1","issue":"6","issued":{"date-parts":[["1995"]]},"page":"401-405","title":"Diagnosing Alzheimer's disease in elderly, mildly demented patients: the impact of routine single photon emission computed tomography.","type":"article-journal","volume":"242"},"uris":["http://www.mendeley.com/documents/?uuid=e249b95f-0123-464a-a15c-daeb1e34466c"]},{"id":"ITEM-2","itemData":{"DOI":"10.1038/jcbfm.1988.41","ISBN":"0271-678X (Print)","ISSN":"0271-678X; 0271-678X","PMID":"2973469","abstract":"One hundred fourteen patients suffering from neuropsychiatric conditions have been studied using 99mTc-labeled hexamethylpropyleneamine oxime (HM-PAO) and single photon emission computed tomography (SPECT). Ninety-one patients had a firm clinical diagnosis while 23 were examined without knowledge of the clinical diagnosis. Of the 91 patients, 51 were suffering from dementia, 25 multi-infarct type and 26 Alzheimer's disease. In 19 of the Alzheimer's patients, a characteristic pattern of decreased perfusion in the parieto-occipital regions was demonstrated while those with multi-infarct type showed varying degrees of irregular uptake in the cerebral cortex. These appearances are similar to those shown with positron emission tomography (PET) and we believe that HM-PAO will provide a widely available method for identifying patients with Alzheimer's disease. Twenty-nine patients were suffering from diseases involving the basal ganglia. Fifteen patients with Parkinson's disease showed no significant abnormality in basal ganglia uptake, while 7 or 8 patients with Huntington's disease who had full examinations showed decreased uptake in the caudate nuclei. Similarly, four of six patients with other basal ganglia diseases showed impaired uptake by basal ganglia, and it is concluded that HM-PAO may be useful for the diagnosis and management of this type of patient. Twenty-three patients received HM-PAO imaging as part of their diagnostic work-up; in 19 of them, detailed follow-up was obtained, which indicated that in 7 cases the result of the HM-PAO scan altered the clinical diagnosis and in 9 cases resulted in a change in management. In the remaining 13 cases, the study was found to be helpful in confirming the diagnosis.","author":[{"dropping-particle":"","family":"Smith","given":"F W","non-dropping-particle":"","parse-names":false,"suffix":""},{"dropping-particle":"","family":"Besson","given":"J A","non-dropping-particle":"","parse-names":false,"suffix":""},{"dropping-particle":"","family":"Gemmell","given":"H G","non-dropping-particle":"","parse-names":false,"suffix":""},{"dropping-particle":"","family":"Sharp","given":"P F","non-dropping-particle":"","parse-names":false,"suffix":""}],"container-title":"J Cereb Blood Flow Metab","id":"ITEM-2","issue":"6","issued":{"date-parts":[["1988"]]},"note":"Includes whether SPECT lead to a change in management or was deemed useful in diagnosis.","page":"S116-22","title":"The use of technetium-99m-HM-PAO in the assessment of patients with dementia and other neuropsychiatric conditions","type":"article-journal","volume":"8"},"uris":["http://www.mendeley.com/documents/?uuid=f9154be4-f252-4aa5-af2f-a70b16edecfd"]},{"id":"ITEM-3","itemData":{"DOI":"10.1002/14651858.CD010896.pub2","ISSN":"1469-493X","PMID":"26102272","abstract":"BACKGROUND In the UK, dementia affects 5% of the population aged over 65 years and 25% of those over 85 years. Frontotemporal dementia (FTD) represents one subtype and is thought to account for up to 16% of all degenerative dementias. Although the core of the diagnostic process in dementia rests firmly on clinical and cognitive assessments, a wide range of investigations are available to aid diagnosis.Regional cerebral blood flow (rCBF) single-photon emission computed tomography (SPECT) is an established clinical tool that uses an intravenously injected radiolabelled tracer to map blood flow in the brain. In FTD the characteristic pattern seen is hypoperfusion of the frontal and anterior temporal lobes. This pattern of blood flow is different to patterns seen in other subtypes of dementia and so can be used to differentiate FTD.It has been proposed that a diagnosis of FTD, (particularly early stage), should be made not only on the basis of clinical criteria but using a combination of other diagnostic findings, including rCBF SPECT. However, more extensive testing comes at a financial cost, and with a potential risk to patient safety and comfort. OBJECTIVES To determine the diagnostic accuracy of rCBF SPECT for diagnosing FTD in populations with suspected dementia in secondary/tertiary healthcare settings and in the differential diagnosis of FTD from other dementia subtypes. SEARCH METHODS Our search strategy used two concepts: (a) the index test and (b) the condition of interest. We searched citation databases, including MEDLINE (Ovid SP), EMBASE (Ovid SP), BIOSIS (Ovid SP), Web of Science Core Collection (ISI Web of Science), PsycINFO (Ovid SP), CINAHL (EBSCOhost) and LILACS (Bireme), using structured search strategies appropriate for each database. In addition we searched specialised sources of diagnostic test accuracy studies and reviews including: MEDION (Universities of Maastricht and Leuven), DARE (Database of Abstracts of Reviews of Effects) and HTA (Health Technology Assessment) database.We requested a search of the Cochrane Register of Diagnostic Test Accuracy Studies and used the related articles feature in PubMed to search for additional studies. We tracked key studies in citation databases such as Science Citation Index and Scopus to ascertain any further relevant studies. We identified 'grey' literature, mainly in the form of conference abstracts, through the Web of Science Core Collection, including Conference Proceedings Citation Index an…","author":[{"dropping-particle":"","family":"Archer","given":"Hilary A","non-dropping-particle":"","parse-names":false,"suffix":""},{"dropping-particle":"","family":"Smailagic","given":"Nadja","non-dropping-particle":"","parse-names":false,"suffix":""},{"dropping-particle":"","family":"John","given":"Christeena","non-dropping-particle":"","parse-names":false,"suffix":""},{"dropping-particle":"","family":"Holmes","given":"Robin B","non-dropping-particle":"","parse-names":false,"suffix":""},{"dropping-particle":"","family":"Takwoingi","given":"Yemisi","non-dropping-particle":"","parse-names":false,"suffix":""},{"dropping-particle":"","family":"Coulthard","given":"Elizabeth J","non-dropping-particle":"","parse-names":false,"suffix":""},{"dropping-particle":"","family":"Cullum","given":"Sarah","non-dropping-particle":"","parse-names":false,"suffix":""}],"container-title":"The Cochrane database of systematic reviews","id":"ITEM-3","issue":"6","issued":{"date-parts":[["2015"]]},"page":"CD010896","title":"Regional Cerebral Blood Flow Single Photon Emission Computed Tomography for detection of Frontotemporal dementia in people with suspected dementia.","type":"article-journal","volume":"6"},"uris":["http://www.mendeley.com/documents/?uuid=0f25322a-a630-4c79-8efd-26e2e61403ae"]}],"mendeley":{"formattedCitation":"[&lt;i&gt;11&lt;/i&gt;–&lt;i&gt;13&lt;/i&gt;]","plainTextFormattedCitation":"[11–13]","previouslyFormattedCitation":"[11–13]"},"properties":{"noteIndex":0},"schema":"https://github.com/citation-style-language/schema/raw/master/csl-citation.json"}</w:instrText>
      </w:r>
      <w:r w:rsidR="00CA3EED" w:rsidRPr="00537443">
        <w:rPr>
          <w:rFonts w:asciiTheme="minorHAnsi" w:hAnsiTheme="minorHAnsi" w:cstheme="minorHAnsi"/>
          <w:color w:val="000000" w:themeColor="text1"/>
          <w:sz w:val="24"/>
        </w:rPr>
        <w:fldChar w:fldCharType="separate"/>
      </w:r>
      <w:r w:rsidR="00D902A8" w:rsidRPr="00D902A8">
        <w:rPr>
          <w:rFonts w:asciiTheme="minorHAnsi" w:hAnsiTheme="minorHAnsi" w:cstheme="minorHAnsi"/>
          <w:noProof/>
          <w:color w:val="000000" w:themeColor="text1"/>
          <w:sz w:val="24"/>
        </w:rPr>
        <w:t>[</w:t>
      </w:r>
      <w:r w:rsidR="00D902A8" w:rsidRPr="00D902A8">
        <w:rPr>
          <w:rFonts w:asciiTheme="minorHAnsi" w:hAnsiTheme="minorHAnsi" w:cstheme="minorHAnsi"/>
          <w:i/>
          <w:noProof/>
          <w:color w:val="000000" w:themeColor="text1"/>
          <w:sz w:val="24"/>
        </w:rPr>
        <w:t>11</w:t>
      </w:r>
      <w:r w:rsidR="00D902A8" w:rsidRPr="00D902A8">
        <w:rPr>
          <w:rFonts w:asciiTheme="minorHAnsi" w:hAnsiTheme="minorHAnsi" w:cstheme="minorHAnsi"/>
          <w:noProof/>
          <w:color w:val="000000" w:themeColor="text1"/>
          <w:sz w:val="24"/>
        </w:rPr>
        <w:t>–</w:t>
      </w:r>
      <w:r w:rsidR="00D902A8" w:rsidRPr="00D902A8">
        <w:rPr>
          <w:rFonts w:asciiTheme="minorHAnsi" w:hAnsiTheme="minorHAnsi" w:cstheme="minorHAnsi"/>
          <w:i/>
          <w:noProof/>
          <w:color w:val="000000" w:themeColor="text1"/>
          <w:sz w:val="24"/>
        </w:rPr>
        <w:t>13</w:t>
      </w:r>
      <w:r w:rsidR="00D902A8" w:rsidRPr="00D902A8">
        <w:rPr>
          <w:rFonts w:asciiTheme="minorHAnsi" w:hAnsiTheme="minorHAnsi" w:cstheme="minorHAnsi"/>
          <w:noProof/>
          <w:color w:val="000000" w:themeColor="text1"/>
          <w:sz w:val="24"/>
        </w:rPr>
        <w:t>]</w:t>
      </w:r>
      <w:r w:rsidR="00CA3EED" w:rsidRPr="00537443">
        <w:rPr>
          <w:rFonts w:asciiTheme="minorHAnsi" w:hAnsiTheme="minorHAnsi" w:cstheme="minorHAnsi"/>
          <w:color w:val="000000" w:themeColor="text1"/>
          <w:sz w:val="24"/>
        </w:rPr>
        <w:fldChar w:fldCharType="end"/>
      </w:r>
      <w:r w:rsidR="00703E25" w:rsidRPr="00537443">
        <w:rPr>
          <w:rFonts w:asciiTheme="minorHAnsi" w:hAnsiTheme="minorHAnsi" w:cstheme="minorHAnsi"/>
          <w:color w:val="000000" w:themeColor="text1"/>
          <w:sz w:val="24"/>
        </w:rPr>
        <w:t xml:space="preserve">, and we are unaware of any recent studies exploring the utility of the technology </w:t>
      </w:r>
      <w:r w:rsidR="00796A26" w:rsidRPr="00537443">
        <w:rPr>
          <w:rFonts w:asciiTheme="minorHAnsi" w:hAnsiTheme="minorHAnsi" w:cstheme="minorHAnsi"/>
          <w:color w:val="000000" w:themeColor="text1"/>
          <w:sz w:val="24"/>
        </w:rPr>
        <w:t xml:space="preserve">to alter diagnostic confidence </w:t>
      </w:r>
      <w:r w:rsidR="00703E25" w:rsidRPr="00537443">
        <w:rPr>
          <w:rFonts w:asciiTheme="minorHAnsi" w:hAnsiTheme="minorHAnsi" w:cstheme="minorHAnsi"/>
          <w:color w:val="000000" w:themeColor="text1"/>
          <w:sz w:val="24"/>
        </w:rPr>
        <w:t xml:space="preserve">using </w:t>
      </w:r>
      <w:r w:rsidR="00D25CEA" w:rsidRPr="00537443">
        <w:rPr>
          <w:rFonts w:asciiTheme="minorHAnsi" w:hAnsiTheme="minorHAnsi" w:cstheme="minorHAnsi"/>
          <w:color w:val="000000" w:themeColor="text1"/>
          <w:sz w:val="24"/>
        </w:rPr>
        <w:t xml:space="preserve">semi-quantitative </w:t>
      </w:r>
      <w:r w:rsidR="00703E25" w:rsidRPr="00537443">
        <w:rPr>
          <w:rFonts w:asciiTheme="minorHAnsi" w:hAnsiTheme="minorHAnsi" w:cstheme="minorHAnsi"/>
          <w:color w:val="000000" w:themeColor="text1"/>
          <w:sz w:val="24"/>
        </w:rPr>
        <w:t xml:space="preserve">methods. Clinician opinion on the usefulness of perfusion SPECT </w:t>
      </w:r>
      <w:r w:rsidR="00663DA0" w:rsidRPr="00537443">
        <w:rPr>
          <w:rFonts w:asciiTheme="minorHAnsi" w:hAnsiTheme="minorHAnsi" w:cstheme="minorHAnsi"/>
          <w:color w:val="000000" w:themeColor="text1"/>
          <w:sz w:val="24"/>
        </w:rPr>
        <w:t xml:space="preserve">imaging </w:t>
      </w:r>
      <w:r w:rsidR="00D25CEA" w:rsidRPr="00537443">
        <w:rPr>
          <w:rFonts w:asciiTheme="minorHAnsi" w:hAnsiTheme="minorHAnsi" w:cstheme="minorHAnsi"/>
          <w:color w:val="000000" w:themeColor="text1"/>
          <w:sz w:val="24"/>
        </w:rPr>
        <w:t>using indi</w:t>
      </w:r>
      <w:r w:rsidR="00663DA0" w:rsidRPr="00537443">
        <w:rPr>
          <w:rFonts w:asciiTheme="minorHAnsi" w:hAnsiTheme="minorHAnsi" w:cstheme="minorHAnsi"/>
          <w:color w:val="000000" w:themeColor="text1"/>
          <w:sz w:val="24"/>
        </w:rPr>
        <w:t>vidual against control group</w:t>
      </w:r>
      <w:r w:rsidR="00703E25" w:rsidRPr="00537443">
        <w:rPr>
          <w:rFonts w:asciiTheme="minorHAnsi" w:hAnsiTheme="minorHAnsi" w:cstheme="minorHAnsi"/>
          <w:color w:val="000000" w:themeColor="text1"/>
          <w:sz w:val="24"/>
        </w:rPr>
        <w:t xml:space="preserve"> analys</w:t>
      </w:r>
      <w:r w:rsidR="00D25CEA" w:rsidRPr="00537443">
        <w:rPr>
          <w:rFonts w:asciiTheme="minorHAnsi" w:hAnsiTheme="minorHAnsi" w:cstheme="minorHAnsi"/>
          <w:color w:val="000000" w:themeColor="text1"/>
          <w:sz w:val="24"/>
        </w:rPr>
        <w:t>i</w:t>
      </w:r>
      <w:r w:rsidR="00703E25" w:rsidRPr="00537443">
        <w:rPr>
          <w:rFonts w:asciiTheme="minorHAnsi" w:hAnsiTheme="minorHAnsi" w:cstheme="minorHAnsi"/>
          <w:color w:val="000000" w:themeColor="text1"/>
          <w:sz w:val="24"/>
        </w:rPr>
        <w:t xml:space="preserve">s and reporting in </w:t>
      </w:r>
      <w:r w:rsidR="00703E25" w:rsidRPr="00537443">
        <w:rPr>
          <w:rFonts w:asciiTheme="minorHAnsi" w:hAnsiTheme="minorHAnsi" w:cstheme="minorHAnsi"/>
          <w:color w:val="000000" w:themeColor="text1"/>
          <w:sz w:val="24"/>
        </w:rPr>
        <w:lastRenderedPageBreak/>
        <w:t>aiding dementia diagnosis is also unknown, despite this being recently investigated in other imaging modalities such as FP-CIT SPECT</w:t>
      </w:r>
      <w:r w:rsidR="00894AB4" w:rsidRPr="00537443">
        <w:rPr>
          <w:rFonts w:asciiTheme="minorHAnsi" w:hAnsiTheme="minorHAnsi" w:cstheme="minorHAnsi"/>
          <w:color w:val="000000" w:themeColor="text1"/>
          <w:sz w:val="24"/>
        </w:rPr>
        <w:t xml:space="preserve"> (</w:t>
      </w:r>
      <w:proofErr w:type="spellStart"/>
      <w:r w:rsidR="00894AB4" w:rsidRPr="00537443">
        <w:rPr>
          <w:rFonts w:asciiTheme="minorHAnsi" w:hAnsiTheme="minorHAnsi" w:cstheme="minorHAnsi"/>
          <w:color w:val="000000" w:themeColor="text1"/>
          <w:sz w:val="24"/>
        </w:rPr>
        <w:t>DaTSCAN</w:t>
      </w:r>
      <w:proofErr w:type="spellEnd"/>
      <w:r w:rsidR="00894AB4" w:rsidRPr="00537443">
        <w:rPr>
          <w:rFonts w:asciiTheme="minorHAnsi" w:hAnsiTheme="minorHAnsi" w:cstheme="minorHAnsi"/>
          <w:color w:val="000000" w:themeColor="text1"/>
          <w:sz w:val="24"/>
        </w:rPr>
        <w:t>)</w:t>
      </w:r>
      <w:r w:rsidR="00703E25" w:rsidRPr="00537443">
        <w:rPr>
          <w:rFonts w:asciiTheme="minorHAnsi" w:hAnsiTheme="minorHAnsi" w:cstheme="minorHAnsi"/>
          <w:color w:val="000000" w:themeColor="text1"/>
          <w:sz w:val="24"/>
        </w:rPr>
        <w:t xml:space="preserve"> imaging, </w:t>
      </w:r>
      <w:r w:rsidR="00663DA0" w:rsidRPr="00537443">
        <w:rPr>
          <w:rFonts w:asciiTheme="minorHAnsi" w:hAnsiTheme="minorHAnsi" w:cstheme="minorHAnsi"/>
          <w:color w:val="000000" w:themeColor="text1"/>
          <w:sz w:val="24"/>
        </w:rPr>
        <w:t>fluorodeoxyglucose positron emission tomography</w:t>
      </w:r>
      <w:r w:rsidR="00703E25" w:rsidRPr="00537443">
        <w:rPr>
          <w:rFonts w:asciiTheme="minorHAnsi" w:hAnsiTheme="minorHAnsi" w:cstheme="minorHAnsi"/>
          <w:color w:val="000000" w:themeColor="text1"/>
          <w:sz w:val="24"/>
        </w:rPr>
        <w:t xml:space="preserve"> </w:t>
      </w:r>
      <w:r w:rsidR="00663DA0" w:rsidRPr="00537443">
        <w:rPr>
          <w:rFonts w:asciiTheme="minorHAnsi" w:hAnsiTheme="minorHAnsi" w:cstheme="minorHAnsi"/>
          <w:color w:val="000000" w:themeColor="text1"/>
          <w:sz w:val="24"/>
        </w:rPr>
        <w:t>(FDG</w:t>
      </w:r>
      <w:r w:rsidR="003E26F5" w:rsidRPr="00537443">
        <w:rPr>
          <w:rFonts w:asciiTheme="minorHAnsi" w:hAnsiTheme="minorHAnsi" w:cstheme="minorHAnsi"/>
          <w:color w:val="000000" w:themeColor="text1"/>
          <w:sz w:val="24"/>
        </w:rPr>
        <w:t>-</w:t>
      </w:r>
      <w:r w:rsidR="00703E25" w:rsidRPr="00537443">
        <w:rPr>
          <w:rFonts w:asciiTheme="minorHAnsi" w:hAnsiTheme="minorHAnsi" w:cstheme="minorHAnsi"/>
          <w:color w:val="000000" w:themeColor="text1"/>
          <w:sz w:val="24"/>
        </w:rPr>
        <w:t>PET</w:t>
      </w:r>
      <w:r w:rsidR="00663DA0" w:rsidRPr="00537443">
        <w:rPr>
          <w:rFonts w:asciiTheme="minorHAnsi" w:hAnsiTheme="minorHAnsi" w:cstheme="minorHAnsi"/>
          <w:color w:val="000000" w:themeColor="text1"/>
          <w:sz w:val="24"/>
        </w:rPr>
        <w:t xml:space="preserve">), amyloid PET, and magnetic resonance imaging (MRI) </w:t>
      </w:r>
      <w:r w:rsidR="00703E25" w:rsidRPr="00537443">
        <w:rPr>
          <w:rFonts w:asciiTheme="minorHAnsi" w:hAnsiTheme="minorHAnsi" w:cstheme="minorHAnsi"/>
          <w:color w:val="000000" w:themeColor="text1"/>
          <w:sz w:val="24"/>
        </w:rPr>
        <w:t xml:space="preserve">hippocampal atrophy </w:t>
      </w:r>
      <w:r w:rsidR="00CA3EED" w:rsidRPr="00537443">
        <w:rPr>
          <w:rFonts w:asciiTheme="minorHAnsi" w:hAnsiTheme="minorHAnsi" w:cstheme="minorHAnsi"/>
          <w:color w:val="000000" w:themeColor="text1"/>
          <w:sz w:val="24"/>
        </w:rPr>
        <w:fldChar w:fldCharType="begin" w:fldLock="1"/>
      </w:r>
      <w:r w:rsidR="00D902A8">
        <w:rPr>
          <w:rFonts w:asciiTheme="minorHAnsi" w:hAnsiTheme="minorHAnsi" w:cstheme="minorHAnsi"/>
          <w:color w:val="000000" w:themeColor="text1"/>
          <w:sz w:val="24"/>
        </w:rPr>
        <w:instrText>ADDIN CSL_CITATION {"citationItems":[{"id":"ITEM-1","itemData":{"DOI":"10.1192/bjp.bp.114.148643","ISSN":"0007-1250","abstract":"Background Dementia with Lewy bodies (DLB) is underrecognised in clinical settings. Aims To investigate whether performing a 123I-ioflupane injection (123I-FP-CIT also called DaTSCAN™) single photon emission computed tomography (SPECT) scan in patients with possible DLB would lead to a more certain diagnosis (probable DLB or non-DLB dementia). Method We randomised 187 patients with possible DLB 2:1 to have a scan or not (control group). The outcome measure was a change in diagnosis to probable DLB or non-DLB. Results There were 56 controls and 114 scanned patients, of whom 43% had an abnormal scan. More patients in the imaging group had a change in diagnosis compared with controls at 8 and 24 weeks (61% (n = 70) v. 4% (n = 2) and 71% (n = 77) v. 16% (n = 9); both P&lt;0.0001). Clinicians were more likely to change the diagnosis if the scan was abnormal (82%) than if it was normal (46%). Conclusions Imaging significantly contributed to a more certain diagnosis, proving to be a useful adjunct in the work-up of patients with possible DLB.","author":[{"dropping-particle":"","family":"Walker","given":"Z.","non-dropping-particle":"","parse-names":false,"suffix":""},{"dropping-particle":"","family":"Moreno","given":"E.","non-dropping-particle":"","parse-names":false,"suffix":""},{"dropping-particle":"","family":"Thomas","given":"A.","non-dropping-particle":"","parse-names":false,"suffix":""},{"dropping-particle":"","family":"Inglis","given":"F.","non-dropping-particle":"","parse-names":false,"suffix":""},{"dropping-particle":"","family":"Tabet","given":"N.","non-dropping-particle":"","parse-names":false,"suffix":""},{"dropping-particle":"","family":"Rainer","given":"M.","non-dropping-particle":"","parse-names":false,"suffix":""},{"dropping-particle":"","family":"Pizzolato","given":"G.","non-dropping-particle":"","parse-names":false,"suffix":""},{"dropping-particle":"","family":"Padovani","given":"A.","non-dropping-particle":"","parse-names":false,"suffix":""}],"container-title":"The British Journal of Psychiatry","id":"ITEM-1","issue":"2","issued":{"date-parts":[["2014"]]},"page":"145-152","title":"Clinical usefulness of dopamine transporter SPECT imaging with 123I-FP-CIT in patients with possible dementia with Lewy bodies: randomised study","type":"article-journal","volume":"206"},"uris":["http://www.mendeley.com/documents/?uuid=be94169f-32f5-4c88-bd25-eac56d234a87"]},{"id":"ITEM-2","itemData":{"DOI":"10.1159/000345783","ISBN":"1664-5464 (Electronic)\\r1664-5464 (Linking)","ISSN":"1664-5464","PMID":"23341826","abstract":"INTRODUCTION: The added diagnostic value of (11)C-PiB-PET for the assessment of the accumulation of cortical beta-amyloid in memory clinic patients with uncertain diagnosis remains undetermined.\\n\\nMETHODS: All patients who underwent PiB-PET at the Copenhagen Memory Clinic between March 2008 and November 2011 were included in this uncontrolled, retrospective study. The standard diagnostic evaluation program included physical and neurological examination, cognitive and functional assessment, a cranial CT or MRI, functional imaging and cerebrospinal fluid sampling. Based on anonymized case reports, three experienced clinicians reached a consensus diagnosis and rated their confidence in the diagnosis before and after disclosure of PiB-PET ratings. PiB-PET scans were rated as either positive or negative.\\n\\nRESULTS: A total of 57 patients (17 females, 30 males; age 65.7 years, range 44.2-82.6) were included in the study. Twenty-seven had a positive PiB-PET scan. At the first diagnostic evaluation, 16 patients were given a clinical Alheimer's disease diagnosis (14 PiB positive). Of the 57 patients, 13 (23%) were diagnostically reclassified after PiB-PET ratings were disclosed. The clinicians' overall confidence in their diagnosis increased in 28 (49%) patients.\\n\\nCONCLUSION: PiB-PET adds to the specialist clinical evaluation and other supplemental diagnostic investigations in the diagnostic classification of patients with uncertain diagnosis in a specialized memory clinic.","author":[{"dropping-particle":"","family":"Frederiksen","given":"K.S.","non-dropping-particle":"","parse-names":false,"suffix":""},{"dropping-particle":"","family":"Hasselbalch","given":"S.G.","non-dropping-particle":"","parse-names":false,"suffix":""},{"dropping-particle":"","family":"Hejl","given":"A-M","non-dropping-particle":"","parse-names":false,"suffix":""},{"dropping-particle":"","family":"Law","given":"I","non-dropping-particle":"","parse-names":false,"suffix":""},{"dropping-particle":"","family":"Højgaard","given":"L","non-dropping-particle":"","parse-names":false,"suffix":""},{"dropping-particle":"","family":"Waldemar","given":"Gunhild","non-dropping-particle":"","parse-names":false,"suffix":""}],"container-title":"Dementia and Geriatric Cognitive Disorders Extra","id":"ITEM-2","issue":"1","issued":{"date-parts":[["2012"]]},"page":"610-621","title":"Added Diagnostic Value of 11C-PiB-PET in Memory Clinic Patients with Uncertain Diagnosis","type":"article-journal","volume":"2"},"uris":["http://www.mendeley.com/documents/?uuid=e421cdde-1c18-450c-b3e6-4c8c9e19427f"]},{"id":"ITEM-3","itemData":{"DOI":"10.1212/WNL.0000000000000032","ISBN":"0000000000000","ISSN":"1526632X","PMID":"24353340","abstract":"OBJECTIVE: To evaluate the effect of amyloid imaging on clinical decision making.\\n\\nMETHODS: We conducted a retrospective analysis of 140 cognitively impaired patients (mean age 65.0 years, 46% primary β-amyloid (Aβ) diagnosis, mean Mini-Mental State Examination 22.3) who underwent amyloid (Pittsburgh compound B [PiB]) PET as part of observational research studies and were evaluated clinically before and after the scan. One hundred thirty-four concurrently underwent fluorodeoxyglucose (FDG)-PET. We assessed for changes between the pre- and post-PET clinical diagnosis (from Aβ to non-Aβ diagnosis or vice versa) and Alzheimer disease treatment plan. The association between PiB/FDG results and changes in management was evaluated using χ(2) and multivariate logistic regression. Postmortem diagnosis was available for 24 patients (17%).\\n\\nRESULTS: Concordance between scan results and baseline diagnosis was high (PiB 84%, FDG 82%). The primary diagnosis changed after PET in 13/140 patients (9%) overall but in 5/13 (38%) patients considered pre-PET diagnostic dilemmas. When examined independently, discordant PiB and discordant FDG were both associated with diagnostic change (unadjusted p &lt; 0.0001). However, when examined together in a multivariate logistic regression, only discordant PiB remained significant (adjusted p = 0.00013). Changes in treatment were associated with discordant PiB in patients with non-Aβ diagnoses (adjusted p = 0.028), while FDG had no effect on therapy. Both PiB (96%) and FDG (91%) showed high agreement with autopsy diagnosis.\\n\\nCONCLUSIONS: PET had a moderate effect on clinical outcomes. Discordant PiB had a greater effect than discordant FDG, and influence on diagnosis was greater than on treatment. Prospective studies are needed to better characterize the clinical role of amyloid PET.","author":[{"dropping-particle":"","family":"Sánchez-Juan","given":"Pascual","non-dropping-particle":"","parse-names":false,"suffix":""},{"dropping-particle":"","family":"Ghosh","given":"Pia M.","non-dropping-particle":"","parse-names":false,"suffix":""},{"dropping-particle":"","family":"Hagen","given":"Jayne","non-dropping-particle":"","parse-names":false,"suffix":""},{"dropping-particle":"","family":"Gesierich","given":"Benno","non-dropping-particle":"","parse-names":false,"suffix":""},{"dropping-particle":"","family":"Henry","given":"Maya","non-dropping-particle":"","parse-names":false,"suffix":""},{"dropping-particle":"","family":"Grinberg","given":"Lea T.","non-dropping-particle":"","parse-names":false,"suffix":""},{"dropping-particle":"","family":"O'Neil","given":"James P.","non-dropping-particle":"","parse-names":false,"suffix":""},{"dropping-particle":"","family":"Janabi","given":"Mustafa","non-dropping-particle":"","parse-names":false,"suffix":""},{"dropping-particle":"","family":"Huang","given":"Eric J.","non-dropping-particle":"","parse-names":false,"suffix":""},{"dropping-particle":"","family":"Trojanowski","given":"John Q.","non-dropping-particle":"","parse-names":false,"suffix":""},{"dropping-particle":"V.","family":"Vinters","given":"Harry","non-dropping-particle":"","parse-names":false,"suffix":""},{"dropping-particle":"","family":"Gorno-Tempini","given":"Marilu","non-dropping-particle":"","parse-names":false,"suffix":""},{"dropping-particle":"","family":"Seeley","given":"William W.","non-dropping-particle":"","parse-names":false,"suffix":""},{"dropping-particle":"","family":"Boxer","given":"Adam L.","non-dropping-particle":"","parse-names":false,"suffix":""},{"dropping-particle":"","family":"Rosen","given":"Howard J.","non-dropping-particle":"","parse-names":false,"suffix":""},{"dropping-particle":"","family":"Kramer","given":"Joel H.","non-dropping-particle":"","parse-names":false,"suffix":""},{"dropping-particle":"","family":"Miller","given":"Bruce L.","non-dropping-particle":"","parse-names":false,"suffix":""},{"dropping-particle":"","family":"Jagust","given":"William J.","non-dropping-particle":"","parse-names":false,"suffix":""},{"dropping-particle":"","family":"Rabinovici","given":"Gil D.","non-dropping-particle":"","parse-names":false,"suffix":""}],"container-title":"Neurology","id":"ITEM-3","issue":"3","issued":{"date-parts":[["2014"]]},"page":"230-238","title":"Practical utility of amyloid and FDG-PET in an academic dementia center","type":"article-journal","volume":"82"},"uris":["http://www.mendeley.com/documents/?uuid=6df32137-85dd-4087-9ff2-2d5c0fa2e55f"]},{"id":"ITEM-4","itemData":{"DOI":"10.1016/j.jalz.2017.01.019","ISSN":"15525279","PMID":"28263741","abstract":"Introduction Hippocampal volume is a core biomarker of Alzheimer's disease (AD). However, its contribution over the standard diagnostic workup is unclear. Methods Three hundred fifty-six patients, under clinical evaluation for cognitive impairment, with suspected AD and Mini–Mental State Examination ≥20, were recruited across 17 European memory clinics. After the traditional diagnostic workup, diagnostic confidence of AD pathology (DCAD) was estimated by the physicians in charge. The latter were provided with the results of automated hippocampal volumetry in standardized format and DCAD was reassessed. Results An increment of one interquartile range in hippocampal volume was associated with a mean change of DCAD of −8.0% (95% credible interval: [−11.5, −5.0]). Automated hippocampal volumetry showed a statistically significant impact on DCAD beyond the contributions of neuropsychology,18F-fluorodeoxyglucose positron emission tomography/single-photon emission computed tomography, and cerebrospinal fluid markers (−8.5, CrI: [−11.5, −5.6]; −14.1, CrI: [−19.3, −8.8]; −10.6, CrI: [−14.6, −6.1], respectively). Discussion There is a measurable effect of hippocampal volume on DCAD even when used on top of the traditional diagnostic workup.","author":[{"dropping-particle":"","family":"Bosco","given":"Paolo","non-dropping-particle":"","parse-names":false,"suffix":""},{"dropping-particle":"","family":"Redolfi","given":"Alberto","non-dropping-particle":"","parse-names":false,"suffix":""},{"dropping-particle":"","family":"Bocchetta","given":"Martina","non-dropping-particle":"","parse-names":false,"suffix":""},{"dropping-particle":"","family":"Ferrari","given":"Clarissa","non-dropping-particle":"","parse-names":false,"suffix":""},{"dropping-particle":"","family":"Mega","given":"Anna","non-dropping-particle":"","parse-names":false,"suffix":""},{"dropping-particle":"","family":"Galluzzi","given":"Samantha","non-dropping-particle":"","parse-names":false,"suffix":""},{"dropping-particle":"","family":"Austin","given":"Mark","non-dropping-particle":"","parse-names":false,"suffix":""},{"dropping-particle":"","family":"Chincarini","given":"Andrea","non-dropping-particle":"","parse-names":false,"suffix":""},{"dropping-particle":"","family":"Collins","given":"D. Louis","non-dropping-particle":"","parse-names":false,"suffix":""},{"dropping-particle":"","family":"Duchesne","given":"Simon","non-dropping-particle":"","parse-names":false,"suffix":""},{"dropping-particle":"","family":"Maréchal","given":"Bénédicte","non-dropping-particle":"","parse-names":false,"suffix":""},{"dropping-particle":"","family":"Roche","given":"Alexis","non-dropping-particle":"","parse-names":false,"suffix":""},{"dropping-particle":"","family":"Sensi","given":"Francesco","non-dropping-particle":"","parse-names":false,"suffix":""},{"dropping-particle":"","family":"Wolz","given":"Robin","non-dropping-particle":"","parse-names":false,"suffix":""},{"dropping-particle":"","family":"Alegret","given":"Montserrat","non-dropping-particle":"","parse-names":false,"suffix":""},{"dropping-particle":"","family":"Assal","given":"Frederic","non-dropping-particle":"","parse-names":false,"suffix":""},{"dropping-particle":"","family":"Balasa","given":"Mircea","non-dropping-particle":"","parse-names":false,"suffix":""},{"dropping-particle":"","family":"Bastin","given":"Christine","non-dropping-particle":"","parse-names":false,"suffix":""},{"dropping-particle":"","family":"Bougea","given":"Anastasia","non-dropping-particle":"","parse-names":false,"suffix":""},{"dropping-particle":"","family":"Emek-Savaş","given":"Derya Durusu","non-dropping-particle":"","parse-names":false,"suffix":""},{"dropping-particle":"","family":"Engelborghs","given":"Sebastiaan","non-dropping-particle":"","parse-names":false,"suffix":""},{"dropping-particle":"","family":"Grimmer","given":"Timo","non-dropping-particle":"","parse-names":false,"suffix":""},{"dropping-particle":"","family":"Grosu","given":"Galina","non-dropping-particle":"","parse-names":false,"suffix":""},{"dropping-particle":"","family":"Kramberger","given":"Milica G.","non-dropping-particle":"","parse-names":false,"suffix":""},{"dropping-particle":"","family":"Lawlor","given":"Brian","non-dropping-particle":"","parse-names":false,"suffix":""},{"dropping-particle":"","family":"Mandic Stojmenovic","given":"Gorana","non-dropping-particle":"","parse-names":false,"suffix":""},{"dropping-particle":"","family":"Marinescu","given":"Mihaela","non-dropping-particle":"","parse-names":false,"suffix":""},{"dropping-particle":"","family":"Mecocci","given":"Patrizia","non-dropping-particle":"","parse-names":false,"suffix":""},{"dropping-particle":"","family":"Molinuevo","given":"José Luis","non-dropping-particle":"","parse-names":false,"suffix":""},{"dropping-particle":"","family":"Morais","given":"Ricardo","non-dropping-particle":"","parse-names":false,"suffix":""},{"dropping-particle":"","family":"Niemantsverdriet","given":"Ellis","non-dropping-particle":"","parse-names":false,"suffix":""},{"dropping-particle":"","family":"Nobili","given":"Flavio","non-dropping-particle":"","parse-names":false,"suffix":""},{"dropping-particle":"","family":"Ntovas","given":"Konstantinos","non-dropping-particle":"","parse-names":false,"suffix":""},{"dropping-particle":"","family":"O'Dwyer","given":"Sarah","non-dropping-particle":"","parse-names":false,"suffix":""},{"dropping-particle":"","family":"Paraskevas","given":"George P.","non-dropping-particle":"","parse-names":false,"suffix":""},{"dropping-particle":"","family":"Pelini","given":"Luca","non-dropping-particle":"","parse-names":false,"suffix":""},{"dropping-particle":"","family":"Picco","given":"Agnese","non-dropping-particle":"","parse-names":false,"suffix":""},{"dropping-particle":"","family":"Salmon","given":"Eric","non-dropping-particle":"","parse-names":false,"suffix":""},{"dropping-particle":"","family":"Santana","given":"Isabel","non-dropping-particle":"","parse-names":false,"suffix":""},{"dropping-particle":"","family":"Sotolongo-Grau","given":"Oscar","non-dropping-particle":"","parse-names":false,"suffix":""},{"dropping-particle":"","family":"Spiru","given":"Luiza","non-dropping-particle":"","parse-names":false,"suffix":""},{"dropping-particle":"","family":"Stefanova","given":"Elka","non-dropping-particle":"","parse-names":false,"suffix":""},{"dropping-particle":"","family":"Popovic","given":"Katarina Surlan","non-dropping-particle":"","parse-names":false,"suffix":""},{"dropping-particle":"","family":"Tsolaki","given":"Magda","non-dropping-particle":"","parse-names":false,"suffix":""},{"dropping-particle":"","family":"Yener","given":"Görsev G.","non-dropping-particle":"","parse-names":false,"suffix":""},{"dropping-particle":"","family":"Zekry","given":"Dina","non-dropping-particle":"","parse-names":false,"suffix":""},{"dropping-particle":"","family":"Frisoni","given":"Giovanni B.","non-dropping-particle":"","parse-names":false,"suffix":""}],"container-title":"Alzheimer's and Dementia","id":"ITEM-4","issue":"9","issued":{"date-parts":[["2017"]]},"page":"1013-1023","title":"The impact of automated hippocampal volumetry on diagnostic confidence in patients with suspected Alzheimer's disease: A European Alzheimer's Disease Consortium study","type":"article-journal","volume":"13"},"uris":["http://www.mendeley.com/documents/?uuid=948b2aa9-630d-40c8-8f33-98b0a5e78461"]},{"id":"ITEM-5","itemData":{"DOI":"10.1016/j.neurobiolaging.2016.03.034","ISBN":"0197-4580, 0197-4580","ISSN":"1558-1497","PMID":"28317646","abstract":"Although Alzheimer's disease criteria promote the use of biomarkers, their maturity in clinical routine still needs to be assessed. In the light of the oncology framework, we conducted a literature review on measures used to assess delayed recall impairment due to medial temporal lobe dysfunction (i.e., free and cued word list recall tests). Ample evidence is available for phases 1 (rationale for use), 2 (discriminative ability), and 3 (early detection ability) for many of the tests in routine use. Evidence about phase 4 (performance in real world) and phase 5 (quantify impact and costs) is yet to come. Administration procedures have been standardized and cutoff scores are well validated in large Alzheimer's disease and mild cognitive impaired series. Some aspects (e.g., different task formats), however, hamper the comparability of results among different populations and the reproducibility between laboratories. No definite guideline for their use can thus be proposed at the moment. Accordingly, the maturity of such markers is not yet sufficient and requires future investigation to promote the proper use of memory measures in clinical settings.","author":[{"dropping-particle":"","family":"Cerami","given":"Chiara","non-dropping-particle":"","parse-names":false,"suffix":""},{"dropping-particle":"","family":"Dubois","given":"Bruno","non-dropping-particle":"","parse-names":false,"suffix":""},{"dropping-particle":"","family":"Boccardi","given":"Marina","non-dropping-particle":"","parse-names":false,"suffix":""},{"dropping-particle":"","family":"Monsch","given":"Andreas U","non-dropping-particle":"","parse-names":false,"suffix":""},{"dropping-particle":"","family":"Demonet","given":"Jean Francois","non-dropping-particle":"","parse-names":false,"suffix":""},{"dropping-particle":"","family":"Cappa","given":"Stefano F","non-dropping-particle":"","parse-names":false,"suffix":""},{"dropping-particle":"","family":"Geneva Task Force for the Roadmap of Alzheimer's Biomarkers","given":"","non-dropping-particle":"","parse-names":false,"suffix":""}],"container-title":"Neurobiology of aging","id":"ITEM-5","issued":{"date-parts":[["2017","4"]]},"page":"153-166","publisher":"Elsevier Inc","title":"Clinical validity of delayed recall tests as a gateway biomarker for Alzheimer's disease in the context of a structured 5-phase development framework.","type":"article-journal","volume":"52"},"uris":["http://www.mendeley.com/documents/?uuid=1321e26f-54d3-43fc-9524-972d6a874a8c"]}],"mendeley":{"formattedCitation":"[&lt;i&gt;14&lt;/i&gt;–&lt;i&gt;18&lt;/i&gt;]","plainTextFormattedCitation":"[14–18]","previouslyFormattedCitation":"[14–18]"},"properties":{"noteIndex":0},"schema":"https://github.com/citation-style-language/schema/raw/master/csl-citation.json"}</w:instrText>
      </w:r>
      <w:r w:rsidR="00CA3EED" w:rsidRPr="00537443">
        <w:rPr>
          <w:rFonts w:asciiTheme="minorHAnsi" w:hAnsiTheme="minorHAnsi" w:cstheme="minorHAnsi"/>
          <w:color w:val="000000" w:themeColor="text1"/>
          <w:sz w:val="24"/>
        </w:rPr>
        <w:fldChar w:fldCharType="separate"/>
      </w:r>
      <w:r w:rsidR="00D902A8" w:rsidRPr="00D902A8">
        <w:rPr>
          <w:rFonts w:asciiTheme="minorHAnsi" w:hAnsiTheme="minorHAnsi" w:cstheme="minorHAnsi"/>
          <w:noProof/>
          <w:color w:val="000000" w:themeColor="text1"/>
          <w:sz w:val="24"/>
        </w:rPr>
        <w:t>[</w:t>
      </w:r>
      <w:r w:rsidR="00D902A8" w:rsidRPr="00D902A8">
        <w:rPr>
          <w:rFonts w:asciiTheme="minorHAnsi" w:hAnsiTheme="minorHAnsi" w:cstheme="minorHAnsi"/>
          <w:i/>
          <w:noProof/>
          <w:color w:val="000000" w:themeColor="text1"/>
          <w:sz w:val="24"/>
        </w:rPr>
        <w:t>14</w:t>
      </w:r>
      <w:r w:rsidR="00D902A8" w:rsidRPr="00D902A8">
        <w:rPr>
          <w:rFonts w:asciiTheme="minorHAnsi" w:hAnsiTheme="minorHAnsi" w:cstheme="minorHAnsi"/>
          <w:noProof/>
          <w:color w:val="000000" w:themeColor="text1"/>
          <w:sz w:val="24"/>
        </w:rPr>
        <w:t>–</w:t>
      </w:r>
      <w:r w:rsidR="00D902A8" w:rsidRPr="00D902A8">
        <w:rPr>
          <w:rFonts w:asciiTheme="minorHAnsi" w:hAnsiTheme="minorHAnsi" w:cstheme="minorHAnsi"/>
          <w:i/>
          <w:noProof/>
          <w:color w:val="000000" w:themeColor="text1"/>
          <w:sz w:val="24"/>
        </w:rPr>
        <w:t>18</w:t>
      </w:r>
      <w:r w:rsidR="00D902A8" w:rsidRPr="00D902A8">
        <w:rPr>
          <w:rFonts w:asciiTheme="minorHAnsi" w:hAnsiTheme="minorHAnsi" w:cstheme="minorHAnsi"/>
          <w:noProof/>
          <w:color w:val="000000" w:themeColor="text1"/>
          <w:sz w:val="24"/>
        </w:rPr>
        <w:t>]</w:t>
      </w:r>
      <w:r w:rsidR="00CA3EED" w:rsidRPr="00537443">
        <w:rPr>
          <w:rFonts w:asciiTheme="minorHAnsi" w:hAnsiTheme="minorHAnsi" w:cstheme="minorHAnsi"/>
          <w:color w:val="000000" w:themeColor="text1"/>
          <w:sz w:val="24"/>
        </w:rPr>
        <w:fldChar w:fldCharType="end"/>
      </w:r>
      <w:r w:rsidR="00703E25" w:rsidRPr="00537443">
        <w:rPr>
          <w:rFonts w:asciiTheme="minorHAnsi" w:hAnsiTheme="minorHAnsi" w:cstheme="minorHAnsi"/>
          <w:color w:val="000000" w:themeColor="text1"/>
          <w:sz w:val="24"/>
        </w:rPr>
        <w:t xml:space="preserve">. </w:t>
      </w:r>
    </w:p>
    <w:p w14:paraId="565E66F1" w14:textId="68F2B26C" w:rsidR="009947C7" w:rsidRPr="00537443" w:rsidRDefault="00605B0E" w:rsidP="003A3A37">
      <w:pPr>
        <w:keepNext w:val="0"/>
        <w:keepLines w:val="0"/>
        <w:spacing w:line="480" w:lineRule="auto"/>
        <w:rPr>
          <w:rFonts w:asciiTheme="minorHAnsi" w:hAnsiTheme="minorHAnsi" w:cstheme="minorHAnsi"/>
          <w:color w:val="000000" w:themeColor="text1"/>
          <w:sz w:val="24"/>
        </w:rPr>
      </w:pPr>
      <w:r w:rsidRPr="00537443">
        <w:rPr>
          <w:rFonts w:asciiTheme="minorHAnsi" w:hAnsiTheme="minorHAnsi" w:cstheme="minorHAnsi"/>
          <w:color w:val="000000" w:themeColor="text1"/>
          <w:sz w:val="24"/>
        </w:rPr>
        <w:t>Knowledge of the utility of perfusion SPECT</w:t>
      </w:r>
      <w:r w:rsidR="002045DA" w:rsidRPr="00537443">
        <w:rPr>
          <w:rFonts w:asciiTheme="minorHAnsi" w:hAnsiTheme="minorHAnsi" w:cstheme="minorHAnsi"/>
          <w:color w:val="000000" w:themeColor="text1"/>
          <w:sz w:val="24"/>
        </w:rPr>
        <w:t xml:space="preserve"> imaging</w:t>
      </w:r>
      <w:r w:rsidR="003A02BA" w:rsidRPr="00537443">
        <w:rPr>
          <w:rFonts w:asciiTheme="minorHAnsi" w:hAnsiTheme="minorHAnsi" w:cstheme="minorHAnsi"/>
          <w:color w:val="000000" w:themeColor="text1"/>
          <w:sz w:val="24"/>
        </w:rPr>
        <w:t xml:space="preserve"> is essential to determine </w:t>
      </w:r>
      <w:r w:rsidRPr="00537443">
        <w:rPr>
          <w:rFonts w:asciiTheme="minorHAnsi" w:hAnsiTheme="minorHAnsi" w:cstheme="minorHAnsi"/>
          <w:color w:val="000000" w:themeColor="text1"/>
          <w:sz w:val="24"/>
        </w:rPr>
        <w:t xml:space="preserve">whether the technology provides </w:t>
      </w:r>
      <w:r w:rsidRPr="0073172D">
        <w:rPr>
          <w:rFonts w:asciiTheme="minorHAnsi" w:hAnsiTheme="minorHAnsi" w:cstheme="minorHAnsi"/>
          <w:sz w:val="24"/>
        </w:rPr>
        <w:t>added value beyond standard clinical workup, and to provide evidence for its continued use in dementia diagnosis.</w:t>
      </w:r>
      <w:r w:rsidR="00FB47B2" w:rsidRPr="0073172D">
        <w:rPr>
          <w:rFonts w:asciiTheme="minorHAnsi" w:hAnsiTheme="minorHAnsi" w:cstheme="minorHAnsi"/>
          <w:sz w:val="24"/>
        </w:rPr>
        <w:t xml:space="preserve"> T</w:t>
      </w:r>
      <w:r w:rsidRPr="0073172D">
        <w:rPr>
          <w:rFonts w:asciiTheme="minorHAnsi" w:hAnsiTheme="minorHAnsi" w:cstheme="minorHAnsi"/>
          <w:sz w:val="24"/>
        </w:rPr>
        <w:t xml:space="preserve">his study </w:t>
      </w:r>
      <w:r w:rsidR="00FB47B2" w:rsidRPr="0073172D">
        <w:rPr>
          <w:rFonts w:asciiTheme="minorHAnsi" w:hAnsiTheme="minorHAnsi" w:cstheme="minorHAnsi"/>
          <w:sz w:val="24"/>
        </w:rPr>
        <w:t xml:space="preserve">was designed not to </w:t>
      </w:r>
      <w:r w:rsidR="00357198" w:rsidRPr="0073172D">
        <w:rPr>
          <w:rFonts w:asciiTheme="minorHAnsi" w:hAnsiTheme="minorHAnsi" w:cstheme="minorHAnsi"/>
          <w:sz w:val="24"/>
        </w:rPr>
        <w:t>assess the</w:t>
      </w:r>
      <w:r w:rsidR="00FB47B2" w:rsidRPr="0073172D">
        <w:rPr>
          <w:rFonts w:asciiTheme="minorHAnsi" w:hAnsiTheme="minorHAnsi" w:cstheme="minorHAnsi"/>
          <w:sz w:val="24"/>
        </w:rPr>
        <w:t xml:space="preserve"> accuracy of perfusion SPECT imaging in dementia,</w:t>
      </w:r>
      <w:r w:rsidR="00357198" w:rsidRPr="0073172D">
        <w:rPr>
          <w:rFonts w:asciiTheme="minorHAnsi" w:hAnsiTheme="minorHAnsi" w:cstheme="minorHAnsi"/>
          <w:sz w:val="24"/>
        </w:rPr>
        <w:t xml:space="preserve"> which has previously been investigated,</w:t>
      </w:r>
      <w:r w:rsidR="00FB47B2" w:rsidRPr="0073172D">
        <w:rPr>
          <w:rFonts w:asciiTheme="minorHAnsi" w:hAnsiTheme="minorHAnsi" w:cstheme="minorHAnsi"/>
          <w:sz w:val="24"/>
        </w:rPr>
        <w:t xml:space="preserve"> but</w:t>
      </w:r>
      <w:r w:rsidRPr="0073172D">
        <w:rPr>
          <w:rFonts w:asciiTheme="minorHAnsi" w:hAnsiTheme="minorHAnsi" w:cstheme="minorHAnsi"/>
          <w:sz w:val="24"/>
        </w:rPr>
        <w:t xml:space="preserve"> to assess the impact of </w:t>
      </w:r>
      <w:r w:rsidR="00357198" w:rsidRPr="0073172D">
        <w:rPr>
          <w:rFonts w:asciiTheme="minorHAnsi" w:hAnsiTheme="minorHAnsi" w:cstheme="minorHAnsi"/>
          <w:sz w:val="24"/>
        </w:rPr>
        <w:t>the technique</w:t>
      </w:r>
      <w:r w:rsidRPr="0073172D">
        <w:rPr>
          <w:rFonts w:asciiTheme="minorHAnsi" w:hAnsiTheme="minorHAnsi" w:cstheme="minorHAnsi"/>
          <w:sz w:val="24"/>
        </w:rPr>
        <w:t xml:space="preserve"> on the diagnostic process </w:t>
      </w:r>
      <w:r w:rsidRPr="00537443">
        <w:rPr>
          <w:rFonts w:asciiTheme="minorHAnsi" w:hAnsiTheme="minorHAnsi" w:cstheme="minorHAnsi"/>
          <w:color w:val="000000" w:themeColor="text1"/>
          <w:sz w:val="24"/>
        </w:rPr>
        <w:t xml:space="preserve">and determine its </w:t>
      </w:r>
      <w:r w:rsidR="009C4DF9" w:rsidRPr="00537443">
        <w:rPr>
          <w:rFonts w:asciiTheme="minorHAnsi" w:hAnsiTheme="minorHAnsi" w:cstheme="minorHAnsi"/>
          <w:color w:val="000000" w:themeColor="text1"/>
          <w:sz w:val="24"/>
        </w:rPr>
        <w:t xml:space="preserve">clinical </w:t>
      </w:r>
      <w:r w:rsidRPr="00537443">
        <w:rPr>
          <w:rFonts w:asciiTheme="minorHAnsi" w:hAnsiTheme="minorHAnsi" w:cstheme="minorHAnsi"/>
          <w:color w:val="000000" w:themeColor="text1"/>
          <w:sz w:val="24"/>
        </w:rPr>
        <w:t>usefulness using semi-quantitative methods of analysis for the individual. Clinician opinion on</w:t>
      </w:r>
      <w:r w:rsidR="00F564FD" w:rsidRPr="00537443">
        <w:rPr>
          <w:rFonts w:asciiTheme="minorHAnsi" w:hAnsiTheme="minorHAnsi" w:cstheme="minorHAnsi"/>
          <w:color w:val="000000" w:themeColor="text1"/>
          <w:sz w:val="24"/>
        </w:rPr>
        <w:t xml:space="preserve"> how</w:t>
      </w:r>
      <w:r w:rsidRPr="00537443">
        <w:rPr>
          <w:rFonts w:asciiTheme="minorHAnsi" w:hAnsiTheme="minorHAnsi" w:cstheme="minorHAnsi"/>
          <w:color w:val="000000" w:themeColor="text1"/>
          <w:sz w:val="24"/>
        </w:rPr>
        <w:t xml:space="preserve"> perfusion SPECT imaging</w:t>
      </w:r>
      <w:r w:rsidR="00F564FD" w:rsidRPr="00537443">
        <w:rPr>
          <w:rFonts w:asciiTheme="minorHAnsi" w:hAnsiTheme="minorHAnsi" w:cstheme="minorHAnsi"/>
          <w:color w:val="000000" w:themeColor="text1"/>
          <w:sz w:val="24"/>
        </w:rPr>
        <w:t xml:space="preserve"> aids</w:t>
      </w:r>
      <w:r w:rsidRPr="00537443">
        <w:rPr>
          <w:rFonts w:asciiTheme="minorHAnsi" w:hAnsiTheme="minorHAnsi" w:cstheme="minorHAnsi"/>
          <w:color w:val="000000" w:themeColor="text1"/>
          <w:sz w:val="24"/>
        </w:rPr>
        <w:t xml:space="preserve"> the diagnostic process was also investigated.</w:t>
      </w:r>
      <w:r w:rsidR="00D25CEA" w:rsidRPr="00537443">
        <w:rPr>
          <w:rFonts w:asciiTheme="minorHAnsi" w:hAnsiTheme="minorHAnsi" w:cstheme="minorHAnsi"/>
          <w:color w:val="000000" w:themeColor="text1"/>
          <w:sz w:val="24"/>
        </w:rPr>
        <w:t xml:space="preserve"> </w:t>
      </w:r>
    </w:p>
    <w:p w14:paraId="7EA01DF6" w14:textId="77777777" w:rsidR="0023372A" w:rsidRPr="00537443" w:rsidRDefault="0023372A" w:rsidP="003A3A37">
      <w:pPr>
        <w:keepNext w:val="0"/>
        <w:spacing w:line="480" w:lineRule="auto"/>
        <w:rPr>
          <w:rFonts w:asciiTheme="minorHAnsi" w:hAnsiTheme="minorHAnsi" w:cstheme="minorHAnsi"/>
          <w:color w:val="000000" w:themeColor="text1"/>
          <w:sz w:val="24"/>
        </w:rPr>
      </w:pPr>
    </w:p>
    <w:p w14:paraId="5FAA7494" w14:textId="0EFAEF34" w:rsidR="00BC2BDB" w:rsidRPr="00537443" w:rsidRDefault="00BC2BDB" w:rsidP="003A3A37">
      <w:pPr>
        <w:pStyle w:val="Heading2"/>
        <w:keepNext w:val="0"/>
        <w:numPr>
          <w:ilvl w:val="0"/>
          <w:numId w:val="0"/>
        </w:numPr>
        <w:spacing w:line="480" w:lineRule="auto"/>
        <w:rPr>
          <w:rFonts w:asciiTheme="minorHAnsi" w:hAnsiTheme="minorHAnsi" w:cstheme="minorHAnsi"/>
          <w:color w:val="000000" w:themeColor="text1"/>
        </w:rPr>
      </w:pPr>
      <w:bookmarkStart w:id="2" w:name="_Toc453180330"/>
      <w:bookmarkStart w:id="3" w:name="_Toc501374417"/>
      <w:r w:rsidRPr="00537443">
        <w:rPr>
          <w:rFonts w:asciiTheme="minorHAnsi" w:hAnsiTheme="minorHAnsi" w:cstheme="minorHAnsi"/>
          <w:color w:val="000000" w:themeColor="text1"/>
        </w:rPr>
        <w:t>M</w:t>
      </w:r>
      <w:r w:rsidR="00E22E66">
        <w:rPr>
          <w:rFonts w:asciiTheme="minorHAnsi" w:hAnsiTheme="minorHAnsi" w:cstheme="minorHAnsi"/>
          <w:color w:val="000000" w:themeColor="text1"/>
        </w:rPr>
        <w:t>aterials and m</w:t>
      </w:r>
      <w:r w:rsidRPr="00537443">
        <w:rPr>
          <w:rFonts w:asciiTheme="minorHAnsi" w:hAnsiTheme="minorHAnsi" w:cstheme="minorHAnsi"/>
          <w:color w:val="000000" w:themeColor="text1"/>
        </w:rPr>
        <w:t>ethods</w:t>
      </w:r>
      <w:bookmarkEnd w:id="2"/>
      <w:bookmarkEnd w:id="3"/>
    </w:p>
    <w:p w14:paraId="294748AE" w14:textId="77777777" w:rsidR="00BC2BDB" w:rsidRPr="00537443" w:rsidRDefault="00BC2BDB" w:rsidP="003A3A37">
      <w:pPr>
        <w:pStyle w:val="Heading3"/>
        <w:keepNext w:val="0"/>
        <w:numPr>
          <w:ilvl w:val="0"/>
          <w:numId w:val="0"/>
        </w:numPr>
        <w:spacing w:line="480" w:lineRule="auto"/>
        <w:rPr>
          <w:rFonts w:asciiTheme="minorHAnsi" w:hAnsiTheme="minorHAnsi" w:cstheme="minorHAnsi"/>
          <w:color w:val="000000" w:themeColor="text1"/>
          <w:sz w:val="24"/>
        </w:rPr>
      </w:pPr>
      <w:bookmarkStart w:id="4" w:name="_Toc453180331"/>
      <w:bookmarkStart w:id="5" w:name="_Toc501374418"/>
      <w:r w:rsidRPr="00537443">
        <w:rPr>
          <w:rFonts w:asciiTheme="minorHAnsi" w:hAnsiTheme="minorHAnsi" w:cstheme="minorHAnsi"/>
          <w:color w:val="000000" w:themeColor="text1"/>
          <w:sz w:val="24"/>
        </w:rPr>
        <w:t>Sample</w:t>
      </w:r>
      <w:bookmarkEnd w:id="4"/>
      <w:bookmarkEnd w:id="5"/>
    </w:p>
    <w:p w14:paraId="2EBBF8CE" w14:textId="298F4F04" w:rsidR="00BC2BDB" w:rsidRPr="00537443" w:rsidRDefault="00BC2BDB" w:rsidP="003A3A37">
      <w:pPr>
        <w:keepNext w:val="0"/>
        <w:keepLines w:val="0"/>
        <w:spacing w:line="480" w:lineRule="auto"/>
        <w:rPr>
          <w:rFonts w:asciiTheme="minorHAnsi" w:hAnsiTheme="minorHAnsi" w:cstheme="minorHAnsi"/>
          <w:color w:val="000000" w:themeColor="text1"/>
          <w:sz w:val="24"/>
        </w:rPr>
      </w:pPr>
      <w:r w:rsidRPr="00537443">
        <w:rPr>
          <w:rFonts w:asciiTheme="minorHAnsi" w:hAnsiTheme="minorHAnsi" w:cstheme="minorHAnsi"/>
          <w:color w:val="000000" w:themeColor="text1"/>
          <w:sz w:val="24"/>
        </w:rPr>
        <w:t xml:space="preserve">Clinicians who referred patients with cognitive complaints to </w:t>
      </w:r>
      <w:r w:rsidR="005421D6">
        <w:rPr>
          <w:rFonts w:asciiTheme="minorHAnsi" w:hAnsiTheme="minorHAnsi" w:cstheme="minorHAnsi"/>
          <w:color w:val="000000" w:themeColor="text1"/>
          <w:sz w:val="24"/>
        </w:rPr>
        <w:t>University Hospital Southampton NHS Foundation Trust</w:t>
      </w:r>
      <w:r w:rsidRPr="00537443">
        <w:rPr>
          <w:rFonts w:asciiTheme="minorHAnsi" w:hAnsiTheme="minorHAnsi" w:cstheme="minorHAnsi"/>
          <w:color w:val="000000" w:themeColor="text1"/>
          <w:sz w:val="24"/>
        </w:rPr>
        <w:t xml:space="preserve"> for a </w:t>
      </w:r>
      <w:r w:rsidRPr="0073172D">
        <w:rPr>
          <w:rFonts w:asciiTheme="minorHAnsi" w:hAnsiTheme="minorHAnsi" w:cstheme="minorHAnsi"/>
          <w:sz w:val="24"/>
        </w:rPr>
        <w:t xml:space="preserve">perfusion SPECT scan between </w:t>
      </w:r>
      <w:r w:rsidR="002045DA" w:rsidRPr="0073172D">
        <w:rPr>
          <w:rFonts w:asciiTheme="minorHAnsi" w:hAnsiTheme="minorHAnsi" w:cstheme="minorHAnsi"/>
          <w:sz w:val="24"/>
        </w:rPr>
        <w:t>November 2015</w:t>
      </w:r>
      <w:r w:rsidRPr="0073172D">
        <w:rPr>
          <w:rFonts w:asciiTheme="minorHAnsi" w:hAnsiTheme="minorHAnsi" w:cstheme="minorHAnsi"/>
          <w:sz w:val="24"/>
        </w:rPr>
        <w:t xml:space="preserve"> and September 2017 were assessed by questionnaire. All patients were referred for a HMPAO SPECT scan due to diagnostic doubt at the time of scanning</w:t>
      </w:r>
      <w:r w:rsidR="00533447" w:rsidRPr="0073172D">
        <w:rPr>
          <w:rFonts w:asciiTheme="minorHAnsi" w:hAnsiTheme="minorHAnsi" w:cstheme="minorHAnsi"/>
          <w:sz w:val="24"/>
        </w:rPr>
        <w:t xml:space="preserve"> and referral criteria was in accordance with N</w:t>
      </w:r>
      <w:r w:rsidR="00C10BE9" w:rsidRPr="0073172D">
        <w:rPr>
          <w:rFonts w:asciiTheme="minorHAnsi" w:hAnsiTheme="minorHAnsi" w:cstheme="minorHAnsi"/>
          <w:sz w:val="24"/>
        </w:rPr>
        <w:t xml:space="preserve">ational </w:t>
      </w:r>
      <w:r w:rsidR="00533447" w:rsidRPr="0073172D">
        <w:rPr>
          <w:rFonts w:asciiTheme="minorHAnsi" w:hAnsiTheme="minorHAnsi" w:cstheme="minorHAnsi"/>
          <w:sz w:val="24"/>
        </w:rPr>
        <w:t>I</w:t>
      </w:r>
      <w:r w:rsidR="00C10BE9" w:rsidRPr="0073172D">
        <w:rPr>
          <w:rFonts w:asciiTheme="minorHAnsi" w:hAnsiTheme="minorHAnsi" w:cstheme="minorHAnsi"/>
          <w:sz w:val="24"/>
        </w:rPr>
        <w:t xml:space="preserve">nstitute of </w:t>
      </w:r>
      <w:r w:rsidR="00533447" w:rsidRPr="0073172D">
        <w:rPr>
          <w:rFonts w:asciiTheme="minorHAnsi" w:hAnsiTheme="minorHAnsi" w:cstheme="minorHAnsi"/>
          <w:sz w:val="24"/>
        </w:rPr>
        <w:t>C</w:t>
      </w:r>
      <w:r w:rsidR="00C10BE9" w:rsidRPr="0073172D">
        <w:rPr>
          <w:rFonts w:asciiTheme="minorHAnsi" w:hAnsiTheme="minorHAnsi" w:cstheme="minorHAnsi"/>
          <w:sz w:val="24"/>
        </w:rPr>
        <w:t xml:space="preserve">linical </w:t>
      </w:r>
      <w:r w:rsidR="00533447" w:rsidRPr="0073172D">
        <w:rPr>
          <w:rFonts w:asciiTheme="minorHAnsi" w:hAnsiTheme="minorHAnsi" w:cstheme="minorHAnsi"/>
          <w:sz w:val="24"/>
        </w:rPr>
        <w:t>E</w:t>
      </w:r>
      <w:r w:rsidR="00C10BE9" w:rsidRPr="0073172D">
        <w:rPr>
          <w:rFonts w:asciiTheme="minorHAnsi" w:hAnsiTheme="minorHAnsi" w:cstheme="minorHAnsi"/>
          <w:sz w:val="24"/>
        </w:rPr>
        <w:t>xcellence</w:t>
      </w:r>
      <w:r w:rsidR="00533447" w:rsidRPr="0073172D">
        <w:rPr>
          <w:rFonts w:asciiTheme="minorHAnsi" w:hAnsiTheme="minorHAnsi" w:cstheme="minorHAnsi"/>
          <w:sz w:val="24"/>
        </w:rPr>
        <w:t xml:space="preserve"> guidelines</w:t>
      </w:r>
      <w:r w:rsidR="0041282F" w:rsidRPr="0073172D">
        <w:rPr>
          <w:rFonts w:asciiTheme="minorHAnsi" w:hAnsiTheme="minorHAnsi" w:cstheme="minorHAnsi"/>
          <w:sz w:val="24"/>
        </w:rPr>
        <w:t xml:space="preserve"> available</w:t>
      </w:r>
      <w:r w:rsidR="00533447" w:rsidRPr="0073172D">
        <w:rPr>
          <w:rFonts w:asciiTheme="minorHAnsi" w:hAnsiTheme="minorHAnsi" w:cstheme="minorHAnsi"/>
          <w:sz w:val="24"/>
        </w:rPr>
        <w:t xml:space="preserve"> at the time of the study </w:t>
      </w:r>
      <w:r w:rsidR="00D902A8" w:rsidRPr="0073172D">
        <w:rPr>
          <w:rFonts w:asciiTheme="minorHAnsi" w:hAnsiTheme="minorHAnsi" w:cstheme="minorHAnsi"/>
          <w:sz w:val="24"/>
        </w:rPr>
        <w:fldChar w:fldCharType="begin" w:fldLock="1"/>
      </w:r>
      <w:r w:rsidR="00D902A8" w:rsidRPr="0073172D">
        <w:rPr>
          <w:rFonts w:asciiTheme="minorHAnsi" w:hAnsiTheme="minorHAnsi" w:cstheme="minorHAnsi"/>
          <w:sz w:val="24"/>
        </w:rPr>
        <w:instrText>ADDIN CSL_CITATION {"citationItems":[{"id":"ITEM-1","itemData":{"author":[{"dropping-particle":"","family":"National Institute for Health and Care Excellence","given":"","non-dropping-particle":"","parse-names":false,"suffix":""}],"id":"ITEM-1","issued":{"date-parts":[["2006"]]},"publisher-place":"Leicester and London","title":"Dementia: Supporting People with Dementia and their Carers in Health and Social Care. Clinical guideline 42.","type":"report"},"uris":["http://www.mendeley.com/documents/?uuid=bca5374f-b4cc-447c-b39c-a23026591646"]}],"mendeley":{"formattedCitation":"[&lt;i&gt;19&lt;/i&gt;]","plainTextFormattedCitation":"[19]","previouslyFormattedCitation":"[19]"},"properties":{"noteIndex":0},"schema":"https://github.com/citation-style-language/schema/raw/master/csl-citation.json"}</w:instrText>
      </w:r>
      <w:r w:rsidR="00D902A8" w:rsidRPr="0073172D">
        <w:rPr>
          <w:rFonts w:asciiTheme="minorHAnsi" w:hAnsiTheme="minorHAnsi" w:cstheme="minorHAnsi"/>
          <w:sz w:val="24"/>
        </w:rPr>
        <w:fldChar w:fldCharType="separate"/>
      </w:r>
      <w:r w:rsidR="00D902A8" w:rsidRPr="0073172D">
        <w:rPr>
          <w:rFonts w:asciiTheme="minorHAnsi" w:hAnsiTheme="minorHAnsi" w:cstheme="minorHAnsi"/>
          <w:noProof/>
          <w:sz w:val="24"/>
        </w:rPr>
        <w:t>[</w:t>
      </w:r>
      <w:r w:rsidR="00D902A8" w:rsidRPr="0073172D">
        <w:rPr>
          <w:rFonts w:asciiTheme="minorHAnsi" w:hAnsiTheme="minorHAnsi" w:cstheme="minorHAnsi"/>
          <w:i/>
          <w:noProof/>
          <w:sz w:val="24"/>
        </w:rPr>
        <w:t>19</w:t>
      </w:r>
      <w:r w:rsidR="00D902A8" w:rsidRPr="0073172D">
        <w:rPr>
          <w:rFonts w:asciiTheme="minorHAnsi" w:hAnsiTheme="minorHAnsi" w:cstheme="minorHAnsi"/>
          <w:noProof/>
          <w:sz w:val="24"/>
        </w:rPr>
        <w:t>]</w:t>
      </w:r>
      <w:r w:rsidR="00D902A8" w:rsidRPr="0073172D">
        <w:rPr>
          <w:rFonts w:asciiTheme="minorHAnsi" w:hAnsiTheme="minorHAnsi" w:cstheme="minorHAnsi"/>
          <w:sz w:val="24"/>
        </w:rPr>
        <w:fldChar w:fldCharType="end"/>
      </w:r>
      <w:r w:rsidRPr="0073172D">
        <w:rPr>
          <w:rFonts w:asciiTheme="minorHAnsi" w:hAnsiTheme="minorHAnsi" w:cstheme="minorHAnsi"/>
          <w:sz w:val="24"/>
        </w:rPr>
        <w:t xml:space="preserve">. Questionnaires were sent to all clinicians referring for perfusion SPECT imaging across </w:t>
      </w:r>
      <w:r w:rsidRPr="00537443">
        <w:rPr>
          <w:rFonts w:asciiTheme="minorHAnsi" w:hAnsiTheme="minorHAnsi" w:cstheme="minorHAnsi"/>
          <w:color w:val="000000" w:themeColor="text1"/>
          <w:sz w:val="24"/>
        </w:rPr>
        <w:t>the Wessex region in the South of England</w:t>
      </w:r>
      <w:r w:rsidR="00534D4A" w:rsidRPr="00537443">
        <w:rPr>
          <w:rFonts w:asciiTheme="minorHAnsi" w:hAnsiTheme="minorHAnsi" w:cstheme="minorHAnsi"/>
          <w:color w:val="000000" w:themeColor="text1"/>
          <w:sz w:val="24"/>
        </w:rPr>
        <w:t>, U.K</w:t>
      </w:r>
      <w:r w:rsidRPr="00537443">
        <w:rPr>
          <w:rFonts w:asciiTheme="minorHAnsi" w:hAnsiTheme="minorHAnsi" w:cstheme="minorHAnsi"/>
          <w:color w:val="000000" w:themeColor="text1"/>
          <w:sz w:val="24"/>
        </w:rPr>
        <w:t>.</w:t>
      </w:r>
      <w:r w:rsidR="00A8160F" w:rsidRPr="00537443">
        <w:rPr>
          <w:rFonts w:asciiTheme="minorHAnsi" w:hAnsiTheme="minorHAnsi" w:cstheme="minorHAnsi"/>
          <w:color w:val="000000" w:themeColor="text1"/>
          <w:sz w:val="24"/>
        </w:rPr>
        <w:t xml:space="preserve"> </w:t>
      </w:r>
      <w:r w:rsidR="00A8160F" w:rsidRPr="00537443">
        <w:rPr>
          <w:rFonts w:asciiTheme="minorHAnsi" w:hAnsiTheme="minorHAnsi" w:cstheme="minorHAnsi"/>
          <w:color w:val="000000" w:themeColor="text1"/>
          <w:sz w:val="24"/>
          <w:lang w:eastAsia="en-GB"/>
        </w:rPr>
        <w:t xml:space="preserve">Approval was provided by </w:t>
      </w:r>
      <w:r w:rsidR="00A8160F" w:rsidRPr="00537443">
        <w:rPr>
          <w:rFonts w:asciiTheme="minorHAnsi" w:hAnsiTheme="minorHAnsi" w:cstheme="minorHAnsi"/>
          <w:color w:val="000000" w:themeColor="text1"/>
          <w:sz w:val="24"/>
          <w:lang w:eastAsia="en-GB"/>
        </w:rPr>
        <w:lastRenderedPageBreak/>
        <w:t xml:space="preserve">the Nuclear Medicine and Medical Physics and Bioengineering departments at </w:t>
      </w:r>
      <w:r w:rsidR="005421D6">
        <w:rPr>
          <w:rFonts w:asciiTheme="minorHAnsi" w:hAnsiTheme="minorHAnsi" w:cstheme="minorHAnsi"/>
          <w:color w:val="000000" w:themeColor="text1"/>
          <w:sz w:val="24"/>
        </w:rPr>
        <w:t>University Hospital Southampton NHS Foundation Trust</w:t>
      </w:r>
      <w:r w:rsidR="00A8160F" w:rsidRPr="00537443">
        <w:rPr>
          <w:rFonts w:asciiTheme="minorHAnsi" w:hAnsiTheme="minorHAnsi" w:cstheme="minorHAnsi"/>
          <w:color w:val="000000" w:themeColor="text1"/>
          <w:sz w:val="24"/>
          <w:lang w:eastAsia="en-GB"/>
        </w:rPr>
        <w:t>.</w:t>
      </w:r>
      <w:r w:rsidRPr="00537443">
        <w:rPr>
          <w:rFonts w:asciiTheme="minorHAnsi" w:hAnsiTheme="minorHAnsi" w:cstheme="minorHAnsi"/>
          <w:color w:val="000000" w:themeColor="text1"/>
          <w:sz w:val="24"/>
        </w:rPr>
        <w:t xml:space="preserve"> </w:t>
      </w:r>
      <w:r w:rsidR="00A8160F" w:rsidRPr="00537443">
        <w:rPr>
          <w:rFonts w:asciiTheme="minorHAnsi" w:hAnsiTheme="minorHAnsi" w:cstheme="minorHAnsi"/>
          <w:color w:val="000000" w:themeColor="text1"/>
          <w:sz w:val="24"/>
          <w:lang w:eastAsia="en-GB"/>
        </w:rPr>
        <w:t xml:space="preserve">The study was completed as part of clinical service improvement and evaluation and did not directly involve patient participants. </w:t>
      </w:r>
      <w:r w:rsidRPr="00537443">
        <w:rPr>
          <w:rFonts w:asciiTheme="minorHAnsi" w:hAnsiTheme="minorHAnsi" w:cstheme="minorHAnsi"/>
          <w:color w:val="000000" w:themeColor="text1"/>
          <w:sz w:val="24"/>
        </w:rPr>
        <w:t>Clinician consent was implied with return of the questionnaires.</w:t>
      </w:r>
    </w:p>
    <w:p w14:paraId="7C44B626" w14:textId="77777777" w:rsidR="00081E16" w:rsidRPr="00537443" w:rsidRDefault="00BC2BDB" w:rsidP="003A3A37">
      <w:pPr>
        <w:pStyle w:val="Heading3"/>
        <w:keepNext w:val="0"/>
        <w:numPr>
          <w:ilvl w:val="0"/>
          <w:numId w:val="0"/>
        </w:numPr>
        <w:spacing w:line="480" w:lineRule="auto"/>
        <w:rPr>
          <w:rFonts w:asciiTheme="minorHAnsi" w:hAnsiTheme="minorHAnsi" w:cstheme="minorHAnsi"/>
          <w:color w:val="000000" w:themeColor="text1"/>
          <w:sz w:val="24"/>
        </w:rPr>
      </w:pPr>
      <w:r w:rsidRPr="00537443">
        <w:rPr>
          <w:rFonts w:asciiTheme="minorHAnsi" w:hAnsiTheme="minorHAnsi" w:cstheme="minorHAnsi"/>
          <w:color w:val="000000" w:themeColor="text1"/>
          <w:sz w:val="24"/>
        </w:rPr>
        <w:t>Perfusion SPECT imaging and analysis</w:t>
      </w:r>
    </w:p>
    <w:p w14:paraId="13DDD0C1" w14:textId="14B6C9C8" w:rsidR="002C425A" w:rsidRPr="00537443" w:rsidRDefault="002C425A" w:rsidP="003A3A37">
      <w:pPr>
        <w:keepNext w:val="0"/>
        <w:keepLines w:val="0"/>
        <w:spacing w:line="480" w:lineRule="auto"/>
        <w:rPr>
          <w:rFonts w:asciiTheme="minorHAnsi" w:hAnsiTheme="minorHAnsi" w:cstheme="minorHAnsi"/>
          <w:color w:val="000000" w:themeColor="text1"/>
          <w:sz w:val="24"/>
        </w:rPr>
      </w:pPr>
      <w:r w:rsidRPr="00537443">
        <w:rPr>
          <w:rFonts w:asciiTheme="minorHAnsi" w:hAnsiTheme="minorHAnsi" w:cstheme="minorHAnsi"/>
          <w:color w:val="000000" w:themeColor="text1"/>
          <w:sz w:val="24"/>
        </w:rPr>
        <w:t xml:space="preserve">Perfusion SPECT imaging was completed as per normal clinical care using a </w:t>
      </w:r>
      <w:r w:rsidRPr="00537443">
        <w:rPr>
          <w:rFonts w:asciiTheme="minorHAnsi" w:hAnsiTheme="minorHAnsi" w:cstheme="minorHAnsi"/>
          <w:color w:val="000000" w:themeColor="text1"/>
          <w:sz w:val="24"/>
          <w:vertAlign w:val="superscript"/>
        </w:rPr>
        <w:t>99m</w:t>
      </w:r>
      <w:r w:rsidRPr="00537443">
        <w:rPr>
          <w:rFonts w:asciiTheme="minorHAnsi" w:hAnsiTheme="minorHAnsi" w:cstheme="minorHAnsi"/>
          <w:color w:val="000000" w:themeColor="text1"/>
          <w:sz w:val="24"/>
        </w:rPr>
        <w:t>Tc-hexamethylpropyleneamine oxime (HMPAO) tracer on a GE INFINIA 3/8 HK4 dual head gamma camera equipped with low-energy, high resolution collimators. A circular orbit was used with the radius minimised for each patient. The total number of projections was 120, each acquired for 25 seconds, with a 20% symmetrical energy window centred on the 140keV photopeak; the matrix size was 128x128 and the applied zoom was 1.33, which resulted in a pixel size of 3.32 mm. Images were checked for movement and the raw projections were reconstructed using a filtered back projection method without any smoothing filter and attenuation corrected with a two-iterations Chang algorithm.</w:t>
      </w:r>
    </w:p>
    <w:p w14:paraId="3F9E3E20" w14:textId="2480FBB9" w:rsidR="002C425A" w:rsidRPr="0073172D" w:rsidRDefault="002C425A" w:rsidP="003A3A37">
      <w:pPr>
        <w:keepNext w:val="0"/>
        <w:keepLines w:val="0"/>
        <w:spacing w:line="480" w:lineRule="auto"/>
        <w:rPr>
          <w:rFonts w:asciiTheme="minorHAnsi" w:hAnsiTheme="minorHAnsi" w:cstheme="minorHAnsi"/>
          <w:sz w:val="24"/>
        </w:rPr>
      </w:pPr>
      <w:r w:rsidRPr="00537443">
        <w:rPr>
          <w:rFonts w:asciiTheme="minorHAnsi" w:hAnsiTheme="minorHAnsi" w:cstheme="minorHAnsi"/>
          <w:color w:val="000000" w:themeColor="text1"/>
          <w:sz w:val="24"/>
        </w:rPr>
        <w:t xml:space="preserve">Reconstructed images underwent spatial normalisation and smoothing with a 16mm Gaussian kernel using statistical parametric mapping 8 (SPM) software </w:t>
      </w:r>
      <w:r w:rsidRPr="00537443">
        <w:rPr>
          <w:rFonts w:asciiTheme="minorHAnsi" w:hAnsiTheme="minorHAnsi" w:cstheme="minorHAnsi"/>
          <w:color w:val="000000" w:themeColor="text1"/>
          <w:sz w:val="24"/>
        </w:rPr>
        <w:fldChar w:fldCharType="begin" w:fldLock="1"/>
      </w:r>
      <w:r w:rsidR="00D902A8">
        <w:rPr>
          <w:rFonts w:asciiTheme="minorHAnsi" w:hAnsiTheme="minorHAnsi" w:cstheme="minorHAnsi"/>
          <w:color w:val="000000" w:themeColor="text1"/>
          <w:sz w:val="24"/>
        </w:rPr>
        <w:instrText>ADDIN CSL_CITATION {"citationItems":[{"id":"ITEM-1","itemData":{"ISBN":"0-12-685845-4 (Hardcover)","abstract":"statistical parametric maps (SPMs) are images with pixel values that are, under a null hypotheses, distributed according to a known (statistical) probability density function / describes the ideas and techniques used in statistical parametric mapping / the analysis of activation studies will form the core of this chapter, namely the general case of k repeated measurements in n Ss / describes how SPMs are constructed / provides empirical examples that show how SPMs can be used to assess (i) functional anatomy and specialization using activation studies, (ii) CNS plasticity with factorial designs, and (iii) functional connectivity using principal component analyses (PsycINFO Database Record (c) 2016 APA, all rights reserved)","author":[{"dropping-particle":"","family":"Friston","given":"Karl J","non-dropping-particle":"","parse-names":false,"suffix":""}],"container-title":"Functional neuroimaging: Technical foundations","id":"ITEM-1","issued":{"date-parts":[["1994"]]},"note":"From Duplicate 1 (Statistical parametric mapping - Friston, K; Ashburner, J)\n\nhttps://books.google.co.uk/books?hl=en&amp;amp;lr=&amp;amp;id=G_qdEsDlkp0C&amp;amp;oi=fnd&amp;amp;pg=PA10&amp;amp;ots=Xl0NFyV4TC&amp;amp;sig=5hbVKXN6any73cMggxR-6E7rk0c#v=onepage&amp;amp;q&amp;amp;f=false","page":"79-93","publisher":"Academic Press","publisher-place":"San Diego, CA, US","title":"Statistical parametric mapping.","type":"chapter"},"uris":["http://www.mendeley.com/documents/?uuid=5a8537d9-eb96-4306-a891-3c017b3e2a8c"]}],"mendeley":{"formattedCitation":"[&lt;i&gt;20&lt;/i&gt;]","plainTextFormattedCitation":"[20]","previouslyFormattedCitation":"[20]"},"properties":{"noteIndex":0},"schema":"https://github.com/citation-style-language/schema/raw/master/csl-citation.json"}</w:instrText>
      </w:r>
      <w:r w:rsidRPr="00537443">
        <w:rPr>
          <w:rFonts w:asciiTheme="minorHAnsi" w:hAnsiTheme="minorHAnsi" w:cstheme="minorHAnsi"/>
          <w:color w:val="000000" w:themeColor="text1"/>
          <w:sz w:val="24"/>
        </w:rPr>
        <w:fldChar w:fldCharType="separate"/>
      </w:r>
      <w:r w:rsidR="00D902A8" w:rsidRPr="00D902A8">
        <w:rPr>
          <w:rFonts w:asciiTheme="minorHAnsi" w:hAnsiTheme="minorHAnsi" w:cstheme="minorHAnsi"/>
          <w:noProof/>
          <w:color w:val="000000" w:themeColor="text1"/>
          <w:sz w:val="24"/>
        </w:rPr>
        <w:t>[</w:t>
      </w:r>
      <w:r w:rsidR="00D902A8" w:rsidRPr="00D902A8">
        <w:rPr>
          <w:rFonts w:asciiTheme="minorHAnsi" w:hAnsiTheme="minorHAnsi" w:cstheme="minorHAnsi"/>
          <w:i/>
          <w:noProof/>
          <w:color w:val="000000" w:themeColor="text1"/>
          <w:sz w:val="24"/>
        </w:rPr>
        <w:t>20</w:t>
      </w:r>
      <w:r w:rsidR="00D902A8" w:rsidRPr="00D902A8">
        <w:rPr>
          <w:rFonts w:asciiTheme="minorHAnsi" w:hAnsiTheme="minorHAnsi" w:cstheme="minorHAnsi"/>
          <w:noProof/>
          <w:color w:val="000000" w:themeColor="text1"/>
          <w:sz w:val="24"/>
        </w:rPr>
        <w:t>]</w:t>
      </w:r>
      <w:r w:rsidRPr="00537443">
        <w:rPr>
          <w:rFonts w:asciiTheme="minorHAnsi" w:hAnsiTheme="minorHAnsi" w:cstheme="minorHAnsi"/>
          <w:color w:val="000000" w:themeColor="text1"/>
          <w:sz w:val="24"/>
        </w:rPr>
        <w:fldChar w:fldCharType="end"/>
      </w:r>
      <w:r w:rsidRPr="00537443">
        <w:rPr>
          <w:rFonts w:asciiTheme="minorHAnsi" w:hAnsiTheme="minorHAnsi" w:cstheme="minorHAnsi"/>
          <w:color w:val="000000" w:themeColor="text1"/>
          <w:sz w:val="24"/>
        </w:rPr>
        <w:t xml:space="preserve">. Cerebellar count normalisation and age correction was completed using in-house </w:t>
      </w:r>
      <w:r w:rsidRPr="0073172D">
        <w:rPr>
          <w:rFonts w:asciiTheme="minorHAnsi" w:hAnsiTheme="minorHAnsi" w:cstheme="minorHAnsi"/>
          <w:sz w:val="24"/>
        </w:rPr>
        <w:t xml:space="preserve">MATLAB code. Single-subject voxel based hypoperfusion maps were created for each individual when compared to 31 age-matched controls using </w:t>
      </w:r>
      <w:r w:rsidR="009E547C" w:rsidRPr="0073172D">
        <w:rPr>
          <w:rFonts w:asciiTheme="minorHAnsi" w:hAnsiTheme="minorHAnsi" w:cstheme="minorHAnsi"/>
          <w:sz w:val="24"/>
        </w:rPr>
        <w:t>SPM</w:t>
      </w:r>
      <w:r w:rsidRPr="0073172D">
        <w:rPr>
          <w:rFonts w:asciiTheme="minorHAnsi" w:hAnsiTheme="minorHAnsi" w:cstheme="minorHAnsi"/>
          <w:sz w:val="24"/>
        </w:rPr>
        <w:t xml:space="preserve">. Control images were reconstructed and processed with the same protocol used for patient images. A significance threshold of </w:t>
      </w:r>
      <w:r w:rsidRPr="0073172D">
        <w:rPr>
          <w:rFonts w:asciiTheme="minorHAnsi" w:hAnsiTheme="minorHAnsi" w:cstheme="minorHAnsi"/>
          <w:i/>
          <w:sz w:val="24"/>
        </w:rPr>
        <w:t>p</w:t>
      </w:r>
      <w:r w:rsidRPr="0073172D">
        <w:rPr>
          <w:rFonts w:asciiTheme="minorHAnsi" w:hAnsiTheme="minorHAnsi" w:cstheme="minorHAnsi"/>
          <w:sz w:val="24"/>
        </w:rPr>
        <w:t xml:space="preserve">&lt;0.001 (uncorrected for multiple comparisons) with 100 voxel cluster </w:t>
      </w:r>
      <w:proofErr w:type="gramStart"/>
      <w:r w:rsidRPr="0073172D">
        <w:rPr>
          <w:rFonts w:asciiTheme="minorHAnsi" w:hAnsiTheme="minorHAnsi" w:cstheme="minorHAnsi"/>
          <w:sz w:val="24"/>
        </w:rPr>
        <w:t>threshold</w:t>
      </w:r>
      <w:proofErr w:type="gramEnd"/>
      <w:r w:rsidRPr="0073172D">
        <w:rPr>
          <w:rFonts w:asciiTheme="minorHAnsi" w:hAnsiTheme="minorHAnsi" w:cstheme="minorHAnsi"/>
          <w:sz w:val="24"/>
        </w:rPr>
        <w:t xml:space="preserve"> was used. </w:t>
      </w:r>
      <w:r w:rsidR="00005C07" w:rsidRPr="0073172D">
        <w:rPr>
          <w:rFonts w:asciiTheme="minorHAnsi" w:hAnsiTheme="minorHAnsi" w:cstheme="minorHAnsi"/>
          <w:sz w:val="24"/>
        </w:rPr>
        <w:t xml:space="preserve">In cases where scans were indeterminate at p&lt;0.001 (uncorrected for multiple </w:t>
      </w:r>
      <w:r w:rsidR="00005C07" w:rsidRPr="0073172D">
        <w:rPr>
          <w:rFonts w:asciiTheme="minorHAnsi" w:hAnsiTheme="minorHAnsi" w:cstheme="minorHAnsi"/>
          <w:sz w:val="24"/>
        </w:rPr>
        <w:lastRenderedPageBreak/>
        <w:t xml:space="preserve">comparisons), the threshold was reduced to p&lt;0.01 (uncorrected for multiple comparisons) to </w:t>
      </w:r>
      <w:r w:rsidR="00334C50" w:rsidRPr="0073172D">
        <w:rPr>
          <w:rFonts w:asciiTheme="minorHAnsi" w:hAnsiTheme="minorHAnsi" w:cstheme="minorHAnsi"/>
          <w:sz w:val="24"/>
        </w:rPr>
        <w:t>assess extent of perfusion deficits</w:t>
      </w:r>
      <w:r w:rsidR="00005C07" w:rsidRPr="0073172D">
        <w:rPr>
          <w:rFonts w:asciiTheme="minorHAnsi" w:hAnsiTheme="minorHAnsi" w:cstheme="minorHAnsi"/>
          <w:sz w:val="24"/>
        </w:rPr>
        <w:t xml:space="preserve">. In these </w:t>
      </w:r>
      <w:proofErr w:type="gramStart"/>
      <w:r w:rsidR="00005C07" w:rsidRPr="0073172D">
        <w:rPr>
          <w:rFonts w:asciiTheme="minorHAnsi" w:hAnsiTheme="minorHAnsi" w:cstheme="minorHAnsi"/>
          <w:sz w:val="24"/>
        </w:rPr>
        <w:t>cases</w:t>
      </w:r>
      <w:proofErr w:type="gramEnd"/>
      <w:r w:rsidR="00005C07" w:rsidRPr="0073172D">
        <w:rPr>
          <w:rFonts w:asciiTheme="minorHAnsi" w:hAnsiTheme="minorHAnsi" w:cstheme="minorHAnsi"/>
          <w:sz w:val="24"/>
        </w:rPr>
        <w:t xml:space="preserve"> the report</w:t>
      </w:r>
      <w:r w:rsidR="00357198" w:rsidRPr="0073172D">
        <w:rPr>
          <w:rFonts w:asciiTheme="minorHAnsi" w:hAnsiTheme="minorHAnsi" w:cstheme="minorHAnsi"/>
          <w:sz w:val="24"/>
        </w:rPr>
        <w:t xml:space="preserve"> to the referring clinician</w:t>
      </w:r>
      <w:r w:rsidR="00005C07" w:rsidRPr="0073172D">
        <w:rPr>
          <w:rFonts w:asciiTheme="minorHAnsi" w:hAnsiTheme="minorHAnsi" w:cstheme="minorHAnsi"/>
          <w:sz w:val="24"/>
        </w:rPr>
        <w:t xml:space="preserve"> w</w:t>
      </w:r>
      <w:r w:rsidR="00334C50" w:rsidRPr="0073172D">
        <w:rPr>
          <w:rFonts w:asciiTheme="minorHAnsi" w:hAnsiTheme="minorHAnsi" w:cstheme="minorHAnsi"/>
          <w:sz w:val="24"/>
        </w:rPr>
        <w:t>as</w:t>
      </w:r>
      <w:r w:rsidR="00005C07" w:rsidRPr="0073172D">
        <w:rPr>
          <w:rFonts w:asciiTheme="minorHAnsi" w:hAnsiTheme="minorHAnsi" w:cstheme="minorHAnsi"/>
          <w:sz w:val="24"/>
        </w:rPr>
        <w:t xml:space="preserve"> detailed as not diagnostic. </w:t>
      </w:r>
      <w:r w:rsidRPr="0073172D">
        <w:rPr>
          <w:rFonts w:asciiTheme="minorHAnsi" w:hAnsiTheme="minorHAnsi" w:cstheme="minorHAnsi"/>
          <w:sz w:val="24"/>
        </w:rPr>
        <w:t xml:space="preserve">Image analysis was also carried out using an automated 3D surface projections (3D-SSP) software by EXINI diagnostics (brain v3.7.3), with further information detailed by </w:t>
      </w:r>
      <w:proofErr w:type="spellStart"/>
      <w:r w:rsidRPr="0073172D">
        <w:rPr>
          <w:rFonts w:asciiTheme="minorHAnsi" w:hAnsiTheme="minorHAnsi" w:cstheme="minorHAnsi"/>
          <w:sz w:val="24"/>
        </w:rPr>
        <w:t>Hagerstrom</w:t>
      </w:r>
      <w:proofErr w:type="spellEnd"/>
      <w:r w:rsidRPr="0073172D">
        <w:rPr>
          <w:rFonts w:asciiTheme="minorHAnsi" w:hAnsiTheme="minorHAnsi" w:cstheme="minorHAnsi"/>
          <w:sz w:val="24"/>
        </w:rPr>
        <w:t xml:space="preserve"> et al </w:t>
      </w:r>
      <w:r w:rsidRPr="0073172D">
        <w:rPr>
          <w:rFonts w:asciiTheme="minorHAnsi" w:hAnsiTheme="minorHAnsi" w:cstheme="minorHAnsi"/>
          <w:sz w:val="24"/>
        </w:rPr>
        <w:fldChar w:fldCharType="begin" w:fldLock="1"/>
      </w:r>
      <w:r w:rsidR="00D902A8" w:rsidRPr="0073172D">
        <w:rPr>
          <w:rFonts w:asciiTheme="minorHAnsi" w:hAnsiTheme="minorHAnsi" w:cstheme="minorHAnsi"/>
          <w:sz w:val="24"/>
        </w:rPr>
        <w:instrText>ADDIN CSL_CITATION {"citationItems":[{"id":"ITEM-1","itemData":{"DOI":"10.1111/j.1475-097X.2011.01063.x","ISSN":"14750961","PMID":"22296631","abstract":"Most nuclear medicine clinicians use only visual assessment when interpreting regional cerebral blood flow (rCBF) from single-photon emission computed tomography (SPECT) images in clinical practice. The aims of this study were to develop a new, easy to use, automated method for quantification of rCBF-SPECT and to create normal values by using the method on a normal population. We developed a 3-dimensional method based on a brain-shaped model and the active-shape algorithm. The method defines the surface shape of the brain and then projects the maximum counts 0-1.5 cm deep for designated surface points. These surface projection values are divided into cortical regions representing the different lobes and presented relative to the whole cortex, cerebellum or cerebellar maximum. (99m) Tc-hexa methyl propylene amine oxime (HMPAO) SPECT was performed on 30 healthy volunteers with a mean age of 74 years (range 64-98). The ability of the active-shape algorithm to define the shape of the brain was satisfactory when visually scrutinized. The results of the quantification show rCBF values in the frontal, temporal and parietal lobes of 87-88% using cerebellum as the reference. There were no significant differences in normal rCBF values between male and female subjects and only a weak relation between rCBF and age. In conclusion, our new automated method was able to quantify rCBF-SPECT images and create normal values in ranges as expected. Further studies are needed to assess the clinical value of this method and the normal values.","author":[{"dropping-particle":"","family":"Hägerström","given":"Douglas","non-dropping-particle":"","parse-names":false,"suffix":""},{"dropping-particle":"","family":"Jakobsson","given":"David","non-dropping-particle":"","parse-names":false,"suffix":""},{"dropping-particle":"","family":"Stomrud","given":"Erik","non-dropping-particle":"","parse-names":false,"suffix":""},{"dropping-particle":"","family":"Andersson","given":"Ann Margret","non-dropping-particle":"","parse-names":false,"suffix":""},{"dropping-particle":"","family":"Ryding","given":"Erik","non-dropping-particle":"","parse-names":false,"suffix":""},{"dropping-particle":"","family":"Londos","given":"Elisabet","non-dropping-particle":"","parse-names":false,"suffix":""},{"dropping-particle":"","family":"Minthon","given":"Lennart","non-dropping-particle":"","parse-names":false,"suffix":""},{"dropping-particle":"","family":"Rosén","given":"Ingmar","non-dropping-particle":"","parse-names":false,"suffix":""},{"dropping-particle":"","family":"Edenbrandt","given":"Lars","non-dropping-particle":"","parse-names":false,"suffix":""}],"container-title":"Clinical Physiology and Functional Imaging","id":"ITEM-1","issue":"2","issued":{"date-parts":[["2012"]]},"page":"114-119","title":"A new automated method for analysis of rCBF-SPECT images based on the active-shape algorithm: Normal values","type":"article-journal","volume":"32"},"uris":["http://www.mendeley.com/documents/?uuid=8c49093e-141f-4214-811f-e130579bae40"]}],"mendeley":{"formattedCitation":"[&lt;i&gt;21&lt;/i&gt;]","plainTextFormattedCitation":"[21]","previouslyFormattedCitation":"[21]"},"properties":{"noteIndex":0},"schema":"https://github.com/citation-style-language/schema/raw/master/csl-citation.json"}</w:instrText>
      </w:r>
      <w:r w:rsidRPr="0073172D">
        <w:rPr>
          <w:rFonts w:asciiTheme="minorHAnsi" w:hAnsiTheme="minorHAnsi" w:cstheme="minorHAnsi"/>
          <w:sz w:val="24"/>
        </w:rPr>
        <w:fldChar w:fldCharType="separate"/>
      </w:r>
      <w:r w:rsidR="00D902A8" w:rsidRPr="0073172D">
        <w:rPr>
          <w:rFonts w:asciiTheme="minorHAnsi" w:hAnsiTheme="minorHAnsi" w:cstheme="minorHAnsi"/>
          <w:noProof/>
          <w:sz w:val="24"/>
        </w:rPr>
        <w:t>[</w:t>
      </w:r>
      <w:r w:rsidR="00D902A8" w:rsidRPr="0073172D">
        <w:rPr>
          <w:rFonts w:asciiTheme="minorHAnsi" w:hAnsiTheme="minorHAnsi" w:cstheme="minorHAnsi"/>
          <w:i/>
          <w:noProof/>
          <w:sz w:val="24"/>
        </w:rPr>
        <w:t>21</w:t>
      </w:r>
      <w:r w:rsidR="00D902A8" w:rsidRPr="0073172D">
        <w:rPr>
          <w:rFonts w:asciiTheme="minorHAnsi" w:hAnsiTheme="minorHAnsi" w:cstheme="minorHAnsi"/>
          <w:noProof/>
          <w:sz w:val="24"/>
        </w:rPr>
        <w:t>]</w:t>
      </w:r>
      <w:r w:rsidRPr="0073172D">
        <w:rPr>
          <w:rFonts w:asciiTheme="minorHAnsi" w:hAnsiTheme="minorHAnsi" w:cstheme="minorHAnsi"/>
          <w:sz w:val="24"/>
        </w:rPr>
        <w:fldChar w:fldCharType="end"/>
      </w:r>
      <w:r w:rsidRPr="0073172D">
        <w:rPr>
          <w:rFonts w:asciiTheme="minorHAnsi" w:hAnsiTheme="minorHAnsi" w:cstheme="minorHAnsi"/>
          <w:sz w:val="24"/>
        </w:rPr>
        <w:t>.</w:t>
      </w:r>
    </w:p>
    <w:p w14:paraId="119C8F47" w14:textId="64BC2AF0" w:rsidR="00BC2BDB" w:rsidRPr="0073172D" w:rsidRDefault="00BC2BDB" w:rsidP="003A3A37">
      <w:pPr>
        <w:keepNext w:val="0"/>
        <w:keepLines w:val="0"/>
        <w:spacing w:line="480" w:lineRule="auto"/>
        <w:rPr>
          <w:rFonts w:asciiTheme="minorHAnsi" w:hAnsiTheme="minorHAnsi" w:cstheme="minorHAnsi"/>
          <w:sz w:val="24"/>
        </w:rPr>
      </w:pPr>
      <w:r w:rsidRPr="0073172D">
        <w:rPr>
          <w:rFonts w:asciiTheme="minorHAnsi" w:hAnsiTheme="minorHAnsi" w:cstheme="minorHAnsi"/>
          <w:sz w:val="24"/>
        </w:rPr>
        <w:t xml:space="preserve">Images were read based on both the SPM maps and 3D surface projections by a consultant physician </w:t>
      </w:r>
      <w:r w:rsidR="00DC3F91" w:rsidRPr="0073172D">
        <w:rPr>
          <w:rFonts w:asciiTheme="minorHAnsi" w:hAnsiTheme="minorHAnsi" w:cstheme="minorHAnsi"/>
          <w:sz w:val="24"/>
        </w:rPr>
        <w:t>practiced</w:t>
      </w:r>
      <w:r w:rsidRPr="0073172D">
        <w:rPr>
          <w:rFonts w:asciiTheme="minorHAnsi" w:hAnsiTheme="minorHAnsi" w:cstheme="minorHAnsi"/>
          <w:sz w:val="24"/>
        </w:rPr>
        <w:t xml:space="preserve"> in reporting perfusion SPECT images</w:t>
      </w:r>
      <w:r w:rsidR="00D13320" w:rsidRPr="0073172D">
        <w:rPr>
          <w:rFonts w:asciiTheme="minorHAnsi" w:hAnsiTheme="minorHAnsi" w:cstheme="minorHAnsi"/>
          <w:sz w:val="24"/>
        </w:rPr>
        <w:t xml:space="preserve"> (</w:t>
      </w:r>
      <w:r w:rsidR="005421D6">
        <w:rPr>
          <w:rFonts w:asciiTheme="minorHAnsi" w:hAnsiTheme="minorHAnsi" w:cstheme="minorHAnsi"/>
          <w:sz w:val="24"/>
        </w:rPr>
        <w:t>C. M. Kipps</w:t>
      </w:r>
      <w:r w:rsidR="00D13320" w:rsidRPr="0073172D">
        <w:rPr>
          <w:rFonts w:asciiTheme="minorHAnsi" w:hAnsiTheme="minorHAnsi" w:cstheme="minorHAnsi"/>
          <w:sz w:val="24"/>
        </w:rPr>
        <w:t>)</w:t>
      </w:r>
      <w:r w:rsidRPr="0073172D">
        <w:rPr>
          <w:rFonts w:asciiTheme="minorHAnsi" w:hAnsiTheme="minorHAnsi" w:cstheme="minorHAnsi"/>
          <w:sz w:val="24"/>
        </w:rPr>
        <w:t>.</w:t>
      </w:r>
      <w:r w:rsidR="0090591D" w:rsidRPr="0073172D">
        <w:rPr>
          <w:rFonts w:asciiTheme="minorHAnsi" w:hAnsiTheme="minorHAnsi" w:cstheme="minorHAnsi"/>
          <w:sz w:val="24"/>
        </w:rPr>
        <w:t xml:space="preserve"> The reader has 8 years of experience of clinical reporting of HMPAO SPECT scans for dementia using the semi-quantitative methods outlined above. </w:t>
      </w:r>
      <w:r w:rsidR="005421D6">
        <w:rPr>
          <w:rFonts w:asciiTheme="minorHAnsi" w:hAnsiTheme="minorHAnsi" w:cstheme="minorHAnsi"/>
          <w:color w:val="000000" w:themeColor="text1"/>
          <w:sz w:val="24"/>
        </w:rPr>
        <w:t>University Hospital Southampton NHS Foundation Trust</w:t>
      </w:r>
      <w:r w:rsidR="005421D6" w:rsidRPr="0073172D">
        <w:rPr>
          <w:rFonts w:asciiTheme="minorHAnsi" w:hAnsiTheme="minorHAnsi" w:cstheme="minorHAnsi"/>
          <w:sz w:val="24"/>
        </w:rPr>
        <w:t xml:space="preserve"> </w:t>
      </w:r>
      <w:r w:rsidR="0090591D" w:rsidRPr="0073172D">
        <w:rPr>
          <w:rFonts w:asciiTheme="minorHAnsi" w:hAnsiTheme="minorHAnsi" w:cstheme="minorHAnsi"/>
          <w:sz w:val="24"/>
        </w:rPr>
        <w:t>completes around 250-400 brain perfusion SPECT scans per year.</w:t>
      </w:r>
      <w:r w:rsidRPr="0073172D">
        <w:rPr>
          <w:rFonts w:asciiTheme="minorHAnsi" w:hAnsiTheme="minorHAnsi" w:cstheme="minorHAnsi"/>
          <w:sz w:val="24"/>
        </w:rPr>
        <w:t xml:space="preserve"> Perfusion SPECT scans were interpreted as either normal or likely neurodegenerative and sugg</w:t>
      </w:r>
      <w:r w:rsidR="00D02835" w:rsidRPr="0073172D">
        <w:rPr>
          <w:rFonts w:asciiTheme="minorHAnsi" w:hAnsiTheme="minorHAnsi" w:cstheme="minorHAnsi"/>
          <w:sz w:val="24"/>
        </w:rPr>
        <w:t>estive of Alzheimer’s disease</w:t>
      </w:r>
      <w:r w:rsidR="0036392C" w:rsidRPr="0073172D">
        <w:rPr>
          <w:rFonts w:asciiTheme="minorHAnsi" w:hAnsiTheme="minorHAnsi" w:cstheme="minorHAnsi"/>
          <w:sz w:val="24"/>
        </w:rPr>
        <w:t xml:space="preserve"> (AD)</w:t>
      </w:r>
      <w:r w:rsidR="00D02835" w:rsidRPr="0073172D">
        <w:rPr>
          <w:rFonts w:asciiTheme="minorHAnsi" w:hAnsiTheme="minorHAnsi" w:cstheme="minorHAnsi"/>
          <w:sz w:val="24"/>
        </w:rPr>
        <w:t>, F</w:t>
      </w:r>
      <w:r w:rsidRPr="0073172D">
        <w:rPr>
          <w:rFonts w:asciiTheme="minorHAnsi" w:hAnsiTheme="minorHAnsi" w:cstheme="minorHAnsi"/>
          <w:sz w:val="24"/>
        </w:rPr>
        <w:t>rontotempora</w:t>
      </w:r>
      <w:r w:rsidR="00D02835" w:rsidRPr="0073172D">
        <w:rPr>
          <w:rFonts w:asciiTheme="minorHAnsi" w:hAnsiTheme="minorHAnsi" w:cstheme="minorHAnsi"/>
          <w:sz w:val="24"/>
        </w:rPr>
        <w:t>l dementia</w:t>
      </w:r>
      <w:r w:rsidR="0036392C" w:rsidRPr="0073172D">
        <w:rPr>
          <w:rFonts w:asciiTheme="minorHAnsi" w:hAnsiTheme="minorHAnsi" w:cstheme="minorHAnsi"/>
          <w:sz w:val="24"/>
        </w:rPr>
        <w:t xml:space="preserve"> (FTD)</w:t>
      </w:r>
      <w:r w:rsidR="00D02835" w:rsidRPr="0073172D">
        <w:rPr>
          <w:rFonts w:asciiTheme="minorHAnsi" w:hAnsiTheme="minorHAnsi" w:cstheme="minorHAnsi"/>
          <w:sz w:val="24"/>
        </w:rPr>
        <w:t>, De</w:t>
      </w:r>
      <w:r w:rsidR="004A63CA" w:rsidRPr="0073172D">
        <w:rPr>
          <w:rFonts w:asciiTheme="minorHAnsi" w:hAnsiTheme="minorHAnsi" w:cstheme="minorHAnsi"/>
          <w:sz w:val="24"/>
        </w:rPr>
        <w:t>mentia with Lewy b</w:t>
      </w:r>
      <w:r w:rsidRPr="0073172D">
        <w:rPr>
          <w:rFonts w:asciiTheme="minorHAnsi" w:hAnsiTheme="minorHAnsi" w:cstheme="minorHAnsi"/>
          <w:sz w:val="24"/>
        </w:rPr>
        <w:t>odies</w:t>
      </w:r>
      <w:r w:rsidR="0036392C" w:rsidRPr="0073172D">
        <w:rPr>
          <w:rFonts w:asciiTheme="minorHAnsi" w:hAnsiTheme="minorHAnsi" w:cstheme="minorHAnsi"/>
          <w:sz w:val="24"/>
        </w:rPr>
        <w:t xml:space="preserve"> (DLB)</w:t>
      </w:r>
      <w:r w:rsidRPr="0073172D">
        <w:rPr>
          <w:rFonts w:asciiTheme="minorHAnsi" w:hAnsiTheme="minorHAnsi" w:cstheme="minorHAnsi"/>
          <w:sz w:val="24"/>
        </w:rPr>
        <w:t xml:space="preserve">, </w:t>
      </w:r>
      <w:r w:rsidR="00D02835" w:rsidRPr="0073172D">
        <w:rPr>
          <w:rFonts w:asciiTheme="minorHAnsi" w:hAnsiTheme="minorHAnsi" w:cstheme="minorHAnsi"/>
          <w:sz w:val="24"/>
        </w:rPr>
        <w:t>V</w:t>
      </w:r>
      <w:r w:rsidRPr="0073172D">
        <w:rPr>
          <w:rFonts w:asciiTheme="minorHAnsi" w:hAnsiTheme="minorHAnsi" w:cstheme="minorHAnsi"/>
          <w:sz w:val="24"/>
        </w:rPr>
        <w:t>ascular</w:t>
      </w:r>
      <w:r w:rsidR="00D02835" w:rsidRPr="0073172D">
        <w:rPr>
          <w:rFonts w:asciiTheme="minorHAnsi" w:hAnsiTheme="minorHAnsi" w:cstheme="minorHAnsi"/>
          <w:sz w:val="24"/>
        </w:rPr>
        <w:t>, or O</w:t>
      </w:r>
      <w:r w:rsidRPr="0073172D">
        <w:rPr>
          <w:rFonts w:asciiTheme="minorHAnsi" w:hAnsiTheme="minorHAnsi" w:cstheme="minorHAnsi"/>
          <w:sz w:val="24"/>
        </w:rPr>
        <w:t>ther dementia.</w:t>
      </w:r>
      <w:r w:rsidR="00DC3F91" w:rsidRPr="0073172D">
        <w:rPr>
          <w:rFonts w:asciiTheme="minorHAnsi" w:hAnsiTheme="minorHAnsi" w:cstheme="minorHAnsi"/>
          <w:sz w:val="24"/>
        </w:rPr>
        <w:t xml:space="preserve"> At the time of image interpretation, the reporting clinician was aware of imaging request details, including </w:t>
      </w:r>
      <w:r w:rsidR="00785F66" w:rsidRPr="0073172D">
        <w:rPr>
          <w:rFonts w:asciiTheme="minorHAnsi" w:hAnsiTheme="minorHAnsi" w:cstheme="minorHAnsi"/>
          <w:sz w:val="24"/>
        </w:rPr>
        <w:t xml:space="preserve">any prior investigations and </w:t>
      </w:r>
      <w:r w:rsidR="00DC3F91" w:rsidRPr="0073172D">
        <w:rPr>
          <w:rFonts w:asciiTheme="minorHAnsi" w:hAnsiTheme="minorHAnsi" w:cstheme="minorHAnsi"/>
          <w:sz w:val="24"/>
        </w:rPr>
        <w:t>pre-test diagnosis if available</w:t>
      </w:r>
      <w:r w:rsidR="00785F66" w:rsidRPr="0073172D">
        <w:rPr>
          <w:rFonts w:asciiTheme="minorHAnsi" w:hAnsiTheme="minorHAnsi" w:cstheme="minorHAnsi"/>
          <w:sz w:val="24"/>
        </w:rPr>
        <w:t xml:space="preserve"> and included in the referral request</w:t>
      </w:r>
      <w:r w:rsidR="00DC3F91" w:rsidRPr="0073172D">
        <w:rPr>
          <w:rFonts w:asciiTheme="minorHAnsi" w:hAnsiTheme="minorHAnsi" w:cstheme="minorHAnsi"/>
          <w:sz w:val="24"/>
        </w:rPr>
        <w:t>, as per normal clinical procedures.</w:t>
      </w:r>
      <w:r w:rsidRPr="0073172D">
        <w:rPr>
          <w:rFonts w:asciiTheme="minorHAnsi" w:hAnsiTheme="minorHAnsi" w:cstheme="minorHAnsi"/>
          <w:sz w:val="24"/>
        </w:rPr>
        <w:t xml:space="preserve"> Patterns of perfusion reported were based on clinical expertise and current literature</w:t>
      </w:r>
      <w:r w:rsidR="00FA49D8" w:rsidRPr="0073172D">
        <w:rPr>
          <w:rFonts w:asciiTheme="minorHAnsi" w:hAnsiTheme="minorHAnsi" w:cstheme="minorHAnsi"/>
          <w:sz w:val="24"/>
        </w:rPr>
        <w:t>.</w:t>
      </w:r>
    </w:p>
    <w:p w14:paraId="3E31562F" w14:textId="77777777" w:rsidR="00BC2BDB" w:rsidRPr="00537443" w:rsidRDefault="00BC2BDB" w:rsidP="003A3A37">
      <w:pPr>
        <w:pStyle w:val="Heading3"/>
        <w:keepNext w:val="0"/>
        <w:numPr>
          <w:ilvl w:val="0"/>
          <w:numId w:val="0"/>
        </w:numPr>
        <w:spacing w:line="480" w:lineRule="auto"/>
        <w:rPr>
          <w:rFonts w:asciiTheme="minorHAnsi" w:hAnsiTheme="minorHAnsi" w:cstheme="minorHAnsi"/>
          <w:color w:val="000000" w:themeColor="text1"/>
          <w:sz w:val="24"/>
        </w:rPr>
      </w:pPr>
      <w:r w:rsidRPr="00537443">
        <w:rPr>
          <w:rFonts w:asciiTheme="minorHAnsi" w:hAnsiTheme="minorHAnsi" w:cstheme="minorHAnsi"/>
          <w:color w:val="000000" w:themeColor="text1"/>
          <w:sz w:val="24"/>
        </w:rPr>
        <w:t>Assessment of clinical impact</w:t>
      </w:r>
    </w:p>
    <w:p w14:paraId="05C4162E" w14:textId="5FA8D54D" w:rsidR="00BC2BDB" w:rsidRPr="00537443" w:rsidRDefault="00BC2BDB" w:rsidP="003A3A37">
      <w:pPr>
        <w:keepNext w:val="0"/>
        <w:keepLines w:val="0"/>
        <w:spacing w:line="480" w:lineRule="auto"/>
        <w:rPr>
          <w:rFonts w:asciiTheme="minorHAnsi" w:hAnsiTheme="minorHAnsi" w:cstheme="minorHAnsi"/>
          <w:color w:val="000000" w:themeColor="text1"/>
          <w:sz w:val="24"/>
        </w:rPr>
      </w:pPr>
      <w:r w:rsidRPr="00537443">
        <w:rPr>
          <w:rFonts w:asciiTheme="minorHAnsi" w:hAnsiTheme="minorHAnsi" w:cstheme="minorHAnsi"/>
          <w:color w:val="000000" w:themeColor="text1"/>
          <w:sz w:val="24"/>
        </w:rPr>
        <w:t>To assess the impact of the perfusion SPECT imaging on clinician diagnosis and diagnostic confidence, clinicians were assessed by questionnaire both before and after patient imaging. At the time of imaging referral (pre-SPECT imaging), the referring clinician was sent an invitation to participate letter, an initial pre-imaging questionnaire</w:t>
      </w:r>
      <w:r w:rsidR="004239EF" w:rsidRPr="00537443">
        <w:rPr>
          <w:rFonts w:asciiTheme="minorHAnsi" w:hAnsiTheme="minorHAnsi" w:cstheme="minorHAnsi"/>
          <w:color w:val="000000" w:themeColor="text1"/>
          <w:sz w:val="24"/>
        </w:rPr>
        <w:t xml:space="preserve"> and</w:t>
      </w:r>
      <w:r w:rsidRPr="00537443">
        <w:rPr>
          <w:rFonts w:asciiTheme="minorHAnsi" w:hAnsiTheme="minorHAnsi" w:cstheme="minorHAnsi"/>
          <w:color w:val="000000" w:themeColor="text1"/>
          <w:sz w:val="24"/>
        </w:rPr>
        <w:t xml:space="preserve"> the original </w:t>
      </w:r>
      <w:r w:rsidRPr="00537443">
        <w:rPr>
          <w:rFonts w:asciiTheme="minorHAnsi" w:hAnsiTheme="minorHAnsi" w:cstheme="minorHAnsi"/>
          <w:color w:val="000000" w:themeColor="text1"/>
          <w:sz w:val="24"/>
        </w:rPr>
        <w:lastRenderedPageBreak/>
        <w:t>referral request. The clinician was asked to indicate their provisional diagnosis for the patient</w:t>
      </w:r>
      <w:r w:rsidR="00004454" w:rsidRPr="00537443">
        <w:rPr>
          <w:rFonts w:asciiTheme="minorHAnsi" w:hAnsiTheme="minorHAnsi" w:cstheme="minorHAnsi"/>
          <w:color w:val="000000" w:themeColor="text1"/>
          <w:sz w:val="24"/>
        </w:rPr>
        <w:t xml:space="preserve"> from a list of diagnoses</w:t>
      </w:r>
      <w:r w:rsidRPr="00537443">
        <w:rPr>
          <w:rFonts w:asciiTheme="minorHAnsi" w:hAnsiTheme="minorHAnsi" w:cstheme="minorHAnsi"/>
          <w:color w:val="000000" w:themeColor="text1"/>
          <w:sz w:val="24"/>
        </w:rPr>
        <w:t xml:space="preserve">, confidence in that diagnosis ranked on a </w:t>
      </w:r>
      <w:r w:rsidR="00C53ACA" w:rsidRPr="00537443">
        <w:rPr>
          <w:rFonts w:asciiTheme="minorHAnsi" w:hAnsiTheme="minorHAnsi" w:cstheme="minorHAnsi"/>
          <w:color w:val="000000" w:themeColor="text1"/>
          <w:sz w:val="24"/>
        </w:rPr>
        <w:t>0-</w:t>
      </w:r>
      <w:r w:rsidRPr="00537443">
        <w:rPr>
          <w:rFonts w:asciiTheme="minorHAnsi" w:hAnsiTheme="minorHAnsi" w:cstheme="minorHAnsi"/>
          <w:color w:val="000000" w:themeColor="text1"/>
          <w:sz w:val="24"/>
        </w:rPr>
        <w:t xml:space="preserve">100 visual analogue scale (VAS) ranging from not confident at all (0) to extremely confident (100), and up to three other potential diagnoses. </w:t>
      </w:r>
      <w:r w:rsidR="00004454" w:rsidRPr="00537443">
        <w:rPr>
          <w:rFonts w:asciiTheme="minorHAnsi" w:hAnsiTheme="minorHAnsi" w:cstheme="minorHAnsi"/>
          <w:color w:val="000000" w:themeColor="text1"/>
          <w:sz w:val="24"/>
        </w:rPr>
        <w:t xml:space="preserve">Diagnoses given were </w:t>
      </w:r>
      <w:r w:rsidR="0036392C" w:rsidRPr="00537443">
        <w:rPr>
          <w:rFonts w:asciiTheme="minorHAnsi" w:hAnsiTheme="minorHAnsi" w:cstheme="minorHAnsi"/>
          <w:color w:val="000000" w:themeColor="text1"/>
          <w:sz w:val="24"/>
        </w:rPr>
        <w:t>AD</w:t>
      </w:r>
      <w:r w:rsidR="00004454" w:rsidRPr="00537443">
        <w:rPr>
          <w:rFonts w:asciiTheme="minorHAnsi" w:hAnsiTheme="minorHAnsi" w:cstheme="minorHAnsi"/>
          <w:color w:val="000000" w:themeColor="text1"/>
          <w:sz w:val="24"/>
        </w:rPr>
        <w:t xml:space="preserve">, </w:t>
      </w:r>
      <w:r w:rsidR="0036392C" w:rsidRPr="00537443">
        <w:rPr>
          <w:rFonts w:asciiTheme="minorHAnsi" w:hAnsiTheme="minorHAnsi" w:cstheme="minorHAnsi"/>
          <w:color w:val="000000" w:themeColor="text1"/>
          <w:sz w:val="24"/>
        </w:rPr>
        <w:t>FTD</w:t>
      </w:r>
      <w:r w:rsidR="00004454" w:rsidRPr="00537443">
        <w:rPr>
          <w:rFonts w:asciiTheme="minorHAnsi" w:hAnsiTheme="minorHAnsi" w:cstheme="minorHAnsi"/>
          <w:color w:val="000000" w:themeColor="text1"/>
          <w:sz w:val="24"/>
        </w:rPr>
        <w:t xml:space="preserve">, </w:t>
      </w:r>
      <w:r w:rsidR="0036392C" w:rsidRPr="00537443">
        <w:rPr>
          <w:rFonts w:asciiTheme="minorHAnsi" w:hAnsiTheme="minorHAnsi" w:cstheme="minorHAnsi"/>
          <w:color w:val="000000" w:themeColor="text1"/>
          <w:sz w:val="24"/>
        </w:rPr>
        <w:t xml:space="preserve">DLB, </w:t>
      </w:r>
      <w:r w:rsidR="00004454" w:rsidRPr="00537443">
        <w:rPr>
          <w:rFonts w:asciiTheme="minorHAnsi" w:hAnsiTheme="minorHAnsi" w:cstheme="minorHAnsi"/>
          <w:color w:val="000000" w:themeColor="text1"/>
          <w:sz w:val="24"/>
        </w:rPr>
        <w:t>Vascular dementia, Mild cognitive impairment</w:t>
      </w:r>
      <w:r w:rsidR="0036392C" w:rsidRPr="00537443">
        <w:rPr>
          <w:rFonts w:asciiTheme="minorHAnsi" w:hAnsiTheme="minorHAnsi" w:cstheme="minorHAnsi"/>
          <w:color w:val="000000" w:themeColor="text1"/>
          <w:sz w:val="24"/>
        </w:rPr>
        <w:t xml:space="preserve"> (MCI)</w:t>
      </w:r>
      <w:r w:rsidR="00004454" w:rsidRPr="00537443">
        <w:rPr>
          <w:rFonts w:asciiTheme="minorHAnsi" w:hAnsiTheme="minorHAnsi" w:cstheme="minorHAnsi"/>
          <w:color w:val="000000" w:themeColor="text1"/>
          <w:sz w:val="24"/>
        </w:rPr>
        <w:t>, Psychiatric, Dementia–other and Neurology–other. After completion, the clinicians</w:t>
      </w:r>
      <w:r w:rsidRPr="00537443">
        <w:rPr>
          <w:rFonts w:asciiTheme="minorHAnsi" w:hAnsiTheme="minorHAnsi" w:cstheme="minorHAnsi"/>
          <w:color w:val="000000" w:themeColor="text1"/>
          <w:sz w:val="24"/>
        </w:rPr>
        <w:t xml:space="preserve"> </w:t>
      </w:r>
      <w:r w:rsidR="00004454" w:rsidRPr="00537443">
        <w:rPr>
          <w:rFonts w:asciiTheme="minorHAnsi" w:hAnsiTheme="minorHAnsi" w:cstheme="minorHAnsi"/>
          <w:color w:val="000000" w:themeColor="text1"/>
          <w:sz w:val="24"/>
        </w:rPr>
        <w:t>were</w:t>
      </w:r>
      <w:r w:rsidRPr="00537443">
        <w:rPr>
          <w:rFonts w:asciiTheme="minorHAnsi" w:hAnsiTheme="minorHAnsi" w:cstheme="minorHAnsi"/>
          <w:color w:val="000000" w:themeColor="text1"/>
          <w:sz w:val="24"/>
        </w:rPr>
        <w:t xml:space="preserve"> asked to return the questionnaire in a stamped addressed envelope which was included in the original letter. </w:t>
      </w:r>
    </w:p>
    <w:p w14:paraId="4E9392AA" w14:textId="034932E7" w:rsidR="004E326F" w:rsidRPr="00537443" w:rsidRDefault="00BC2BDB" w:rsidP="003A3A37">
      <w:pPr>
        <w:keepNext w:val="0"/>
        <w:keepLines w:val="0"/>
        <w:spacing w:line="480" w:lineRule="auto"/>
        <w:rPr>
          <w:rFonts w:asciiTheme="minorHAnsi" w:hAnsiTheme="minorHAnsi" w:cstheme="minorHAnsi"/>
          <w:color w:val="000000" w:themeColor="text1"/>
          <w:sz w:val="24"/>
        </w:rPr>
      </w:pPr>
      <w:r w:rsidRPr="00537443">
        <w:rPr>
          <w:rFonts w:asciiTheme="minorHAnsi" w:hAnsiTheme="minorHAnsi" w:cstheme="minorHAnsi"/>
          <w:color w:val="000000" w:themeColor="text1"/>
          <w:sz w:val="24"/>
        </w:rPr>
        <w:t>After imaging was completed and reported, the imaging report was sent back to the referring clinician with a second questionnaire</w:t>
      </w:r>
      <w:r w:rsidR="00B351CD" w:rsidRPr="00537443">
        <w:rPr>
          <w:rFonts w:asciiTheme="minorHAnsi" w:hAnsiTheme="minorHAnsi" w:cstheme="minorHAnsi"/>
          <w:color w:val="000000" w:themeColor="text1"/>
          <w:sz w:val="24"/>
        </w:rPr>
        <w:t>.</w:t>
      </w:r>
      <w:r w:rsidRPr="00537443">
        <w:rPr>
          <w:rFonts w:asciiTheme="minorHAnsi" w:hAnsiTheme="minorHAnsi" w:cstheme="minorHAnsi"/>
          <w:color w:val="000000" w:themeColor="text1"/>
          <w:sz w:val="24"/>
        </w:rPr>
        <w:t xml:space="preserve"> Clinicians were asked again to indicate their provisional diagnosis</w:t>
      </w:r>
      <w:r w:rsidR="00004454" w:rsidRPr="00537443">
        <w:rPr>
          <w:rFonts w:asciiTheme="minorHAnsi" w:hAnsiTheme="minorHAnsi" w:cstheme="minorHAnsi"/>
          <w:color w:val="000000" w:themeColor="text1"/>
          <w:sz w:val="24"/>
        </w:rPr>
        <w:t xml:space="preserve"> from the same list as previously</w:t>
      </w:r>
      <w:r w:rsidRPr="00537443">
        <w:rPr>
          <w:rFonts w:asciiTheme="minorHAnsi" w:hAnsiTheme="minorHAnsi" w:cstheme="minorHAnsi"/>
          <w:color w:val="000000" w:themeColor="text1"/>
          <w:sz w:val="24"/>
        </w:rPr>
        <w:t xml:space="preserve">, confidence in diagnosis and other potential diagnoses. </w:t>
      </w:r>
      <w:r w:rsidR="00F55C7B" w:rsidRPr="00537443">
        <w:rPr>
          <w:rFonts w:asciiTheme="minorHAnsi" w:hAnsiTheme="minorHAnsi" w:cstheme="minorHAnsi"/>
          <w:color w:val="000000" w:themeColor="text1"/>
          <w:sz w:val="24"/>
        </w:rPr>
        <w:t>Furthermore, in order t</w:t>
      </w:r>
      <w:r w:rsidRPr="00537443">
        <w:rPr>
          <w:rFonts w:asciiTheme="minorHAnsi" w:hAnsiTheme="minorHAnsi" w:cstheme="minorHAnsi"/>
          <w:color w:val="000000" w:themeColor="text1"/>
          <w:sz w:val="24"/>
        </w:rPr>
        <w:t>o determine the perceived usefulness of the</w:t>
      </w:r>
      <w:r w:rsidR="00187B21" w:rsidRPr="00537443">
        <w:rPr>
          <w:rFonts w:asciiTheme="minorHAnsi" w:hAnsiTheme="minorHAnsi" w:cstheme="minorHAnsi"/>
          <w:color w:val="000000" w:themeColor="text1"/>
          <w:sz w:val="24"/>
        </w:rPr>
        <w:t xml:space="preserve"> perfusion</w:t>
      </w:r>
      <w:r w:rsidRPr="00537443">
        <w:rPr>
          <w:rFonts w:asciiTheme="minorHAnsi" w:hAnsiTheme="minorHAnsi" w:cstheme="minorHAnsi"/>
          <w:color w:val="000000" w:themeColor="text1"/>
          <w:sz w:val="24"/>
        </w:rPr>
        <w:t xml:space="preserve"> SPECT scan, the</w:t>
      </w:r>
      <w:r w:rsidR="00F55C7B" w:rsidRPr="00537443">
        <w:rPr>
          <w:rFonts w:asciiTheme="minorHAnsi" w:hAnsiTheme="minorHAnsi" w:cstheme="minorHAnsi"/>
          <w:color w:val="000000" w:themeColor="text1"/>
          <w:sz w:val="24"/>
        </w:rPr>
        <w:t xml:space="preserve"> second questionnaire </w:t>
      </w:r>
      <w:r w:rsidRPr="00537443">
        <w:rPr>
          <w:rFonts w:asciiTheme="minorHAnsi" w:hAnsiTheme="minorHAnsi" w:cstheme="minorHAnsi"/>
          <w:color w:val="000000" w:themeColor="text1"/>
          <w:sz w:val="24"/>
        </w:rPr>
        <w:t xml:space="preserve">asked </w:t>
      </w:r>
      <w:r w:rsidR="00252A39" w:rsidRPr="00537443">
        <w:rPr>
          <w:rFonts w:asciiTheme="minorHAnsi" w:hAnsiTheme="minorHAnsi" w:cstheme="minorHAnsi"/>
          <w:color w:val="000000" w:themeColor="text1"/>
          <w:sz w:val="24"/>
        </w:rPr>
        <w:t xml:space="preserve">the clinicians </w:t>
      </w:r>
      <w:r w:rsidRPr="00537443">
        <w:rPr>
          <w:rFonts w:asciiTheme="minorHAnsi" w:hAnsiTheme="minorHAnsi" w:cstheme="minorHAnsi"/>
          <w:color w:val="000000" w:themeColor="text1"/>
          <w:sz w:val="24"/>
        </w:rPr>
        <w:t xml:space="preserve">to indicate how helpful </w:t>
      </w:r>
      <w:r w:rsidR="00187B21" w:rsidRPr="00537443">
        <w:rPr>
          <w:rFonts w:asciiTheme="minorHAnsi" w:hAnsiTheme="minorHAnsi" w:cstheme="minorHAnsi"/>
          <w:color w:val="000000" w:themeColor="text1"/>
          <w:sz w:val="24"/>
        </w:rPr>
        <w:t>they thought the</w:t>
      </w:r>
      <w:r w:rsidRPr="00537443">
        <w:rPr>
          <w:rFonts w:asciiTheme="minorHAnsi" w:hAnsiTheme="minorHAnsi" w:cstheme="minorHAnsi"/>
          <w:color w:val="000000" w:themeColor="text1"/>
          <w:sz w:val="24"/>
        </w:rPr>
        <w:t xml:space="preserve"> imaging was in aiding their diagnosis on a </w:t>
      </w:r>
      <w:r w:rsidR="00C53ACA" w:rsidRPr="00537443">
        <w:rPr>
          <w:rFonts w:asciiTheme="minorHAnsi" w:hAnsiTheme="minorHAnsi" w:cstheme="minorHAnsi"/>
          <w:color w:val="000000" w:themeColor="text1"/>
          <w:sz w:val="24"/>
        </w:rPr>
        <w:t>0-</w:t>
      </w:r>
      <w:r w:rsidRPr="00537443">
        <w:rPr>
          <w:rFonts w:asciiTheme="minorHAnsi" w:hAnsiTheme="minorHAnsi" w:cstheme="minorHAnsi"/>
          <w:color w:val="000000" w:themeColor="text1"/>
          <w:sz w:val="24"/>
        </w:rPr>
        <w:t xml:space="preserve">100 VAS scale from not helpful at all (0) to extremely helpful (100), whether they thought the imaging contributed to their diagnostic process (binary yes / no), and whether they thought the imaging improved, did not contribute to, or confused, their understanding of the patient’s disease. Clinicians were not </w:t>
      </w:r>
      <w:r w:rsidR="000017AA" w:rsidRPr="00537443">
        <w:rPr>
          <w:rFonts w:asciiTheme="minorHAnsi" w:hAnsiTheme="minorHAnsi" w:cstheme="minorHAnsi"/>
          <w:color w:val="000000" w:themeColor="text1"/>
          <w:sz w:val="24"/>
        </w:rPr>
        <w:t>provided with</w:t>
      </w:r>
      <w:r w:rsidRPr="00537443">
        <w:rPr>
          <w:rFonts w:asciiTheme="minorHAnsi" w:hAnsiTheme="minorHAnsi" w:cstheme="minorHAnsi"/>
          <w:color w:val="000000" w:themeColor="text1"/>
          <w:sz w:val="24"/>
        </w:rPr>
        <w:t xml:space="preserve"> their pre-imaging questionnaire answers at the time of completing the post-imaging questionnaire.</w:t>
      </w:r>
    </w:p>
    <w:p w14:paraId="0E6E6731" w14:textId="2E808D81" w:rsidR="00997E2A" w:rsidRPr="00537443" w:rsidRDefault="007603C9" w:rsidP="003A3A37">
      <w:pPr>
        <w:keepNext w:val="0"/>
        <w:keepLines w:val="0"/>
        <w:spacing w:line="480" w:lineRule="auto"/>
        <w:rPr>
          <w:rFonts w:asciiTheme="minorHAnsi" w:hAnsiTheme="minorHAnsi" w:cstheme="minorHAnsi"/>
          <w:color w:val="000000" w:themeColor="text1"/>
          <w:sz w:val="24"/>
        </w:rPr>
      </w:pPr>
      <w:r w:rsidRPr="00537443">
        <w:rPr>
          <w:rFonts w:asciiTheme="minorHAnsi" w:hAnsiTheme="minorHAnsi" w:cstheme="minorHAnsi"/>
          <w:color w:val="000000" w:themeColor="text1"/>
          <w:sz w:val="24"/>
        </w:rPr>
        <w:t>To remove the risk of order effec</w:t>
      </w:r>
      <w:r w:rsidR="00680D44" w:rsidRPr="00537443">
        <w:rPr>
          <w:rFonts w:asciiTheme="minorHAnsi" w:hAnsiTheme="minorHAnsi" w:cstheme="minorHAnsi"/>
          <w:color w:val="000000" w:themeColor="text1"/>
          <w:sz w:val="24"/>
        </w:rPr>
        <w:t>ts in the questionnaires,</w:t>
      </w:r>
      <w:r w:rsidR="004E326F" w:rsidRPr="00537443">
        <w:rPr>
          <w:rFonts w:asciiTheme="minorHAnsi" w:hAnsiTheme="minorHAnsi" w:cstheme="minorHAnsi"/>
          <w:color w:val="000000" w:themeColor="text1"/>
          <w:sz w:val="24"/>
        </w:rPr>
        <w:t xml:space="preserve"> six versions of each</w:t>
      </w:r>
      <w:r w:rsidR="00750912" w:rsidRPr="00537443">
        <w:rPr>
          <w:rFonts w:asciiTheme="minorHAnsi" w:hAnsiTheme="minorHAnsi" w:cstheme="minorHAnsi"/>
          <w:color w:val="000000" w:themeColor="text1"/>
          <w:sz w:val="24"/>
        </w:rPr>
        <w:t xml:space="preserve"> questionnaire </w:t>
      </w:r>
      <w:r w:rsidR="00E5604C" w:rsidRPr="00537443">
        <w:rPr>
          <w:rFonts w:asciiTheme="minorHAnsi" w:hAnsiTheme="minorHAnsi" w:cstheme="minorHAnsi"/>
          <w:color w:val="000000" w:themeColor="text1"/>
          <w:sz w:val="24"/>
        </w:rPr>
        <w:t xml:space="preserve">were </w:t>
      </w:r>
      <w:r w:rsidR="00750912" w:rsidRPr="00537443">
        <w:rPr>
          <w:rFonts w:asciiTheme="minorHAnsi" w:hAnsiTheme="minorHAnsi" w:cstheme="minorHAnsi"/>
          <w:color w:val="000000" w:themeColor="text1"/>
          <w:sz w:val="24"/>
        </w:rPr>
        <w:t>produced where</w:t>
      </w:r>
      <w:r w:rsidR="004E326F" w:rsidRPr="00537443">
        <w:rPr>
          <w:rFonts w:asciiTheme="minorHAnsi" w:hAnsiTheme="minorHAnsi" w:cstheme="minorHAnsi"/>
          <w:color w:val="000000" w:themeColor="text1"/>
          <w:sz w:val="24"/>
        </w:rPr>
        <w:t xml:space="preserve"> </w:t>
      </w:r>
      <w:r w:rsidR="00E5604C" w:rsidRPr="00537443">
        <w:rPr>
          <w:rFonts w:asciiTheme="minorHAnsi" w:hAnsiTheme="minorHAnsi" w:cstheme="minorHAnsi"/>
          <w:color w:val="000000" w:themeColor="text1"/>
          <w:sz w:val="24"/>
        </w:rPr>
        <w:t>diagnostic options</w:t>
      </w:r>
      <w:r w:rsidR="00750912" w:rsidRPr="00537443">
        <w:rPr>
          <w:rFonts w:asciiTheme="minorHAnsi" w:hAnsiTheme="minorHAnsi" w:cstheme="minorHAnsi"/>
          <w:color w:val="000000" w:themeColor="text1"/>
          <w:sz w:val="24"/>
        </w:rPr>
        <w:t xml:space="preserve"> were</w:t>
      </w:r>
      <w:r w:rsidR="004E326F" w:rsidRPr="00537443">
        <w:rPr>
          <w:rFonts w:asciiTheme="minorHAnsi" w:hAnsiTheme="minorHAnsi" w:cstheme="minorHAnsi"/>
          <w:color w:val="000000" w:themeColor="text1"/>
          <w:sz w:val="24"/>
        </w:rPr>
        <w:t xml:space="preserve"> reordered. Questionnaires were subsequently sent out in order of questionnaire </w:t>
      </w:r>
      <w:r w:rsidR="00AA567F" w:rsidRPr="00537443">
        <w:rPr>
          <w:rFonts w:asciiTheme="minorHAnsi" w:hAnsiTheme="minorHAnsi" w:cstheme="minorHAnsi"/>
          <w:color w:val="000000" w:themeColor="text1"/>
          <w:sz w:val="24"/>
        </w:rPr>
        <w:t>version (</w:t>
      </w:r>
      <w:proofErr w:type="gramStart"/>
      <w:r w:rsidR="004E326F" w:rsidRPr="00537443">
        <w:rPr>
          <w:rFonts w:asciiTheme="minorHAnsi" w:hAnsiTheme="minorHAnsi" w:cstheme="minorHAnsi"/>
          <w:color w:val="000000" w:themeColor="text1"/>
          <w:sz w:val="24"/>
        </w:rPr>
        <w:t>A,B</w:t>
      </w:r>
      <w:proofErr w:type="gramEnd"/>
      <w:r w:rsidR="004E326F" w:rsidRPr="00537443">
        <w:rPr>
          <w:rFonts w:asciiTheme="minorHAnsi" w:hAnsiTheme="minorHAnsi" w:cstheme="minorHAnsi"/>
          <w:color w:val="000000" w:themeColor="text1"/>
          <w:sz w:val="24"/>
        </w:rPr>
        <w:t>,C,D,E,F</w:t>
      </w:r>
      <w:r w:rsidR="00AA567F" w:rsidRPr="00537443">
        <w:rPr>
          <w:rFonts w:asciiTheme="minorHAnsi" w:hAnsiTheme="minorHAnsi" w:cstheme="minorHAnsi"/>
          <w:color w:val="000000" w:themeColor="text1"/>
          <w:sz w:val="24"/>
        </w:rPr>
        <w:t xml:space="preserve">) to </w:t>
      </w:r>
      <w:r w:rsidR="0036392C" w:rsidRPr="00537443">
        <w:rPr>
          <w:rFonts w:asciiTheme="minorHAnsi" w:hAnsiTheme="minorHAnsi" w:cstheme="minorHAnsi"/>
          <w:color w:val="000000" w:themeColor="text1"/>
          <w:sz w:val="24"/>
        </w:rPr>
        <w:t>minimise</w:t>
      </w:r>
      <w:r w:rsidR="004D784F" w:rsidRPr="00537443">
        <w:rPr>
          <w:rFonts w:asciiTheme="minorHAnsi" w:hAnsiTheme="minorHAnsi" w:cstheme="minorHAnsi"/>
          <w:color w:val="000000" w:themeColor="text1"/>
          <w:sz w:val="24"/>
        </w:rPr>
        <w:t xml:space="preserve"> order bias</w:t>
      </w:r>
      <w:r w:rsidR="00997E2A" w:rsidRPr="00537443">
        <w:rPr>
          <w:rFonts w:asciiTheme="minorHAnsi" w:hAnsiTheme="minorHAnsi" w:cstheme="minorHAnsi"/>
          <w:color w:val="000000" w:themeColor="text1"/>
          <w:sz w:val="24"/>
        </w:rPr>
        <w:t>.</w:t>
      </w:r>
    </w:p>
    <w:p w14:paraId="3C7977B3" w14:textId="77777777" w:rsidR="00BC2BDB" w:rsidRPr="00537443" w:rsidRDefault="00BC2BDB" w:rsidP="003A3A37">
      <w:pPr>
        <w:pStyle w:val="Heading3"/>
        <w:numPr>
          <w:ilvl w:val="0"/>
          <w:numId w:val="0"/>
        </w:numPr>
        <w:spacing w:line="480" w:lineRule="auto"/>
        <w:rPr>
          <w:rFonts w:asciiTheme="minorHAnsi" w:hAnsiTheme="minorHAnsi" w:cstheme="minorHAnsi"/>
          <w:color w:val="000000" w:themeColor="text1"/>
          <w:sz w:val="24"/>
        </w:rPr>
      </w:pPr>
      <w:r w:rsidRPr="00537443">
        <w:rPr>
          <w:rFonts w:asciiTheme="minorHAnsi" w:hAnsiTheme="minorHAnsi" w:cstheme="minorHAnsi"/>
          <w:color w:val="000000" w:themeColor="text1"/>
          <w:sz w:val="24"/>
        </w:rPr>
        <w:lastRenderedPageBreak/>
        <w:t>Statistical analysis</w:t>
      </w:r>
    </w:p>
    <w:p w14:paraId="1AF1F103" w14:textId="2B28EC51" w:rsidR="00F670BE" w:rsidRPr="00537443" w:rsidRDefault="00BC2BDB" w:rsidP="003A3A37">
      <w:pPr>
        <w:keepNext w:val="0"/>
        <w:keepLines w:val="0"/>
        <w:spacing w:line="480" w:lineRule="auto"/>
        <w:rPr>
          <w:rFonts w:asciiTheme="minorHAnsi" w:hAnsiTheme="minorHAnsi" w:cstheme="minorHAnsi"/>
          <w:color w:val="000000" w:themeColor="text1"/>
          <w:sz w:val="24"/>
        </w:rPr>
      </w:pPr>
      <w:r w:rsidRPr="00537443">
        <w:rPr>
          <w:rFonts w:asciiTheme="minorHAnsi" w:hAnsiTheme="minorHAnsi" w:cstheme="minorHAnsi"/>
          <w:color w:val="000000" w:themeColor="text1"/>
          <w:sz w:val="24"/>
        </w:rPr>
        <w:t>Descriptive analysis was completed to assess sample demographics and questionnaire variables before and after perfusion SPECT imaging. Paired t-tests and ANOVA were used to determine change in diagnostic confidence between pre- and post-imaging questionnaire for</w:t>
      </w:r>
      <w:r w:rsidR="007D2AF5" w:rsidRPr="00537443">
        <w:rPr>
          <w:rFonts w:asciiTheme="minorHAnsi" w:hAnsiTheme="minorHAnsi" w:cstheme="minorHAnsi"/>
          <w:color w:val="000000" w:themeColor="text1"/>
          <w:sz w:val="24"/>
        </w:rPr>
        <w:t xml:space="preserve"> both</w:t>
      </w:r>
      <w:r w:rsidRPr="00537443">
        <w:rPr>
          <w:rFonts w:asciiTheme="minorHAnsi" w:hAnsiTheme="minorHAnsi" w:cstheme="minorHAnsi"/>
          <w:color w:val="000000" w:themeColor="text1"/>
          <w:sz w:val="24"/>
        </w:rPr>
        <w:t xml:space="preserve"> all individuals</w:t>
      </w:r>
      <w:r w:rsidR="002C425A" w:rsidRPr="00537443">
        <w:rPr>
          <w:rFonts w:asciiTheme="minorHAnsi" w:hAnsiTheme="minorHAnsi" w:cstheme="minorHAnsi"/>
          <w:color w:val="000000" w:themeColor="text1"/>
          <w:sz w:val="24"/>
        </w:rPr>
        <w:t xml:space="preserve"> combined</w:t>
      </w:r>
      <w:r w:rsidRPr="00537443">
        <w:rPr>
          <w:rFonts w:asciiTheme="minorHAnsi" w:hAnsiTheme="minorHAnsi" w:cstheme="minorHAnsi"/>
          <w:color w:val="000000" w:themeColor="text1"/>
          <w:sz w:val="24"/>
        </w:rPr>
        <w:t xml:space="preserve"> and by clinician pre-imaging confidence</w:t>
      </w:r>
      <w:r w:rsidR="007D2AF5" w:rsidRPr="00537443">
        <w:rPr>
          <w:rFonts w:asciiTheme="minorHAnsi" w:hAnsiTheme="minorHAnsi" w:cstheme="minorHAnsi"/>
          <w:color w:val="000000" w:themeColor="text1"/>
          <w:sz w:val="24"/>
        </w:rPr>
        <w:t>,</w:t>
      </w:r>
      <w:r w:rsidR="00623B26" w:rsidRPr="00537443">
        <w:rPr>
          <w:rFonts w:asciiTheme="minorHAnsi" w:hAnsiTheme="minorHAnsi" w:cstheme="minorHAnsi"/>
          <w:color w:val="000000" w:themeColor="text1"/>
          <w:sz w:val="24"/>
        </w:rPr>
        <w:t xml:space="preserve"> divided into very low (0-25), low to </w:t>
      </w:r>
      <w:r w:rsidR="00F26D52" w:rsidRPr="00537443">
        <w:rPr>
          <w:rFonts w:asciiTheme="minorHAnsi" w:hAnsiTheme="minorHAnsi" w:cstheme="minorHAnsi"/>
          <w:color w:val="000000" w:themeColor="text1"/>
          <w:sz w:val="24"/>
        </w:rPr>
        <w:t>moderate</w:t>
      </w:r>
      <w:r w:rsidR="00623B26" w:rsidRPr="00537443">
        <w:rPr>
          <w:rFonts w:asciiTheme="minorHAnsi" w:hAnsiTheme="minorHAnsi" w:cstheme="minorHAnsi"/>
          <w:color w:val="000000" w:themeColor="text1"/>
          <w:sz w:val="24"/>
        </w:rPr>
        <w:t xml:space="preserve"> (26-50), </w:t>
      </w:r>
      <w:r w:rsidR="00F26D52" w:rsidRPr="00537443">
        <w:rPr>
          <w:rFonts w:asciiTheme="minorHAnsi" w:hAnsiTheme="minorHAnsi" w:cstheme="minorHAnsi"/>
          <w:color w:val="000000" w:themeColor="text1"/>
          <w:sz w:val="24"/>
        </w:rPr>
        <w:t>moderate</w:t>
      </w:r>
      <w:r w:rsidR="00623B26" w:rsidRPr="00537443">
        <w:rPr>
          <w:rFonts w:asciiTheme="minorHAnsi" w:hAnsiTheme="minorHAnsi" w:cstheme="minorHAnsi"/>
          <w:color w:val="000000" w:themeColor="text1"/>
          <w:sz w:val="24"/>
        </w:rPr>
        <w:t xml:space="preserve"> to high (51-75) and very high (76-100) confidence</w:t>
      </w:r>
      <w:r w:rsidR="009B1CE8" w:rsidRPr="00537443">
        <w:rPr>
          <w:rFonts w:asciiTheme="minorHAnsi" w:hAnsiTheme="minorHAnsi" w:cstheme="minorHAnsi"/>
          <w:color w:val="000000" w:themeColor="text1"/>
          <w:sz w:val="24"/>
        </w:rPr>
        <w:t xml:space="preserve"> on VAS assessment</w:t>
      </w:r>
      <w:r w:rsidRPr="00537443">
        <w:rPr>
          <w:rFonts w:asciiTheme="minorHAnsi" w:hAnsiTheme="minorHAnsi" w:cstheme="minorHAnsi"/>
          <w:color w:val="000000" w:themeColor="text1"/>
          <w:sz w:val="24"/>
        </w:rPr>
        <w:t xml:space="preserve">. </w:t>
      </w:r>
    </w:p>
    <w:p w14:paraId="4EB7B18B" w14:textId="77777777" w:rsidR="00F670BE" w:rsidRPr="00537443" w:rsidRDefault="00F670BE" w:rsidP="003A3A37">
      <w:pPr>
        <w:keepNext w:val="0"/>
        <w:keepLines w:val="0"/>
        <w:spacing w:line="480" w:lineRule="auto"/>
        <w:rPr>
          <w:rFonts w:asciiTheme="minorHAnsi" w:hAnsiTheme="minorHAnsi" w:cstheme="minorHAnsi"/>
          <w:color w:val="000000" w:themeColor="text1"/>
          <w:sz w:val="24"/>
        </w:rPr>
      </w:pPr>
      <w:r w:rsidRPr="00537443">
        <w:rPr>
          <w:rFonts w:asciiTheme="minorHAnsi" w:hAnsiTheme="minorHAnsi" w:cstheme="minorHAnsi"/>
          <w:color w:val="000000" w:themeColor="text1"/>
          <w:sz w:val="24"/>
        </w:rPr>
        <w:t>To assess the influence</w:t>
      </w:r>
      <w:r w:rsidR="00C20E42" w:rsidRPr="00537443">
        <w:rPr>
          <w:rFonts w:asciiTheme="minorHAnsi" w:hAnsiTheme="minorHAnsi" w:cstheme="minorHAnsi"/>
          <w:color w:val="000000" w:themeColor="text1"/>
          <w:sz w:val="24"/>
        </w:rPr>
        <w:t xml:space="preserve"> of</w:t>
      </w:r>
      <w:r w:rsidRPr="00537443">
        <w:rPr>
          <w:rFonts w:asciiTheme="minorHAnsi" w:hAnsiTheme="minorHAnsi" w:cstheme="minorHAnsi"/>
          <w:color w:val="000000" w:themeColor="text1"/>
          <w:sz w:val="24"/>
        </w:rPr>
        <w:t xml:space="preserve"> perfusion</w:t>
      </w:r>
      <w:r w:rsidR="00C20E42" w:rsidRPr="00537443">
        <w:rPr>
          <w:rFonts w:asciiTheme="minorHAnsi" w:hAnsiTheme="minorHAnsi" w:cstheme="minorHAnsi"/>
          <w:color w:val="000000" w:themeColor="text1"/>
          <w:sz w:val="24"/>
        </w:rPr>
        <w:t xml:space="preserve"> SPECT imaging </w:t>
      </w:r>
      <w:r w:rsidRPr="00537443">
        <w:rPr>
          <w:rFonts w:asciiTheme="minorHAnsi" w:hAnsiTheme="minorHAnsi" w:cstheme="minorHAnsi"/>
          <w:color w:val="000000" w:themeColor="text1"/>
          <w:sz w:val="24"/>
        </w:rPr>
        <w:t>on change in diagnosis, both provisional diagnoses and SPECT result were grouped into neurodegenerative (AD, DLB, FTD or dementia-other) or non-neurodegenerative (normal, vascular, psychiatric or Neurology-other) and compared</w:t>
      </w:r>
      <w:r w:rsidR="00BE3147" w:rsidRPr="00537443">
        <w:rPr>
          <w:rFonts w:asciiTheme="minorHAnsi" w:hAnsiTheme="minorHAnsi" w:cstheme="minorHAnsi"/>
          <w:color w:val="000000" w:themeColor="text1"/>
          <w:sz w:val="24"/>
        </w:rPr>
        <w:t>.</w:t>
      </w:r>
      <w:r w:rsidR="004D3545" w:rsidRPr="00537443">
        <w:rPr>
          <w:rFonts w:asciiTheme="minorHAnsi" w:hAnsiTheme="minorHAnsi" w:cstheme="minorHAnsi"/>
          <w:color w:val="000000" w:themeColor="text1"/>
          <w:sz w:val="24"/>
        </w:rPr>
        <w:t xml:space="preserve"> </w:t>
      </w:r>
    </w:p>
    <w:p w14:paraId="7822F6D6" w14:textId="0D9AF407" w:rsidR="00997E2A" w:rsidRDefault="00534D4A" w:rsidP="003A3A37">
      <w:pPr>
        <w:keepNext w:val="0"/>
        <w:keepLines w:val="0"/>
        <w:spacing w:line="480" w:lineRule="auto"/>
        <w:rPr>
          <w:rFonts w:asciiTheme="minorHAnsi" w:hAnsiTheme="minorHAnsi" w:cstheme="minorHAnsi"/>
          <w:color w:val="000000" w:themeColor="text1"/>
          <w:sz w:val="24"/>
          <w:lang w:eastAsia="en-GB"/>
        </w:rPr>
      </w:pPr>
      <w:r w:rsidRPr="00537443">
        <w:rPr>
          <w:rFonts w:asciiTheme="minorHAnsi" w:hAnsiTheme="minorHAnsi" w:cstheme="minorHAnsi"/>
          <w:color w:val="000000" w:themeColor="text1"/>
          <w:sz w:val="24"/>
          <w:lang w:eastAsia="en-GB"/>
        </w:rPr>
        <w:t>Results were analysed both including and excluding those diagnosed with MCI. This was due to some clinicians using the term MCI as an intermediate for individuals with cognitive symptoms but no evidence of a dementia subtype (a functional concept), while others used it as a pre-cursor to Alzheimer’s disease (a neuropathological concept).</w:t>
      </w:r>
    </w:p>
    <w:p w14:paraId="0C905D5B" w14:textId="77777777" w:rsidR="003A3A37" w:rsidRPr="00537443" w:rsidRDefault="003A3A37" w:rsidP="003A3A37">
      <w:pPr>
        <w:keepNext w:val="0"/>
        <w:keepLines w:val="0"/>
        <w:spacing w:line="480" w:lineRule="auto"/>
        <w:rPr>
          <w:rFonts w:asciiTheme="minorHAnsi" w:hAnsiTheme="minorHAnsi" w:cstheme="minorHAnsi"/>
          <w:color w:val="000000" w:themeColor="text1"/>
          <w:sz w:val="24"/>
        </w:rPr>
      </w:pPr>
    </w:p>
    <w:p w14:paraId="70646BAC" w14:textId="77777777" w:rsidR="00BC2BDB" w:rsidRPr="00537443" w:rsidRDefault="00BC2BDB" w:rsidP="003A3A37">
      <w:pPr>
        <w:pStyle w:val="Heading2"/>
        <w:keepNext w:val="0"/>
        <w:numPr>
          <w:ilvl w:val="0"/>
          <w:numId w:val="0"/>
        </w:numPr>
        <w:spacing w:line="480" w:lineRule="auto"/>
        <w:rPr>
          <w:rFonts w:asciiTheme="minorHAnsi" w:hAnsiTheme="minorHAnsi" w:cstheme="minorHAnsi"/>
          <w:color w:val="000000" w:themeColor="text1"/>
        </w:rPr>
      </w:pPr>
      <w:bookmarkStart w:id="6" w:name="_Toc501374421"/>
      <w:r w:rsidRPr="00537443">
        <w:rPr>
          <w:rFonts w:asciiTheme="minorHAnsi" w:hAnsiTheme="minorHAnsi" w:cstheme="minorHAnsi"/>
          <w:color w:val="000000" w:themeColor="text1"/>
        </w:rPr>
        <w:t>Results</w:t>
      </w:r>
      <w:bookmarkEnd w:id="6"/>
    </w:p>
    <w:p w14:paraId="5783901B" w14:textId="77777777" w:rsidR="00BC2BDB" w:rsidRPr="00537443" w:rsidRDefault="00BC2BDB" w:rsidP="003A3A37">
      <w:pPr>
        <w:pStyle w:val="Heading3"/>
        <w:keepNext w:val="0"/>
        <w:numPr>
          <w:ilvl w:val="0"/>
          <w:numId w:val="0"/>
        </w:numPr>
        <w:spacing w:line="480" w:lineRule="auto"/>
        <w:rPr>
          <w:rFonts w:asciiTheme="minorHAnsi" w:hAnsiTheme="minorHAnsi" w:cstheme="minorHAnsi"/>
          <w:color w:val="000000" w:themeColor="text1"/>
          <w:sz w:val="24"/>
          <w:lang w:eastAsia="en-GB"/>
        </w:rPr>
      </w:pPr>
      <w:bookmarkStart w:id="7" w:name="_Toc501374422"/>
      <w:r w:rsidRPr="00537443">
        <w:rPr>
          <w:rFonts w:asciiTheme="minorHAnsi" w:hAnsiTheme="minorHAnsi" w:cstheme="minorHAnsi"/>
          <w:color w:val="000000" w:themeColor="text1"/>
          <w:sz w:val="24"/>
          <w:lang w:eastAsia="en-GB"/>
        </w:rPr>
        <w:t>Questionnaires</w:t>
      </w:r>
      <w:bookmarkEnd w:id="7"/>
    </w:p>
    <w:p w14:paraId="6D3C47ED" w14:textId="3676DBE5" w:rsidR="00BC2BDB" w:rsidRPr="0073172D" w:rsidRDefault="00BC2BDB" w:rsidP="003A3A37">
      <w:pPr>
        <w:keepNext w:val="0"/>
        <w:keepLines w:val="0"/>
        <w:spacing w:line="480" w:lineRule="auto"/>
        <w:rPr>
          <w:rFonts w:asciiTheme="minorHAnsi" w:hAnsiTheme="minorHAnsi" w:cstheme="minorHAnsi"/>
          <w:sz w:val="24"/>
          <w:lang w:eastAsia="en-GB"/>
        </w:rPr>
      </w:pPr>
      <w:r w:rsidRPr="00537443">
        <w:rPr>
          <w:rFonts w:asciiTheme="minorHAnsi" w:hAnsiTheme="minorHAnsi" w:cstheme="minorHAnsi"/>
          <w:color w:val="000000" w:themeColor="text1"/>
          <w:sz w:val="24"/>
          <w:lang w:eastAsia="en-GB"/>
        </w:rPr>
        <w:t xml:space="preserve">In total, 212 pre-imaging questionnaires and 141 post-imaging questionnaires were sent to clinicians. Of the pre-imaging questionnaires, 147 questionnaires were returned (74% </w:t>
      </w:r>
      <w:r w:rsidR="003C5881" w:rsidRPr="00537443">
        <w:rPr>
          <w:rFonts w:asciiTheme="minorHAnsi" w:hAnsiTheme="minorHAnsi" w:cstheme="minorHAnsi"/>
          <w:color w:val="000000" w:themeColor="text1"/>
          <w:sz w:val="24"/>
          <w:lang w:eastAsia="en-GB"/>
        </w:rPr>
        <w:t>completion</w:t>
      </w:r>
      <w:r w:rsidRPr="00537443">
        <w:rPr>
          <w:rFonts w:asciiTheme="minorHAnsi" w:hAnsiTheme="minorHAnsi" w:cstheme="minorHAnsi"/>
          <w:color w:val="000000" w:themeColor="text1"/>
          <w:sz w:val="24"/>
          <w:lang w:eastAsia="en-GB"/>
        </w:rPr>
        <w:t xml:space="preserve"> rate), with 13 scans cancelled before the ret</w:t>
      </w:r>
      <w:r w:rsidR="00C20E42" w:rsidRPr="00537443">
        <w:rPr>
          <w:rFonts w:asciiTheme="minorHAnsi" w:hAnsiTheme="minorHAnsi" w:cstheme="minorHAnsi"/>
          <w:color w:val="000000" w:themeColor="text1"/>
          <w:sz w:val="24"/>
          <w:lang w:eastAsia="en-GB"/>
        </w:rPr>
        <w:t>urn of the questionnaire. Eight</w:t>
      </w:r>
      <w:r w:rsidRPr="00537443">
        <w:rPr>
          <w:rFonts w:asciiTheme="minorHAnsi" w:hAnsiTheme="minorHAnsi" w:cstheme="minorHAnsi"/>
          <w:color w:val="000000" w:themeColor="text1"/>
          <w:sz w:val="24"/>
          <w:lang w:eastAsia="en-GB"/>
        </w:rPr>
        <w:t xml:space="preserve"> </w:t>
      </w:r>
      <w:r w:rsidRPr="00537443">
        <w:rPr>
          <w:rFonts w:asciiTheme="minorHAnsi" w:hAnsiTheme="minorHAnsi" w:cstheme="minorHAnsi"/>
          <w:color w:val="000000" w:themeColor="text1"/>
          <w:sz w:val="24"/>
          <w:lang w:eastAsia="en-GB"/>
        </w:rPr>
        <w:lastRenderedPageBreak/>
        <w:t>patients had their imaging cancelled after return of the pre-imaging questionnaire. After those with cancelled scans were removed, a total of 139 returned pre-imaging questionnaires remained. Of the post-</w:t>
      </w:r>
      <w:r w:rsidRPr="0073172D">
        <w:rPr>
          <w:rFonts w:asciiTheme="minorHAnsi" w:hAnsiTheme="minorHAnsi" w:cstheme="minorHAnsi"/>
          <w:sz w:val="24"/>
          <w:lang w:eastAsia="en-GB"/>
        </w:rPr>
        <w:t>imaging questionnaires, 89 were returned (63% completion rate), with 80 of these having matching pre-imaging questionnaires. One of these was deemed invalid due to the pre-imaging and post-imaging questionnaires being completed by different clinicians. A total of 79 matching valid questionnaires remained for the analysis</w:t>
      </w:r>
      <w:r w:rsidR="004C0914" w:rsidRPr="0073172D">
        <w:rPr>
          <w:rFonts w:asciiTheme="minorHAnsi" w:hAnsiTheme="minorHAnsi" w:cstheme="minorHAnsi"/>
          <w:sz w:val="24"/>
          <w:lang w:eastAsia="en-GB"/>
        </w:rPr>
        <w:t xml:space="preserve"> (Figure 1).</w:t>
      </w:r>
    </w:p>
    <w:p w14:paraId="3CA0536C" w14:textId="59D5A836" w:rsidR="00BC2BDB" w:rsidRPr="0073172D" w:rsidRDefault="00BC2BDB" w:rsidP="003A3A37">
      <w:pPr>
        <w:keepNext w:val="0"/>
        <w:keepLines w:val="0"/>
        <w:spacing w:line="480" w:lineRule="auto"/>
        <w:rPr>
          <w:rFonts w:asciiTheme="minorHAnsi" w:hAnsiTheme="minorHAnsi" w:cstheme="minorHAnsi"/>
          <w:sz w:val="28"/>
          <w:lang w:eastAsia="en-GB"/>
        </w:rPr>
      </w:pPr>
      <w:r w:rsidRPr="0073172D">
        <w:rPr>
          <w:rFonts w:asciiTheme="minorHAnsi" w:hAnsiTheme="minorHAnsi" w:cstheme="minorHAnsi"/>
          <w:sz w:val="24"/>
          <w:lang w:eastAsia="en-GB"/>
        </w:rPr>
        <w:t>The pre-imaging questionnai</w:t>
      </w:r>
      <w:r w:rsidR="004C2B18" w:rsidRPr="0073172D">
        <w:rPr>
          <w:rFonts w:asciiTheme="minorHAnsi" w:hAnsiTheme="minorHAnsi" w:cstheme="minorHAnsi"/>
          <w:sz w:val="24"/>
          <w:lang w:eastAsia="en-GB"/>
        </w:rPr>
        <w:t>re was received on average 15.3</w:t>
      </w:r>
      <w:r w:rsidRPr="0073172D">
        <w:rPr>
          <w:rFonts w:asciiTheme="minorHAnsi" w:hAnsiTheme="minorHAnsi" w:cstheme="minorHAnsi"/>
          <w:sz w:val="24"/>
          <w:lang w:eastAsia="en-GB"/>
        </w:rPr>
        <w:t xml:space="preserve"> days (</w:t>
      </w:r>
      <w:r w:rsidR="004C2B18" w:rsidRPr="0073172D">
        <w:rPr>
          <w:rFonts w:asciiTheme="minorHAnsi" w:hAnsiTheme="minorHAnsi" w:cstheme="minorHAnsi"/>
          <w:sz w:val="24"/>
          <w:lang w:eastAsia="en-GB"/>
        </w:rPr>
        <w:t xml:space="preserve">mean, </w:t>
      </w:r>
      <w:r w:rsidRPr="0073172D">
        <w:rPr>
          <w:rFonts w:asciiTheme="minorHAnsi" w:hAnsiTheme="minorHAnsi" w:cstheme="minorHAnsi"/>
          <w:sz w:val="24"/>
          <w:lang w:eastAsia="en-GB"/>
        </w:rPr>
        <w:t>S.D</w:t>
      </w:r>
      <w:r w:rsidR="00437760" w:rsidRPr="0073172D">
        <w:rPr>
          <w:rFonts w:asciiTheme="minorHAnsi" w:hAnsiTheme="minorHAnsi" w:cstheme="minorHAnsi"/>
          <w:sz w:val="24"/>
          <w:lang w:eastAsia="en-GB"/>
        </w:rPr>
        <w:t xml:space="preserve"> </w:t>
      </w:r>
      <w:r w:rsidRPr="0073172D">
        <w:rPr>
          <w:rFonts w:asciiTheme="minorHAnsi" w:hAnsiTheme="minorHAnsi" w:cstheme="minorHAnsi"/>
          <w:sz w:val="24"/>
          <w:lang w:eastAsia="en-GB"/>
        </w:rPr>
        <w:t>=</w:t>
      </w:r>
      <w:r w:rsidR="00437760" w:rsidRPr="0073172D">
        <w:rPr>
          <w:rFonts w:asciiTheme="minorHAnsi" w:hAnsiTheme="minorHAnsi" w:cstheme="minorHAnsi"/>
          <w:sz w:val="24"/>
          <w:lang w:eastAsia="en-GB"/>
        </w:rPr>
        <w:t xml:space="preserve"> </w:t>
      </w:r>
      <w:r w:rsidR="004C2B18" w:rsidRPr="0073172D">
        <w:rPr>
          <w:rFonts w:asciiTheme="minorHAnsi" w:hAnsiTheme="minorHAnsi" w:cstheme="minorHAnsi"/>
          <w:sz w:val="24"/>
          <w:lang w:eastAsia="en-GB"/>
        </w:rPr>
        <w:t>20.8</w:t>
      </w:r>
      <w:r w:rsidRPr="0073172D">
        <w:rPr>
          <w:rFonts w:asciiTheme="minorHAnsi" w:hAnsiTheme="minorHAnsi" w:cstheme="minorHAnsi"/>
          <w:sz w:val="24"/>
          <w:lang w:eastAsia="en-GB"/>
        </w:rPr>
        <w:t>) before imaging, with the post-imaging questio</w:t>
      </w:r>
      <w:r w:rsidR="004C2B18" w:rsidRPr="0073172D">
        <w:rPr>
          <w:rFonts w:asciiTheme="minorHAnsi" w:hAnsiTheme="minorHAnsi" w:cstheme="minorHAnsi"/>
          <w:sz w:val="24"/>
          <w:lang w:eastAsia="en-GB"/>
        </w:rPr>
        <w:t>nnaire received on average 40.7</w:t>
      </w:r>
      <w:r w:rsidRPr="0073172D">
        <w:rPr>
          <w:rFonts w:asciiTheme="minorHAnsi" w:hAnsiTheme="minorHAnsi" w:cstheme="minorHAnsi"/>
          <w:sz w:val="24"/>
          <w:lang w:eastAsia="en-GB"/>
        </w:rPr>
        <w:t xml:space="preserve"> days (</w:t>
      </w:r>
      <w:r w:rsidR="004C2B18" w:rsidRPr="0073172D">
        <w:rPr>
          <w:rFonts w:asciiTheme="minorHAnsi" w:hAnsiTheme="minorHAnsi" w:cstheme="minorHAnsi"/>
          <w:sz w:val="24"/>
          <w:lang w:eastAsia="en-GB"/>
        </w:rPr>
        <w:t xml:space="preserve">mean, </w:t>
      </w:r>
      <w:r w:rsidRPr="0073172D">
        <w:rPr>
          <w:rFonts w:asciiTheme="minorHAnsi" w:hAnsiTheme="minorHAnsi" w:cstheme="minorHAnsi"/>
          <w:sz w:val="24"/>
          <w:lang w:eastAsia="en-GB"/>
        </w:rPr>
        <w:t>S.D</w:t>
      </w:r>
      <w:r w:rsidR="00437760" w:rsidRPr="0073172D">
        <w:rPr>
          <w:rFonts w:asciiTheme="minorHAnsi" w:hAnsiTheme="minorHAnsi" w:cstheme="minorHAnsi"/>
          <w:sz w:val="24"/>
          <w:lang w:eastAsia="en-GB"/>
        </w:rPr>
        <w:t xml:space="preserve"> </w:t>
      </w:r>
      <w:r w:rsidRPr="0073172D">
        <w:rPr>
          <w:rFonts w:asciiTheme="minorHAnsi" w:hAnsiTheme="minorHAnsi" w:cstheme="minorHAnsi"/>
          <w:sz w:val="24"/>
          <w:lang w:eastAsia="en-GB"/>
        </w:rPr>
        <w:t>=</w:t>
      </w:r>
      <w:r w:rsidR="00437760" w:rsidRPr="0073172D">
        <w:rPr>
          <w:rFonts w:asciiTheme="minorHAnsi" w:hAnsiTheme="minorHAnsi" w:cstheme="minorHAnsi"/>
          <w:sz w:val="24"/>
          <w:lang w:eastAsia="en-GB"/>
        </w:rPr>
        <w:t xml:space="preserve"> </w:t>
      </w:r>
      <w:r w:rsidR="004C2B18" w:rsidRPr="0073172D">
        <w:rPr>
          <w:rFonts w:asciiTheme="minorHAnsi" w:hAnsiTheme="minorHAnsi" w:cstheme="minorHAnsi"/>
          <w:sz w:val="24"/>
          <w:lang w:eastAsia="en-GB"/>
        </w:rPr>
        <w:t>23.5</w:t>
      </w:r>
      <w:r w:rsidRPr="0073172D">
        <w:rPr>
          <w:rFonts w:asciiTheme="minorHAnsi" w:hAnsiTheme="minorHAnsi" w:cstheme="minorHAnsi"/>
          <w:sz w:val="24"/>
          <w:lang w:eastAsia="en-GB"/>
        </w:rPr>
        <w:t xml:space="preserve">) after imaging was completed. </w:t>
      </w:r>
    </w:p>
    <w:p w14:paraId="6DAD27AE" w14:textId="77777777" w:rsidR="00BC2BDB" w:rsidRPr="0073172D" w:rsidRDefault="00BC2BDB" w:rsidP="003A3A37">
      <w:pPr>
        <w:pStyle w:val="Heading3"/>
        <w:keepNext w:val="0"/>
        <w:numPr>
          <w:ilvl w:val="0"/>
          <w:numId w:val="0"/>
        </w:numPr>
        <w:spacing w:line="480" w:lineRule="auto"/>
        <w:rPr>
          <w:rFonts w:asciiTheme="minorHAnsi" w:hAnsiTheme="minorHAnsi" w:cstheme="minorHAnsi"/>
          <w:sz w:val="24"/>
          <w:lang w:eastAsia="en-GB"/>
        </w:rPr>
      </w:pPr>
      <w:bookmarkStart w:id="8" w:name="_Toc501374423"/>
      <w:r w:rsidRPr="0073172D">
        <w:rPr>
          <w:rFonts w:asciiTheme="minorHAnsi" w:hAnsiTheme="minorHAnsi" w:cstheme="minorHAnsi"/>
          <w:sz w:val="24"/>
          <w:lang w:eastAsia="en-GB"/>
        </w:rPr>
        <w:t>Sample</w:t>
      </w:r>
      <w:bookmarkEnd w:id="8"/>
    </w:p>
    <w:p w14:paraId="26D82910" w14:textId="77777777" w:rsidR="00BC2BDB" w:rsidRPr="0073172D" w:rsidRDefault="00BC2BDB" w:rsidP="003A3A37">
      <w:pPr>
        <w:pStyle w:val="Heading4"/>
        <w:keepNext w:val="0"/>
        <w:numPr>
          <w:ilvl w:val="0"/>
          <w:numId w:val="0"/>
        </w:numPr>
        <w:spacing w:line="480" w:lineRule="auto"/>
        <w:ind w:firstLine="720"/>
        <w:rPr>
          <w:rFonts w:asciiTheme="minorHAnsi" w:hAnsiTheme="minorHAnsi" w:cstheme="minorHAnsi"/>
          <w:sz w:val="24"/>
          <w:lang w:eastAsia="en-GB"/>
        </w:rPr>
      </w:pPr>
      <w:r w:rsidRPr="0073172D">
        <w:rPr>
          <w:rFonts w:asciiTheme="minorHAnsi" w:hAnsiTheme="minorHAnsi" w:cstheme="minorHAnsi"/>
          <w:sz w:val="24"/>
          <w:lang w:eastAsia="en-GB"/>
        </w:rPr>
        <w:t>Clinicians</w:t>
      </w:r>
    </w:p>
    <w:p w14:paraId="4DABFF30" w14:textId="77777777" w:rsidR="00BC2BDB" w:rsidRPr="0073172D" w:rsidRDefault="00BC2BDB" w:rsidP="003A3A37">
      <w:pPr>
        <w:keepNext w:val="0"/>
        <w:keepLines w:val="0"/>
        <w:spacing w:line="480" w:lineRule="auto"/>
        <w:rPr>
          <w:rFonts w:asciiTheme="minorHAnsi" w:hAnsiTheme="minorHAnsi" w:cstheme="minorHAnsi"/>
          <w:sz w:val="24"/>
          <w:lang w:eastAsia="en-GB"/>
        </w:rPr>
      </w:pPr>
      <w:r w:rsidRPr="0073172D">
        <w:rPr>
          <w:rFonts w:asciiTheme="minorHAnsi" w:hAnsiTheme="minorHAnsi" w:cstheme="minorHAnsi"/>
          <w:sz w:val="24"/>
          <w:lang w:eastAsia="en-GB"/>
        </w:rPr>
        <w:t xml:space="preserve">The 79 matching questionnaires were returned by 41 clinicians, consisting of 30 psychiatrists, </w:t>
      </w:r>
      <w:r w:rsidR="000017AA" w:rsidRPr="0073172D">
        <w:rPr>
          <w:rFonts w:asciiTheme="minorHAnsi" w:hAnsiTheme="minorHAnsi" w:cstheme="minorHAnsi"/>
          <w:sz w:val="24"/>
          <w:lang w:eastAsia="en-GB"/>
        </w:rPr>
        <w:t xml:space="preserve">9 neurologists </w:t>
      </w:r>
      <w:r w:rsidRPr="0073172D">
        <w:rPr>
          <w:rFonts w:asciiTheme="minorHAnsi" w:hAnsiTheme="minorHAnsi" w:cstheme="minorHAnsi"/>
          <w:sz w:val="24"/>
          <w:lang w:eastAsia="en-GB"/>
        </w:rPr>
        <w:t xml:space="preserve">and 2 stroke physicians. All referring clinicians were either at consultant or associate specialist level at the time of completion of the questionnaire. </w:t>
      </w:r>
    </w:p>
    <w:p w14:paraId="5A69AD00" w14:textId="77777777" w:rsidR="00BC2BDB" w:rsidRPr="0073172D" w:rsidRDefault="00BC2BDB" w:rsidP="003A3A37">
      <w:pPr>
        <w:pStyle w:val="Heading4"/>
        <w:keepNext w:val="0"/>
        <w:numPr>
          <w:ilvl w:val="0"/>
          <w:numId w:val="0"/>
        </w:numPr>
        <w:spacing w:line="480" w:lineRule="auto"/>
        <w:ind w:firstLine="720"/>
        <w:rPr>
          <w:rFonts w:asciiTheme="minorHAnsi" w:hAnsiTheme="minorHAnsi" w:cstheme="minorHAnsi"/>
          <w:sz w:val="24"/>
          <w:lang w:eastAsia="en-GB"/>
        </w:rPr>
      </w:pPr>
      <w:r w:rsidRPr="0073172D">
        <w:rPr>
          <w:rFonts w:asciiTheme="minorHAnsi" w:hAnsiTheme="minorHAnsi" w:cstheme="minorHAnsi"/>
          <w:sz w:val="24"/>
          <w:lang w:eastAsia="en-GB"/>
        </w:rPr>
        <w:t>Patients</w:t>
      </w:r>
    </w:p>
    <w:p w14:paraId="107A127E" w14:textId="67BF9762" w:rsidR="0036392C" w:rsidRPr="0073172D" w:rsidRDefault="00BC2BDB" w:rsidP="003A3A37">
      <w:pPr>
        <w:keepNext w:val="0"/>
        <w:keepLines w:val="0"/>
        <w:spacing w:line="480" w:lineRule="auto"/>
        <w:rPr>
          <w:rFonts w:asciiTheme="minorHAnsi" w:hAnsiTheme="minorHAnsi" w:cstheme="minorHAnsi"/>
          <w:sz w:val="24"/>
          <w:lang w:eastAsia="en-GB"/>
        </w:rPr>
      </w:pPr>
      <w:r w:rsidRPr="0073172D">
        <w:rPr>
          <w:rFonts w:asciiTheme="minorHAnsi" w:hAnsiTheme="minorHAnsi" w:cstheme="minorHAnsi"/>
          <w:sz w:val="24"/>
          <w:lang w:eastAsia="en-GB"/>
        </w:rPr>
        <w:t>The age of patients at time of scanning ranged from 43 to 90 years old (mean</w:t>
      </w:r>
      <w:r w:rsidR="00437760" w:rsidRPr="0073172D">
        <w:rPr>
          <w:rFonts w:asciiTheme="minorHAnsi" w:hAnsiTheme="minorHAnsi" w:cstheme="minorHAnsi"/>
          <w:sz w:val="24"/>
          <w:lang w:eastAsia="en-GB"/>
        </w:rPr>
        <w:t xml:space="preserve"> </w:t>
      </w:r>
      <w:r w:rsidRPr="0073172D">
        <w:rPr>
          <w:rFonts w:asciiTheme="minorHAnsi" w:hAnsiTheme="minorHAnsi" w:cstheme="minorHAnsi"/>
          <w:sz w:val="24"/>
          <w:lang w:eastAsia="en-GB"/>
        </w:rPr>
        <w:t>=</w:t>
      </w:r>
      <w:r w:rsidR="00437760" w:rsidRPr="0073172D">
        <w:rPr>
          <w:rFonts w:asciiTheme="minorHAnsi" w:hAnsiTheme="minorHAnsi" w:cstheme="minorHAnsi"/>
          <w:sz w:val="24"/>
          <w:lang w:eastAsia="en-GB"/>
        </w:rPr>
        <w:t xml:space="preserve"> </w:t>
      </w:r>
      <w:r w:rsidRPr="0073172D">
        <w:rPr>
          <w:rFonts w:asciiTheme="minorHAnsi" w:hAnsiTheme="minorHAnsi" w:cstheme="minorHAnsi"/>
          <w:sz w:val="24"/>
          <w:lang w:eastAsia="en-GB"/>
        </w:rPr>
        <w:t>66.8, S.D</w:t>
      </w:r>
      <w:r w:rsidR="00437760" w:rsidRPr="0073172D">
        <w:rPr>
          <w:rFonts w:asciiTheme="minorHAnsi" w:hAnsiTheme="minorHAnsi" w:cstheme="minorHAnsi"/>
          <w:sz w:val="24"/>
          <w:lang w:eastAsia="en-GB"/>
        </w:rPr>
        <w:t xml:space="preserve"> </w:t>
      </w:r>
      <w:r w:rsidRPr="0073172D">
        <w:rPr>
          <w:rFonts w:asciiTheme="minorHAnsi" w:hAnsiTheme="minorHAnsi" w:cstheme="minorHAnsi"/>
          <w:sz w:val="24"/>
          <w:lang w:eastAsia="en-GB"/>
        </w:rPr>
        <w:t>=</w:t>
      </w:r>
      <w:r w:rsidR="00437760" w:rsidRPr="0073172D">
        <w:rPr>
          <w:rFonts w:asciiTheme="minorHAnsi" w:hAnsiTheme="minorHAnsi" w:cstheme="minorHAnsi"/>
          <w:sz w:val="24"/>
          <w:lang w:eastAsia="en-GB"/>
        </w:rPr>
        <w:t xml:space="preserve"> </w:t>
      </w:r>
      <w:r w:rsidRPr="0073172D">
        <w:rPr>
          <w:rFonts w:asciiTheme="minorHAnsi" w:hAnsiTheme="minorHAnsi" w:cstheme="minorHAnsi"/>
          <w:sz w:val="24"/>
          <w:lang w:eastAsia="en-GB"/>
        </w:rPr>
        <w:t xml:space="preserve">10.7), with the sample consisting of 39 males and 40 females. The pre-imaging diagnoses for all patients were as follows: </w:t>
      </w:r>
      <w:r w:rsidR="0036392C" w:rsidRPr="0073172D">
        <w:rPr>
          <w:rFonts w:asciiTheme="minorHAnsi" w:hAnsiTheme="minorHAnsi" w:cstheme="minorHAnsi"/>
          <w:sz w:val="24"/>
          <w:lang w:eastAsia="en-GB"/>
        </w:rPr>
        <w:t>AD</w:t>
      </w:r>
      <w:r w:rsidRPr="0073172D">
        <w:rPr>
          <w:rFonts w:asciiTheme="minorHAnsi" w:hAnsiTheme="minorHAnsi" w:cstheme="minorHAnsi"/>
          <w:sz w:val="24"/>
          <w:lang w:eastAsia="en-GB"/>
        </w:rPr>
        <w:t xml:space="preserve"> </w:t>
      </w:r>
      <w:r w:rsidRPr="0073172D">
        <w:rPr>
          <w:rFonts w:asciiTheme="minorHAnsi" w:hAnsiTheme="minorHAnsi" w:cstheme="minorHAnsi"/>
          <w:i/>
          <w:sz w:val="24"/>
          <w:lang w:eastAsia="en-GB"/>
        </w:rPr>
        <w:t>(</w:t>
      </w:r>
      <w:r w:rsidR="00300439" w:rsidRPr="0073172D">
        <w:rPr>
          <w:rFonts w:asciiTheme="minorHAnsi" w:hAnsiTheme="minorHAnsi" w:cstheme="minorHAnsi"/>
          <w:i/>
          <w:sz w:val="24"/>
          <w:lang w:eastAsia="en-GB"/>
        </w:rPr>
        <w:t>N</w:t>
      </w:r>
      <w:r w:rsidR="00437760" w:rsidRPr="0073172D">
        <w:rPr>
          <w:rFonts w:asciiTheme="minorHAnsi" w:hAnsiTheme="minorHAnsi" w:cstheme="minorHAnsi"/>
          <w:i/>
          <w:sz w:val="24"/>
          <w:lang w:eastAsia="en-GB"/>
        </w:rPr>
        <w:t xml:space="preserve"> </w:t>
      </w:r>
      <w:r w:rsidRPr="0073172D">
        <w:rPr>
          <w:rFonts w:asciiTheme="minorHAnsi" w:hAnsiTheme="minorHAnsi" w:cstheme="minorHAnsi"/>
          <w:i/>
          <w:sz w:val="24"/>
          <w:lang w:eastAsia="en-GB"/>
        </w:rPr>
        <w:t>=</w:t>
      </w:r>
      <w:r w:rsidR="00437760" w:rsidRPr="0073172D">
        <w:rPr>
          <w:rFonts w:asciiTheme="minorHAnsi" w:hAnsiTheme="minorHAnsi" w:cstheme="minorHAnsi"/>
          <w:i/>
          <w:sz w:val="24"/>
          <w:lang w:eastAsia="en-GB"/>
        </w:rPr>
        <w:t xml:space="preserve"> </w:t>
      </w:r>
      <w:r w:rsidR="003E26F5" w:rsidRPr="0073172D">
        <w:rPr>
          <w:rFonts w:asciiTheme="minorHAnsi" w:hAnsiTheme="minorHAnsi" w:cstheme="minorHAnsi"/>
          <w:sz w:val="24"/>
          <w:lang w:eastAsia="en-GB"/>
        </w:rPr>
        <w:t>2</w:t>
      </w:r>
      <w:r w:rsidRPr="0073172D">
        <w:rPr>
          <w:rFonts w:asciiTheme="minorHAnsi" w:hAnsiTheme="minorHAnsi" w:cstheme="minorHAnsi"/>
          <w:sz w:val="24"/>
          <w:lang w:eastAsia="en-GB"/>
        </w:rPr>
        <w:t xml:space="preserve">9), </w:t>
      </w:r>
      <w:r w:rsidR="0036392C" w:rsidRPr="0073172D">
        <w:rPr>
          <w:rFonts w:asciiTheme="minorHAnsi" w:hAnsiTheme="minorHAnsi" w:cstheme="minorHAnsi"/>
          <w:sz w:val="24"/>
          <w:lang w:eastAsia="en-GB"/>
        </w:rPr>
        <w:t>MCI</w:t>
      </w:r>
      <w:r w:rsidRPr="0073172D">
        <w:rPr>
          <w:rFonts w:asciiTheme="minorHAnsi" w:hAnsiTheme="minorHAnsi" w:cstheme="minorHAnsi"/>
          <w:sz w:val="24"/>
          <w:lang w:eastAsia="en-GB"/>
        </w:rPr>
        <w:t xml:space="preserve"> </w:t>
      </w:r>
      <w:r w:rsidRPr="0073172D">
        <w:rPr>
          <w:rFonts w:asciiTheme="minorHAnsi" w:hAnsiTheme="minorHAnsi" w:cstheme="minorHAnsi"/>
          <w:i/>
          <w:sz w:val="24"/>
          <w:lang w:eastAsia="en-GB"/>
        </w:rPr>
        <w:t>(</w:t>
      </w:r>
      <w:r w:rsidR="00300439" w:rsidRPr="0073172D">
        <w:rPr>
          <w:rFonts w:asciiTheme="minorHAnsi" w:hAnsiTheme="minorHAnsi" w:cstheme="minorHAnsi"/>
          <w:i/>
          <w:sz w:val="24"/>
          <w:lang w:eastAsia="en-GB"/>
        </w:rPr>
        <w:t>N</w:t>
      </w:r>
      <w:r w:rsidR="00437760" w:rsidRPr="0073172D">
        <w:rPr>
          <w:rFonts w:asciiTheme="minorHAnsi" w:hAnsiTheme="minorHAnsi" w:cstheme="minorHAnsi"/>
          <w:i/>
          <w:sz w:val="24"/>
          <w:lang w:eastAsia="en-GB"/>
        </w:rPr>
        <w:t xml:space="preserve"> </w:t>
      </w:r>
      <w:r w:rsidRPr="0073172D">
        <w:rPr>
          <w:rFonts w:asciiTheme="minorHAnsi" w:hAnsiTheme="minorHAnsi" w:cstheme="minorHAnsi"/>
          <w:sz w:val="24"/>
          <w:lang w:eastAsia="en-GB"/>
        </w:rPr>
        <w:t>=</w:t>
      </w:r>
      <w:r w:rsidR="00437760" w:rsidRPr="0073172D">
        <w:rPr>
          <w:rFonts w:asciiTheme="minorHAnsi" w:hAnsiTheme="minorHAnsi" w:cstheme="minorHAnsi"/>
          <w:sz w:val="24"/>
          <w:lang w:eastAsia="en-GB"/>
        </w:rPr>
        <w:t xml:space="preserve"> </w:t>
      </w:r>
      <w:r w:rsidRPr="0073172D">
        <w:rPr>
          <w:rFonts w:asciiTheme="minorHAnsi" w:hAnsiTheme="minorHAnsi" w:cstheme="minorHAnsi"/>
          <w:sz w:val="24"/>
          <w:lang w:eastAsia="en-GB"/>
        </w:rPr>
        <w:t xml:space="preserve">14), </w:t>
      </w:r>
      <w:r w:rsidR="0036392C" w:rsidRPr="0073172D">
        <w:rPr>
          <w:rFonts w:asciiTheme="minorHAnsi" w:hAnsiTheme="minorHAnsi" w:cstheme="minorHAnsi"/>
          <w:sz w:val="24"/>
          <w:lang w:eastAsia="en-GB"/>
        </w:rPr>
        <w:t>FTD</w:t>
      </w:r>
      <w:r w:rsidRPr="0073172D">
        <w:rPr>
          <w:rFonts w:asciiTheme="minorHAnsi" w:hAnsiTheme="minorHAnsi" w:cstheme="minorHAnsi"/>
          <w:sz w:val="24"/>
          <w:lang w:eastAsia="en-GB"/>
        </w:rPr>
        <w:t xml:space="preserve"> </w:t>
      </w:r>
      <w:r w:rsidRPr="0073172D">
        <w:rPr>
          <w:rFonts w:asciiTheme="minorHAnsi" w:hAnsiTheme="minorHAnsi" w:cstheme="minorHAnsi"/>
          <w:i/>
          <w:sz w:val="24"/>
          <w:lang w:eastAsia="en-GB"/>
        </w:rPr>
        <w:t>(</w:t>
      </w:r>
      <w:r w:rsidR="00300439" w:rsidRPr="0073172D">
        <w:rPr>
          <w:rFonts w:asciiTheme="minorHAnsi" w:hAnsiTheme="minorHAnsi" w:cstheme="minorHAnsi"/>
          <w:i/>
          <w:sz w:val="24"/>
          <w:lang w:eastAsia="en-GB"/>
        </w:rPr>
        <w:t>N</w:t>
      </w:r>
      <w:r w:rsidR="00437760" w:rsidRPr="0073172D">
        <w:rPr>
          <w:rFonts w:asciiTheme="minorHAnsi" w:hAnsiTheme="minorHAnsi" w:cstheme="minorHAnsi"/>
          <w:i/>
          <w:sz w:val="24"/>
          <w:lang w:eastAsia="en-GB"/>
        </w:rPr>
        <w:t xml:space="preserve"> </w:t>
      </w:r>
      <w:r w:rsidRPr="0073172D">
        <w:rPr>
          <w:rFonts w:asciiTheme="minorHAnsi" w:hAnsiTheme="minorHAnsi" w:cstheme="minorHAnsi"/>
          <w:sz w:val="24"/>
          <w:lang w:eastAsia="en-GB"/>
        </w:rPr>
        <w:t>=</w:t>
      </w:r>
      <w:r w:rsidR="00437760" w:rsidRPr="0073172D">
        <w:rPr>
          <w:rFonts w:asciiTheme="minorHAnsi" w:hAnsiTheme="minorHAnsi" w:cstheme="minorHAnsi"/>
          <w:sz w:val="24"/>
          <w:lang w:eastAsia="en-GB"/>
        </w:rPr>
        <w:t xml:space="preserve"> </w:t>
      </w:r>
      <w:r w:rsidRPr="0073172D">
        <w:rPr>
          <w:rFonts w:asciiTheme="minorHAnsi" w:hAnsiTheme="minorHAnsi" w:cstheme="minorHAnsi"/>
          <w:sz w:val="24"/>
          <w:lang w:eastAsia="en-GB"/>
        </w:rPr>
        <w:t xml:space="preserve">15), </w:t>
      </w:r>
      <w:r w:rsidR="0036392C" w:rsidRPr="0073172D">
        <w:rPr>
          <w:rFonts w:asciiTheme="minorHAnsi" w:hAnsiTheme="minorHAnsi" w:cstheme="minorHAnsi"/>
          <w:sz w:val="24"/>
          <w:lang w:eastAsia="en-GB"/>
        </w:rPr>
        <w:t>DLB</w:t>
      </w:r>
      <w:r w:rsidRPr="0073172D">
        <w:rPr>
          <w:rFonts w:asciiTheme="minorHAnsi" w:hAnsiTheme="minorHAnsi" w:cstheme="minorHAnsi"/>
          <w:sz w:val="24"/>
          <w:lang w:eastAsia="en-GB"/>
        </w:rPr>
        <w:t xml:space="preserve"> </w:t>
      </w:r>
      <w:r w:rsidRPr="0073172D">
        <w:rPr>
          <w:rFonts w:asciiTheme="minorHAnsi" w:hAnsiTheme="minorHAnsi" w:cstheme="minorHAnsi"/>
          <w:i/>
          <w:sz w:val="24"/>
          <w:lang w:eastAsia="en-GB"/>
        </w:rPr>
        <w:t>(</w:t>
      </w:r>
      <w:r w:rsidR="00300439" w:rsidRPr="0073172D">
        <w:rPr>
          <w:rFonts w:asciiTheme="minorHAnsi" w:hAnsiTheme="minorHAnsi" w:cstheme="minorHAnsi"/>
          <w:i/>
          <w:sz w:val="24"/>
          <w:lang w:eastAsia="en-GB"/>
        </w:rPr>
        <w:t>N</w:t>
      </w:r>
      <w:r w:rsidR="00437760" w:rsidRPr="0073172D">
        <w:rPr>
          <w:rFonts w:asciiTheme="minorHAnsi" w:hAnsiTheme="minorHAnsi" w:cstheme="minorHAnsi"/>
          <w:i/>
          <w:sz w:val="24"/>
          <w:lang w:eastAsia="en-GB"/>
        </w:rPr>
        <w:t xml:space="preserve"> </w:t>
      </w:r>
      <w:r w:rsidRPr="0073172D">
        <w:rPr>
          <w:rFonts w:asciiTheme="minorHAnsi" w:hAnsiTheme="minorHAnsi" w:cstheme="minorHAnsi"/>
          <w:sz w:val="24"/>
          <w:lang w:eastAsia="en-GB"/>
        </w:rPr>
        <w:t>=</w:t>
      </w:r>
      <w:r w:rsidR="00437760" w:rsidRPr="0073172D">
        <w:rPr>
          <w:rFonts w:asciiTheme="minorHAnsi" w:hAnsiTheme="minorHAnsi" w:cstheme="minorHAnsi"/>
          <w:sz w:val="24"/>
          <w:lang w:eastAsia="en-GB"/>
        </w:rPr>
        <w:t xml:space="preserve"> </w:t>
      </w:r>
      <w:r w:rsidRPr="0073172D">
        <w:rPr>
          <w:rFonts w:asciiTheme="minorHAnsi" w:hAnsiTheme="minorHAnsi" w:cstheme="minorHAnsi"/>
          <w:sz w:val="24"/>
          <w:lang w:eastAsia="en-GB"/>
        </w:rPr>
        <w:t xml:space="preserve">2), Dementia – other </w:t>
      </w:r>
      <w:r w:rsidRPr="0073172D">
        <w:rPr>
          <w:rFonts w:asciiTheme="minorHAnsi" w:hAnsiTheme="minorHAnsi" w:cstheme="minorHAnsi"/>
          <w:i/>
          <w:sz w:val="24"/>
          <w:lang w:eastAsia="en-GB"/>
        </w:rPr>
        <w:t>(</w:t>
      </w:r>
      <w:r w:rsidR="00300439" w:rsidRPr="0073172D">
        <w:rPr>
          <w:rFonts w:asciiTheme="minorHAnsi" w:hAnsiTheme="minorHAnsi" w:cstheme="minorHAnsi"/>
          <w:i/>
          <w:sz w:val="24"/>
          <w:lang w:eastAsia="en-GB"/>
        </w:rPr>
        <w:t>N</w:t>
      </w:r>
      <w:r w:rsidR="00437760" w:rsidRPr="0073172D">
        <w:rPr>
          <w:rFonts w:asciiTheme="minorHAnsi" w:hAnsiTheme="minorHAnsi" w:cstheme="minorHAnsi"/>
          <w:i/>
          <w:sz w:val="24"/>
          <w:lang w:eastAsia="en-GB"/>
        </w:rPr>
        <w:t xml:space="preserve"> </w:t>
      </w:r>
      <w:r w:rsidRPr="0073172D">
        <w:rPr>
          <w:rFonts w:asciiTheme="minorHAnsi" w:hAnsiTheme="minorHAnsi" w:cstheme="minorHAnsi"/>
          <w:sz w:val="24"/>
          <w:lang w:eastAsia="en-GB"/>
        </w:rPr>
        <w:t>=</w:t>
      </w:r>
      <w:r w:rsidR="00437760" w:rsidRPr="0073172D">
        <w:rPr>
          <w:rFonts w:asciiTheme="minorHAnsi" w:hAnsiTheme="minorHAnsi" w:cstheme="minorHAnsi"/>
          <w:sz w:val="24"/>
          <w:lang w:eastAsia="en-GB"/>
        </w:rPr>
        <w:t xml:space="preserve"> </w:t>
      </w:r>
      <w:r w:rsidRPr="0073172D">
        <w:rPr>
          <w:rFonts w:asciiTheme="minorHAnsi" w:hAnsiTheme="minorHAnsi" w:cstheme="minorHAnsi"/>
          <w:sz w:val="24"/>
          <w:lang w:eastAsia="en-GB"/>
        </w:rPr>
        <w:t xml:space="preserve">7), Vascular </w:t>
      </w:r>
      <w:r w:rsidRPr="0073172D">
        <w:rPr>
          <w:rFonts w:asciiTheme="minorHAnsi" w:hAnsiTheme="minorHAnsi" w:cstheme="minorHAnsi"/>
          <w:i/>
          <w:sz w:val="24"/>
          <w:lang w:eastAsia="en-GB"/>
        </w:rPr>
        <w:t>(</w:t>
      </w:r>
      <w:r w:rsidR="00300439" w:rsidRPr="0073172D">
        <w:rPr>
          <w:rFonts w:asciiTheme="minorHAnsi" w:hAnsiTheme="minorHAnsi" w:cstheme="minorHAnsi"/>
          <w:i/>
          <w:sz w:val="24"/>
          <w:lang w:eastAsia="en-GB"/>
        </w:rPr>
        <w:t>N</w:t>
      </w:r>
      <w:r w:rsidR="00437760" w:rsidRPr="0073172D">
        <w:rPr>
          <w:rFonts w:asciiTheme="minorHAnsi" w:hAnsiTheme="minorHAnsi" w:cstheme="minorHAnsi"/>
          <w:i/>
          <w:sz w:val="24"/>
          <w:lang w:eastAsia="en-GB"/>
        </w:rPr>
        <w:t xml:space="preserve"> </w:t>
      </w:r>
      <w:r w:rsidRPr="0073172D">
        <w:rPr>
          <w:rFonts w:asciiTheme="minorHAnsi" w:hAnsiTheme="minorHAnsi" w:cstheme="minorHAnsi"/>
          <w:sz w:val="24"/>
          <w:lang w:eastAsia="en-GB"/>
        </w:rPr>
        <w:t>=</w:t>
      </w:r>
      <w:r w:rsidR="00437760" w:rsidRPr="0073172D">
        <w:rPr>
          <w:rFonts w:asciiTheme="minorHAnsi" w:hAnsiTheme="minorHAnsi" w:cstheme="minorHAnsi"/>
          <w:sz w:val="24"/>
          <w:lang w:eastAsia="en-GB"/>
        </w:rPr>
        <w:t xml:space="preserve"> </w:t>
      </w:r>
      <w:r w:rsidRPr="0073172D">
        <w:rPr>
          <w:rFonts w:asciiTheme="minorHAnsi" w:hAnsiTheme="minorHAnsi" w:cstheme="minorHAnsi"/>
          <w:sz w:val="24"/>
          <w:lang w:eastAsia="en-GB"/>
        </w:rPr>
        <w:t>2), Psychiatric (</w:t>
      </w:r>
      <w:r w:rsidR="00300439" w:rsidRPr="0073172D">
        <w:rPr>
          <w:rFonts w:asciiTheme="minorHAnsi" w:hAnsiTheme="minorHAnsi" w:cstheme="minorHAnsi"/>
          <w:i/>
          <w:sz w:val="24"/>
          <w:lang w:eastAsia="en-GB"/>
        </w:rPr>
        <w:t>N</w:t>
      </w:r>
      <w:r w:rsidR="00437760" w:rsidRPr="0073172D">
        <w:rPr>
          <w:rFonts w:asciiTheme="minorHAnsi" w:hAnsiTheme="minorHAnsi" w:cstheme="minorHAnsi"/>
          <w:i/>
          <w:sz w:val="24"/>
          <w:lang w:eastAsia="en-GB"/>
        </w:rPr>
        <w:t xml:space="preserve"> </w:t>
      </w:r>
      <w:r w:rsidRPr="0073172D">
        <w:rPr>
          <w:rFonts w:asciiTheme="minorHAnsi" w:hAnsiTheme="minorHAnsi" w:cstheme="minorHAnsi"/>
          <w:sz w:val="24"/>
          <w:lang w:eastAsia="en-GB"/>
        </w:rPr>
        <w:t>=</w:t>
      </w:r>
      <w:r w:rsidR="00437760" w:rsidRPr="0073172D">
        <w:rPr>
          <w:rFonts w:asciiTheme="minorHAnsi" w:hAnsiTheme="minorHAnsi" w:cstheme="minorHAnsi"/>
          <w:sz w:val="24"/>
          <w:lang w:eastAsia="en-GB"/>
        </w:rPr>
        <w:t xml:space="preserve"> </w:t>
      </w:r>
      <w:r w:rsidRPr="0073172D">
        <w:rPr>
          <w:rFonts w:asciiTheme="minorHAnsi" w:hAnsiTheme="minorHAnsi" w:cstheme="minorHAnsi"/>
          <w:sz w:val="24"/>
          <w:lang w:eastAsia="en-GB"/>
        </w:rPr>
        <w:t>5) and Neurology – other (</w:t>
      </w:r>
      <w:r w:rsidR="00300439" w:rsidRPr="0073172D">
        <w:rPr>
          <w:rFonts w:asciiTheme="minorHAnsi" w:hAnsiTheme="minorHAnsi" w:cstheme="minorHAnsi"/>
          <w:i/>
          <w:sz w:val="24"/>
          <w:lang w:eastAsia="en-GB"/>
        </w:rPr>
        <w:t>N</w:t>
      </w:r>
      <w:r w:rsidR="00437760" w:rsidRPr="0073172D">
        <w:rPr>
          <w:rFonts w:asciiTheme="minorHAnsi" w:hAnsiTheme="minorHAnsi" w:cstheme="minorHAnsi"/>
          <w:i/>
          <w:sz w:val="24"/>
          <w:lang w:eastAsia="en-GB"/>
        </w:rPr>
        <w:t xml:space="preserve"> </w:t>
      </w:r>
      <w:r w:rsidRPr="0073172D">
        <w:rPr>
          <w:rFonts w:asciiTheme="minorHAnsi" w:hAnsiTheme="minorHAnsi" w:cstheme="minorHAnsi"/>
          <w:sz w:val="24"/>
          <w:lang w:eastAsia="en-GB"/>
        </w:rPr>
        <w:t>=</w:t>
      </w:r>
      <w:r w:rsidR="00437760" w:rsidRPr="0073172D">
        <w:rPr>
          <w:rFonts w:asciiTheme="minorHAnsi" w:hAnsiTheme="minorHAnsi" w:cstheme="minorHAnsi"/>
          <w:sz w:val="24"/>
          <w:lang w:eastAsia="en-GB"/>
        </w:rPr>
        <w:t xml:space="preserve"> </w:t>
      </w:r>
      <w:r w:rsidRPr="0073172D">
        <w:rPr>
          <w:rFonts w:asciiTheme="minorHAnsi" w:hAnsiTheme="minorHAnsi" w:cstheme="minorHAnsi"/>
          <w:sz w:val="24"/>
          <w:lang w:eastAsia="en-GB"/>
        </w:rPr>
        <w:t xml:space="preserve">5). </w:t>
      </w:r>
    </w:p>
    <w:p w14:paraId="6FC4C57A" w14:textId="77777777" w:rsidR="00BC2BDB" w:rsidRPr="0073172D" w:rsidRDefault="00BC2BDB" w:rsidP="003A3A37">
      <w:pPr>
        <w:pStyle w:val="Heading3"/>
        <w:keepNext w:val="0"/>
        <w:numPr>
          <w:ilvl w:val="0"/>
          <w:numId w:val="0"/>
        </w:numPr>
        <w:spacing w:line="480" w:lineRule="auto"/>
        <w:rPr>
          <w:rFonts w:asciiTheme="minorHAnsi" w:hAnsiTheme="minorHAnsi" w:cstheme="minorHAnsi"/>
          <w:sz w:val="24"/>
          <w:lang w:eastAsia="en-GB"/>
        </w:rPr>
      </w:pPr>
      <w:bookmarkStart w:id="9" w:name="_Toc501374424"/>
      <w:r w:rsidRPr="0073172D">
        <w:rPr>
          <w:rFonts w:asciiTheme="minorHAnsi" w:hAnsiTheme="minorHAnsi" w:cstheme="minorHAnsi"/>
          <w:sz w:val="24"/>
          <w:lang w:eastAsia="en-GB"/>
        </w:rPr>
        <w:t>Perfusion SPECT reports and change in diagnosis</w:t>
      </w:r>
      <w:bookmarkEnd w:id="9"/>
    </w:p>
    <w:p w14:paraId="6AD8C78A" w14:textId="3F286546" w:rsidR="00527EFE" w:rsidRPr="0073172D" w:rsidRDefault="00BC2BDB" w:rsidP="003A3A37">
      <w:pPr>
        <w:keepNext w:val="0"/>
        <w:keepLines w:val="0"/>
        <w:spacing w:line="480" w:lineRule="auto"/>
        <w:rPr>
          <w:rFonts w:asciiTheme="minorHAnsi" w:hAnsiTheme="minorHAnsi" w:cstheme="minorHAnsi"/>
          <w:sz w:val="24"/>
        </w:rPr>
      </w:pPr>
      <w:r w:rsidRPr="0073172D">
        <w:rPr>
          <w:rFonts w:asciiTheme="minorHAnsi" w:hAnsiTheme="minorHAnsi" w:cstheme="minorHAnsi"/>
          <w:sz w:val="24"/>
        </w:rPr>
        <w:lastRenderedPageBreak/>
        <w:t>Diagnosis between pre-imaging and post-imaging questionnaires changed in 49% of cases,</w:t>
      </w:r>
      <w:r w:rsidR="00995A58" w:rsidRPr="0073172D">
        <w:rPr>
          <w:rFonts w:asciiTheme="minorHAnsi" w:hAnsiTheme="minorHAnsi" w:cstheme="minorHAnsi"/>
          <w:sz w:val="24"/>
        </w:rPr>
        <w:t xml:space="preserve"> which included</w:t>
      </w:r>
      <w:r w:rsidRPr="0073172D">
        <w:rPr>
          <w:rFonts w:asciiTheme="minorHAnsi" w:hAnsiTheme="minorHAnsi" w:cstheme="minorHAnsi"/>
          <w:sz w:val="24"/>
        </w:rPr>
        <w:t xml:space="preserve"> changes </w:t>
      </w:r>
      <w:r w:rsidR="006361B6" w:rsidRPr="0073172D">
        <w:rPr>
          <w:rFonts w:asciiTheme="minorHAnsi" w:hAnsiTheme="minorHAnsi" w:cstheme="minorHAnsi"/>
          <w:sz w:val="24"/>
        </w:rPr>
        <w:t>between</w:t>
      </w:r>
      <w:r w:rsidRPr="0073172D">
        <w:rPr>
          <w:rFonts w:asciiTheme="minorHAnsi" w:hAnsiTheme="minorHAnsi" w:cstheme="minorHAnsi"/>
          <w:sz w:val="24"/>
        </w:rPr>
        <w:t xml:space="preserve"> MCI </w:t>
      </w:r>
      <w:r w:rsidR="006361B6" w:rsidRPr="0073172D">
        <w:rPr>
          <w:rFonts w:asciiTheme="minorHAnsi" w:hAnsiTheme="minorHAnsi" w:cstheme="minorHAnsi"/>
          <w:sz w:val="24"/>
        </w:rPr>
        <w:t>and</w:t>
      </w:r>
      <w:r w:rsidRPr="0073172D">
        <w:rPr>
          <w:rFonts w:asciiTheme="minorHAnsi" w:hAnsiTheme="minorHAnsi" w:cstheme="minorHAnsi"/>
          <w:sz w:val="24"/>
        </w:rPr>
        <w:t xml:space="preserve"> other diagnoses including specific dementia subtypes (e.g. MCI to AD or vice versa). </w:t>
      </w:r>
      <w:r w:rsidR="00ED47DF" w:rsidRPr="0073172D">
        <w:rPr>
          <w:rFonts w:asciiTheme="minorHAnsi" w:hAnsiTheme="minorHAnsi" w:cstheme="minorHAnsi"/>
          <w:sz w:val="24"/>
        </w:rPr>
        <w:t xml:space="preserve">In particular, </w:t>
      </w:r>
      <w:r w:rsidR="00C7656E" w:rsidRPr="0073172D">
        <w:rPr>
          <w:rFonts w:asciiTheme="minorHAnsi" w:hAnsiTheme="minorHAnsi" w:cstheme="minorHAnsi"/>
          <w:sz w:val="24"/>
        </w:rPr>
        <w:t xml:space="preserve">the </w:t>
      </w:r>
      <w:r w:rsidR="00ED47DF" w:rsidRPr="0073172D">
        <w:rPr>
          <w:rFonts w:asciiTheme="minorHAnsi" w:hAnsiTheme="minorHAnsi" w:cstheme="minorHAnsi"/>
          <w:sz w:val="24"/>
        </w:rPr>
        <w:t>d</w:t>
      </w:r>
      <w:r w:rsidRPr="0073172D">
        <w:rPr>
          <w:rFonts w:asciiTheme="minorHAnsi" w:hAnsiTheme="minorHAnsi" w:cstheme="minorHAnsi"/>
          <w:sz w:val="24"/>
        </w:rPr>
        <w:t>iagnosis change</w:t>
      </w:r>
      <w:r w:rsidR="00ED47DF" w:rsidRPr="0073172D">
        <w:rPr>
          <w:rFonts w:asciiTheme="minorHAnsi" w:hAnsiTheme="minorHAnsi" w:cstheme="minorHAnsi"/>
          <w:sz w:val="24"/>
        </w:rPr>
        <w:t>s</w:t>
      </w:r>
      <w:r w:rsidRPr="0073172D">
        <w:rPr>
          <w:rFonts w:asciiTheme="minorHAnsi" w:hAnsiTheme="minorHAnsi" w:cstheme="minorHAnsi"/>
          <w:sz w:val="24"/>
        </w:rPr>
        <w:t xml:space="preserve"> for those with Alzheimer’s disease and Frontotemporal dementia </w:t>
      </w:r>
      <w:r w:rsidR="00ED47DF" w:rsidRPr="0073172D">
        <w:rPr>
          <w:rFonts w:asciiTheme="minorHAnsi" w:hAnsiTheme="minorHAnsi" w:cstheme="minorHAnsi"/>
          <w:sz w:val="24"/>
        </w:rPr>
        <w:t>are</w:t>
      </w:r>
      <w:r w:rsidRPr="0073172D">
        <w:rPr>
          <w:rFonts w:asciiTheme="minorHAnsi" w:hAnsiTheme="minorHAnsi" w:cstheme="minorHAnsi"/>
          <w:sz w:val="24"/>
        </w:rPr>
        <w:t xml:space="preserve"> shown </w:t>
      </w:r>
      <w:r w:rsidR="00A136F9" w:rsidRPr="0073172D">
        <w:rPr>
          <w:rFonts w:asciiTheme="minorHAnsi" w:hAnsiTheme="minorHAnsi" w:cstheme="minorHAnsi"/>
          <w:sz w:val="24"/>
        </w:rPr>
        <w:t>in</w:t>
      </w:r>
      <w:r w:rsidR="008A2F9B" w:rsidRPr="0073172D">
        <w:rPr>
          <w:rFonts w:asciiTheme="minorHAnsi" w:hAnsiTheme="minorHAnsi" w:cstheme="minorHAnsi"/>
          <w:sz w:val="24"/>
        </w:rPr>
        <w:t xml:space="preserve"> Figure </w:t>
      </w:r>
      <w:r w:rsidR="0022404A" w:rsidRPr="0073172D">
        <w:rPr>
          <w:rFonts w:asciiTheme="minorHAnsi" w:hAnsiTheme="minorHAnsi" w:cstheme="minorHAnsi"/>
          <w:sz w:val="24"/>
        </w:rPr>
        <w:t>2</w:t>
      </w:r>
      <w:r w:rsidR="008F54EA" w:rsidRPr="0073172D">
        <w:rPr>
          <w:rFonts w:asciiTheme="minorHAnsi" w:hAnsiTheme="minorHAnsi" w:cstheme="minorHAnsi"/>
          <w:sz w:val="24"/>
        </w:rPr>
        <w:t>.</w:t>
      </w:r>
    </w:p>
    <w:p w14:paraId="13A5FECE" w14:textId="11C60D94" w:rsidR="0036392C" w:rsidRPr="0073172D" w:rsidRDefault="00527EFE" w:rsidP="003A3A37">
      <w:pPr>
        <w:keepNext w:val="0"/>
        <w:keepLines w:val="0"/>
        <w:spacing w:after="0" w:line="480" w:lineRule="auto"/>
        <w:rPr>
          <w:rFonts w:asciiTheme="minorHAnsi" w:hAnsiTheme="minorHAnsi" w:cstheme="minorHAnsi"/>
          <w:sz w:val="24"/>
        </w:rPr>
      </w:pPr>
      <w:r w:rsidRPr="0073172D">
        <w:rPr>
          <w:rFonts w:asciiTheme="minorHAnsi" w:hAnsiTheme="minorHAnsi" w:cstheme="minorHAnsi"/>
          <w:sz w:val="24"/>
        </w:rPr>
        <w:t xml:space="preserve">After exclusion of </w:t>
      </w:r>
      <w:r w:rsidR="00BC2BDB" w:rsidRPr="0073172D">
        <w:rPr>
          <w:rFonts w:asciiTheme="minorHAnsi" w:hAnsiTheme="minorHAnsi" w:cstheme="minorHAnsi"/>
          <w:sz w:val="24"/>
        </w:rPr>
        <w:t>MCI cases</w:t>
      </w:r>
      <w:r w:rsidR="004075B8" w:rsidRPr="0073172D">
        <w:rPr>
          <w:rFonts w:asciiTheme="minorHAnsi" w:hAnsiTheme="minorHAnsi" w:cstheme="minorHAnsi"/>
          <w:sz w:val="24"/>
        </w:rPr>
        <w:t xml:space="preserve"> </w:t>
      </w:r>
      <w:r w:rsidR="002C425A" w:rsidRPr="0073172D">
        <w:rPr>
          <w:rFonts w:asciiTheme="minorHAnsi" w:hAnsiTheme="minorHAnsi" w:cstheme="minorHAnsi"/>
          <w:i/>
          <w:sz w:val="24"/>
        </w:rPr>
        <w:t>(N</w:t>
      </w:r>
      <w:r w:rsidR="00437760" w:rsidRPr="0073172D">
        <w:rPr>
          <w:rFonts w:asciiTheme="minorHAnsi" w:hAnsiTheme="minorHAnsi" w:cstheme="minorHAnsi"/>
          <w:i/>
          <w:sz w:val="24"/>
        </w:rPr>
        <w:t xml:space="preserve"> </w:t>
      </w:r>
      <w:r w:rsidR="002C425A" w:rsidRPr="0073172D">
        <w:rPr>
          <w:rFonts w:asciiTheme="minorHAnsi" w:hAnsiTheme="minorHAnsi" w:cstheme="minorHAnsi"/>
          <w:sz w:val="24"/>
        </w:rPr>
        <w:t>=</w:t>
      </w:r>
      <w:r w:rsidR="00437760" w:rsidRPr="0073172D">
        <w:rPr>
          <w:rFonts w:asciiTheme="minorHAnsi" w:hAnsiTheme="minorHAnsi" w:cstheme="minorHAnsi"/>
          <w:sz w:val="24"/>
        </w:rPr>
        <w:t xml:space="preserve"> </w:t>
      </w:r>
      <w:r w:rsidR="004075B8" w:rsidRPr="0073172D">
        <w:rPr>
          <w:rFonts w:asciiTheme="minorHAnsi" w:hAnsiTheme="minorHAnsi" w:cstheme="minorHAnsi"/>
          <w:sz w:val="24"/>
        </w:rPr>
        <w:t>22</w:t>
      </w:r>
      <w:r w:rsidR="002C425A" w:rsidRPr="0073172D">
        <w:rPr>
          <w:rFonts w:asciiTheme="minorHAnsi" w:hAnsiTheme="minorHAnsi" w:cstheme="minorHAnsi"/>
          <w:i/>
          <w:sz w:val="24"/>
        </w:rPr>
        <w:t>)</w:t>
      </w:r>
      <w:r w:rsidR="00BC2BDB" w:rsidRPr="0073172D">
        <w:rPr>
          <w:rFonts w:asciiTheme="minorHAnsi" w:hAnsiTheme="minorHAnsi" w:cstheme="minorHAnsi"/>
          <w:i/>
          <w:sz w:val="24"/>
        </w:rPr>
        <w:t>,</w:t>
      </w:r>
      <w:r w:rsidR="00BC2BDB" w:rsidRPr="0073172D">
        <w:rPr>
          <w:rFonts w:asciiTheme="minorHAnsi" w:hAnsiTheme="minorHAnsi" w:cstheme="minorHAnsi"/>
          <w:sz w:val="24"/>
        </w:rPr>
        <w:t xml:space="preserve"> </w:t>
      </w:r>
      <w:r w:rsidRPr="0073172D">
        <w:rPr>
          <w:rFonts w:asciiTheme="minorHAnsi" w:hAnsiTheme="minorHAnsi" w:cstheme="minorHAnsi"/>
          <w:sz w:val="24"/>
        </w:rPr>
        <w:t xml:space="preserve">post-imaging </w:t>
      </w:r>
      <w:r w:rsidR="00BC2BDB" w:rsidRPr="0073172D">
        <w:rPr>
          <w:rFonts w:asciiTheme="minorHAnsi" w:hAnsiTheme="minorHAnsi" w:cstheme="minorHAnsi"/>
          <w:sz w:val="24"/>
        </w:rPr>
        <w:t xml:space="preserve">diagnosis changed in 25/57 (44%) of cases in this sample. </w:t>
      </w:r>
      <w:r w:rsidR="004E50AE" w:rsidRPr="0073172D">
        <w:rPr>
          <w:rFonts w:asciiTheme="minorHAnsi" w:hAnsiTheme="minorHAnsi" w:cstheme="minorHAnsi"/>
          <w:sz w:val="24"/>
        </w:rPr>
        <w:t>Of these,</w:t>
      </w:r>
      <w:r w:rsidR="006361B6" w:rsidRPr="0073172D">
        <w:rPr>
          <w:rFonts w:asciiTheme="minorHAnsi" w:hAnsiTheme="minorHAnsi" w:cstheme="minorHAnsi"/>
          <w:sz w:val="24"/>
        </w:rPr>
        <w:t xml:space="preserve"> 16</w:t>
      </w:r>
      <w:r w:rsidR="009C4465" w:rsidRPr="0073172D">
        <w:rPr>
          <w:rFonts w:asciiTheme="minorHAnsi" w:hAnsiTheme="minorHAnsi" w:cstheme="minorHAnsi"/>
          <w:sz w:val="24"/>
        </w:rPr>
        <w:t xml:space="preserve"> moved between</w:t>
      </w:r>
      <w:r w:rsidR="00BC2BDB" w:rsidRPr="0073172D">
        <w:rPr>
          <w:rFonts w:asciiTheme="minorHAnsi" w:hAnsiTheme="minorHAnsi" w:cstheme="minorHAnsi"/>
          <w:sz w:val="24"/>
        </w:rPr>
        <w:t xml:space="preserve"> a</w:t>
      </w:r>
      <w:r w:rsidR="009C4465" w:rsidRPr="0073172D">
        <w:rPr>
          <w:rFonts w:asciiTheme="minorHAnsi" w:hAnsiTheme="minorHAnsi" w:cstheme="minorHAnsi"/>
          <w:sz w:val="24"/>
        </w:rPr>
        <w:t xml:space="preserve"> </w:t>
      </w:r>
      <w:r w:rsidR="003C5881" w:rsidRPr="0073172D">
        <w:rPr>
          <w:rFonts w:asciiTheme="minorHAnsi" w:hAnsiTheme="minorHAnsi" w:cstheme="minorHAnsi"/>
          <w:sz w:val="24"/>
        </w:rPr>
        <w:t>neurodegenerative</w:t>
      </w:r>
      <w:r w:rsidR="009C4465" w:rsidRPr="0073172D">
        <w:rPr>
          <w:rFonts w:asciiTheme="minorHAnsi" w:hAnsiTheme="minorHAnsi" w:cstheme="minorHAnsi"/>
          <w:sz w:val="24"/>
        </w:rPr>
        <w:t xml:space="preserve"> and</w:t>
      </w:r>
      <w:r w:rsidR="00BC2BDB" w:rsidRPr="0073172D">
        <w:rPr>
          <w:rFonts w:asciiTheme="minorHAnsi" w:hAnsiTheme="minorHAnsi" w:cstheme="minorHAnsi"/>
          <w:sz w:val="24"/>
        </w:rPr>
        <w:t xml:space="preserve"> </w:t>
      </w:r>
      <w:r w:rsidR="003C5881" w:rsidRPr="0073172D">
        <w:rPr>
          <w:rFonts w:asciiTheme="minorHAnsi" w:hAnsiTheme="minorHAnsi" w:cstheme="minorHAnsi"/>
          <w:sz w:val="24"/>
        </w:rPr>
        <w:t>non-neurodegenerative</w:t>
      </w:r>
      <w:r w:rsidR="00BC2BDB" w:rsidRPr="0073172D">
        <w:rPr>
          <w:rFonts w:asciiTheme="minorHAnsi" w:hAnsiTheme="minorHAnsi" w:cstheme="minorHAnsi"/>
          <w:sz w:val="24"/>
        </w:rPr>
        <w:t xml:space="preserve"> diagnosis</w:t>
      </w:r>
      <w:r w:rsidR="003C2E02" w:rsidRPr="0073172D">
        <w:rPr>
          <w:rFonts w:asciiTheme="minorHAnsi" w:hAnsiTheme="minorHAnsi" w:cstheme="minorHAnsi"/>
          <w:sz w:val="24"/>
        </w:rPr>
        <w:t xml:space="preserve"> category</w:t>
      </w:r>
      <w:r w:rsidR="00BC2BDB" w:rsidRPr="0073172D">
        <w:rPr>
          <w:rFonts w:asciiTheme="minorHAnsi" w:hAnsiTheme="minorHAnsi" w:cstheme="minorHAnsi"/>
          <w:sz w:val="24"/>
        </w:rPr>
        <w:t>.</w:t>
      </w:r>
    </w:p>
    <w:p w14:paraId="59A8DF45" w14:textId="2AE5C89E" w:rsidR="003A77E1" w:rsidRPr="00537443" w:rsidRDefault="00F670BE" w:rsidP="003A3A37">
      <w:pPr>
        <w:keepNext w:val="0"/>
        <w:keepLines w:val="0"/>
        <w:spacing w:line="480" w:lineRule="auto"/>
        <w:rPr>
          <w:rFonts w:asciiTheme="minorHAnsi" w:hAnsiTheme="minorHAnsi" w:cstheme="minorHAnsi"/>
          <w:color w:val="000000" w:themeColor="text1"/>
          <w:sz w:val="24"/>
        </w:rPr>
      </w:pPr>
      <w:r w:rsidRPr="0073172D">
        <w:rPr>
          <w:rFonts w:asciiTheme="minorHAnsi" w:hAnsiTheme="minorHAnsi" w:cstheme="minorHAnsi"/>
          <w:sz w:val="24"/>
        </w:rPr>
        <w:t>Whe</w:t>
      </w:r>
      <w:r w:rsidR="00FD300E" w:rsidRPr="0073172D">
        <w:rPr>
          <w:rFonts w:asciiTheme="minorHAnsi" w:hAnsiTheme="minorHAnsi" w:cstheme="minorHAnsi"/>
          <w:sz w:val="24"/>
        </w:rPr>
        <w:t xml:space="preserve">n diagnoses were grouped into neurodegenerative and non-neurodegenerative </w:t>
      </w:r>
      <w:r w:rsidR="003C2E02" w:rsidRPr="0073172D">
        <w:rPr>
          <w:rFonts w:asciiTheme="minorHAnsi" w:hAnsiTheme="minorHAnsi" w:cstheme="minorHAnsi"/>
          <w:sz w:val="24"/>
        </w:rPr>
        <w:t>categories</w:t>
      </w:r>
      <w:r w:rsidR="00532291" w:rsidRPr="0073172D">
        <w:rPr>
          <w:rFonts w:asciiTheme="minorHAnsi" w:hAnsiTheme="minorHAnsi" w:cstheme="minorHAnsi"/>
          <w:sz w:val="24"/>
        </w:rPr>
        <w:t xml:space="preserve"> (excluding MCI cases)</w:t>
      </w:r>
      <w:r w:rsidR="003C2E02" w:rsidRPr="0073172D">
        <w:rPr>
          <w:rFonts w:asciiTheme="minorHAnsi" w:hAnsiTheme="minorHAnsi" w:cstheme="minorHAnsi"/>
          <w:sz w:val="24"/>
        </w:rPr>
        <w:t xml:space="preserve">, </w:t>
      </w:r>
      <w:r w:rsidR="00FD300E" w:rsidRPr="0073172D">
        <w:rPr>
          <w:rFonts w:asciiTheme="minorHAnsi" w:hAnsiTheme="minorHAnsi" w:cstheme="minorHAnsi"/>
          <w:sz w:val="24"/>
        </w:rPr>
        <w:t>and</w:t>
      </w:r>
      <w:r w:rsidRPr="0073172D">
        <w:rPr>
          <w:rFonts w:asciiTheme="minorHAnsi" w:hAnsiTheme="minorHAnsi" w:cstheme="minorHAnsi"/>
          <w:sz w:val="24"/>
        </w:rPr>
        <w:t xml:space="preserve"> </w:t>
      </w:r>
      <w:r w:rsidR="006361B6" w:rsidRPr="0073172D">
        <w:rPr>
          <w:rFonts w:asciiTheme="minorHAnsi" w:hAnsiTheme="minorHAnsi" w:cstheme="minorHAnsi"/>
          <w:sz w:val="24"/>
        </w:rPr>
        <w:t>pre</w:t>
      </w:r>
      <w:r w:rsidR="003C2E02" w:rsidRPr="0073172D">
        <w:rPr>
          <w:rFonts w:asciiTheme="minorHAnsi" w:hAnsiTheme="minorHAnsi" w:cstheme="minorHAnsi"/>
          <w:sz w:val="24"/>
        </w:rPr>
        <w:t>- and post</w:t>
      </w:r>
      <w:r w:rsidR="006361B6" w:rsidRPr="0073172D">
        <w:rPr>
          <w:rFonts w:asciiTheme="minorHAnsi" w:hAnsiTheme="minorHAnsi" w:cstheme="minorHAnsi"/>
          <w:sz w:val="24"/>
        </w:rPr>
        <w:t>-imaging diagnosi</w:t>
      </w:r>
      <w:r w:rsidRPr="0073172D">
        <w:rPr>
          <w:rFonts w:asciiTheme="minorHAnsi" w:hAnsiTheme="minorHAnsi" w:cstheme="minorHAnsi"/>
          <w:sz w:val="24"/>
        </w:rPr>
        <w:t>s were compared,</w:t>
      </w:r>
      <w:r w:rsidR="00BC2BDB" w:rsidRPr="0073172D">
        <w:rPr>
          <w:rFonts w:asciiTheme="minorHAnsi" w:hAnsiTheme="minorHAnsi" w:cstheme="minorHAnsi"/>
          <w:sz w:val="24"/>
        </w:rPr>
        <w:t xml:space="preserve"> SPECT agreed with the pre-imaging diagnosis in 61% and disagreed in 39% of cases. When SPECT agreed with the pre-imaging diagnosis, </w:t>
      </w:r>
      <w:r w:rsidR="00995A58" w:rsidRPr="0073172D">
        <w:rPr>
          <w:rFonts w:asciiTheme="minorHAnsi" w:hAnsiTheme="minorHAnsi" w:cstheme="minorHAnsi"/>
          <w:sz w:val="24"/>
        </w:rPr>
        <w:t>diagnosis</w:t>
      </w:r>
      <w:r w:rsidR="00BC2BDB" w:rsidRPr="0073172D">
        <w:rPr>
          <w:rFonts w:asciiTheme="minorHAnsi" w:hAnsiTheme="minorHAnsi" w:cstheme="minorHAnsi"/>
          <w:sz w:val="24"/>
        </w:rPr>
        <w:t xml:space="preserve"> remained unchanged in 34/35 (97%) and changed in one case (3%). When </w:t>
      </w:r>
      <w:r w:rsidR="00346A26" w:rsidRPr="0073172D">
        <w:rPr>
          <w:rFonts w:asciiTheme="minorHAnsi" w:hAnsiTheme="minorHAnsi" w:cstheme="minorHAnsi"/>
          <w:sz w:val="24"/>
        </w:rPr>
        <w:t>SPECT</w:t>
      </w:r>
      <w:r w:rsidR="00BC2BDB" w:rsidRPr="0073172D">
        <w:rPr>
          <w:rFonts w:asciiTheme="minorHAnsi" w:hAnsiTheme="minorHAnsi" w:cstheme="minorHAnsi"/>
          <w:sz w:val="24"/>
        </w:rPr>
        <w:t xml:space="preserve"> disagreed with the pre-imaging diagnosis</w:t>
      </w:r>
      <w:r w:rsidR="00E827B4">
        <w:rPr>
          <w:rFonts w:asciiTheme="minorHAnsi" w:hAnsiTheme="minorHAnsi" w:cstheme="minorHAnsi"/>
          <w:sz w:val="24"/>
        </w:rPr>
        <w:t>,</w:t>
      </w:r>
      <w:r w:rsidR="00BC2BDB" w:rsidRPr="0073172D">
        <w:rPr>
          <w:rFonts w:asciiTheme="minorHAnsi" w:hAnsiTheme="minorHAnsi" w:cstheme="minorHAnsi"/>
          <w:sz w:val="24"/>
        </w:rPr>
        <w:t xml:space="preserve"> </w:t>
      </w:r>
      <w:r w:rsidR="00995A58" w:rsidRPr="0073172D">
        <w:rPr>
          <w:rFonts w:asciiTheme="minorHAnsi" w:hAnsiTheme="minorHAnsi" w:cstheme="minorHAnsi"/>
          <w:sz w:val="24"/>
        </w:rPr>
        <w:t>clinician</w:t>
      </w:r>
      <w:r w:rsidR="00BC2BDB" w:rsidRPr="0073172D">
        <w:rPr>
          <w:rFonts w:asciiTheme="minorHAnsi" w:hAnsiTheme="minorHAnsi" w:cstheme="minorHAnsi"/>
          <w:sz w:val="24"/>
        </w:rPr>
        <w:t xml:space="preserve"> diagnosis changed in 15/22 (68%) and remained unchanged in 7/22 </w:t>
      </w:r>
      <w:r w:rsidR="00BC2BDB" w:rsidRPr="00537443">
        <w:rPr>
          <w:rFonts w:asciiTheme="minorHAnsi" w:hAnsiTheme="minorHAnsi" w:cstheme="minorHAnsi"/>
          <w:color w:val="000000" w:themeColor="text1"/>
          <w:sz w:val="24"/>
        </w:rPr>
        <w:t>(32%).</w:t>
      </w:r>
      <w:bookmarkStart w:id="10" w:name="_Toc501374425"/>
    </w:p>
    <w:p w14:paraId="3E8A4451" w14:textId="77777777" w:rsidR="00BC2BDB" w:rsidRPr="00537443" w:rsidRDefault="00BC2BDB" w:rsidP="003A3A37">
      <w:pPr>
        <w:pStyle w:val="Heading3"/>
        <w:keepNext w:val="0"/>
        <w:numPr>
          <w:ilvl w:val="0"/>
          <w:numId w:val="0"/>
        </w:numPr>
        <w:spacing w:line="480" w:lineRule="auto"/>
        <w:rPr>
          <w:rFonts w:asciiTheme="minorHAnsi" w:hAnsiTheme="minorHAnsi" w:cstheme="minorHAnsi"/>
          <w:color w:val="000000" w:themeColor="text1"/>
          <w:sz w:val="24"/>
          <w:lang w:eastAsia="en-GB"/>
        </w:rPr>
      </w:pPr>
      <w:r w:rsidRPr="00537443">
        <w:rPr>
          <w:rFonts w:asciiTheme="minorHAnsi" w:hAnsiTheme="minorHAnsi" w:cstheme="minorHAnsi"/>
          <w:color w:val="000000" w:themeColor="text1"/>
          <w:sz w:val="24"/>
          <w:lang w:eastAsia="en-GB"/>
        </w:rPr>
        <w:t>Diagnostic confidence change</w:t>
      </w:r>
      <w:bookmarkEnd w:id="10"/>
    </w:p>
    <w:p w14:paraId="596BA0A1" w14:textId="66990BAB" w:rsidR="002956BA" w:rsidRPr="00537443" w:rsidRDefault="00131252" w:rsidP="003A3A37">
      <w:pPr>
        <w:keepNext w:val="0"/>
        <w:keepLines w:val="0"/>
        <w:spacing w:line="480" w:lineRule="auto"/>
        <w:rPr>
          <w:rFonts w:asciiTheme="minorHAnsi" w:hAnsiTheme="minorHAnsi" w:cstheme="minorHAnsi"/>
          <w:color w:val="000000" w:themeColor="text1"/>
          <w:sz w:val="24"/>
          <w:lang w:eastAsia="en-GB"/>
        </w:rPr>
      </w:pPr>
      <w:r w:rsidRPr="00537443">
        <w:rPr>
          <w:rFonts w:asciiTheme="minorHAnsi" w:hAnsiTheme="minorHAnsi" w:cstheme="minorHAnsi"/>
          <w:color w:val="000000" w:themeColor="text1"/>
          <w:sz w:val="24"/>
          <w:lang w:eastAsia="en-GB"/>
        </w:rPr>
        <w:t>Diagnostic</w:t>
      </w:r>
      <w:r w:rsidR="00DB554C" w:rsidRPr="00537443">
        <w:rPr>
          <w:rFonts w:asciiTheme="minorHAnsi" w:hAnsiTheme="minorHAnsi" w:cstheme="minorHAnsi"/>
          <w:color w:val="000000" w:themeColor="text1"/>
          <w:sz w:val="24"/>
          <w:lang w:eastAsia="en-GB"/>
        </w:rPr>
        <w:t xml:space="preserve"> </w:t>
      </w:r>
      <w:r w:rsidR="00BC2BDB" w:rsidRPr="00537443">
        <w:rPr>
          <w:rFonts w:asciiTheme="minorHAnsi" w:hAnsiTheme="minorHAnsi" w:cstheme="minorHAnsi"/>
          <w:color w:val="000000" w:themeColor="text1"/>
          <w:sz w:val="24"/>
          <w:lang w:eastAsia="en-GB"/>
        </w:rPr>
        <w:t xml:space="preserve">confidence was </w:t>
      </w:r>
      <w:r w:rsidRPr="00537443">
        <w:rPr>
          <w:rFonts w:asciiTheme="minorHAnsi" w:hAnsiTheme="minorHAnsi" w:cstheme="minorHAnsi"/>
          <w:color w:val="000000" w:themeColor="text1"/>
          <w:sz w:val="24"/>
          <w:lang w:eastAsia="en-GB"/>
        </w:rPr>
        <w:t xml:space="preserve">unchanged </w:t>
      </w:r>
      <w:r w:rsidR="00BC2BDB" w:rsidRPr="00537443">
        <w:rPr>
          <w:rFonts w:asciiTheme="minorHAnsi" w:hAnsiTheme="minorHAnsi" w:cstheme="minorHAnsi"/>
          <w:color w:val="000000" w:themeColor="text1"/>
          <w:sz w:val="24"/>
          <w:lang w:eastAsia="en-GB"/>
        </w:rPr>
        <w:t xml:space="preserve">between pre-imaging (mean </w:t>
      </w:r>
      <w:r w:rsidR="000D397B" w:rsidRPr="00537443">
        <w:rPr>
          <w:rFonts w:asciiTheme="minorHAnsi" w:hAnsiTheme="minorHAnsi" w:cstheme="minorHAnsi"/>
          <w:color w:val="000000" w:themeColor="text1"/>
          <w:sz w:val="24"/>
          <w:lang w:eastAsia="en-GB"/>
        </w:rPr>
        <w:t>VAS score</w:t>
      </w:r>
      <w:r w:rsidR="00437760" w:rsidRPr="00537443">
        <w:rPr>
          <w:rFonts w:asciiTheme="minorHAnsi" w:hAnsiTheme="minorHAnsi" w:cstheme="minorHAnsi"/>
          <w:color w:val="000000" w:themeColor="text1"/>
          <w:sz w:val="24"/>
          <w:lang w:eastAsia="en-GB"/>
        </w:rPr>
        <w:t xml:space="preserve"> </w:t>
      </w:r>
      <w:r w:rsidR="00BC2BDB" w:rsidRPr="00537443">
        <w:rPr>
          <w:rFonts w:asciiTheme="minorHAnsi" w:hAnsiTheme="minorHAnsi" w:cstheme="minorHAnsi"/>
          <w:color w:val="000000" w:themeColor="text1"/>
          <w:sz w:val="24"/>
          <w:lang w:eastAsia="en-GB"/>
        </w:rPr>
        <w:t>=</w:t>
      </w:r>
      <w:r w:rsidR="00437760" w:rsidRPr="00537443">
        <w:rPr>
          <w:rFonts w:asciiTheme="minorHAnsi" w:hAnsiTheme="minorHAnsi" w:cstheme="minorHAnsi"/>
          <w:color w:val="000000" w:themeColor="text1"/>
          <w:sz w:val="24"/>
          <w:lang w:eastAsia="en-GB"/>
        </w:rPr>
        <w:t xml:space="preserve"> </w:t>
      </w:r>
      <w:r w:rsidR="00BC2BDB" w:rsidRPr="00537443">
        <w:rPr>
          <w:rFonts w:asciiTheme="minorHAnsi" w:hAnsiTheme="minorHAnsi" w:cstheme="minorHAnsi"/>
          <w:color w:val="000000" w:themeColor="text1"/>
          <w:sz w:val="24"/>
          <w:lang w:eastAsia="en-GB"/>
        </w:rPr>
        <w:t>57.2, S.D</w:t>
      </w:r>
      <w:r w:rsidR="00437760" w:rsidRPr="00537443">
        <w:rPr>
          <w:rFonts w:asciiTheme="minorHAnsi" w:hAnsiTheme="minorHAnsi" w:cstheme="minorHAnsi"/>
          <w:color w:val="000000" w:themeColor="text1"/>
          <w:sz w:val="24"/>
          <w:lang w:eastAsia="en-GB"/>
        </w:rPr>
        <w:t xml:space="preserve"> </w:t>
      </w:r>
      <w:r w:rsidR="00BC2BDB" w:rsidRPr="00537443">
        <w:rPr>
          <w:rFonts w:asciiTheme="minorHAnsi" w:hAnsiTheme="minorHAnsi" w:cstheme="minorHAnsi"/>
          <w:color w:val="000000" w:themeColor="text1"/>
          <w:sz w:val="24"/>
          <w:lang w:eastAsia="en-GB"/>
        </w:rPr>
        <w:t>=</w:t>
      </w:r>
      <w:r w:rsidR="00437760" w:rsidRPr="00537443">
        <w:rPr>
          <w:rFonts w:asciiTheme="minorHAnsi" w:hAnsiTheme="minorHAnsi" w:cstheme="minorHAnsi"/>
          <w:color w:val="000000" w:themeColor="text1"/>
          <w:sz w:val="24"/>
          <w:lang w:eastAsia="en-GB"/>
        </w:rPr>
        <w:t xml:space="preserve"> </w:t>
      </w:r>
      <w:r w:rsidR="00BC2BDB" w:rsidRPr="00537443">
        <w:rPr>
          <w:rFonts w:asciiTheme="minorHAnsi" w:hAnsiTheme="minorHAnsi" w:cstheme="minorHAnsi"/>
          <w:color w:val="000000" w:themeColor="text1"/>
          <w:sz w:val="24"/>
          <w:lang w:eastAsia="en-GB"/>
        </w:rPr>
        <w:t>18.9) and post-imaging (mean</w:t>
      </w:r>
      <w:r w:rsidR="000D397B" w:rsidRPr="00537443">
        <w:rPr>
          <w:rFonts w:asciiTheme="minorHAnsi" w:hAnsiTheme="minorHAnsi" w:cstheme="minorHAnsi"/>
          <w:color w:val="000000" w:themeColor="text1"/>
          <w:sz w:val="24"/>
          <w:lang w:eastAsia="en-GB"/>
        </w:rPr>
        <w:t xml:space="preserve"> VAS score</w:t>
      </w:r>
      <w:r w:rsidR="00437760" w:rsidRPr="00537443">
        <w:rPr>
          <w:rFonts w:asciiTheme="minorHAnsi" w:hAnsiTheme="minorHAnsi" w:cstheme="minorHAnsi"/>
          <w:color w:val="000000" w:themeColor="text1"/>
          <w:sz w:val="24"/>
          <w:lang w:eastAsia="en-GB"/>
        </w:rPr>
        <w:t xml:space="preserve"> </w:t>
      </w:r>
      <w:r w:rsidR="00BC2BDB" w:rsidRPr="00537443">
        <w:rPr>
          <w:rFonts w:asciiTheme="minorHAnsi" w:hAnsiTheme="minorHAnsi" w:cstheme="minorHAnsi"/>
          <w:color w:val="000000" w:themeColor="text1"/>
          <w:sz w:val="24"/>
          <w:lang w:eastAsia="en-GB"/>
        </w:rPr>
        <w:t>=</w:t>
      </w:r>
      <w:r w:rsidR="00437760" w:rsidRPr="00537443">
        <w:rPr>
          <w:rFonts w:asciiTheme="minorHAnsi" w:hAnsiTheme="minorHAnsi" w:cstheme="minorHAnsi"/>
          <w:color w:val="000000" w:themeColor="text1"/>
          <w:sz w:val="24"/>
          <w:lang w:eastAsia="en-GB"/>
        </w:rPr>
        <w:t xml:space="preserve"> </w:t>
      </w:r>
      <w:r w:rsidR="00BC2BDB" w:rsidRPr="00537443">
        <w:rPr>
          <w:rFonts w:asciiTheme="minorHAnsi" w:hAnsiTheme="minorHAnsi" w:cstheme="minorHAnsi"/>
          <w:color w:val="000000" w:themeColor="text1"/>
          <w:sz w:val="24"/>
          <w:lang w:eastAsia="en-GB"/>
        </w:rPr>
        <w:t>61.6, S.D</w:t>
      </w:r>
      <w:r w:rsidR="00437760" w:rsidRPr="00537443">
        <w:rPr>
          <w:rFonts w:asciiTheme="minorHAnsi" w:hAnsiTheme="minorHAnsi" w:cstheme="minorHAnsi"/>
          <w:color w:val="000000" w:themeColor="text1"/>
          <w:sz w:val="24"/>
          <w:lang w:eastAsia="en-GB"/>
        </w:rPr>
        <w:t xml:space="preserve"> </w:t>
      </w:r>
      <w:r w:rsidR="00BC2BDB" w:rsidRPr="00537443">
        <w:rPr>
          <w:rFonts w:asciiTheme="minorHAnsi" w:hAnsiTheme="minorHAnsi" w:cstheme="minorHAnsi"/>
          <w:color w:val="000000" w:themeColor="text1"/>
          <w:sz w:val="24"/>
          <w:lang w:eastAsia="en-GB"/>
        </w:rPr>
        <w:t>=</w:t>
      </w:r>
      <w:r w:rsidR="00437760" w:rsidRPr="00537443">
        <w:rPr>
          <w:rFonts w:asciiTheme="minorHAnsi" w:hAnsiTheme="minorHAnsi" w:cstheme="minorHAnsi"/>
          <w:color w:val="000000" w:themeColor="text1"/>
          <w:sz w:val="24"/>
          <w:lang w:eastAsia="en-GB"/>
        </w:rPr>
        <w:t xml:space="preserve"> </w:t>
      </w:r>
      <w:r w:rsidR="00BC2BDB" w:rsidRPr="00537443">
        <w:rPr>
          <w:rFonts w:asciiTheme="minorHAnsi" w:hAnsiTheme="minorHAnsi" w:cstheme="minorHAnsi"/>
          <w:color w:val="000000" w:themeColor="text1"/>
          <w:sz w:val="24"/>
          <w:lang w:eastAsia="en-GB"/>
        </w:rPr>
        <w:t>22.5) questionnaires</w:t>
      </w:r>
      <w:r w:rsidR="00AB5C8F" w:rsidRPr="00537443">
        <w:rPr>
          <w:rFonts w:asciiTheme="minorHAnsi" w:hAnsiTheme="minorHAnsi" w:cstheme="minorHAnsi"/>
          <w:color w:val="000000" w:themeColor="text1"/>
          <w:sz w:val="24"/>
          <w:lang w:eastAsia="en-GB"/>
        </w:rPr>
        <w:t xml:space="preserve"> when compared</w:t>
      </w:r>
      <w:r w:rsidR="004D4A72" w:rsidRPr="00537443">
        <w:rPr>
          <w:rFonts w:asciiTheme="minorHAnsi" w:hAnsiTheme="minorHAnsi" w:cstheme="minorHAnsi"/>
          <w:color w:val="000000" w:themeColor="text1"/>
          <w:sz w:val="24"/>
          <w:lang w:eastAsia="en-GB"/>
        </w:rPr>
        <w:t xml:space="preserve"> </w:t>
      </w:r>
      <w:proofErr w:type="spellStart"/>
      <w:r w:rsidR="004D4A72" w:rsidRPr="00537443">
        <w:rPr>
          <w:rFonts w:asciiTheme="minorHAnsi" w:hAnsiTheme="minorHAnsi" w:cstheme="minorHAnsi"/>
          <w:color w:val="000000" w:themeColor="text1"/>
          <w:sz w:val="24"/>
          <w:lang w:eastAsia="en-GB"/>
        </w:rPr>
        <w:t>en</w:t>
      </w:r>
      <w:proofErr w:type="spellEnd"/>
      <w:r w:rsidR="004D4A72" w:rsidRPr="00537443">
        <w:rPr>
          <w:rFonts w:asciiTheme="minorHAnsi" w:hAnsiTheme="minorHAnsi" w:cstheme="minorHAnsi"/>
          <w:color w:val="000000" w:themeColor="text1"/>
          <w:sz w:val="24"/>
          <w:lang w:eastAsia="en-GB"/>
        </w:rPr>
        <w:t xml:space="preserve"> masse</w:t>
      </w:r>
      <w:r w:rsidR="00AB5C8F" w:rsidRPr="00537443">
        <w:rPr>
          <w:rFonts w:asciiTheme="minorHAnsi" w:hAnsiTheme="minorHAnsi" w:cstheme="minorHAnsi"/>
          <w:color w:val="000000" w:themeColor="text1"/>
          <w:sz w:val="24"/>
          <w:lang w:eastAsia="en-GB"/>
        </w:rPr>
        <w:t xml:space="preserve"> using a paired t-test</w:t>
      </w:r>
      <w:r w:rsidR="00BC2BDB" w:rsidRPr="00537443">
        <w:rPr>
          <w:rFonts w:asciiTheme="minorHAnsi" w:hAnsiTheme="minorHAnsi" w:cstheme="minorHAnsi"/>
          <w:color w:val="000000" w:themeColor="text1"/>
          <w:sz w:val="24"/>
          <w:lang w:eastAsia="en-GB"/>
        </w:rPr>
        <w:t xml:space="preserve"> (</w:t>
      </w:r>
      <w:r w:rsidR="00BC2BDB" w:rsidRPr="00537443">
        <w:rPr>
          <w:rFonts w:asciiTheme="minorHAnsi" w:hAnsiTheme="minorHAnsi" w:cstheme="minorHAnsi"/>
          <w:i/>
          <w:color w:val="000000" w:themeColor="text1"/>
          <w:sz w:val="24"/>
          <w:lang w:eastAsia="en-GB"/>
        </w:rPr>
        <w:t>p</w:t>
      </w:r>
      <w:r w:rsidR="00437760" w:rsidRPr="00537443">
        <w:rPr>
          <w:rFonts w:asciiTheme="minorHAnsi" w:hAnsiTheme="minorHAnsi" w:cstheme="minorHAnsi"/>
          <w:i/>
          <w:color w:val="000000" w:themeColor="text1"/>
          <w:sz w:val="24"/>
          <w:lang w:eastAsia="en-GB"/>
        </w:rPr>
        <w:t xml:space="preserve"> </w:t>
      </w:r>
      <w:r w:rsidR="00BC2BDB" w:rsidRPr="00537443">
        <w:rPr>
          <w:rFonts w:asciiTheme="minorHAnsi" w:hAnsiTheme="minorHAnsi" w:cstheme="minorHAnsi"/>
          <w:color w:val="000000" w:themeColor="text1"/>
          <w:sz w:val="24"/>
          <w:lang w:eastAsia="en-GB"/>
        </w:rPr>
        <w:t>&gt;</w:t>
      </w:r>
      <w:r w:rsidR="00437760" w:rsidRPr="00537443">
        <w:rPr>
          <w:rFonts w:asciiTheme="minorHAnsi" w:hAnsiTheme="minorHAnsi" w:cstheme="minorHAnsi"/>
          <w:color w:val="000000" w:themeColor="text1"/>
          <w:sz w:val="24"/>
          <w:lang w:eastAsia="en-GB"/>
        </w:rPr>
        <w:t xml:space="preserve"> </w:t>
      </w:r>
      <w:r w:rsidR="00BC2BDB" w:rsidRPr="00537443">
        <w:rPr>
          <w:rFonts w:asciiTheme="minorHAnsi" w:hAnsiTheme="minorHAnsi" w:cstheme="minorHAnsi"/>
          <w:color w:val="000000" w:themeColor="text1"/>
          <w:sz w:val="24"/>
          <w:lang w:eastAsia="en-GB"/>
        </w:rPr>
        <w:t>0.05).</w:t>
      </w:r>
      <w:r w:rsidR="002956BA" w:rsidRPr="00537443">
        <w:rPr>
          <w:rFonts w:asciiTheme="minorHAnsi" w:hAnsiTheme="minorHAnsi" w:cstheme="minorHAnsi"/>
          <w:color w:val="000000" w:themeColor="text1"/>
          <w:sz w:val="24"/>
          <w:lang w:eastAsia="en-GB"/>
        </w:rPr>
        <w:t xml:space="preserve"> </w:t>
      </w:r>
    </w:p>
    <w:p w14:paraId="10FE2C17" w14:textId="6DB4F40F" w:rsidR="00BC2BDB" w:rsidRPr="0073172D" w:rsidRDefault="00243165" w:rsidP="003A3A37">
      <w:pPr>
        <w:keepNext w:val="0"/>
        <w:keepLines w:val="0"/>
        <w:spacing w:line="480" w:lineRule="auto"/>
        <w:rPr>
          <w:rFonts w:asciiTheme="minorHAnsi" w:hAnsiTheme="minorHAnsi" w:cstheme="minorHAnsi"/>
          <w:sz w:val="24"/>
          <w:lang w:eastAsia="en-GB"/>
        </w:rPr>
      </w:pPr>
      <w:r w:rsidRPr="00537443">
        <w:rPr>
          <w:rFonts w:asciiTheme="minorHAnsi" w:hAnsiTheme="minorHAnsi" w:cstheme="minorHAnsi"/>
          <w:color w:val="000000" w:themeColor="text1"/>
          <w:sz w:val="24"/>
          <w:lang w:eastAsia="en-GB"/>
        </w:rPr>
        <w:t>W</w:t>
      </w:r>
      <w:r w:rsidR="00BC2BDB" w:rsidRPr="00537443">
        <w:rPr>
          <w:rFonts w:asciiTheme="minorHAnsi" w:hAnsiTheme="minorHAnsi" w:cstheme="minorHAnsi"/>
          <w:color w:val="000000" w:themeColor="text1"/>
          <w:sz w:val="24"/>
          <w:lang w:eastAsia="en-GB"/>
        </w:rPr>
        <w:t>hen subjects were grouped by pre-imaging diagnostic confidence</w:t>
      </w:r>
      <w:r w:rsidR="007B48BF" w:rsidRPr="00537443">
        <w:rPr>
          <w:rFonts w:asciiTheme="minorHAnsi" w:hAnsiTheme="minorHAnsi" w:cstheme="minorHAnsi"/>
          <w:color w:val="000000" w:themeColor="text1"/>
          <w:sz w:val="24"/>
          <w:lang w:eastAsia="en-GB"/>
        </w:rPr>
        <w:t>,</w:t>
      </w:r>
      <w:r w:rsidR="00BC2BDB" w:rsidRPr="00537443">
        <w:rPr>
          <w:rFonts w:asciiTheme="minorHAnsi" w:hAnsiTheme="minorHAnsi" w:cstheme="minorHAnsi"/>
          <w:color w:val="000000" w:themeColor="text1"/>
          <w:sz w:val="24"/>
          <w:lang w:eastAsia="en-GB"/>
        </w:rPr>
        <w:t xml:space="preserve"> clinician confidence was </w:t>
      </w:r>
      <w:r w:rsidR="00BC2BDB" w:rsidRPr="00537443">
        <w:rPr>
          <w:rFonts w:asciiTheme="minorHAnsi" w:hAnsiTheme="minorHAnsi" w:cstheme="minorHAnsi"/>
          <w:bCs/>
          <w:color w:val="000000" w:themeColor="text1"/>
          <w:sz w:val="24"/>
          <w:lang w:eastAsia="en-GB"/>
        </w:rPr>
        <w:t>significantly increased (mean</w:t>
      </w:r>
      <w:r w:rsidR="007B48BF" w:rsidRPr="00537443">
        <w:rPr>
          <w:rFonts w:asciiTheme="minorHAnsi" w:hAnsiTheme="minorHAnsi" w:cstheme="minorHAnsi"/>
          <w:bCs/>
          <w:color w:val="000000" w:themeColor="text1"/>
          <w:sz w:val="24"/>
          <w:lang w:eastAsia="en-GB"/>
        </w:rPr>
        <w:t xml:space="preserve"> </w:t>
      </w:r>
      <w:r w:rsidR="000D397B" w:rsidRPr="00537443">
        <w:rPr>
          <w:rFonts w:asciiTheme="minorHAnsi" w:hAnsiTheme="minorHAnsi" w:cstheme="minorHAnsi"/>
          <w:bCs/>
          <w:color w:val="000000" w:themeColor="text1"/>
          <w:sz w:val="24"/>
          <w:lang w:eastAsia="en-GB"/>
        </w:rPr>
        <w:t xml:space="preserve">VAS </w:t>
      </w:r>
      <w:r w:rsidR="007B48BF" w:rsidRPr="00537443">
        <w:rPr>
          <w:rFonts w:asciiTheme="minorHAnsi" w:hAnsiTheme="minorHAnsi" w:cstheme="minorHAnsi"/>
          <w:bCs/>
          <w:color w:val="000000" w:themeColor="text1"/>
          <w:sz w:val="24"/>
          <w:lang w:eastAsia="en-GB"/>
        </w:rPr>
        <w:t>change</w:t>
      </w:r>
      <w:r w:rsidR="00437760" w:rsidRPr="00537443">
        <w:rPr>
          <w:rFonts w:asciiTheme="minorHAnsi" w:hAnsiTheme="minorHAnsi" w:cstheme="minorHAnsi"/>
          <w:bCs/>
          <w:color w:val="000000" w:themeColor="text1"/>
          <w:sz w:val="24"/>
          <w:lang w:eastAsia="en-GB"/>
        </w:rPr>
        <w:t xml:space="preserve"> </w:t>
      </w:r>
      <w:r w:rsidR="00BC2BDB" w:rsidRPr="00537443">
        <w:rPr>
          <w:rFonts w:asciiTheme="minorHAnsi" w:hAnsiTheme="minorHAnsi" w:cstheme="minorHAnsi"/>
          <w:bCs/>
          <w:color w:val="000000" w:themeColor="text1"/>
          <w:sz w:val="24"/>
          <w:lang w:eastAsia="en-GB"/>
        </w:rPr>
        <w:t>=</w:t>
      </w:r>
      <w:r w:rsidR="00437760" w:rsidRPr="00537443">
        <w:rPr>
          <w:rFonts w:asciiTheme="minorHAnsi" w:hAnsiTheme="minorHAnsi" w:cstheme="minorHAnsi"/>
          <w:bCs/>
          <w:color w:val="000000" w:themeColor="text1"/>
          <w:sz w:val="24"/>
          <w:lang w:eastAsia="en-GB"/>
        </w:rPr>
        <w:t xml:space="preserve"> </w:t>
      </w:r>
      <w:r w:rsidR="00BC2BDB" w:rsidRPr="00537443">
        <w:rPr>
          <w:rFonts w:asciiTheme="minorHAnsi" w:hAnsiTheme="minorHAnsi" w:cstheme="minorHAnsi"/>
          <w:bCs/>
          <w:color w:val="000000" w:themeColor="text1"/>
          <w:sz w:val="24"/>
          <w:lang w:eastAsia="en-GB"/>
        </w:rPr>
        <w:t>+26.3,</w:t>
      </w:r>
      <w:r w:rsidR="00BC2BDB" w:rsidRPr="00537443">
        <w:rPr>
          <w:rFonts w:asciiTheme="minorHAnsi" w:hAnsiTheme="minorHAnsi" w:cstheme="minorHAnsi"/>
          <w:color w:val="000000" w:themeColor="text1"/>
          <w:sz w:val="24"/>
          <w:szCs w:val="20"/>
        </w:rPr>
        <w:t xml:space="preserve"> S.D</w:t>
      </w:r>
      <w:r w:rsidR="00437760" w:rsidRPr="00537443">
        <w:rPr>
          <w:rFonts w:asciiTheme="minorHAnsi" w:hAnsiTheme="minorHAnsi" w:cstheme="minorHAnsi"/>
          <w:color w:val="000000" w:themeColor="text1"/>
          <w:sz w:val="24"/>
          <w:szCs w:val="20"/>
        </w:rPr>
        <w:t xml:space="preserve"> </w:t>
      </w:r>
      <w:r w:rsidR="00BC2BDB" w:rsidRPr="00537443">
        <w:rPr>
          <w:rFonts w:asciiTheme="minorHAnsi" w:hAnsiTheme="minorHAnsi" w:cstheme="minorHAnsi"/>
          <w:color w:val="000000" w:themeColor="text1"/>
          <w:sz w:val="24"/>
          <w:szCs w:val="20"/>
        </w:rPr>
        <w:t>=</w:t>
      </w:r>
      <w:r w:rsidR="00437760" w:rsidRPr="00537443">
        <w:rPr>
          <w:rFonts w:asciiTheme="minorHAnsi" w:hAnsiTheme="minorHAnsi" w:cstheme="minorHAnsi"/>
          <w:color w:val="000000" w:themeColor="text1"/>
          <w:sz w:val="24"/>
          <w:szCs w:val="20"/>
        </w:rPr>
        <w:t xml:space="preserve"> </w:t>
      </w:r>
      <w:r w:rsidR="00BC2BDB" w:rsidRPr="00537443">
        <w:rPr>
          <w:rFonts w:asciiTheme="minorHAnsi" w:hAnsiTheme="minorHAnsi" w:cstheme="minorHAnsi"/>
          <w:bCs/>
          <w:color w:val="000000" w:themeColor="text1"/>
          <w:sz w:val="24"/>
          <w:lang w:eastAsia="en-GB"/>
        </w:rPr>
        <w:t>22.2</w:t>
      </w:r>
      <w:r w:rsidR="007B48BF" w:rsidRPr="00537443">
        <w:rPr>
          <w:rFonts w:asciiTheme="minorHAnsi" w:hAnsiTheme="minorHAnsi" w:cstheme="minorHAnsi"/>
          <w:bCs/>
          <w:color w:val="000000" w:themeColor="text1"/>
          <w:sz w:val="24"/>
          <w:lang w:eastAsia="en-GB"/>
        </w:rPr>
        <w:t>,</w:t>
      </w:r>
      <w:r w:rsidR="007B48BF" w:rsidRPr="00537443">
        <w:rPr>
          <w:rFonts w:asciiTheme="minorHAnsi" w:hAnsiTheme="minorHAnsi" w:cstheme="minorHAnsi"/>
          <w:bCs/>
          <w:i/>
          <w:color w:val="000000" w:themeColor="text1"/>
          <w:sz w:val="24"/>
          <w:lang w:eastAsia="en-GB"/>
        </w:rPr>
        <w:t xml:space="preserve"> p</w:t>
      </w:r>
      <w:r w:rsidR="007B48BF" w:rsidRPr="00537443">
        <w:rPr>
          <w:rFonts w:asciiTheme="minorHAnsi" w:hAnsiTheme="minorHAnsi" w:cstheme="minorHAnsi"/>
          <w:bCs/>
          <w:color w:val="000000" w:themeColor="text1"/>
          <w:sz w:val="24"/>
          <w:lang w:eastAsia="en-GB"/>
        </w:rPr>
        <w:t>&lt;0.001</w:t>
      </w:r>
      <w:r w:rsidR="00BC2BDB" w:rsidRPr="00537443">
        <w:rPr>
          <w:rFonts w:asciiTheme="minorHAnsi" w:hAnsiTheme="minorHAnsi" w:cstheme="minorHAnsi"/>
          <w:bCs/>
          <w:color w:val="000000" w:themeColor="text1"/>
          <w:sz w:val="24"/>
          <w:lang w:eastAsia="en-GB"/>
        </w:rPr>
        <w:t xml:space="preserve">) after imaging in </w:t>
      </w:r>
      <w:r w:rsidR="00D632DB" w:rsidRPr="00537443">
        <w:rPr>
          <w:rFonts w:asciiTheme="minorHAnsi" w:hAnsiTheme="minorHAnsi" w:cstheme="minorHAnsi"/>
          <w:bCs/>
          <w:color w:val="000000" w:themeColor="text1"/>
          <w:sz w:val="24"/>
          <w:lang w:eastAsia="en-GB"/>
        </w:rPr>
        <w:t xml:space="preserve">the </w:t>
      </w:r>
      <w:r w:rsidR="000E5F90" w:rsidRPr="00537443">
        <w:rPr>
          <w:rFonts w:asciiTheme="minorHAnsi" w:hAnsiTheme="minorHAnsi" w:cstheme="minorHAnsi"/>
          <w:bCs/>
          <w:color w:val="000000" w:themeColor="text1"/>
          <w:sz w:val="24"/>
          <w:lang w:eastAsia="en-GB"/>
        </w:rPr>
        <w:t>2</w:t>
      </w:r>
      <w:r w:rsidR="00D632DB" w:rsidRPr="00537443">
        <w:rPr>
          <w:rFonts w:asciiTheme="minorHAnsi" w:hAnsiTheme="minorHAnsi" w:cstheme="minorHAnsi"/>
          <w:bCs/>
          <w:color w:val="000000" w:themeColor="text1"/>
          <w:sz w:val="24"/>
          <w:lang w:eastAsia="en-GB"/>
        </w:rPr>
        <w:t xml:space="preserve">6 </w:t>
      </w:r>
      <w:r w:rsidR="00BC2BDB" w:rsidRPr="00537443">
        <w:rPr>
          <w:rFonts w:asciiTheme="minorHAnsi" w:hAnsiTheme="minorHAnsi" w:cstheme="minorHAnsi"/>
          <w:bCs/>
          <w:color w:val="000000" w:themeColor="text1"/>
          <w:sz w:val="24"/>
          <w:lang w:eastAsia="en-GB"/>
        </w:rPr>
        <w:t>cases where the pre-imaging confidence was low</w:t>
      </w:r>
      <w:r w:rsidR="00BC2BDB" w:rsidRPr="00537443">
        <w:rPr>
          <w:rFonts w:asciiTheme="minorHAnsi" w:hAnsiTheme="minorHAnsi" w:cstheme="minorHAnsi"/>
          <w:color w:val="000000" w:themeColor="text1"/>
          <w:sz w:val="24"/>
          <w:lang w:eastAsia="en-GB"/>
        </w:rPr>
        <w:t xml:space="preserve"> (</w:t>
      </w:r>
      <w:r w:rsidR="00357B27" w:rsidRPr="00537443">
        <w:rPr>
          <w:rFonts w:asciiTheme="minorHAnsi" w:hAnsiTheme="minorHAnsi" w:cstheme="minorHAnsi"/>
          <w:color w:val="000000" w:themeColor="text1"/>
          <w:sz w:val="24"/>
          <w:lang w:eastAsia="en-GB"/>
        </w:rPr>
        <w:t>VAS score</w:t>
      </w:r>
      <w:r w:rsidR="00BC2BDB" w:rsidRPr="00537443">
        <w:rPr>
          <w:rFonts w:asciiTheme="minorHAnsi" w:hAnsiTheme="minorHAnsi" w:cstheme="minorHAnsi"/>
          <w:color w:val="000000" w:themeColor="text1"/>
          <w:sz w:val="24"/>
          <w:lang w:eastAsia="en-GB"/>
        </w:rPr>
        <w:t>&lt;50</w:t>
      </w:r>
      <w:r w:rsidRPr="00537443">
        <w:rPr>
          <w:rFonts w:asciiTheme="minorHAnsi" w:hAnsiTheme="minorHAnsi" w:cstheme="minorHAnsi"/>
          <w:bCs/>
          <w:color w:val="000000" w:themeColor="text1"/>
          <w:sz w:val="24"/>
          <w:lang w:eastAsia="en-GB"/>
        </w:rPr>
        <w:t>)</w:t>
      </w:r>
      <w:r w:rsidR="00BC2BDB" w:rsidRPr="00537443">
        <w:rPr>
          <w:rFonts w:asciiTheme="minorHAnsi" w:hAnsiTheme="minorHAnsi" w:cstheme="minorHAnsi"/>
          <w:bCs/>
          <w:color w:val="000000" w:themeColor="text1"/>
          <w:sz w:val="24"/>
          <w:lang w:eastAsia="en-GB"/>
        </w:rPr>
        <w:t xml:space="preserve">. </w:t>
      </w:r>
      <w:r w:rsidR="00BC2BDB" w:rsidRPr="00537443">
        <w:rPr>
          <w:rFonts w:asciiTheme="minorHAnsi" w:hAnsiTheme="minorHAnsi" w:cstheme="minorHAnsi"/>
          <w:color w:val="000000" w:themeColor="text1"/>
          <w:sz w:val="24"/>
          <w:lang w:eastAsia="en-GB"/>
        </w:rPr>
        <w:t xml:space="preserve">Clinician confidence was </w:t>
      </w:r>
      <w:r w:rsidR="00BC2BDB" w:rsidRPr="0073172D">
        <w:rPr>
          <w:rFonts w:asciiTheme="minorHAnsi" w:hAnsiTheme="minorHAnsi" w:cstheme="minorHAnsi"/>
          <w:bCs/>
          <w:sz w:val="24"/>
          <w:lang w:eastAsia="en-GB"/>
        </w:rPr>
        <w:t>not significantly different after imaging when pre-imaging confidence was moderate to high</w:t>
      </w:r>
      <w:r w:rsidR="00BC2BDB" w:rsidRPr="0073172D">
        <w:rPr>
          <w:rFonts w:asciiTheme="minorHAnsi" w:hAnsiTheme="minorHAnsi" w:cstheme="minorHAnsi"/>
          <w:sz w:val="24"/>
          <w:lang w:eastAsia="en-GB"/>
        </w:rPr>
        <w:t xml:space="preserve"> </w:t>
      </w:r>
      <w:r w:rsidR="00BC2BDB" w:rsidRPr="0073172D">
        <w:rPr>
          <w:rFonts w:asciiTheme="minorHAnsi" w:hAnsiTheme="minorHAnsi" w:cstheme="minorHAnsi"/>
          <w:i/>
          <w:sz w:val="24"/>
          <w:lang w:eastAsia="en-GB"/>
        </w:rPr>
        <w:t>(</w:t>
      </w:r>
      <w:r w:rsidR="004075B8" w:rsidRPr="0073172D">
        <w:rPr>
          <w:rFonts w:asciiTheme="minorHAnsi" w:hAnsiTheme="minorHAnsi" w:cstheme="minorHAnsi"/>
          <w:i/>
          <w:sz w:val="24"/>
          <w:lang w:eastAsia="en-GB"/>
        </w:rPr>
        <w:t>N</w:t>
      </w:r>
      <w:r w:rsidR="00437760" w:rsidRPr="0073172D">
        <w:rPr>
          <w:rFonts w:asciiTheme="minorHAnsi" w:hAnsiTheme="minorHAnsi" w:cstheme="minorHAnsi"/>
          <w:i/>
          <w:sz w:val="24"/>
          <w:lang w:eastAsia="en-GB"/>
        </w:rPr>
        <w:t xml:space="preserve"> </w:t>
      </w:r>
      <w:r w:rsidR="004075B8" w:rsidRPr="0073172D">
        <w:rPr>
          <w:rFonts w:asciiTheme="minorHAnsi" w:hAnsiTheme="minorHAnsi" w:cstheme="minorHAnsi"/>
          <w:sz w:val="24"/>
          <w:lang w:eastAsia="en-GB"/>
        </w:rPr>
        <w:t>=</w:t>
      </w:r>
      <w:r w:rsidR="00437760" w:rsidRPr="0073172D">
        <w:rPr>
          <w:rFonts w:asciiTheme="minorHAnsi" w:hAnsiTheme="minorHAnsi" w:cstheme="minorHAnsi"/>
          <w:sz w:val="24"/>
          <w:lang w:eastAsia="en-GB"/>
        </w:rPr>
        <w:t xml:space="preserve"> </w:t>
      </w:r>
      <w:r w:rsidR="004075B8" w:rsidRPr="0073172D">
        <w:rPr>
          <w:rFonts w:asciiTheme="minorHAnsi" w:hAnsiTheme="minorHAnsi" w:cstheme="minorHAnsi"/>
          <w:sz w:val="24"/>
          <w:lang w:eastAsia="en-GB"/>
        </w:rPr>
        <w:t>53</w:t>
      </w:r>
      <w:r w:rsidR="00D632DB" w:rsidRPr="0073172D">
        <w:rPr>
          <w:rFonts w:asciiTheme="minorHAnsi" w:hAnsiTheme="minorHAnsi" w:cstheme="minorHAnsi"/>
          <w:i/>
          <w:sz w:val="24"/>
          <w:lang w:eastAsia="en-GB"/>
        </w:rPr>
        <w:t>,</w:t>
      </w:r>
      <w:r w:rsidR="00D632DB" w:rsidRPr="0073172D">
        <w:rPr>
          <w:rFonts w:asciiTheme="minorHAnsi" w:hAnsiTheme="minorHAnsi" w:cstheme="minorHAnsi"/>
          <w:sz w:val="24"/>
          <w:lang w:eastAsia="en-GB"/>
        </w:rPr>
        <w:t xml:space="preserve"> </w:t>
      </w:r>
      <w:r w:rsidR="00357B27" w:rsidRPr="0073172D">
        <w:rPr>
          <w:rFonts w:asciiTheme="minorHAnsi" w:hAnsiTheme="minorHAnsi" w:cstheme="minorHAnsi"/>
          <w:sz w:val="24"/>
          <w:lang w:eastAsia="en-GB"/>
        </w:rPr>
        <w:t>VAS score</w:t>
      </w:r>
      <w:r w:rsidR="00437760" w:rsidRPr="0073172D">
        <w:rPr>
          <w:rFonts w:asciiTheme="minorHAnsi" w:hAnsiTheme="minorHAnsi" w:cstheme="minorHAnsi"/>
          <w:sz w:val="24"/>
          <w:lang w:eastAsia="en-GB"/>
        </w:rPr>
        <w:t xml:space="preserve"> </w:t>
      </w:r>
      <w:r w:rsidR="00BC2BDB" w:rsidRPr="0073172D">
        <w:rPr>
          <w:rFonts w:asciiTheme="minorHAnsi" w:hAnsiTheme="minorHAnsi" w:cstheme="minorHAnsi"/>
          <w:sz w:val="24"/>
          <w:lang w:eastAsia="en-GB"/>
        </w:rPr>
        <w:t>&gt;</w:t>
      </w:r>
      <w:r w:rsidR="00437760" w:rsidRPr="0073172D">
        <w:rPr>
          <w:rFonts w:asciiTheme="minorHAnsi" w:hAnsiTheme="minorHAnsi" w:cstheme="minorHAnsi"/>
          <w:sz w:val="24"/>
          <w:lang w:eastAsia="en-GB"/>
        </w:rPr>
        <w:t xml:space="preserve"> </w:t>
      </w:r>
      <w:r w:rsidR="00BC2BDB" w:rsidRPr="0073172D">
        <w:rPr>
          <w:rFonts w:asciiTheme="minorHAnsi" w:hAnsiTheme="minorHAnsi" w:cstheme="minorHAnsi"/>
          <w:sz w:val="24"/>
          <w:lang w:eastAsia="en-GB"/>
        </w:rPr>
        <w:t xml:space="preserve">50; </w:t>
      </w:r>
      <w:r w:rsidR="00BC2BDB" w:rsidRPr="0073172D">
        <w:rPr>
          <w:rFonts w:asciiTheme="minorHAnsi" w:hAnsiTheme="minorHAnsi" w:cstheme="minorHAnsi"/>
          <w:bCs/>
          <w:sz w:val="24"/>
          <w:lang w:eastAsia="en-GB"/>
        </w:rPr>
        <w:t>mean</w:t>
      </w:r>
      <w:r w:rsidR="007B48BF" w:rsidRPr="0073172D">
        <w:rPr>
          <w:rFonts w:asciiTheme="minorHAnsi" w:hAnsiTheme="minorHAnsi" w:cstheme="minorHAnsi"/>
          <w:bCs/>
          <w:sz w:val="24"/>
          <w:lang w:eastAsia="en-GB"/>
        </w:rPr>
        <w:t xml:space="preserve"> </w:t>
      </w:r>
      <w:r w:rsidR="00357B27" w:rsidRPr="0073172D">
        <w:rPr>
          <w:rFonts w:asciiTheme="minorHAnsi" w:hAnsiTheme="minorHAnsi" w:cstheme="minorHAnsi"/>
          <w:bCs/>
          <w:sz w:val="24"/>
          <w:lang w:eastAsia="en-GB"/>
        </w:rPr>
        <w:t xml:space="preserve">VAS </w:t>
      </w:r>
      <w:r w:rsidR="007B48BF" w:rsidRPr="0073172D">
        <w:rPr>
          <w:rFonts w:asciiTheme="minorHAnsi" w:hAnsiTheme="minorHAnsi" w:cstheme="minorHAnsi"/>
          <w:bCs/>
          <w:sz w:val="24"/>
          <w:lang w:eastAsia="en-GB"/>
        </w:rPr>
        <w:t>change</w:t>
      </w:r>
      <w:r w:rsidR="00437760" w:rsidRPr="0073172D">
        <w:rPr>
          <w:rFonts w:asciiTheme="minorHAnsi" w:hAnsiTheme="minorHAnsi" w:cstheme="minorHAnsi"/>
          <w:bCs/>
          <w:sz w:val="24"/>
          <w:lang w:eastAsia="en-GB"/>
        </w:rPr>
        <w:t xml:space="preserve"> </w:t>
      </w:r>
      <w:r w:rsidR="00BC2BDB" w:rsidRPr="0073172D">
        <w:rPr>
          <w:rFonts w:asciiTheme="minorHAnsi" w:hAnsiTheme="minorHAnsi" w:cstheme="minorHAnsi"/>
          <w:bCs/>
          <w:sz w:val="24"/>
          <w:lang w:eastAsia="en-GB"/>
        </w:rPr>
        <w:t>=</w:t>
      </w:r>
      <w:r w:rsidR="00437760" w:rsidRPr="0073172D">
        <w:rPr>
          <w:rFonts w:asciiTheme="minorHAnsi" w:hAnsiTheme="minorHAnsi" w:cstheme="minorHAnsi"/>
          <w:bCs/>
          <w:sz w:val="24"/>
          <w:lang w:eastAsia="en-GB"/>
        </w:rPr>
        <w:t xml:space="preserve"> </w:t>
      </w:r>
      <w:r w:rsidR="00BC2BDB" w:rsidRPr="0073172D">
        <w:rPr>
          <w:rFonts w:asciiTheme="minorHAnsi" w:hAnsiTheme="minorHAnsi" w:cstheme="minorHAnsi"/>
          <w:bCs/>
          <w:sz w:val="24"/>
          <w:lang w:eastAsia="en-GB"/>
        </w:rPr>
        <w:t>-6.6,</w:t>
      </w:r>
      <w:r w:rsidR="00BC2BDB" w:rsidRPr="0073172D">
        <w:rPr>
          <w:rFonts w:asciiTheme="minorHAnsi" w:hAnsiTheme="minorHAnsi" w:cstheme="minorHAnsi"/>
          <w:sz w:val="24"/>
          <w:szCs w:val="20"/>
        </w:rPr>
        <w:t xml:space="preserve"> S.D</w:t>
      </w:r>
      <w:r w:rsidR="00437760" w:rsidRPr="0073172D">
        <w:rPr>
          <w:rFonts w:asciiTheme="minorHAnsi" w:hAnsiTheme="minorHAnsi" w:cstheme="minorHAnsi"/>
          <w:sz w:val="24"/>
          <w:szCs w:val="20"/>
        </w:rPr>
        <w:t xml:space="preserve"> </w:t>
      </w:r>
      <w:r w:rsidR="00BC2BDB" w:rsidRPr="0073172D">
        <w:rPr>
          <w:rFonts w:asciiTheme="minorHAnsi" w:hAnsiTheme="minorHAnsi" w:cstheme="minorHAnsi"/>
          <w:bCs/>
          <w:sz w:val="24"/>
          <w:lang w:eastAsia="en-GB"/>
        </w:rPr>
        <w:t>=</w:t>
      </w:r>
      <w:r w:rsidR="00437760" w:rsidRPr="0073172D">
        <w:rPr>
          <w:rFonts w:asciiTheme="minorHAnsi" w:hAnsiTheme="minorHAnsi" w:cstheme="minorHAnsi"/>
          <w:bCs/>
          <w:sz w:val="24"/>
          <w:lang w:eastAsia="en-GB"/>
        </w:rPr>
        <w:t xml:space="preserve"> </w:t>
      </w:r>
      <w:r w:rsidR="00BC2BDB" w:rsidRPr="0073172D">
        <w:rPr>
          <w:rFonts w:asciiTheme="minorHAnsi" w:hAnsiTheme="minorHAnsi" w:cstheme="minorHAnsi"/>
          <w:bCs/>
          <w:sz w:val="24"/>
          <w:lang w:eastAsia="en-GB"/>
        </w:rPr>
        <w:t>25.5</w:t>
      </w:r>
      <w:r w:rsidR="00BC2BDB" w:rsidRPr="0073172D">
        <w:rPr>
          <w:rFonts w:asciiTheme="minorHAnsi" w:hAnsiTheme="minorHAnsi" w:cstheme="minorHAnsi"/>
          <w:sz w:val="24"/>
          <w:lang w:eastAsia="en-GB"/>
        </w:rPr>
        <w:t xml:space="preserve">) </w:t>
      </w:r>
      <w:r w:rsidR="00BC2BDB" w:rsidRPr="0073172D">
        <w:rPr>
          <w:rFonts w:asciiTheme="minorHAnsi" w:hAnsiTheme="minorHAnsi" w:cstheme="minorHAnsi"/>
          <w:bCs/>
          <w:i/>
          <w:sz w:val="24"/>
          <w:lang w:eastAsia="en-GB"/>
        </w:rPr>
        <w:t>p</w:t>
      </w:r>
      <w:r w:rsidR="00437760" w:rsidRPr="0073172D">
        <w:rPr>
          <w:rFonts w:asciiTheme="minorHAnsi" w:hAnsiTheme="minorHAnsi" w:cstheme="minorHAnsi"/>
          <w:bCs/>
          <w:i/>
          <w:sz w:val="24"/>
          <w:lang w:eastAsia="en-GB"/>
        </w:rPr>
        <w:t xml:space="preserve"> </w:t>
      </w:r>
      <w:r w:rsidR="00BC2BDB" w:rsidRPr="0073172D">
        <w:rPr>
          <w:rFonts w:asciiTheme="minorHAnsi" w:hAnsiTheme="minorHAnsi" w:cstheme="minorHAnsi"/>
          <w:bCs/>
          <w:sz w:val="24"/>
          <w:lang w:eastAsia="en-GB"/>
        </w:rPr>
        <w:t>&gt;</w:t>
      </w:r>
      <w:r w:rsidR="00437760" w:rsidRPr="0073172D">
        <w:rPr>
          <w:rFonts w:asciiTheme="minorHAnsi" w:hAnsiTheme="minorHAnsi" w:cstheme="minorHAnsi"/>
          <w:bCs/>
          <w:sz w:val="24"/>
          <w:lang w:eastAsia="en-GB"/>
        </w:rPr>
        <w:t xml:space="preserve"> </w:t>
      </w:r>
      <w:r w:rsidR="00BC2BDB" w:rsidRPr="0073172D">
        <w:rPr>
          <w:rFonts w:asciiTheme="minorHAnsi" w:hAnsiTheme="minorHAnsi" w:cstheme="minorHAnsi"/>
          <w:bCs/>
          <w:sz w:val="24"/>
          <w:lang w:eastAsia="en-GB"/>
        </w:rPr>
        <w:t>0.05</w:t>
      </w:r>
      <w:r w:rsidR="00BC2BDB" w:rsidRPr="0073172D">
        <w:rPr>
          <w:rFonts w:asciiTheme="minorHAnsi" w:hAnsiTheme="minorHAnsi" w:cstheme="minorHAnsi"/>
          <w:sz w:val="24"/>
          <w:lang w:eastAsia="en-GB"/>
        </w:rPr>
        <w:t xml:space="preserve"> </w:t>
      </w:r>
      <w:r w:rsidR="00F621FD" w:rsidRPr="0073172D">
        <w:rPr>
          <w:rFonts w:asciiTheme="minorHAnsi" w:hAnsiTheme="minorHAnsi" w:cstheme="minorHAnsi"/>
          <w:sz w:val="24"/>
          <w:lang w:eastAsia="en-GB"/>
        </w:rPr>
        <w:lastRenderedPageBreak/>
        <w:t>(</w:t>
      </w:r>
      <w:r w:rsidR="008A2F9B" w:rsidRPr="0073172D">
        <w:rPr>
          <w:rFonts w:asciiTheme="minorHAnsi" w:hAnsiTheme="minorHAnsi" w:cstheme="minorHAnsi"/>
          <w:sz w:val="24"/>
          <w:lang w:eastAsia="en-GB"/>
        </w:rPr>
        <w:t xml:space="preserve">Figure </w:t>
      </w:r>
      <w:r w:rsidR="003C3EC9" w:rsidRPr="0073172D">
        <w:rPr>
          <w:rFonts w:asciiTheme="minorHAnsi" w:hAnsiTheme="minorHAnsi" w:cstheme="minorHAnsi"/>
          <w:sz w:val="24"/>
          <w:lang w:eastAsia="en-GB"/>
        </w:rPr>
        <w:t>3</w:t>
      </w:r>
      <w:r w:rsidR="00F621FD" w:rsidRPr="0073172D">
        <w:rPr>
          <w:rFonts w:asciiTheme="minorHAnsi" w:hAnsiTheme="minorHAnsi" w:cstheme="minorHAnsi"/>
          <w:sz w:val="24"/>
          <w:lang w:eastAsia="en-GB"/>
        </w:rPr>
        <w:t>,</w:t>
      </w:r>
      <w:r w:rsidR="00195AA2" w:rsidRPr="0073172D">
        <w:rPr>
          <w:rFonts w:asciiTheme="minorHAnsi" w:hAnsiTheme="minorHAnsi" w:cstheme="minorHAnsi"/>
          <w:sz w:val="24"/>
          <w:lang w:eastAsia="en-GB"/>
        </w:rPr>
        <w:t xml:space="preserve"> Table 1</w:t>
      </w:r>
      <w:r w:rsidR="00F621FD" w:rsidRPr="0073172D">
        <w:rPr>
          <w:rFonts w:asciiTheme="minorHAnsi" w:hAnsiTheme="minorHAnsi" w:cstheme="minorHAnsi"/>
          <w:sz w:val="24"/>
          <w:lang w:eastAsia="en-GB"/>
        </w:rPr>
        <w:t>).</w:t>
      </w:r>
      <w:r w:rsidR="007B48BF" w:rsidRPr="0073172D">
        <w:rPr>
          <w:rFonts w:asciiTheme="minorHAnsi" w:hAnsiTheme="minorHAnsi" w:cstheme="minorHAnsi"/>
          <w:sz w:val="24"/>
          <w:lang w:eastAsia="en-GB"/>
        </w:rPr>
        <w:t xml:space="preserve"> Those with very high pre-imaging confidence </w:t>
      </w:r>
      <w:r w:rsidR="007B48BF" w:rsidRPr="0073172D">
        <w:rPr>
          <w:rFonts w:asciiTheme="minorHAnsi" w:hAnsiTheme="minorHAnsi" w:cstheme="minorHAnsi"/>
          <w:i/>
          <w:sz w:val="24"/>
          <w:lang w:eastAsia="en-GB"/>
        </w:rPr>
        <w:t>(</w:t>
      </w:r>
      <w:r w:rsidR="004075B8" w:rsidRPr="0073172D">
        <w:rPr>
          <w:rFonts w:asciiTheme="minorHAnsi" w:hAnsiTheme="minorHAnsi" w:cstheme="minorHAnsi"/>
          <w:i/>
          <w:sz w:val="24"/>
          <w:lang w:eastAsia="en-GB"/>
        </w:rPr>
        <w:t>N</w:t>
      </w:r>
      <w:r w:rsidR="00437760" w:rsidRPr="0073172D">
        <w:rPr>
          <w:rFonts w:asciiTheme="minorHAnsi" w:hAnsiTheme="minorHAnsi" w:cstheme="minorHAnsi"/>
          <w:i/>
          <w:sz w:val="24"/>
          <w:lang w:eastAsia="en-GB"/>
        </w:rPr>
        <w:t xml:space="preserve"> </w:t>
      </w:r>
      <w:r w:rsidR="004075B8" w:rsidRPr="0073172D">
        <w:rPr>
          <w:rFonts w:asciiTheme="minorHAnsi" w:hAnsiTheme="minorHAnsi" w:cstheme="minorHAnsi"/>
          <w:sz w:val="24"/>
          <w:lang w:eastAsia="en-GB"/>
        </w:rPr>
        <w:t>=</w:t>
      </w:r>
      <w:r w:rsidR="00437760" w:rsidRPr="0073172D">
        <w:rPr>
          <w:rFonts w:asciiTheme="minorHAnsi" w:hAnsiTheme="minorHAnsi" w:cstheme="minorHAnsi"/>
          <w:sz w:val="24"/>
          <w:lang w:eastAsia="en-GB"/>
        </w:rPr>
        <w:t xml:space="preserve"> </w:t>
      </w:r>
      <w:r w:rsidR="004075B8" w:rsidRPr="0073172D">
        <w:rPr>
          <w:rFonts w:asciiTheme="minorHAnsi" w:hAnsiTheme="minorHAnsi" w:cstheme="minorHAnsi"/>
          <w:sz w:val="24"/>
          <w:lang w:eastAsia="en-GB"/>
        </w:rPr>
        <w:t>10,</w:t>
      </w:r>
      <w:r w:rsidR="00D632DB" w:rsidRPr="0073172D">
        <w:rPr>
          <w:rFonts w:asciiTheme="minorHAnsi" w:hAnsiTheme="minorHAnsi" w:cstheme="minorHAnsi"/>
          <w:sz w:val="24"/>
          <w:lang w:eastAsia="en-GB"/>
        </w:rPr>
        <w:t xml:space="preserve"> </w:t>
      </w:r>
      <w:r w:rsidR="00750FC1" w:rsidRPr="0073172D">
        <w:rPr>
          <w:rFonts w:asciiTheme="minorHAnsi" w:hAnsiTheme="minorHAnsi" w:cstheme="minorHAnsi"/>
          <w:sz w:val="24"/>
          <w:lang w:eastAsia="en-GB"/>
        </w:rPr>
        <w:t>VAS score</w:t>
      </w:r>
      <w:r w:rsidR="00437760" w:rsidRPr="0073172D">
        <w:rPr>
          <w:rFonts w:asciiTheme="minorHAnsi" w:hAnsiTheme="minorHAnsi" w:cstheme="minorHAnsi"/>
          <w:sz w:val="24"/>
          <w:lang w:eastAsia="en-GB"/>
        </w:rPr>
        <w:t xml:space="preserve"> </w:t>
      </w:r>
      <w:r w:rsidR="007B48BF" w:rsidRPr="0073172D">
        <w:rPr>
          <w:rFonts w:asciiTheme="minorHAnsi" w:hAnsiTheme="minorHAnsi" w:cstheme="minorHAnsi"/>
          <w:sz w:val="24"/>
          <w:lang w:eastAsia="en-GB"/>
        </w:rPr>
        <w:t>&gt;</w:t>
      </w:r>
      <w:r w:rsidR="00437760" w:rsidRPr="0073172D">
        <w:rPr>
          <w:rFonts w:asciiTheme="minorHAnsi" w:hAnsiTheme="minorHAnsi" w:cstheme="minorHAnsi"/>
          <w:sz w:val="24"/>
          <w:lang w:eastAsia="en-GB"/>
        </w:rPr>
        <w:t xml:space="preserve"> </w:t>
      </w:r>
      <w:r w:rsidR="007B48BF" w:rsidRPr="0073172D">
        <w:rPr>
          <w:rFonts w:asciiTheme="minorHAnsi" w:hAnsiTheme="minorHAnsi" w:cstheme="minorHAnsi"/>
          <w:sz w:val="24"/>
          <w:lang w:eastAsia="en-GB"/>
        </w:rPr>
        <w:t>75) showed a</w:t>
      </w:r>
      <w:r w:rsidR="00D63BBD" w:rsidRPr="0073172D">
        <w:rPr>
          <w:rFonts w:asciiTheme="minorHAnsi" w:hAnsiTheme="minorHAnsi" w:cstheme="minorHAnsi"/>
          <w:sz w:val="24"/>
          <w:lang w:eastAsia="en-GB"/>
        </w:rPr>
        <w:t>n overall</w:t>
      </w:r>
      <w:r w:rsidR="007B48BF" w:rsidRPr="0073172D">
        <w:rPr>
          <w:rFonts w:asciiTheme="minorHAnsi" w:hAnsiTheme="minorHAnsi" w:cstheme="minorHAnsi"/>
          <w:sz w:val="24"/>
          <w:lang w:eastAsia="en-GB"/>
        </w:rPr>
        <w:t xml:space="preserve"> </w:t>
      </w:r>
      <w:r w:rsidR="00424B62" w:rsidRPr="0073172D">
        <w:rPr>
          <w:rFonts w:asciiTheme="minorHAnsi" w:hAnsiTheme="minorHAnsi" w:cstheme="minorHAnsi"/>
          <w:sz w:val="24"/>
          <w:lang w:eastAsia="en-GB"/>
        </w:rPr>
        <w:t>reduction</w:t>
      </w:r>
      <w:r w:rsidR="007B48BF" w:rsidRPr="0073172D">
        <w:rPr>
          <w:rFonts w:asciiTheme="minorHAnsi" w:hAnsiTheme="minorHAnsi" w:cstheme="minorHAnsi"/>
          <w:sz w:val="24"/>
          <w:lang w:eastAsia="en-GB"/>
        </w:rPr>
        <w:t xml:space="preserve"> in confidence after imaging (mean</w:t>
      </w:r>
      <w:r w:rsidR="00EF1743" w:rsidRPr="0073172D">
        <w:rPr>
          <w:rFonts w:asciiTheme="minorHAnsi" w:hAnsiTheme="minorHAnsi" w:cstheme="minorHAnsi"/>
          <w:sz w:val="24"/>
          <w:lang w:eastAsia="en-GB"/>
        </w:rPr>
        <w:t xml:space="preserve"> VAS</w:t>
      </w:r>
      <w:r w:rsidR="007B48BF" w:rsidRPr="0073172D">
        <w:rPr>
          <w:rFonts w:asciiTheme="minorHAnsi" w:hAnsiTheme="minorHAnsi" w:cstheme="minorHAnsi"/>
          <w:sz w:val="24"/>
          <w:lang w:eastAsia="en-GB"/>
        </w:rPr>
        <w:t xml:space="preserve"> change</w:t>
      </w:r>
      <w:r w:rsidR="00437760" w:rsidRPr="0073172D">
        <w:rPr>
          <w:rFonts w:asciiTheme="minorHAnsi" w:hAnsiTheme="minorHAnsi" w:cstheme="minorHAnsi"/>
          <w:sz w:val="24"/>
          <w:lang w:eastAsia="en-GB"/>
        </w:rPr>
        <w:t xml:space="preserve"> </w:t>
      </w:r>
      <w:r w:rsidR="007B48BF" w:rsidRPr="0073172D">
        <w:rPr>
          <w:rFonts w:asciiTheme="minorHAnsi" w:hAnsiTheme="minorHAnsi" w:cstheme="minorHAnsi"/>
          <w:sz w:val="24"/>
          <w:lang w:eastAsia="en-GB"/>
        </w:rPr>
        <w:t>=</w:t>
      </w:r>
      <w:r w:rsidR="00437760" w:rsidRPr="0073172D">
        <w:rPr>
          <w:rFonts w:asciiTheme="minorHAnsi" w:hAnsiTheme="minorHAnsi" w:cstheme="minorHAnsi"/>
          <w:sz w:val="24"/>
          <w:lang w:eastAsia="en-GB"/>
        </w:rPr>
        <w:t xml:space="preserve"> </w:t>
      </w:r>
      <w:r w:rsidR="007B48BF" w:rsidRPr="0073172D">
        <w:rPr>
          <w:rFonts w:asciiTheme="minorHAnsi" w:hAnsiTheme="minorHAnsi" w:cstheme="minorHAnsi"/>
          <w:sz w:val="24"/>
          <w:lang w:eastAsia="en-GB"/>
        </w:rPr>
        <w:t>-26.8, S.D</w:t>
      </w:r>
      <w:r w:rsidR="00437760" w:rsidRPr="0073172D">
        <w:rPr>
          <w:rFonts w:asciiTheme="minorHAnsi" w:hAnsiTheme="minorHAnsi" w:cstheme="minorHAnsi"/>
          <w:sz w:val="24"/>
          <w:lang w:eastAsia="en-GB"/>
        </w:rPr>
        <w:t xml:space="preserve"> </w:t>
      </w:r>
      <w:r w:rsidR="007B48BF" w:rsidRPr="0073172D">
        <w:rPr>
          <w:rFonts w:asciiTheme="minorHAnsi" w:hAnsiTheme="minorHAnsi" w:cstheme="minorHAnsi"/>
          <w:sz w:val="24"/>
          <w:lang w:eastAsia="en-GB"/>
        </w:rPr>
        <w:t>=</w:t>
      </w:r>
      <w:r w:rsidR="00437760" w:rsidRPr="0073172D">
        <w:rPr>
          <w:rFonts w:asciiTheme="minorHAnsi" w:hAnsiTheme="minorHAnsi" w:cstheme="minorHAnsi"/>
          <w:sz w:val="24"/>
          <w:lang w:eastAsia="en-GB"/>
        </w:rPr>
        <w:t xml:space="preserve"> </w:t>
      </w:r>
      <w:r w:rsidR="007B48BF" w:rsidRPr="0073172D">
        <w:rPr>
          <w:rFonts w:asciiTheme="minorHAnsi" w:hAnsiTheme="minorHAnsi" w:cstheme="minorHAnsi"/>
          <w:sz w:val="24"/>
          <w:lang w:eastAsia="en-GB"/>
        </w:rPr>
        <w:t xml:space="preserve">36.3, </w:t>
      </w:r>
      <w:r w:rsidR="007B48BF" w:rsidRPr="0073172D">
        <w:rPr>
          <w:rFonts w:asciiTheme="minorHAnsi" w:hAnsiTheme="minorHAnsi" w:cstheme="minorHAnsi"/>
          <w:i/>
          <w:sz w:val="24"/>
          <w:lang w:eastAsia="en-GB"/>
        </w:rPr>
        <w:t>p</w:t>
      </w:r>
      <w:r w:rsidR="00437760" w:rsidRPr="0073172D">
        <w:rPr>
          <w:rFonts w:asciiTheme="minorHAnsi" w:hAnsiTheme="minorHAnsi" w:cstheme="minorHAnsi"/>
          <w:i/>
          <w:sz w:val="24"/>
          <w:lang w:eastAsia="en-GB"/>
        </w:rPr>
        <w:t xml:space="preserve"> </w:t>
      </w:r>
      <w:r w:rsidR="007B48BF" w:rsidRPr="0073172D">
        <w:rPr>
          <w:rFonts w:asciiTheme="minorHAnsi" w:hAnsiTheme="minorHAnsi" w:cstheme="minorHAnsi"/>
          <w:sz w:val="24"/>
          <w:lang w:eastAsia="en-GB"/>
        </w:rPr>
        <w:t>&lt;</w:t>
      </w:r>
      <w:r w:rsidR="00437760" w:rsidRPr="0073172D">
        <w:rPr>
          <w:rFonts w:asciiTheme="minorHAnsi" w:hAnsiTheme="minorHAnsi" w:cstheme="minorHAnsi"/>
          <w:sz w:val="24"/>
          <w:lang w:eastAsia="en-GB"/>
        </w:rPr>
        <w:t xml:space="preserve"> </w:t>
      </w:r>
      <w:r w:rsidR="007B48BF" w:rsidRPr="0073172D">
        <w:rPr>
          <w:rFonts w:asciiTheme="minorHAnsi" w:hAnsiTheme="minorHAnsi" w:cstheme="minorHAnsi"/>
          <w:sz w:val="24"/>
          <w:lang w:eastAsia="en-GB"/>
        </w:rPr>
        <w:t>0.05)</w:t>
      </w:r>
      <w:r w:rsidR="008D6A5F" w:rsidRPr="0073172D">
        <w:rPr>
          <w:rFonts w:asciiTheme="minorHAnsi" w:hAnsiTheme="minorHAnsi" w:cstheme="minorHAnsi"/>
          <w:sz w:val="24"/>
          <w:lang w:eastAsia="en-GB"/>
        </w:rPr>
        <w:t>, with high variation in individual responses</w:t>
      </w:r>
      <w:r w:rsidR="00451B2E" w:rsidRPr="0073172D">
        <w:rPr>
          <w:rFonts w:asciiTheme="minorHAnsi" w:hAnsiTheme="minorHAnsi" w:cstheme="minorHAnsi"/>
          <w:sz w:val="24"/>
          <w:lang w:eastAsia="en-GB"/>
        </w:rPr>
        <w:t xml:space="preserve"> </w:t>
      </w:r>
      <w:r w:rsidR="00CE74CB" w:rsidRPr="0073172D">
        <w:rPr>
          <w:rFonts w:asciiTheme="minorHAnsi" w:hAnsiTheme="minorHAnsi" w:cstheme="minorHAnsi"/>
          <w:sz w:val="24"/>
          <w:lang w:eastAsia="en-GB"/>
        </w:rPr>
        <w:t>(Table 2</w:t>
      </w:r>
      <w:r w:rsidR="004B7BD6" w:rsidRPr="0073172D">
        <w:rPr>
          <w:rFonts w:asciiTheme="minorHAnsi" w:hAnsiTheme="minorHAnsi" w:cstheme="minorHAnsi"/>
          <w:sz w:val="24"/>
          <w:lang w:eastAsia="en-GB"/>
        </w:rPr>
        <w:t>).</w:t>
      </w:r>
      <w:r w:rsidR="008D6A5F" w:rsidRPr="0073172D">
        <w:rPr>
          <w:rFonts w:asciiTheme="minorHAnsi" w:hAnsiTheme="minorHAnsi" w:cstheme="minorHAnsi"/>
          <w:sz w:val="24"/>
          <w:lang w:eastAsia="en-GB"/>
        </w:rPr>
        <w:t xml:space="preserve"> </w:t>
      </w:r>
    </w:p>
    <w:p w14:paraId="01EE1B8B" w14:textId="1C4E8823" w:rsidR="00B634FA" w:rsidRPr="0073172D" w:rsidRDefault="00BC2BDB" w:rsidP="003A3A37">
      <w:pPr>
        <w:keepNext w:val="0"/>
        <w:keepLines w:val="0"/>
        <w:spacing w:line="480" w:lineRule="auto"/>
        <w:rPr>
          <w:rFonts w:asciiTheme="minorHAnsi" w:hAnsiTheme="minorHAnsi" w:cstheme="minorHAnsi"/>
          <w:sz w:val="24"/>
          <w:szCs w:val="20"/>
        </w:rPr>
      </w:pPr>
      <w:r w:rsidRPr="0073172D">
        <w:rPr>
          <w:rFonts w:asciiTheme="minorHAnsi" w:hAnsiTheme="minorHAnsi" w:cstheme="minorHAnsi"/>
          <w:sz w:val="24"/>
          <w:lang w:eastAsia="en-GB"/>
        </w:rPr>
        <w:t>There was no significant difference in diagnostic confidence change between clinician speciality groups [</w:t>
      </w:r>
      <w:proofErr w:type="gramStart"/>
      <w:r w:rsidRPr="0073172D">
        <w:rPr>
          <w:rFonts w:asciiTheme="minorHAnsi" w:hAnsiTheme="minorHAnsi" w:cstheme="minorHAnsi"/>
          <w:sz w:val="24"/>
          <w:lang w:eastAsia="en-GB"/>
        </w:rPr>
        <w:t>F(</w:t>
      </w:r>
      <w:proofErr w:type="gramEnd"/>
      <w:r w:rsidRPr="0073172D">
        <w:rPr>
          <w:rFonts w:asciiTheme="minorHAnsi" w:hAnsiTheme="minorHAnsi" w:cstheme="minorHAnsi"/>
          <w:sz w:val="24"/>
          <w:lang w:eastAsia="en-GB"/>
        </w:rPr>
        <w:t>2,76)</w:t>
      </w:r>
      <w:r w:rsidR="00437760" w:rsidRPr="0073172D">
        <w:rPr>
          <w:rFonts w:asciiTheme="minorHAnsi" w:hAnsiTheme="minorHAnsi" w:cstheme="minorHAnsi"/>
          <w:sz w:val="24"/>
          <w:lang w:eastAsia="en-GB"/>
        </w:rPr>
        <w:t xml:space="preserve"> </w:t>
      </w:r>
      <w:r w:rsidRPr="0073172D">
        <w:rPr>
          <w:rFonts w:asciiTheme="minorHAnsi" w:hAnsiTheme="minorHAnsi" w:cstheme="minorHAnsi"/>
          <w:sz w:val="24"/>
          <w:lang w:eastAsia="en-GB"/>
        </w:rPr>
        <w:t>=</w:t>
      </w:r>
      <w:r w:rsidR="00437760" w:rsidRPr="0073172D">
        <w:rPr>
          <w:rFonts w:asciiTheme="minorHAnsi" w:hAnsiTheme="minorHAnsi" w:cstheme="minorHAnsi"/>
          <w:sz w:val="24"/>
          <w:lang w:eastAsia="en-GB"/>
        </w:rPr>
        <w:t xml:space="preserve"> </w:t>
      </w:r>
      <w:r w:rsidRPr="0073172D">
        <w:rPr>
          <w:rFonts w:asciiTheme="minorHAnsi" w:hAnsiTheme="minorHAnsi" w:cstheme="minorHAnsi"/>
          <w:sz w:val="24"/>
          <w:lang w:eastAsia="en-GB"/>
        </w:rPr>
        <w:t xml:space="preserve">1.68, </w:t>
      </w:r>
      <w:r w:rsidRPr="0073172D">
        <w:rPr>
          <w:rFonts w:asciiTheme="minorHAnsi" w:hAnsiTheme="minorHAnsi" w:cstheme="minorHAnsi"/>
          <w:i/>
          <w:sz w:val="24"/>
          <w:lang w:eastAsia="en-GB"/>
        </w:rPr>
        <w:t>p</w:t>
      </w:r>
      <w:r w:rsidR="00437760" w:rsidRPr="0073172D">
        <w:rPr>
          <w:rFonts w:asciiTheme="minorHAnsi" w:hAnsiTheme="minorHAnsi" w:cstheme="minorHAnsi"/>
          <w:i/>
          <w:sz w:val="24"/>
          <w:lang w:eastAsia="en-GB"/>
        </w:rPr>
        <w:t xml:space="preserve"> </w:t>
      </w:r>
      <w:r w:rsidRPr="0073172D">
        <w:rPr>
          <w:rFonts w:asciiTheme="minorHAnsi" w:hAnsiTheme="minorHAnsi" w:cstheme="minorHAnsi"/>
          <w:sz w:val="24"/>
          <w:lang w:eastAsia="en-GB"/>
        </w:rPr>
        <w:t>=</w:t>
      </w:r>
      <w:r w:rsidR="00437760" w:rsidRPr="0073172D">
        <w:rPr>
          <w:rFonts w:asciiTheme="minorHAnsi" w:hAnsiTheme="minorHAnsi" w:cstheme="minorHAnsi"/>
          <w:sz w:val="24"/>
          <w:lang w:eastAsia="en-GB"/>
        </w:rPr>
        <w:t xml:space="preserve"> </w:t>
      </w:r>
      <w:r w:rsidRPr="0073172D">
        <w:rPr>
          <w:rFonts w:asciiTheme="minorHAnsi" w:hAnsiTheme="minorHAnsi" w:cstheme="minorHAnsi"/>
          <w:sz w:val="24"/>
          <w:lang w:eastAsia="en-GB"/>
        </w:rPr>
        <w:t>0.193], nor between consultants and speciality doctors [t(77)</w:t>
      </w:r>
      <w:r w:rsidR="00437760" w:rsidRPr="0073172D">
        <w:rPr>
          <w:rFonts w:asciiTheme="minorHAnsi" w:hAnsiTheme="minorHAnsi" w:cstheme="minorHAnsi"/>
          <w:sz w:val="24"/>
          <w:lang w:eastAsia="en-GB"/>
        </w:rPr>
        <w:t xml:space="preserve"> </w:t>
      </w:r>
      <w:r w:rsidRPr="0073172D">
        <w:rPr>
          <w:rFonts w:asciiTheme="minorHAnsi" w:hAnsiTheme="minorHAnsi" w:cstheme="minorHAnsi"/>
          <w:sz w:val="24"/>
          <w:lang w:eastAsia="en-GB"/>
        </w:rPr>
        <w:t>=</w:t>
      </w:r>
      <w:r w:rsidR="00437760" w:rsidRPr="0073172D">
        <w:rPr>
          <w:rFonts w:asciiTheme="minorHAnsi" w:hAnsiTheme="minorHAnsi" w:cstheme="minorHAnsi"/>
          <w:sz w:val="24"/>
          <w:lang w:eastAsia="en-GB"/>
        </w:rPr>
        <w:t xml:space="preserve"> </w:t>
      </w:r>
      <w:r w:rsidRPr="0073172D">
        <w:rPr>
          <w:rFonts w:asciiTheme="minorHAnsi" w:hAnsiTheme="minorHAnsi" w:cstheme="minorHAnsi"/>
          <w:sz w:val="24"/>
          <w:lang w:eastAsia="en-GB"/>
        </w:rPr>
        <w:t xml:space="preserve">0.077, </w:t>
      </w:r>
      <w:r w:rsidRPr="0073172D">
        <w:rPr>
          <w:rFonts w:asciiTheme="minorHAnsi" w:hAnsiTheme="minorHAnsi" w:cstheme="minorHAnsi"/>
          <w:i/>
          <w:sz w:val="24"/>
          <w:lang w:eastAsia="en-GB"/>
        </w:rPr>
        <w:t>p</w:t>
      </w:r>
      <w:r w:rsidR="00437760" w:rsidRPr="0073172D">
        <w:rPr>
          <w:rFonts w:asciiTheme="minorHAnsi" w:hAnsiTheme="minorHAnsi" w:cstheme="minorHAnsi"/>
          <w:i/>
          <w:sz w:val="24"/>
          <w:lang w:eastAsia="en-GB"/>
        </w:rPr>
        <w:t xml:space="preserve"> </w:t>
      </w:r>
      <w:r w:rsidRPr="0073172D">
        <w:rPr>
          <w:rFonts w:asciiTheme="minorHAnsi" w:hAnsiTheme="minorHAnsi" w:cstheme="minorHAnsi"/>
          <w:sz w:val="24"/>
          <w:lang w:eastAsia="en-GB"/>
        </w:rPr>
        <w:t>=</w:t>
      </w:r>
      <w:r w:rsidR="00437760" w:rsidRPr="0073172D">
        <w:rPr>
          <w:rFonts w:asciiTheme="minorHAnsi" w:hAnsiTheme="minorHAnsi" w:cstheme="minorHAnsi"/>
          <w:sz w:val="24"/>
          <w:lang w:eastAsia="en-GB"/>
        </w:rPr>
        <w:t xml:space="preserve"> </w:t>
      </w:r>
      <w:r w:rsidRPr="0073172D">
        <w:rPr>
          <w:rFonts w:asciiTheme="minorHAnsi" w:hAnsiTheme="minorHAnsi" w:cstheme="minorHAnsi"/>
          <w:sz w:val="24"/>
          <w:lang w:eastAsia="en-GB"/>
        </w:rPr>
        <w:t>0.939]. Clinicians were less diagnostically certain for male patients (mean</w:t>
      </w:r>
      <w:r w:rsidR="00EF1743" w:rsidRPr="0073172D">
        <w:rPr>
          <w:rFonts w:asciiTheme="minorHAnsi" w:hAnsiTheme="minorHAnsi" w:cstheme="minorHAnsi"/>
          <w:sz w:val="24"/>
          <w:lang w:eastAsia="en-GB"/>
        </w:rPr>
        <w:t xml:space="preserve"> VAS score</w:t>
      </w:r>
      <w:r w:rsidR="00437760" w:rsidRPr="0073172D">
        <w:rPr>
          <w:rFonts w:asciiTheme="minorHAnsi" w:hAnsiTheme="minorHAnsi" w:cstheme="minorHAnsi"/>
          <w:sz w:val="24"/>
          <w:lang w:eastAsia="en-GB"/>
        </w:rPr>
        <w:t xml:space="preserve"> </w:t>
      </w:r>
      <w:r w:rsidRPr="0073172D">
        <w:rPr>
          <w:rFonts w:asciiTheme="minorHAnsi" w:hAnsiTheme="minorHAnsi" w:cstheme="minorHAnsi"/>
          <w:sz w:val="24"/>
          <w:lang w:eastAsia="en-GB"/>
        </w:rPr>
        <w:t>=</w:t>
      </w:r>
      <w:r w:rsidR="00437760" w:rsidRPr="0073172D">
        <w:rPr>
          <w:rFonts w:asciiTheme="minorHAnsi" w:hAnsiTheme="minorHAnsi" w:cstheme="minorHAnsi"/>
          <w:sz w:val="24"/>
          <w:lang w:eastAsia="en-GB"/>
        </w:rPr>
        <w:t xml:space="preserve"> </w:t>
      </w:r>
      <w:r w:rsidRPr="0073172D">
        <w:rPr>
          <w:rFonts w:asciiTheme="minorHAnsi" w:hAnsiTheme="minorHAnsi" w:cstheme="minorHAnsi"/>
          <w:sz w:val="24"/>
          <w:lang w:eastAsia="en-GB"/>
        </w:rPr>
        <w:t>51.9, S.D</w:t>
      </w:r>
      <w:r w:rsidR="00437760" w:rsidRPr="0073172D">
        <w:rPr>
          <w:rFonts w:asciiTheme="minorHAnsi" w:hAnsiTheme="minorHAnsi" w:cstheme="minorHAnsi"/>
          <w:sz w:val="24"/>
          <w:lang w:eastAsia="en-GB"/>
        </w:rPr>
        <w:t xml:space="preserve"> </w:t>
      </w:r>
      <w:r w:rsidRPr="0073172D">
        <w:rPr>
          <w:rFonts w:asciiTheme="minorHAnsi" w:hAnsiTheme="minorHAnsi" w:cstheme="minorHAnsi"/>
          <w:sz w:val="24"/>
          <w:lang w:eastAsia="en-GB"/>
        </w:rPr>
        <w:t>=</w:t>
      </w:r>
      <w:r w:rsidR="00437760" w:rsidRPr="0073172D">
        <w:rPr>
          <w:rFonts w:asciiTheme="minorHAnsi" w:hAnsiTheme="minorHAnsi" w:cstheme="minorHAnsi"/>
          <w:sz w:val="24"/>
          <w:lang w:eastAsia="en-GB"/>
        </w:rPr>
        <w:t xml:space="preserve"> </w:t>
      </w:r>
      <w:r w:rsidRPr="0073172D">
        <w:rPr>
          <w:rFonts w:asciiTheme="minorHAnsi" w:hAnsiTheme="minorHAnsi" w:cstheme="minorHAnsi"/>
          <w:sz w:val="24"/>
          <w:lang w:eastAsia="en-GB"/>
        </w:rPr>
        <w:t>19.5) than female patients (mean</w:t>
      </w:r>
      <w:r w:rsidR="00EF1743" w:rsidRPr="0073172D">
        <w:rPr>
          <w:rFonts w:asciiTheme="minorHAnsi" w:hAnsiTheme="minorHAnsi" w:cstheme="minorHAnsi"/>
          <w:sz w:val="24"/>
          <w:lang w:eastAsia="en-GB"/>
        </w:rPr>
        <w:t xml:space="preserve"> VAS score</w:t>
      </w:r>
      <w:r w:rsidR="00437760" w:rsidRPr="0073172D">
        <w:rPr>
          <w:rFonts w:asciiTheme="minorHAnsi" w:hAnsiTheme="minorHAnsi" w:cstheme="minorHAnsi"/>
          <w:sz w:val="24"/>
          <w:lang w:eastAsia="en-GB"/>
        </w:rPr>
        <w:t xml:space="preserve"> </w:t>
      </w:r>
      <w:r w:rsidRPr="0073172D">
        <w:rPr>
          <w:rFonts w:asciiTheme="minorHAnsi" w:hAnsiTheme="minorHAnsi" w:cstheme="minorHAnsi"/>
          <w:sz w:val="24"/>
          <w:lang w:eastAsia="en-GB"/>
        </w:rPr>
        <w:t>=</w:t>
      </w:r>
      <w:r w:rsidR="00437760" w:rsidRPr="0073172D">
        <w:rPr>
          <w:rFonts w:asciiTheme="minorHAnsi" w:hAnsiTheme="minorHAnsi" w:cstheme="minorHAnsi"/>
          <w:sz w:val="24"/>
          <w:lang w:eastAsia="en-GB"/>
        </w:rPr>
        <w:t xml:space="preserve"> </w:t>
      </w:r>
      <w:r w:rsidRPr="0073172D">
        <w:rPr>
          <w:rFonts w:asciiTheme="minorHAnsi" w:hAnsiTheme="minorHAnsi" w:cstheme="minorHAnsi"/>
          <w:sz w:val="24"/>
          <w:lang w:eastAsia="en-GB"/>
        </w:rPr>
        <w:t>62.4, S.D</w:t>
      </w:r>
      <w:r w:rsidR="00437760" w:rsidRPr="0073172D">
        <w:rPr>
          <w:rFonts w:asciiTheme="minorHAnsi" w:hAnsiTheme="minorHAnsi" w:cstheme="minorHAnsi"/>
          <w:sz w:val="24"/>
          <w:lang w:eastAsia="en-GB"/>
        </w:rPr>
        <w:t xml:space="preserve"> </w:t>
      </w:r>
      <w:r w:rsidRPr="0073172D">
        <w:rPr>
          <w:rFonts w:asciiTheme="minorHAnsi" w:hAnsiTheme="minorHAnsi" w:cstheme="minorHAnsi"/>
          <w:sz w:val="24"/>
          <w:lang w:eastAsia="en-GB"/>
        </w:rPr>
        <w:t>=</w:t>
      </w:r>
      <w:r w:rsidR="00437760" w:rsidRPr="0073172D">
        <w:rPr>
          <w:rFonts w:asciiTheme="minorHAnsi" w:hAnsiTheme="minorHAnsi" w:cstheme="minorHAnsi"/>
          <w:sz w:val="24"/>
          <w:lang w:eastAsia="en-GB"/>
        </w:rPr>
        <w:t xml:space="preserve"> </w:t>
      </w:r>
      <w:r w:rsidRPr="0073172D">
        <w:rPr>
          <w:rFonts w:asciiTheme="minorHAnsi" w:hAnsiTheme="minorHAnsi" w:cstheme="minorHAnsi"/>
          <w:sz w:val="24"/>
          <w:lang w:eastAsia="en-GB"/>
        </w:rPr>
        <w:t>17.0) before imaging (p</w:t>
      </w:r>
      <w:r w:rsidR="00437760" w:rsidRPr="0073172D">
        <w:rPr>
          <w:rFonts w:asciiTheme="minorHAnsi" w:hAnsiTheme="minorHAnsi" w:cstheme="minorHAnsi"/>
          <w:sz w:val="24"/>
          <w:lang w:eastAsia="en-GB"/>
        </w:rPr>
        <w:t xml:space="preserve"> </w:t>
      </w:r>
      <w:r w:rsidRPr="0073172D">
        <w:rPr>
          <w:rFonts w:asciiTheme="minorHAnsi" w:hAnsiTheme="minorHAnsi" w:cstheme="minorHAnsi"/>
          <w:sz w:val="24"/>
          <w:lang w:eastAsia="en-GB"/>
        </w:rPr>
        <w:t>&lt;</w:t>
      </w:r>
      <w:r w:rsidR="00437760" w:rsidRPr="0073172D">
        <w:rPr>
          <w:rFonts w:asciiTheme="minorHAnsi" w:hAnsiTheme="minorHAnsi" w:cstheme="minorHAnsi"/>
          <w:sz w:val="24"/>
          <w:lang w:eastAsia="en-GB"/>
        </w:rPr>
        <w:t xml:space="preserve"> </w:t>
      </w:r>
      <w:r w:rsidRPr="0073172D">
        <w:rPr>
          <w:rFonts w:asciiTheme="minorHAnsi" w:hAnsiTheme="minorHAnsi" w:cstheme="minorHAnsi"/>
          <w:sz w:val="24"/>
          <w:lang w:eastAsia="en-GB"/>
        </w:rPr>
        <w:t xml:space="preserve">0.05), however no significant difference was found in diagnostic confidence </w:t>
      </w:r>
      <w:r w:rsidR="000F742B" w:rsidRPr="0073172D">
        <w:rPr>
          <w:rFonts w:asciiTheme="minorHAnsi" w:hAnsiTheme="minorHAnsi" w:cstheme="minorHAnsi"/>
          <w:sz w:val="24"/>
          <w:lang w:eastAsia="en-GB"/>
        </w:rPr>
        <w:t xml:space="preserve">between the two genders </w:t>
      </w:r>
      <w:r w:rsidRPr="0073172D">
        <w:rPr>
          <w:rFonts w:asciiTheme="minorHAnsi" w:hAnsiTheme="minorHAnsi" w:cstheme="minorHAnsi"/>
          <w:sz w:val="24"/>
          <w:lang w:eastAsia="en-GB"/>
        </w:rPr>
        <w:t>after imaging</w:t>
      </w:r>
      <w:r w:rsidR="00D632DB" w:rsidRPr="0073172D">
        <w:rPr>
          <w:rFonts w:asciiTheme="minorHAnsi" w:hAnsiTheme="minorHAnsi" w:cstheme="minorHAnsi"/>
          <w:sz w:val="24"/>
          <w:lang w:eastAsia="en-GB"/>
        </w:rPr>
        <w:t xml:space="preserve"> (</w:t>
      </w:r>
      <w:r w:rsidR="00D632DB" w:rsidRPr="0073172D">
        <w:rPr>
          <w:rFonts w:asciiTheme="minorHAnsi" w:hAnsiTheme="minorHAnsi" w:cstheme="minorHAnsi"/>
          <w:i/>
          <w:sz w:val="24"/>
          <w:szCs w:val="20"/>
        </w:rPr>
        <w:t>p</w:t>
      </w:r>
      <w:r w:rsidR="00437760" w:rsidRPr="0073172D">
        <w:rPr>
          <w:rFonts w:asciiTheme="minorHAnsi" w:hAnsiTheme="minorHAnsi" w:cstheme="minorHAnsi"/>
          <w:i/>
          <w:sz w:val="24"/>
          <w:szCs w:val="20"/>
        </w:rPr>
        <w:t xml:space="preserve"> </w:t>
      </w:r>
      <w:r w:rsidR="00D632DB" w:rsidRPr="0073172D">
        <w:rPr>
          <w:rFonts w:asciiTheme="minorHAnsi" w:hAnsiTheme="minorHAnsi" w:cstheme="minorHAnsi"/>
          <w:sz w:val="24"/>
          <w:szCs w:val="20"/>
        </w:rPr>
        <w:t>&gt;</w:t>
      </w:r>
      <w:r w:rsidR="00437760" w:rsidRPr="0073172D">
        <w:rPr>
          <w:rFonts w:asciiTheme="minorHAnsi" w:hAnsiTheme="minorHAnsi" w:cstheme="minorHAnsi"/>
          <w:sz w:val="24"/>
          <w:szCs w:val="20"/>
        </w:rPr>
        <w:t xml:space="preserve"> </w:t>
      </w:r>
      <w:r w:rsidR="00D632DB" w:rsidRPr="0073172D">
        <w:rPr>
          <w:rFonts w:asciiTheme="minorHAnsi" w:hAnsiTheme="minorHAnsi" w:cstheme="minorHAnsi"/>
          <w:sz w:val="24"/>
          <w:szCs w:val="20"/>
        </w:rPr>
        <w:t>0.05)</w:t>
      </w:r>
      <w:r w:rsidR="000F742B" w:rsidRPr="0073172D">
        <w:rPr>
          <w:rFonts w:asciiTheme="minorHAnsi" w:hAnsiTheme="minorHAnsi" w:cstheme="minorHAnsi"/>
          <w:sz w:val="24"/>
          <w:lang w:eastAsia="en-GB"/>
        </w:rPr>
        <w:t>. The</w:t>
      </w:r>
      <w:r w:rsidRPr="0073172D">
        <w:rPr>
          <w:rFonts w:asciiTheme="minorHAnsi" w:hAnsiTheme="minorHAnsi" w:cstheme="minorHAnsi"/>
          <w:sz w:val="24"/>
          <w:lang w:eastAsia="en-GB"/>
        </w:rPr>
        <w:t xml:space="preserve"> change in diagnostic</w:t>
      </w:r>
      <w:r w:rsidRPr="0073172D">
        <w:rPr>
          <w:rFonts w:asciiTheme="minorHAnsi" w:hAnsiTheme="minorHAnsi" w:cstheme="minorHAnsi"/>
          <w:sz w:val="24"/>
          <w:szCs w:val="20"/>
        </w:rPr>
        <w:t xml:space="preserve"> confidence</w:t>
      </w:r>
      <w:r w:rsidR="006361B6" w:rsidRPr="0073172D">
        <w:rPr>
          <w:rFonts w:asciiTheme="minorHAnsi" w:hAnsiTheme="minorHAnsi" w:cstheme="minorHAnsi"/>
          <w:sz w:val="24"/>
          <w:szCs w:val="20"/>
        </w:rPr>
        <w:t xml:space="preserve"> between questionnaires</w:t>
      </w:r>
      <w:r w:rsidR="00EF1743" w:rsidRPr="0073172D">
        <w:rPr>
          <w:rFonts w:asciiTheme="minorHAnsi" w:hAnsiTheme="minorHAnsi" w:cstheme="minorHAnsi"/>
          <w:sz w:val="24"/>
          <w:szCs w:val="20"/>
        </w:rPr>
        <w:t xml:space="preserve"> for genders</w:t>
      </w:r>
      <w:r w:rsidR="00791F4A" w:rsidRPr="0073172D">
        <w:rPr>
          <w:rFonts w:asciiTheme="minorHAnsi" w:hAnsiTheme="minorHAnsi" w:cstheme="minorHAnsi"/>
          <w:sz w:val="24"/>
          <w:szCs w:val="20"/>
        </w:rPr>
        <w:t xml:space="preserve"> </w:t>
      </w:r>
      <w:r w:rsidR="000F742B" w:rsidRPr="0073172D">
        <w:rPr>
          <w:rFonts w:asciiTheme="minorHAnsi" w:hAnsiTheme="minorHAnsi" w:cstheme="minorHAnsi"/>
          <w:sz w:val="24"/>
          <w:szCs w:val="20"/>
        </w:rPr>
        <w:t xml:space="preserve">was also not significant </w:t>
      </w:r>
      <w:r w:rsidR="00791F4A" w:rsidRPr="0073172D">
        <w:rPr>
          <w:rFonts w:asciiTheme="minorHAnsi" w:hAnsiTheme="minorHAnsi" w:cstheme="minorHAnsi"/>
          <w:sz w:val="24"/>
          <w:szCs w:val="20"/>
        </w:rPr>
        <w:t>(</w:t>
      </w:r>
      <w:r w:rsidR="00791F4A" w:rsidRPr="0073172D">
        <w:rPr>
          <w:rFonts w:asciiTheme="minorHAnsi" w:hAnsiTheme="minorHAnsi" w:cstheme="minorHAnsi"/>
          <w:i/>
          <w:sz w:val="24"/>
          <w:szCs w:val="20"/>
        </w:rPr>
        <w:t>p</w:t>
      </w:r>
      <w:r w:rsidR="00437760" w:rsidRPr="0073172D">
        <w:rPr>
          <w:rFonts w:asciiTheme="minorHAnsi" w:hAnsiTheme="minorHAnsi" w:cstheme="minorHAnsi"/>
          <w:i/>
          <w:sz w:val="24"/>
          <w:szCs w:val="20"/>
        </w:rPr>
        <w:t xml:space="preserve"> </w:t>
      </w:r>
      <w:r w:rsidR="00791F4A" w:rsidRPr="0073172D">
        <w:rPr>
          <w:rFonts w:asciiTheme="minorHAnsi" w:hAnsiTheme="minorHAnsi" w:cstheme="minorHAnsi"/>
          <w:sz w:val="24"/>
          <w:szCs w:val="20"/>
        </w:rPr>
        <w:t>&gt;</w:t>
      </w:r>
      <w:r w:rsidR="00437760" w:rsidRPr="0073172D">
        <w:rPr>
          <w:rFonts w:asciiTheme="minorHAnsi" w:hAnsiTheme="minorHAnsi" w:cstheme="minorHAnsi"/>
          <w:sz w:val="24"/>
          <w:szCs w:val="20"/>
        </w:rPr>
        <w:t xml:space="preserve"> </w:t>
      </w:r>
      <w:r w:rsidR="00791F4A" w:rsidRPr="0073172D">
        <w:rPr>
          <w:rFonts w:asciiTheme="minorHAnsi" w:hAnsiTheme="minorHAnsi" w:cstheme="minorHAnsi"/>
          <w:sz w:val="24"/>
          <w:szCs w:val="20"/>
        </w:rPr>
        <w:t>0.05)</w:t>
      </w:r>
      <w:r w:rsidRPr="0073172D">
        <w:rPr>
          <w:rFonts w:asciiTheme="minorHAnsi" w:hAnsiTheme="minorHAnsi" w:cstheme="minorHAnsi"/>
          <w:sz w:val="24"/>
          <w:szCs w:val="20"/>
        </w:rPr>
        <w:t xml:space="preserve">. </w:t>
      </w:r>
    </w:p>
    <w:p w14:paraId="26A344EA" w14:textId="77777777" w:rsidR="003A77E1" w:rsidRPr="0073172D" w:rsidRDefault="003A77E1" w:rsidP="003A3A37">
      <w:pPr>
        <w:pStyle w:val="Heading3"/>
        <w:keepNext w:val="0"/>
        <w:numPr>
          <w:ilvl w:val="0"/>
          <w:numId w:val="0"/>
        </w:numPr>
        <w:spacing w:line="480" w:lineRule="auto"/>
        <w:rPr>
          <w:rFonts w:asciiTheme="minorHAnsi" w:hAnsiTheme="minorHAnsi" w:cstheme="minorHAnsi"/>
          <w:sz w:val="24"/>
          <w:lang w:eastAsia="en-GB"/>
        </w:rPr>
      </w:pPr>
      <w:bookmarkStart w:id="11" w:name="_Toc501374426"/>
      <w:r w:rsidRPr="0073172D">
        <w:rPr>
          <w:rFonts w:asciiTheme="minorHAnsi" w:hAnsiTheme="minorHAnsi" w:cstheme="minorHAnsi"/>
          <w:sz w:val="24"/>
          <w:lang w:eastAsia="en-GB"/>
        </w:rPr>
        <w:t>Clinician opinion</w:t>
      </w:r>
      <w:bookmarkEnd w:id="11"/>
      <w:r w:rsidRPr="0073172D">
        <w:rPr>
          <w:rFonts w:asciiTheme="minorHAnsi" w:hAnsiTheme="minorHAnsi" w:cstheme="minorHAnsi"/>
          <w:sz w:val="24"/>
          <w:lang w:eastAsia="en-GB"/>
        </w:rPr>
        <w:t xml:space="preserve"> </w:t>
      </w:r>
    </w:p>
    <w:p w14:paraId="60979F4C" w14:textId="18A5A090" w:rsidR="00C5552A" w:rsidRPr="0073172D" w:rsidRDefault="003A77E1" w:rsidP="003A3A37">
      <w:pPr>
        <w:keepNext w:val="0"/>
        <w:keepLines w:val="0"/>
        <w:spacing w:line="480" w:lineRule="auto"/>
        <w:rPr>
          <w:rFonts w:asciiTheme="minorHAnsi" w:hAnsiTheme="minorHAnsi" w:cstheme="minorHAnsi"/>
          <w:sz w:val="24"/>
          <w:lang w:eastAsia="en-GB"/>
        </w:rPr>
      </w:pPr>
      <w:r w:rsidRPr="0073172D">
        <w:rPr>
          <w:rFonts w:asciiTheme="minorHAnsi" w:hAnsiTheme="minorHAnsi" w:cstheme="minorHAnsi"/>
          <w:sz w:val="24"/>
          <w:lang w:eastAsia="en-GB"/>
        </w:rPr>
        <w:t>When clinicians were asked for their opinion o</w:t>
      </w:r>
      <w:r w:rsidR="00EF1743" w:rsidRPr="0073172D">
        <w:rPr>
          <w:rFonts w:asciiTheme="minorHAnsi" w:hAnsiTheme="minorHAnsi" w:cstheme="minorHAnsi"/>
          <w:sz w:val="24"/>
          <w:lang w:eastAsia="en-GB"/>
        </w:rPr>
        <w:t>n</w:t>
      </w:r>
      <w:r w:rsidRPr="0073172D">
        <w:rPr>
          <w:rFonts w:asciiTheme="minorHAnsi" w:hAnsiTheme="minorHAnsi" w:cstheme="minorHAnsi"/>
          <w:sz w:val="24"/>
          <w:lang w:eastAsia="en-GB"/>
        </w:rPr>
        <w:t xml:space="preserve"> the </w:t>
      </w:r>
      <w:r w:rsidR="00C5552A" w:rsidRPr="0073172D">
        <w:rPr>
          <w:rFonts w:asciiTheme="minorHAnsi" w:hAnsiTheme="minorHAnsi" w:cstheme="minorHAnsi"/>
          <w:sz w:val="24"/>
          <w:lang w:eastAsia="en-GB"/>
        </w:rPr>
        <w:t xml:space="preserve">usefulness of the </w:t>
      </w:r>
      <w:r w:rsidRPr="0073172D">
        <w:rPr>
          <w:rFonts w:asciiTheme="minorHAnsi" w:hAnsiTheme="minorHAnsi" w:cstheme="minorHAnsi"/>
          <w:sz w:val="24"/>
          <w:lang w:eastAsia="en-GB"/>
        </w:rPr>
        <w:t xml:space="preserve">imaging, 96% </w:t>
      </w:r>
      <w:r w:rsidRPr="0073172D">
        <w:rPr>
          <w:rFonts w:asciiTheme="minorHAnsi" w:hAnsiTheme="minorHAnsi" w:cstheme="minorHAnsi"/>
          <w:i/>
          <w:sz w:val="24"/>
          <w:lang w:eastAsia="en-GB"/>
        </w:rPr>
        <w:t>(N</w:t>
      </w:r>
      <w:r w:rsidR="00437760" w:rsidRPr="0073172D">
        <w:rPr>
          <w:rFonts w:asciiTheme="minorHAnsi" w:hAnsiTheme="minorHAnsi" w:cstheme="minorHAnsi"/>
          <w:i/>
          <w:sz w:val="24"/>
          <w:lang w:eastAsia="en-GB"/>
        </w:rPr>
        <w:t xml:space="preserve"> </w:t>
      </w:r>
      <w:r w:rsidRPr="0073172D">
        <w:rPr>
          <w:rFonts w:asciiTheme="minorHAnsi" w:hAnsiTheme="minorHAnsi" w:cstheme="minorHAnsi"/>
          <w:i/>
          <w:sz w:val="24"/>
          <w:lang w:eastAsia="en-GB"/>
        </w:rPr>
        <w:t>=</w:t>
      </w:r>
      <w:r w:rsidR="00437760" w:rsidRPr="0073172D">
        <w:rPr>
          <w:rFonts w:asciiTheme="minorHAnsi" w:hAnsiTheme="minorHAnsi" w:cstheme="minorHAnsi"/>
          <w:i/>
          <w:sz w:val="24"/>
          <w:lang w:eastAsia="en-GB"/>
        </w:rPr>
        <w:t xml:space="preserve"> </w:t>
      </w:r>
      <w:r w:rsidRPr="0073172D">
        <w:rPr>
          <w:rFonts w:asciiTheme="minorHAnsi" w:hAnsiTheme="minorHAnsi" w:cstheme="minorHAnsi"/>
          <w:sz w:val="24"/>
          <w:lang w:eastAsia="en-GB"/>
        </w:rPr>
        <w:t xml:space="preserve">76) thought perfusion SPECT contributed towards the diagnostic process, while 4% </w:t>
      </w:r>
      <w:r w:rsidRPr="0073172D">
        <w:rPr>
          <w:rFonts w:asciiTheme="minorHAnsi" w:hAnsiTheme="minorHAnsi" w:cstheme="minorHAnsi"/>
          <w:i/>
          <w:sz w:val="24"/>
          <w:lang w:eastAsia="en-GB"/>
        </w:rPr>
        <w:t>(N</w:t>
      </w:r>
      <w:r w:rsidR="00437760" w:rsidRPr="0073172D">
        <w:rPr>
          <w:rFonts w:asciiTheme="minorHAnsi" w:hAnsiTheme="minorHAnsi" w:cstheme="minorHAnsi"/>
          <w:i/>
          <w:sz w:val="24"/>
          <w:lang w:eastAsia="en-GB"/>
        </w:rPr>
        <w:t xml:space="preserve"> </w:t>
      </w:r>
      <w:r w:rsidRPr="0073172D">
        <w:rPr>
          <w:rFonts w:asciiTheme="minorHAnsi" w:hAnsiTheme="minorHAnsi" w:cstheme="minorHAnsi"/>
          <w:i/>
          <w:sz w:val="24"/>
          <w:lang w:eastAsia="en-GB"/>
        </w:rPr>
        <w:t>=</w:t>
      </w:r>
      <w:r w:rsidR="00437760" w:rsidRPr="0073172D">
        <w:rPr>
          <w:rFonts w:asciiTheme="minorHAnsi" w:hAnsiTheme="minorHAnsi" w:cstheme="minorHAnsi"/>
          <w:i/>
          <w:sz w:val="24"/>
          <w:lang w:eastAsia="en-GB"/>
        </w:rPr>
        <w:t xml:space="preserve"> </w:t>
      </w:r>
      <w:r w:rsidRPr="0073172D">
        <w:rPr>
          <w:rFonts w:asciiTheme="minorHAnsi" w:hAnsiTheme="minorHAnsi" w:cstheme="minorHAnsi"/>
          <w:sz w:val="24"/>
          <w:lang w:eastAsia="en-GB"/>
        </w:rPr>
        <w:t xml:space="preserve">3) said it did not contribute. On a </w:t>
      </w:r>
      <w:r w:rsidR="007D2AF5" w:rsidRPr="0073172D">
        <w:rPr>
          <w:rFonts w:asciiTheme="minorHAnsi" w:hAnsiTheme="minorHAnsi" w:cstheme="minorHAnsi"/>
          <w:sz w:val="24"/>
          <w:lang w:eastAsia="en-GB"/>
        </w:rPr>
        <w:t xml:space="preserve">0-100 </w:t>
      </w:r>
      <w:r w:rsidRPr="0073172D">
        <w:rPr>
          <w:rFonts w:asciiTheme="minorHAnsi" w:hAnsiTheme="minorHAnsi" w:cstheme="minorHAnsi"/>
          <w:sz w:val="24"/>
          <w:lang w:eastAsia="en-GB"/>
        </w:rPr>
        <w:t>VAS scale</w:t>
      </w:r>
      <w:r w:rsidR="000F742B" w:rsidRPr="0073172D">
        <w:rPr>
          <w:rFonts w:asciiTheme="minorHAnsi" w:hAnsiTheme="minorHAnsi" w:cstheme="minorHAnsi"/>
          <w:sz w:val="24"/>
          <w:lang w:eastAsia="en-GB"/>
        </w:rPr>
        <w:t>,</w:t>
      </w:r>
      <w:r w:rsidRPr="0073172D">
        <w:rPr>
          <w:rFonts w:asciiTheme="minorHAnsi" w:hAnsiTheme="minorHAnsi" w:cstheme="minorHAnsi"/>
          <w:sz w:val="24"/>
          <w:lang w:eastAsia="en-GB"/>
        </w:rPr>
        <w:t xml:space="preserve"> from 0 (not helpful at all) to 100 (extremely helpful), clinicians rated perfusion SPECT on average to be helpful (mean </w:t>
      </w:r>
      <w:r w:rsidR="000F742B" w:rsidRPr="0073172D">
        <w:rPr>
          <w:rFonts w:asciiTheme="minorHAnsi" w:hAnsiTheme="minorHAnsi" w:cstheme="minorHAnsi"/>
          <w:sz w:val="24"/>
          <w:lang w:eastAsia="en-GB"/>
        </w:rPr>
        <w:t>VAS score</w:t>
      </w:r>
      <w:r w:rsidR="00437760" w:rsidRPr="0073172D">
        <w:rPr>
          <w:rFonts w:asciiTheme="minorHAnsi" w:hAnsiTheme="minorHAnsi" w:cstheme="minorHAnsi"/>
          <w:sz w:val="24"/>
          <w:lang w:eastAsia="en-GB"/>
        </w:rPr>
        <w:t xml:space="preserve"> </w:t>
      </w:r>
      <w:r w:rsidRPr="0073172D">
        <w:rPr>
          <w:rFonts w:asciiTheme="minorHAnsi" w:hAnsiTheme="minorHAnsi" w:cstheme="minorHAnsi"/>
          <w:sz w:val="24"/>
          <w:lang w:eastAsia="en-GB"/>
        </w:rPr>
        <w:t>=</w:t>
      </w:r>
      <w:r w:rsidR="00437760" w:rsidRPr="0073172D">
        <w:rPr>
          <w:rFonts w:asciiTheme="minorHAnsi" w:hAnsiTheme="minorHAnsi" w:cstheme="minorHAnsi"/>
          <w:sz w:val="24"/>
          <w:lang w:eastAsia="en-GB"/>
        </w:rPr>
        <w:t xml:space="preserve"> </w:t>
      </w:r>
      <w:r w:rsidRPr="0073172D">
        <w:rPr>
          <w:rFonts w:asciiTheme="minorHAnsi" w:hAnsiTheme="minorHAnsi" w:cstheme="minorHAnsi"/>
          <w:sz w:val="24"/>
          <w:lang w:eastAsia="en-GB"/>
        </w:rPr>
        <w:t>75.3, S.D</w:t>
      </w:r>
      <w:r w:rsidR="00437760" w:rsidRPr="0073172D">
        <w:rPr>
          <w:rFonts w:asciiTheme="minorHAnsi" w:hAnsiTheme="minorHAnsi" w:cstheme="minorHAnsi"/>
          <w:sz w:val="24"/>
          <w:lang w:eastAsia="en-GB"/>
        </w:rPr>
        <w:t xml:space="preserve"> </w:t>
      </w:r>
      <w:r w:rsidRPr="0073172D">
        <w:rPr>
          <w:rFonts w:asciiTheme="minorHAnsi" w:hAnsiTheme="minorHAnsi" w:cstheme="minorHAnsi"/>
          <w:sz w:val="24"/>
          <w:lang w:eastAsia="en-GB"/>
        </w:rPr>
        <w:t>=</w:t>
      </w:r>
      <w:r w:rsidR="00437760" w:rsidRPr="0073172D">
        <w:rPr>
          <w:rFonts w:asciiTheme="minorHAnsi" w:hAnsiTheme="minorHAnsi" w:cstheme="minorHAnsi"/>
          <w:sz w:val="24"/>
          <w:lang w:eastAsia="en-GB"/>
        </w:rPr>
        <w:t xml:space="preserve"> </w:t>
      </w:r>
      <w:r w:rsidRPr="0073172D">
        <w:rPr>
          <w:rFonts w:asciiTheme="minorHAnsi" w:hAnsiTheme="minorHAnsi" w:cstheme="minorHAnsi"/>
          <w:sz w:val="24"/>
          <w:lang w:eastAsia="en-GB"/>
        </w:rPr>
        <w:t>2.18).</w:t>
      </w:r>
    </w:p>
    <w:p w14:paraId="33C712BB" w14:textId="12149D30" w:rsidR="003A77E1" w:rsidRPr="0073172D" w:rsidRDefault="003A77E1" w:rsidP="003A3A37">
      <w:pPr>
        <w:keepNext w:val="0"/>
        <w:keepLines w:val="0"/>
        <w:spacing w:line="480" w:lineRule="auto"/>
        <w:rPr>
          <w:rFonts w:asciiTheme="minorHAnsi" w:hAnsiTheme="minorHAnsi" w:cstheme="minorHAnsi"/>
          <w:sz w:val="24"/>
          <w:lang w:eastAsia="en-GB"/>
        </w:rPr>
      </w:pPr>
      <w:r w:rsidRPr="0073172D">
        <w:rPr>
          <w:rFonts w:asciiTheme="minorHAnsi" w:hAnsiTheme="minorHAnsi" w:cstheme="minorHAnsi"/>
          <w:sz w:val="24"/>
          <w:lang w:eastAsia="en-GB"/>
        </w:rPr>
        <w:t xml:space="preserve">Of the 79 </w:t>
      </w:r>
      <w:r w:rsidR="00F55C7B" w:rsidRPr="0073172D">
        <w:rPr>
          <w:rFonts w:asciiTheme="minorHAnsi" w:hAnsiTheme="minorHAnsi" w:cstheme="minorHAnsi"/>
          <w:sz w:val="24"/>
          <w:lang w:eastAsia="en-GB"/>
        </w:rPr>
        <w:t xml:space="preserve">pre- and post-imaging </w:t>
      </w:r>
      <w:r w:rsidRPr="0073172D">
        <w:rPr>
          <w:rFonts w:asciiTheme="minorHAnsi" w:hAnsiTheme="minorHAnsi" w:cstheme="minorHAnsi"/>
          <w:sz w:val="24"/>
          <w:lang w:eastAsia="en-GB"/>
        </w:rPr>
        <w:t xml:space="preserve">matching questionnaires, 67 provided information regarding how the perfusion SPECT influenced their understanding of the patient’s disease. 94% </w:t>
      </w:r>
      <w:r w:rsidRPr="0073172D">
        <w:rPr>
          <w:rFonts w:asciiTheme="minorHAnsi" w:hAnsiTheme="minorHAnsi" w:cstheme="minorHAnsi"/>
          <w:i/>
          <w:sz w:val="24"/>
          <w:lang w:eastAsia="en-GB"/>
        </w:rPr>
        <w:t>(N</w:t>
      </w:r>
      <w:r w:rsidR="00437760" w:rsidRPr="0073172D">
        <w:rPr>
          <w:rFonts w:asciiTheme="minorHAnsi" w:hAnsiTheme="minorHAnsi" w:cstheme="minorHAnsi"/>
          <w:i/>
          <w:sz w:val="24"/>
          <w:lang w:eastAsia="en-GB"/>
        </w:rPr>
        <w:t xml:space="preserve"> </w:t>
      </w:r>
      <w:r w:rsidRPr="0073172D">
        <w:rPr>
          <w:rFonts w:asciiTheme="minorHAnsi" w:hAnsiTheme="minorHAnsi" w:cstheme="minorHAnsi"/>
          <w:i/>
          <w:sz w:val="24"/>
          <w:lang w:eastAsia="en-GB"/>
        </w:rPr>
        <w:t>=</w:t>
      </w:r>
      <w:r w:rsidR="00437760" w:rsidRPr="0073172D">
        <w:rPr>
          <w:rFonts w:asciiTheme="minorHAnsi" w:hAnsiTheme="minorHAnsi" w:cstheme="minorHAnsi"/>
          <w:i/>
          <w:sz w:val="24"/>
          <w:lang w:eastAsia="en-GB"/>
        </w:rPr>
        <w:t xml:space="preserve"> </w:t>
      </w:r>
      <w:r w:rsidRPr="0073172D">
        <w:rPr>
          <w:rFonts w:asciiTheme="minorHAnsi" w:hAnsiTheme="minorHAnsi" w:cstheme="minorHAnsi"/>
          <w:sz w:val="24"/>
          <w:lang w:eastAsia="en-GB"/>
        </w:rPr>
        <w:t xml:space="preserve">63) of clinicians felt that the imaging improved their understanding of the patient’s disease, with 5% noting that it either confused </w:t>
      </w:r>
      <w:r w:rsidRPr="0073172D">
        <w:rPr>
          <w:rFonts w:asciiTheme="minorHAnsi" w:hAnsiTheme="minorHAnsi" w:cstheme="minorHAnsi"/>
          <w:i/>
          <w:sz w:val="24"/>
          <w:lang w:eastAsia="en-GB"/>
        </w:rPr>
        <w:t>(N</w:t>
      </w:r>
      <w:r w:rsidR="00437760" w:rsidRPr="0073172D">
        <w:rPr>
          <w:rFonts w:asciiTheme="minorHAnsi" w:hAnsiTheme="minorHAnsi" w:cstheme="minorHAnsi"/>
          <w:i/>
          <w:sz w:val="24"/>
          <w:lang w:eastAsia="en-GB"/>
        </w:rPr>
        <w:t xml:space="preserve"> </w:t>
      </w:r>
      <w:r w:rsidRPr="0073172D">
        <w:rPr>
          <w:rFonts w:asciiTheme="minorHAnsi" w:hAnsiTheme="minorHAnsi" w:cstheme="minorHAnsi"/>
          <w:i/>
          <w:sz w:val="24"/>
          <w:lang w:eastAsia="en-GB"/>
        </w:rPr>
        <w:t>=</w:t>
      </w:r>
      <w:r w:rsidR="00437760" w:rsidRPr="0073172D">
        <w:rPr>
          <w:rFonts w:asciiTheme="minorHAnsi" w:hAnsiTheme="minorHAnsi" w:cstheme="minorHAnsi"/>
          <w:i/>
          <w:sz w:val="24"/>
          <w:lang w:eastAsia="en-GB"/>
        </w:rPr>
        <w:t xml:space="preserve"> </w:t>
      </w:r>
      <w:r w:rsidRPr="0073172D">
        <w:rPr>
          <w:rFonts w:asciiTheme="minorHAnsi" w:hAnsiTheme="minorHAnsi" w:cstheme="minorHAnsi"/>
          <w:sz w:val="24"/>
          <w:lang w:eastAsia="en-GB"/>
        </w:rPr>
        <w:t xml:space="preserve">2) or did not contribute </w:t>
      </w:r>
      <w:r w:rsidRPr="0073172D">
        <w:rPr>
          <w:rFonts w:asciiTheme="minorHAnsi" w:hAnsiTheme="minorHAnsi" w:cstheme="minorHAnsi"/>
          <w:i/>
          <w:sz w:val="24"/>
          <w:lang w:eastAsia="en-GB"/>
        </w:rPr>
        <w:t>(N</w:t>
      </w:r>
      <w:r w:rsidR="00437760" w:rsidRPr="0073172D">
        <w:rPr>
          <w:rFonts w:asciiTheme="minorHAnsi" w:hAnsiTheme="minorHAnsi" w:cstheme="minorHAnsi"/>
          <w:i/>
          <w:sz w:val="24"/>
          <w:lang w:eastAsia="en-GB"/>
        </w:rPr>
        <w:t xml:space="preserve"> </w:t>
      </w:r>
      <w:r w:rsidRPr="0073172D">
        <w:rPr>
          <w:rFonts w:asciiTheme="minorHAnsi" w:hAnsiTheme="minorHAnsi" w:cstheme="minorHAnsi"/>
          <w:sz w:val="24"/>
          <w:lang w:eastAsia="en-GB"/>
        </w:rPr>
        <w:t>=</w:t>
      </w:r>
      <w:r w:rsidR="00437760" w:rsidRPr="0073172D">
        <w:rPr>
          <w:rFonts w:asciiTheme="minorHAnsi" w:hAnsiTheme="minorHAnsi" w:cstheme="minorHAnsi"/>
          <w:sz w:val="24"/>
          <w:lang w:eastAsia="en-GB"/>
        </w:rPr>
        <w:t xml:space="preserve"> </w:t>
      </w:r>
      <w:r w:rsidRPr="0073172D">
        <w:rPr>
          <w:rFonts w:asciiTheme="minorHAnsi" w:hAnsiTheme="minorHAnsi" w:cstheme="minorHAnsi"/>
          <w:sz w:val="24"/>
          <w:lang w:eastAsia="en-GB"/>
        </w:rPr>
        <w:t>2) to their understanding.</w:t>
      </w:r>
    </w:p>
    <w:p w14:paraId="77266DE4" w14:textId="77777777" w:rsidR="003A77E1" w:rsidRPr="0073172D" w:rsidRDefault="003A77E1" w:rsidP="003A3A37">
      <w:pPr>
        <w:keepNext w:val="0"/>
        <w:keepLines w:val="0"/>
        <w:spacing w:line="480" w:lineRule="auto"/>
        <w:rPr>
          <w:rFonts w:asciiTheme="minorHAnsi" w:eastAsiaTheme="minorHAnsi" w:hAnsiTheme="minorHAnsi" w:cstheme="minorHAnsi"/>
          <w:sz w:val="28"/>
          <w:lang w:val="en-US"/>
        </w:rPr>
      </w:pPr>
    </w:p>
    <w:p w14:paraId="678290FE" w14:textId="60971687" w:rsidR="00BC2BDB" w:rsidRPr="0073172D" w:rsidRDefault="00BC2BDB" w:rsidP="003A3A37">
      <w:pPr>
        <w:pStyle w:val="Heading2"/>
        <w:keepNext w:val="0"/>
        <w:numPr>
          <w:ilvl w:val="0"/>
          <w:numId w:val="0"/>
        </w:numPr>
        <w:spacing w:line="480" w:lineRule="auto"/>
        <w:rPr>
          <w:rFonts w:asciiTheme="minorHAnsi" w:hAnsiTheme="minorHAnsi" w:cstheme="minorHAnsi"/>
        </w:rPr>
      </w:pPr>
      <w:r w:rsidRPr="0073172D">
        <w:rPr>
          <w:rFonts w:asciiTheme="minorHAnsi" w:hAnsiTheme="minorHAnsi" w:cstheme="minorHAnsi"/>
        </w:rPr>
        <w:lastRenderedPageBreak/>
        <w:t>Discussion</w:t>
      </w:r>
    </w:p>
    <w:p w14:paraId="170140EF" w14:textId="00F660D1" w:rsidR="00BC2BDB" w:rsidRPr="0073172D" w:rsidRDefault="00264085" w:rsidP="003A3A37">
      <w:pPr>
        <w:keepNext w:val="0"/>
        <w:keepLines w:val="0"/>
        <w:spacing w:line="480" w:lineRule="auto"/>
        <w:rPr>
          <w:rFonts w:asciiTheme="minorHAnsi" w:hAnsiTheme="minorHAnsi" w:cstheme="minorHAnsi"/>
          <w:sz w:val="24"/>
          <w:lang w:eastAsia="en-GB"/>
        </w:rPr>
      </w:pPr>
      <w:r w:rsidRPr="0073172D">
        <w:rPr>
          <w:rFonts w:asciiTheme="minorHAnsi" w:hAnsiTheme="minorHAnsi" w:cstheme="minorHAnsi"/>
          <w:sz w:val="24"/>
          <w:lang w:eastAsia="en-GB"/>
        </w:rPr>
        <w:t>T</w:t>
      </w:r>
      <w:r w:rsidR="00BC2BDB" w:rsidRPr="0073172D">
        <w:rPr>
          <w:rFonts w:asciiTheme="minorHAnsi" w:hAnsiTheme="minorHAnsi" w:cstheme="minorHAnsi"/>
          <w:sz w:val="24"/>
          <w:lang w:eastAsia="en-GB"/>
        </w:rPr>
        <w:t>his study</w:t>
      </w:r>
      <w:r w:rsidRPr="0073172D">
        <w:rPr>
          <w:rFonts w:asciiTheme="minorHAnsi" w:hAnsiTheme="minorHAnsi" w:cstheme="minorHAnsi"/>
          <w:sz w:val="24"/>
          <w:lang w:eastAsia="en-GB"/>
        </w:rPr>
        <w:t xml:space="preserve"> has</w:t>
      </w:r>
      <w:r w:rsidR="00BC2BDB" w:rsidRPr="0073172D">
        <w:rPr>
          <w:rFonts w:asciiTheme="minorHAnsi" w:hAnsiTheme="minorHAnsi" w:cstheme="minorHAnsi"/>
          <w:sz w:val="24"/>
          <w:lang w:eastAsia="en-GB"/>
        </w:rPr>
        <w:t xml:space="preserve"> investigated the utility of perfusion SPECT imaging in aiding diagnosis and diagnostic confidence in a large clinical sample of patients with cognitive complaints. </w:t>
      </w:r>
      <w:r w:rsidRPr="0073172D">
        <w:rPr>
          <w:rFonts w:asciiTheme="minorHAnsi" w:hAnsiTheme="minorHAnsi" w:cstheme="minorHAnsi"/>
          <w:sz w:val="24"/>
          <w:lang w:eastAsia="en-GB"/>
        </w:rPr>
        <w:t xml:space="preserve">The results </w:t>
      </w:r>
      <w:r w:rsidR="00BC2BDB" w:rsidRPr="0073172D">
        <w:rPr>
          <w:rFonts w:asciiTheme="minorHAnsi" w:hAnsiTheme="minorHAnsi" w:cstheme="minorHAnsi"/>
          <w:sz w:val="24"/>
          <w:lang w:eastAsia="en-GB"/>
        </w:rPr>
        <w:t>show that perfusion SPECT imaging provide</w:t>
      </w:r>
      <w:r w:rsidR="00D63BBD" w:rsidRPr="0073172D">
        <w:rPr>
          <w:rFonts w:asciiTheme="minorHAnsi" w:hAnsiTheme="minorHAnsi" w:cstheme="minorHAnsi"/>
          <w:sz w:val="24"/>
          <w:lang w:eastAsia="en-GB"/>
        </w:rPr>
        <w:t>s</w:t>
      </w:r>
      <w:r w:rsidR="00BC2BDB" w:rsidRPr="0073172D">
        <w:rPr>
          <w:rFonts w:asciiTheme="minorHAnsi" w:hAnsiTheme="minorHAnsi" w:cstheme="minorHAnsi"/>
          <w:sz w:val="24"/>
          <w:lang w:eastAsia="en-GB"/>
        </w:rPr>
        <w:t xml:space="preserve"> added value over standard clinical diagnostic workup alone, </w:t>
      </w:r>
      <w:r w:rsidR="00E52BD2" w:rsidRPr="0073172D">
        <w:rPr>
          <w:rFonts w:asciiTheme="minorHAnsi" w:hAnsiTheme="minorHAnsi" w:cstheme="minorHAnsi"/>
          <w:sz w:val="24"/>
          <w:lang w:eastAsia="en-GB"/>
        </w:rPr>
        <w:t xml:space="preserve">as </w:t>
      </w:r>
      <w:r w:rsidR="00BC2BDB" w:rsidRPr="0073172D">
        <w:rPr>
          <w:rFonts w:asciiTheme="minorHAnsi" w:hAnsiTheme="minorHAnsi" w:cstheme="minorHAnsi"/>
          <w:sz w:val="24"/>
          <w:lang w:eastAsia="en-GB"/>
        </w:rPr>
        <w:t xml:space="preserve">demonstrated by a change in diagnosis after imaging in 44% of cases in our sample. Perfusion SPECT was most useful in cases where there was high diagnostic uncertainty, with a large increase in confidence seen when a clinician </w:t>
      </w:r>
      <w:r w:rsidR="003C2E02" w:rsidRPr="0073172D">
        <w:rPr>
          <w:rFonts w:asciiTheme="minorHAnsi" w:hAnsiTheme="minorHAnsi" w:cstheme="minorHAnsi"/>
          <w:sz w:val="24"/>
          <w:lang w:eastAsia="en-GB"/>
        </w:rPr>
        <w:t>was uncertain about diagnosis (</w:t>
      </w:r>
      <w:r w:rsidR="00E52BD2" w:rsidRPr="0073172D">
        <w:rPr>
          <w:rFonts w:asciiTheme="minorHAnsi" w:hAnsiTheme="minorHAnsi" w:cstheme="minorHAnsi"/>
          <w:sz w:val="24"/>
          <w:lang w:eastAsia="en-GB"/>
        </w:rPr>
        <w:t xml:space="preserve">VAS confidence score&lt;50 </w:t>
      </w:r>
      <w:r w:rsidR="00BC2BDB" w:rsidRPr="0073172D">
        <w:rPr>
          <w:rFonts w:asciiTheme="minorHAnsi" w:hAnsiTheme="minorHAnsi" w:cstheme="minorHAnsi"/>
          <w:sz w:val="24"/>
          <w:lang w:eastAsia="en-GB"/>
        </w:rPr>
        <w:t>before imaging</w:t>
      </w:r>
      <w:r w:rsidR="003C2E02" w:rsidRPr="0073172D">
        <w:rPr>
          <w:rFonts w:asciiTheme="minorHAnsi" w:hAnsiTheme="minorHAnsi" w:cstheme="minorHAnsi"/>
          <w:sz w:val="24"/>
          <w:lang w:eastAsia="en-GB"/>
        </w:rPr>
        <w:t>)</w:t>
      </w:r>
      <w:r w:rsidR="00BC2BDB" w:rsidRPr="0073172D">
        <w:rPr>
          <w:rFonts w:asciiTheme="minorHAnsi" w:hAnsiTheme="minorHAnsi" w:cstheme="minorHAnsi"/>
          <w:sz w:val="24"/>
          <w:lang w:eastAsia="en-GB"/>
        </w:rPr>
        <w:t xml:space="preserve">. </w:t>
      </w:r>
      <w:r w:rsidR="003C2E02" w:rsidRPr="0073172D">
        <w:rPr>
          <w:rFonts w:asciiTheme="minorHAnsi" w:hAnsiTheme="minorHAnsi" w:cstheme="minorHAnsi"/>
          <w:sz w:val="24"/>
          <w:lang w:eastAsia="en-GB"/>
        </w:rPr>
        <w:t xml:space="preserve">Clinicians with moderately high pre-imaging confidence in the diagnosis did not change confidence levels, and interestingly, </w:t>
      </w:r>
      <w:proofErr w:type="gramStart"/>
      <w:r w:rsidR="003C2E02" w:rsidRPr="0073172D">
        <w:rPr>
          <w:rFonts w:asciiTheme="minorHAnsi" w:hAnsiTheme="minorHAnsi" w:cstheme="minorHAnsi"/>
          <w:sz w:val="24"/>
          <w:lang w:eastAsia="en-GB"/>
        </w:rPr>
        <w:t>a number of</w:t>
      </w:r>
      <w:proofErr w:type="gramEnd"/>
      <w:r w:rsidR="003C2E02" w:rsidRPr="0073172D">
        <w:rPr>
          <w:rFonts w:asciiTheme="minorHAnsi" w:hAnsiTheme="minorHAnsi" w:cstheme="minorHAnsi"/>
          <w:sz w:val="24"/>
          <w:lang w:eastAsia="en-GB"/>
        </w:rPr>
        <w:t xml:space="preserve"> clinicians with the highest confidence levels became less certain about the diagnosis following imaging results. Overall, </w:t>
      </w:r>
      <w:proofErr w:type="gramStart"/>
      <w:r w:rsidR="003C2E02" w:rsidRPr="0073172D">
        <w:rPr>
          <w:rFonts w:asciiTheme="minorHAnsi" w:hAnsiTheme="minorHAnsi" w:cstheme="minorHAnsi"/>
          <w:sz w:val="24"/>
          <w:lang w:eastAsia="en-GB"/>
        </w:rPr>
        <w:t>t</w:t>
      </w:r>
      <w:r w:rsidR="003D6B76" w:rsidRPr="0073172D">
        <w:rPr>
          <w:rFonts w:asciiTheme="minorHAnsi" w:hAnsiTheme="minorHAnsi" w:cstheme="minorHAnsi"/>
          <w:sz w:val="24"/>
          <w:lang w:eastAsia="en-GB"/>
        </w:rPr>
        <w:t xml:space="preserve">he </w:t>
      </w:r>
      <w:r w:rsidR="00BC2BDB" w:rsidRPr="0073172D">
        <w:rPr>
          <w:rFonts w:asciiTheme="minorHAnsi" w:hAnsiTheme="minorHAnsi" w:cstheme="minorHAnsi"/>
          <w:sz w:val="24"/>
          <w:lang w:eastAsia="en-GB"/>
        </w:rPr>
        <w:t>majority of</w:t>
      </w:r>
      <w:proofErr w:type="gramEnd"/>
      <w:r w:rsidR="00BC2BDB" w:rsidRPr="0073172D">
        <w:rPr>
          <w:rFonts w:asciiTheme="minorHAnsi" w:hAnsiTheme="minorHAnsi" w:cstheme="minorHAnsi"/>
          <w:sz w:val="24"/>
          <w:lang w:eastAsia="en-GB"/>
        </w:rPr>
        <w:t xml:space="preserve"> clinicians found that the perfusion SPECT imaging contributed to the diagnostic process (96%) and improved their understanding of their patient’s disease (87%).</w:t>
      </w:r>
    </w:p>
    <w:p w14:paraId="2624D071" w14:textId="5A1DFCD0" w:rsidR="00084490" w:rsidRPr="0073172D" w:rsidRDefault="002C04C8" w:rsidP="003A3A37">
      <w:pPr>
        <w:keepNext w:val="0"/>
        <w:keepLines w:val="0"/>
        <w:spacing w:line="480" w:lineRule="auto"/>
        <w:rPr>
          <w:rFonts w:asciiTheme="minorHAnsi" w:hAnsiTheme="minorHAnsi" w:cstheme="minorHAnsi"/>
          <w:sz w:val="24"/>
          <w:lang w:eastAsia="en-GB"/>
        </w:rPr>
      </w:pPr>
      <w:r w:rsidRPr="0073172D">
        <w:rPr>
          <w:rFonts w:asciiTheme="minorHAnsi" w:hAnsiTheme="minorHAnsi" w:cstheme="minorHAnsi"/>
          <w:sz w:val="24"/>
          <w:lang w:eastAsia="en-GB"/>
        </w:rPr>
        <w:t>W</w:t>
      </w:r>
      <w:r w:rsidR="00BC2BDB" w:rsidRPr="0073172D">
        <w:rPr>
          <w:rFonts w:asciiTheme="minorHAnsi" w:hAnsiTheme="minorHAnsi" w:cstheme="minorHAnsi"/>
          <w:sz w:val="24"/>
          <w:lang w:eastAsia="en-GB"/>
        </w:rPr>
        <w:t xml:space="preserve">e found over 40% of cases changed </w:t>
      </w:r>
      <w:r w:rsidR="00F12A3F" w:rsidRPr="0073172D">
        <w:rPr>
          <w:rFonts w:asciiTheme="minorHAnsi" w:hAnsiTheme="minorHAnsi" w:cstheme="minorHAnsi"/>
          <w:sz w:val="24"/>
          <w:lang w:eastAsia="en-GB"/>
        </w:rPr>
        <w:t>diagnosis after imaging</w:t>
      </w:r>
      <w:r w:rsidRPr="0073172D">
        <w:rPr>
          <w:rFonts w:asciiTheme="minorHAnsi" w:hAnsiTheme="minorHAnsi" w:cstheme="minorHAnsi"/>
          <w:sz w:val="24"/>
          <w:lang w:eastAsia="en-GB"/>
        </w:rPr>
        <w:t xml:space="preserve"> in our sample</w:t>
      </w:r>
      <w:r w:rsidR="00BB05D3" w:rsidRPr="0073172D">
        <w:rPr>
          <w:rFonts w:asciiTheme="minorHAnsi" w:hAnsiTheme="minorHAnsi" w:cstheme="minorHAnsi"/>
          <w:sz w:val="24"/>
          <w:lang w:eastAsia="en-GB"/>
        </w:rPr>
        <w:t xml:space="preserve">. </w:t>
      </w:r>
      <w:r w:rsidR="00084490" w:rsidRPr="0073172D">
        <w:rPr>
          <w:rFonts w:asciiTheme="minorHAnsi" w:hAnsiTheme="minorHAnsi" w:cstheme="minorHAnsi"/>
          <w:sz w:val="24"/>
          <w:lang w:eastAsia="en-GB"/>
        </w:rPr>
        <w:t>Previous studies investigating change in diagnosis after diagnostic investigations have shown varying results, with diagnosis changing in 9% to 27</w:t>
      </w:r>
      <w:r w:rsidR="00167E71" w:rsidRPr="0073172D">
        <w:rPr>
          <w:rFonts w:asciiTheme="minorHAnsi" w:hAnsiTheme="minorHAnsi" w:cstheme="minorHAnsi"/>
          <w:sz w:val="24"/>
          <w:lang w:eastAsia="en-GB"/>
        </w:rPr>
        <w:t xml:space="preserve">% </w:t>
      </w:r>
      <w:r w:rsidR="00084490" w:rsidRPr="0073172D">
        <w:rPr>
          <w:rFonts w:asciiTheme="minorHAnsi" w:hAnsiTheme="minorHAnsi" w:cstheme="minorHAnsi"/>
          <w:sz w:val="24"/>
          <w:lang w:eastAsia="en-GB"/>
        </w:rPr>
        <w:t>of</w:t>
      </w:r>
      <w:r w:rsidR="00514C4E" w:rsidRPr="0073172D">
        <w:rPr>
          <w:rFonts w:asciiTheme="minorHAnsi" w:hAnsiTheme="minorHAnsi" w:cstheme="minorHAnsi"/>
          <w:sz w:val="24"/>
          <w:lang w:eastAsia="en-GB"/>
        </w:rPr>
        <w:t xml:space="preserve"> all</w:t>
      </w:r>
      <w:r w:rsidR="00084490" w:rsidRPr="0073172D">
        <w:rPr>
          <w:rFonts w:asciiTheme="minorHAnsi" w:hAnsiTheme="minorHAnsi" w:cstheme="minorHAnsi"/>
          <w:sz w:val="24"/>
          <w:lang w:eastAsia="en-GB"/>
        </w:rPr>
        <w:t xml:space="preserve"> cases after FDG-PET, amyloid PET and Alzheimer’s disease CSF biomarkers</w:t>
      </w:r>
      <w:r w:rsidR="00E86591" w:rsidRPr="0073172D">
        <w:rPr>
          <w:rFonts w:asciiTheme="minorHAnsi" w:hAnsiTheme="minorHAnsi" w:cstheme="minorHAnsi"/>
          <w:sz w:val="24"/>
          <w:lang w:eastAsia="en-GB"/>
        </w:rPr>
        <w:t xml:space="preserve"> </w:t>
      </w:r>
      <w:r w:rsidR="00CA3EED" w:rsidRPr="0073172D">
        <w:rPr>
          <w:rFonts w:asciiTheme="minorHAnsi" w:hAnsiTheme="minorHAnsi" w:cstheme="minorHAnsi"/>
          <w:sz w:val="24"/>
          <w:lang w:eastAsia="en-GB"/>
        </w:rPr>
        <w:fldChar w:fldCharType="begin" w:fldLock="1"/>
      </w:r>
      <w:r w:rsidR="00D902A8" w:rsidRPr="0073172D">
        <w:rPr>
          <w:rFonts w:asciiTheme="minorHAnsi" w:hAnsiTheme="minorHAnsi" w:cstheme="minorHAnsi"/>
          <w:sz w:val="24"/>
          <w:lang w:eastAsia="en-GB"/>
        </w:rPr>
        <w:instrText>ADDIN CSL_CITATION {"citationItems":[{"id":"ITEM-1","itemData":{"DOI":"10.1016/j.jalz.2012.07.003","ISBN":"1552-5279 (Electronic) 1552-5260 (Linking)","ISSN":"1552-5279","PMID":"23164552","abstract":"BACKGROUND: [(11)C]Pittsburgh compound B ([(11)C]PIB) and [(18)F]-2-fluoro-2-deoxy-D-glucose ([(18)F]FDG) PET measure fibrillar amyloid-β load and glucose metabolism, respectively. We evaluated the impact of these tracers on the diagnostic process in a memory clinic population.\\n\\nMETHODS: One hundred fifty-four patients underwent paired dynamic [(11)C]PIB and static [(18)F]FDG PET scans shortly after completing a standard dementia screening. Two-year clinical follow-up data were available for 39 patients. Parametric PET images were assessed visually and results were reported to the neurologists responsible for the initial diagnosis. Outcome measures were (change in) clinical diagnosis and confidence in that diagnosis before and after disclosing PET results.\\n\\nRESULTS: [(11)C]PIB scans were positive in 40 of 66 (61%) patients with a clinical diagnosis of Alzheimer's disease (AD), 5 of 18 (28%) patients with frontotemporal dementia (FTD), 4 of 5 (80%) patients with Lewy body dementia, and 3 of 10 (30%) patients with other dementias. [(18)F]FDG uptake patterns matched the clinical diagnosis in 38 of 66 (58%) of AD patients, and in 6 of 18 (33%) FTD patients. PET results led to a change in diagnosis in 35 (23%) patients. This only occurred when prior diagnostic certainty was &lt;90%. Diagnostic confidence increased from 71 ± 17% before to 87 ± 16% after PET (p &lt; .001). Two-year clinical follow-up (n = 39) showed that [(11)C]PIB and [(18)F]FDG predicted progression to AD for patients with mild cognitive impairment, and that the diagnosis of dementia established after PET remained unchanged in 96% of patients.\\n\\nCONCLUSIONS: In a memory clinic setting, combined [(11)C]PIB and [(18)F]FDG PET are of additional value on top of the standard diagnostic work-up, especially when prior diagnostic confidence is low.","author":[{"dropping-particle":"","family":"Ossenkoppele","given":"Rik","non-dropping-particle":"","parse-names":false,"suffix":""},{"dropping-particle":"","family":"Prins","given":"Niels D","non-dropping-particle":"","parse-names":false,"suffix":""},{"dropping-particle":"","family":"Pijnenburg","given":"Yolande a L","non-dropping-particle":"","parse-names":false,"suffix":""},{"dropping-particle":"","family":"Lemstra","given":"Afina W","non-dropping-particle":"","parse-names":false,"suffix":""},{"dropping-particle":"","family":"Flier","given":"Wiesje M","non-dropping-particle":"van der","parse-names":false,"suffix":""},{"dropping-particle":"","family":"Adriaanse","given":"Sofie F","non-dropping-particle":"","parse-names":false,"suffix":""},{"dropping-particle":"","family":"Windhorst","given":"Albert D","non-dropping-particle":"","parse-names":false,"suffix":""},{"dropping-particle":"","family":"Handels","given":"Ron L H","non-dropping-particle":"","parse-names":false,"suffix":""},{"dropping-particle":"","family":"Wolfs","given":"Claire a G","non-dropping-particle":"","parse-names":false,"suffix":""},{"dropping-particle":"","family":"Aalten","given":"Pauline","non-dropping-particle":"","parse-names":false,"suffix":""},{"dropping-particle":"","family":"Verhey","given":"Frans R J","non-dropping-particle":"","parse-names":false,"suffix":""},{"dropping-particle":"","family":"Verbeek","given":"Marcel M","non-dropping-particle":"","parse-names":false,"suffix":""},{"dropping-particle":"","family":"Buchem","given":"Mark a","non-dropping-particle":"van","parse-names":false,"suffix":""},{"dropping-particle":"","family":"Hoekstra","given":"Otto S","non-dropping-particle":"","parse-names":false,"suffix":""},{"dropping-particle":"","family":"Lammertsma","given":"Adriaan a","non-dropping-particle":"","parse-names":false,"suffix":""},{"dropping-particle":"","family":"Scheltens","given":"Philip","non-dropping-particle":"","parse-names":false,"suffix":""},{"dropping-particle":"","family":"Berckel","given":"Bart N M","non-dropping-particle":"van","parse-names":false,"suffix":""}],"container-title":"Alzheimer's &amp; dementia : the journal of the Alzheimer's Association","id":"ITEM-1","issue":"4","issued":{"date-parts":[["2013"]]},"page":"414-21","publisher":"Elsevier Ltd","title":"Impact of molecular imaging on the diagnostic process in a memory clinic.","type":"article-journal","volume":"9"},"uris":["http://www.mendeley.com/documents/?uuid=5031ceb6-b4c2-4b07-8e04-e53942f7b159"]},{"id":"ITEM-2","itemData":{"DOI":"10.1212/WNL.0000000000000032","ISBN":"0000000000000","ISSN":"1526632X","PMID":"24353340","abstract":"OBJECTIVE: To evaluate the effect of amyloid imaging on clinical decision making.\\n\\nMETHODS: We conducted a retrospective analysis of 140 cognitively impaired patients (mean age 65.0 years, 46% primary β-amyloid (Aβ) diagnosis, mean Mini-Mental State Examination 22.3) who underwent amyloid (Pittsburgh compound B [PiB]) PET as part of observational research studies and were evaluated clinically before and after the scan. One hundred thirty-four concurrently underwent fluorodeoxyglucose (FDG)-PET. We assessed for changes between the pre- and post-PET clinical diagnosis (from Aβ to non-Aβ diagnosis or vice versa) and Alzheimer disease treatment plan. The association between PiB/FDG results and changes in management was evaluated using χ(2) and multivariate logistic regression. Postmortem diagnosis was available for 24 patients (17%).\\n\\nRESULTS: Concordance between scan results and baseline diagnosis was high (PiB 84%, FDG 82%). The primary diagnosis changed after PET in 13/140 patients (9%) overall but in 5/13 (38%) patients considered pre-PET diagnostic dilemmas. When examined independently, discordant PiB and discordant FDG were both associated with diagnostic change (unadjusted p &lt; 0.0001). However, when examined together in a multivariate logistic regression, only discordant PiB remained significant (adjusted p = 0.00013). Changes in treatment were associated with discordant PiB in patients with non-Aβ diagnoses (adjusted p = 0.028), while FDG had no effect on therapy. Both PiB (96%) and FDG (91%) showed high agreement with autopsy diagnosis.\\n\\nCONCLUSIONS: PET had a moderate effect on clinical outcomes. Discordant PiB had a greater effect than discordant FDG, and influence on diagnosis was greater than on treatment. Prospective studies are needed to better characterize the clinical role of amyloid PET.","author":[{"dropping-particle":"","family":"Sánchez-Juan","given":"Pascual","non-dropping-particle":"","parse-names":false,"suffix":""},{"dropping-particle":"","family":"Ghosh","given":"Pia M.","non-dropping-particle":"","parse-names":false,"suffix":""},{"dropping-particle":"","family":"Hagen","given":"Jayne","non-dropping-particle":"","parse-names":false,"suffix":""},{"dropping-particle":"","family":"Gesierich","given":"Benno","non-dropping-particle":"","parse-names":false,"suffix":""},{"dropping-particle":"","family":"Henry","given":"Maya","non-dropping-particle":"","parse-names":false,"suffix":""},{"dropping-particle":"","family":"Grinberg","given":"Lea T.","non-dropping-particle":"","parse-names":false,"suffix":""},{"dropping-particle":"","family":"O'Neil","given":"James P.","non-dropping-particle":"","parse-names":false,"suffix":""},{"dropping-particle":"","family":"Janabi","given":"Mustafa","non-dropping-particle":"","parse-names":false,"suffix":""},{"dropping-particle":"","family":"Huang","given":"Eric J.","non-dropping-particle":"","parse-names":false,"suffix":""},{"dropping-particle":"","family":"Trojanowski","given":"John Q.","non-dropping-particle":"","parse-names":false,"suffix":""},{"dropping-particle":"V.","family":"Vinters","given":"Harry","non-dropping-particle":"","parse-names":false,"suffix":""},{"dropping-particle":"","family":"Gorno-Tempini","given":"Marilu","non-dropping-particle":"","parse-names":false,"suffix":""},{"dropping-particle":"","family":"Seeley","given":"William W.","non-dropping-particle":"","parse-names":false,"suffix":""},{"dropping-particle":"","family":"Boxer","given":"Adam L.","non-dropping-particle":"","parse-names":false,"suffix":""},{"dropping-particle":"","family":"Rosen","given":"Howard J.","non-dropping-particle":"","parse-names":false,"suffix":""},{"dropping-particle":"","family":"Kramer","given":"Joel H.","non-dropping-particle":"","parse-names":false,"suffix":""},{"dropping-particle":"","family":"Miller","given":"Bruce L.","non-dropping-particle":"","parse-names":false,"suffix":""},{"dropping-particle":"","family":"Jagust","given":"William J.","non-dropping-particle":"","parse-names":false,"suffix":""},{"dropping-particle":"","family":"Rabinovici","given":"Gil D.","non-dropping-particle":"","parse-names":false,"suffix":""}],"container-title":"Neurology","id":"ITEM-2","issue":"3","issued":{"date-parts":[["2014"]]},"page":"230-238","title":"Practical utility of amyloid and FDG-PET in an academic dementia center","type":"article-journal","volume":"82"},"uris":["http://www.mendeley.com/documents/?uuid=6df32137-85dd-4087-9ff2-2d5c0fa2e55f"]},{"id":"ITEM-3","itemData":{"DOI":"10.1159/000345783","ISBN":"1664-5464 (Electronic)\\r1664-5464 (Linking)","ISSN":"1664-5464","PMID":"23341826","abstract":"INTRODUCTION: The added diagnostic value of (11)C-PiB-PET for the assessment of the accumulation of cortical beta-amyloid in memory clinic patients with uncertain diagnosis remains undetermined.\\n\\nMETHODS: All patients who underwent PiB-PET at the Copenhagen Memory Clinic between March 2008 and November 2011 were included in this uncontrolled, retrospective study. The standard diagnostic evaluation program included physical and neurological examination, cognitive and functional assessment, a cranial CT or MRI, functional imaging and cerebrospinal fluid sampling. Based on anonymized case reports, three experienced clinicians reached a consensus diagnosis and rated their confidence in the diagnosis before and after disclosure of PiB-PET ratings. PiB-PET scans were rated as either positive or negative.\\n\\nRESULTS: A total of 57 patients (17 females, 30 males; age 65.7 years, range 44.2-82.6) were included in the study. Twenty-seven had a positive PiB-PET scan. At the first diagnostic evaluation, 16 patients were given a clinical Alheimer's disease diagnosis (14 PiB positive). Of the 57 patients, 13 (23%) were diagnostically reclassified after PiB-PET ratings were disclosed. The clinicians' overall confidence in their diagnosis increased in 28 (49%) patients.\\n\\nCONCLUSION: PiB-PET adds to the specialist clinical evaluation and other supplemental diagnostic investigations in the diagnostic classification of patients with uncertain diagnosis in a specialized memory clinic.","author":[{"dropping-particle":"","family":"Frederiksen","given":"K.S.","non-dropping-particle":"","parse-names":false,"suffix":""},{"dropping-particle":"","family":"Hasselbalch","given":"S.G.","non-dropping-particle":"","parse-names":false,"suffix":""},{"dropping-particle":"","family":"Hejl","given":"A-M","non-dropping-particle":"","parse-names":false,"suffix":""},{"dropping-particle":"","family":"Law","given":"I","non-dropping-particle":"","parse-names":false,"suffix":""},{"dropping-particle":"","family":"Højgaard","given":"L","non-dropping-particle":"","parse-names":false,"suffix":""},{"dropping-particle":"","family":"Waldemar","given":"Gunhild","non-dropping-particle":"","parse-names":false,"suffix":""}],"container-title":"Dementia and Geriatric Cognitive Disorders Extra","id":"ITEM-3","issue":"1","issued":{"date-parts":[["2012"]]},"page":"610-621","title":"Added Diagnostic Value of 11C-PiB-PET in Memory Clinic Patients with Uncertain Diagnosis","type":"article-journal","volume":"2"},"uris":["http://www.mendeley.com/documents/?uuid=e421cdde-1c18-450c-b3e6-4c8c9e19427f"]},{"id":"ITEM-4","itemData":{"DOI":"10.1007/s00415-013-7160-3","ISSN":"1432-1459","PMID":"24162039","abstract":"CSF biomarkers of Alzheimer's disease are well validated in clinical research; however, their pragmatic utility in daily practice is still unappreciated. These biomarkers are used in routine practice according to Health Authority Recommendations. In 604 consecutive patients explored for cognitive disorders, questionnaires were prospectively proposed and filled. Before and after CSF biomarker results, clinicians provided a diagnosis and an estimate of their diagnostic confidence. Analysis has compared the frequency of diagnosis before and after CSF biomarker results using the net reclassification improvement (NRI) method. We have evaluated external validity comparing with data of French Bank National of AD (BNA). A total of 561 patients [Alzheimer's disease (AD), n = 253; non-AD, n = 308] were included (mean age, 68.6 years; women, 52 %). Clinically suspected diagnosis and CSF results were concordant in 65.2 % of cases. When clinical hypothesis and biological results were discordant, a reclassification occurred in favour of CSF biomarkers results in 76.9 %. The NRI was 39.5 %. In addition, the results show a statistically significant improvement in clinician confidence for their diagnosis. In comparison with BNA data, patients were younger and more frequently diagnosed with AD. Clinicians tend to heavily rely on the CSF AD biomarkers results and are more confident in their diagnoses using CSF AD biomarkers. Thus, these biomarkers appear as a key tool in clinical practice.","author":[{"dropping-particle":"","family":"Mouton-Liger","given":"François","non-dropping-particle":"","parse-names":false,"suffix":""},{"dropping-particle":"","family":"Wallon","given":"David","non-dropping-particle":"","parse-names":false,"suffix":""},{"dropping-particle":"","family":"Troussière","given":"Anne-Cécile","non-dropping-particle":"","parse-names":false,"suffix":""},{"dropping-particle":"","family":"Yatimi","given":"Rachida","non-dropping-particle":"","parse-names":false,"suffix":""},{"dropping-particle":"","family":"Dumurgier","given":"Julien","non-dropping-particle":"","parse-names":false,"suffix":""},{"dropping-particle":"","family":"Magnin","given":"Eloi","non-dropping-particle":"","parse-names":false,"suffix":""},{"dropping-particle":"","family":"la Sayette","given":"Vincent","non-dropping-particle":"de","parse-names":false,"suffix":""},{"dropping-particle":"","family":"Duron","given":"Emannuelle","non-dropping-particle":"","parse-names":false,"suffix":""},{"dropping-particle":"","family":"Philippi","given":"Nathalie","non-dropping-particle":"","parse-names":false,"suffix":""},{"dropping-particle":"","family":"Beaufils","given":"Emilie","non-dropping-particle":"","parse-names":false,"suffix":""},{"dropping-particle":"","family":"Gabelle","given":"Audrey","non-dropping-particle":"","parse-names":false,"suffix":""},{"dropping-particle":"","family":"Croisile","given":"Bernard","non-dropping-particle":"","parse-names":false,"suffix":""},{"dropping-particle":"","family":"Robert","given":"Philippe","non-dropping-particle":"","parse-names":false,"suffix":""},{"dropping-particle":"","family":"Pasquier","given":"Florence","non-dropping-particle":"","parse-names":false,"suffix":""},{"dropping-particle":"","family":"Hannequin","given":"Didier","non-dropping-particle":"","parse-names":false,"suffix":""},{"dropping-particle":"","family":"Hugon","given":"Jacques","non-dropping-particle":"","parse-names":false,"suffix":""},{"dropping-particle":"","family":"Paquet","given":"Claire","non-dropping-particle":"","parse-names":false,"suffix":""}],"container-title":"Journal of neurology","id":"ITEM-4","issue":"1","issued":{"date-parts":[["2014"]]},"page":"144-51","title":"Impact of cerebro-spinal fluid biomarkers of Alzheimer's disease in clinical practice: a multicentric study.","type":"article-journal","volume":"261"},"uris":["http://www.mendeley.com/documents/?uuid=849d10de-25f0-402a-beef-ff8c5652c5c7"]}],"mendeley":{"formattedCitation":"[&lt;i&gt;15&lt;/i&gt;,&lt;i&gt;16&lt;/i&gt;,&lt;i&gt;22&lt;/i&gt;,&lt;i&gt;23&lt;/i&gt;]","plainTextFormattedCitation":"[15,16,22,23]","previouslyFormattedCitation":"[15,16,22,23]"},"properties":{"noteIndex":0},"schema":"https://github.com/citation-style-language/schema/raw/master/csl-citation.json"}</w:instrText>
      </w:r>
      <w:r w:rsidR="00CA3EED" w:rsidRPr="0073172D">
        <w:rPr>
          <w:rFonts w:asciiTheme="minorHAnsi" w:hAnsiTheme="minorHAnsi" w:cstheme="minorHAnsi"/>
          <w:sz w:val="24"/>
          <w:lang w:eastAsia="en-GB"/>
        </w:rPr>
        <w:fldChar w:fldCharType="separate"/>
      </w:r>
      <w:r w:rsidR="00D902A8" w:rsidRPr="0073172D">
        <w:rPr>
          <w:rFonts w:asciiTheme="minorHAnsi" w:hAnsiTheme="minorHAnsi" w:cstheme="minorHAnsi"/>
          <w:noProof/>
          <w:sz w:val="24"/>
          <w:lang w:eastAsia="en-GB"/>
        </w:rPr>
        <w:t>[</w:t>
      </w:r>
      <w:r w:rsidR="00D902A8" w:rsidRPr="0073172D">
        <w:rPr>
          <w:rFonts w:asciiTheme="minorHAnsi" w:hAnsiTheme="minorHAnsi" w:cstheme="minorHAnsi"/>
          <w:i/>
          <w:noProof/>
          <w:sz w:val="24"/>
          <w:lang w:eastAsia="en-GB"/>
        </w:rPr>
        <w:t>15</w:t>
      </w:r>
      <w:r w:rsidR="00D902A8" w:rsidRPr="0073172D">
        <w:rPr>
          <w:rFonts w:asciiTheme="minorHAnsi" w:hAnsiTheme="minorHAnsi" w:cstheme="minorHAnsi"/>
          <w:noProof/>
          <w:sz w:val="24"/>
          <w:lang w:eastAsia="en-GB"/>
        </w:rPr>
        <w:t>,</w:t>
      </w:r>
      <w:r w:rsidR="00D902A8" w:rsidRPr="0073172D">
        <w:rPr>
          <w:rFonts w:asciiTheme="minorHAnsi" w:hAnsiTheme="minorHAnsi" w:cstheme="minorHAnsi"/>
          <w:i/>
          <w:noProof/>
          <w:sz w:val="24"/>
          <w:lang w:eastAsia="en-GB"/>
        </w:rPr>
        <w:t>16</w:t>
      </w:r>
      <w:r w:rsidR="00D902A8" w:rsidRPr="0073172D">
        <w:rPr>
          <w:rFonts w:asciiTheme="minorHAnsi" w:hAnsiTheme="minorHAnsi" w:cstheme="minorHAnsi"/>
          <w:noProof/>
          <w:sz w:val="24"/>
          <w:lang w:eastAsia="en-GB"/>
        </w:rPr>
        <w:t>,</w:t>
      </w:r>
      <w:r w:rsidR="00D902A8" w:rsidRPr="0073172D">
        <w:rPr>
          <w:rFonts w:asciiTheme="minorHAnsi" w:hAnsiTheme="minorHAnsi" w:cstheme="minorHAnsi"/>
          <w:i/>
          <w:noProof/>
          <w:sz w:val="24"/>
          <w:lang w:eastAsia="en-GB"/>
        </w:rPr>
        <w:t>22</w:t>
      </w:r>
      <w:r w:rsidR="00D902A8" w:rsidRPr="0073172D">
        <w:rPr>
          <w:rFonts w:asciiTheme="minorHAnsi" w:hAnsiTheme="minorHAnsi" w:cstheme="minorHAnsi"/>
          <w:noProof/>
          <w:sz w:val="24"/>
          <w:lang w:eastAsia="en-GB"/>
        </w:rPr>
        <w:t>,</w:t>
      </w:r>
      <w:r w:rsidR="00D902A8" w:rsidRPr="0073172D">
        <w:rPr>
          <w:rFonts w:asciiTheme="minorHAnsi" w:hAnsiTheme="minorHAnsi" w:cstheme="minorHAnsi"/>
          <w:i/>
          <w:noProof/>
          <w:sz w:val="24"/>
          <w:lang w:eastAsia="en-GB"/>
        </w:rPr>
        <w:t>23</w:t>
      </w:r>
      <w:r w:rsidR="00D902A8" w:rsidRPr="0073172D">
        <w:rPr>
          <w:rFonts w:asciiTheme="minorHAnsi" w:hAnsiTheme="minorHAnsi" w:cstheme="minorHAnsi"/>
          <w:noProof/>
          <w:sz w:val="24"/>
          <w:lang w:eastAsia="en-GB"/>
        </w:rPr>
        <w:t>]</w:t>
      </w:r>
      <w:r w:rsidR="00CA3EED" w:rsidRPr="0073172D">
        <w:rPr>
          <w:rFonts w:asciiTheme="minorHAnsi" w:hAnsiTheme="minorHAnsi" w:cstheme="minorHAnsi"/>
          <w:sz w:val="24"/>
          <w:lang w:eastAsia="en-GB"/>
        </w:rPr>
        <w:fldChar w:fldCharType="end"/>
      </w:r>
      <w:r w:rsidR="00167E71" w:rsidRPr="0073172D">
        <w:rPr>
          <w:rFonts w:asciiTheme="minorHAnsi" w:hAnsiTheme="minorHAnsi" w:cstheme="minorHAnsi"/>
          <w:sz w:val="24"/>
          <w:lang w:eastAsia="en-GB"/>
        </w:rPr>
        <w:t>. Where it was recorded, mean diagnostic confidence</w:t>
      </w:r>
      <w:r w:rsidR="00BB05D3" w:rsidRPr="0073172D">
        <w:rPr>
          <w:rFonts w:asciiTheme="minorHAnsi" w:hAnsiTheme="minorHAnsi" w:cstheme="minorHAnsi"/>
          <w:sz w:val="24"/>
          <w:lang w:eastAsia="en-GB"/>
        </w:rPr>
        <w:t xml:space="preserve"> before investigation</w:t>
      </w:r>
      <w:r w:rsidR="00167E71" w:rsidRPr="0073172D">
        <w:rPr>
          <w:rFonts w:asciiTheme="minorHAnsi" w:hAnsiTheme="minorHAnsi" w:cstheme="minorHAnsi"/>
          <w:sz w:val="24"/>
          <w:lang w:eastAsia="en-GB"/>
        </w:rPr>
        <w:t xml:space="preserve"> in these studies was however higher than in our sample, and change in diagnosis increased to 38% in diagnostic ‘dilemmas’ </w:t>
      </w:r>
      <w:r w:rsidR="00CA3EED" w:rsidRPr="0073172D">
        <w:rPr>
          <w:rFonts w:asciiTheme="minorHAnsi" w:hAnsiTheme="minorHAnsi" w:cstheme="minorHAnsi"/>
          <w:sz w:val="24"/>
          <w:lang w:eastAsia="en-GB"/>
        </w:rPr>
        <w:fldChar w:fldCharType="begin" w:fldLock="1"/>
      </w:r>
      <w:r w:rsidR="00D902A8" w:rsidRPr="0073172D">
        <w:rPr>
          <w:rFonts w:asciiTheme="minorHAnsi" w:hAnsiTheme="minorHAnsi" w:cstheme="minorHAnsi"/>
          <w:sz w:val="24"/>
          <w:lang w:eastAsia="en-GB"/>
        </w:rPr>
        <w:instrText>ADDIN CSL_CITATION {"citationItems":[{"id":"ITEM-1","itemData":{"DOI":"10.1212/WNL.0000000000000032","ISBN":"0000000000000","ISSN":"1526632X","PMID":"24353340","abstract":"OBJECTIVE: To evaluate the effect of amyloid imaging on clinical decision making.\\n\\nMETHODS: We conducted a retrospective analysis of 140 cognitively impaired patients (mean age 65.0 years, 46% primary β-amyloid (Aβ) diagnosis, mean Mini-Mental State Examination 22.3) who underwent amyloid (Pittsburgh compound B [PiB]) PET as part of observational research studies and were evaluated clinically before and after the scan. One hundred thirty-four concurrently underwent fluorodeoxyglucose (FDG)-PET. We assessed for changes between the pre- and post-PET clinical diagnosis (from Aβ to non-Aβ diagnosis or vice versa) and Alzheimer disease treatment plan. The association between PiB/FDG results and changes in management was evaluated using χ(2) and multivariate logistic regression. Postmortem diagnosis was available for 24 patients (17%).\\n\\nRESULTS: Concordance between scan results and baseline diagnosis was high (PiB 84%, FDG 82%). The primary diagnosis changed after PET in 13/140 patients (9%) overall but in 5/13 (38%) patients considered pre-PET diagnostic dilemmas. When examined independently, discordant PiB and discordant FDG were both associated with diagnostic change (unadjusted p &lt; 0.0001). However, when examined together in a multivariate logistic regression, only discordant PiB remained significant (adjusted p = 0.00013). Changes in treatment were associated with discordant PiB in patients with non-Aβ diagnoses (adjusted p = 0.028), while FDG had no effect on therapy. Both PiB (96%) and FDG (91%) showed high agreement with autopsy diagnosis.\\n\\nCONCLUSIONS: PET had a moderate effect on clinical outcomes. Discordant PiB had a greater effect than discordant FDG, and influence on diagnosis was greater than on treatment. Prospective studies are needed to better characterize the clinical role of amyloid PET.","author":[{"dropping-particle":"","family":"Sánchez-Juan","given":"Pascual","non-dropping-particle":"","parse-names":false,"suffix":""},{"dropping-particle":"","family":"Ghosh","given":"Pia M.","non-dropping-particle":"","parse-names":false,"suffix":""},{"dropping-particle":"","family":"Hagen","given":"Jayne","non-dropping-particle":"","parse-names":false,"suffix":""},{"dropping-particle":"","family":"Gesierich","given":"Benno","non-dropping-particle":"","parse-names":false,"suffix":""},{"dropping-particle":"","family":"Henry","given":"Maya","non-dropping-particle":"","parse-names":false,"suffix":""},{"dropping-particle":"","family":"Grinberg","given":"Lea T.","non-dropping-particle":"","parse-names":false,"suffix":""},{"dropping-particle":"","family":"O'Neil","given":"James P.","non-dropping-particle":"","parse-names":false,"suffix":""},{"dropping-particle":"","family":"Janabi","given":"Mustafa","non-dropping-particle":"","parse-names":false,"suffix":""},{"dropping-particle":"","family":"Huang","given":"Eric J.","non-dropping-particle":"","parse-names":false,"suffix":""},{"dropping-particle":"","family":"Trojanowski","given":"John Q.","non-dropping-particle":"","parse-names":false,"suffix":""},{"dropping-particle":"V.","family":"Vinters","given":"Harry","non-dropping-particle":"","parse-names":false,"suffix":""},{"dropping-particle":"","family":"Gorno-Tempini","given":"Marilu","non-dropping-particle":"","parse-names":false,"suffix":""},{"dropping-particle":"","family":"Seeley","given":"William W.","non-dropping-particle":"","parse-names":false,"suffix":""},{"dropping-particle":"","family":"Boxer","given":"Adam L.","non-dropping-particle":"","parse-names":false,"suffix":""},{"dropping-particle":"","family":"Rosen","given":"Howard J.","non-dropping-particle":"","parse-names":false,"suffix":""},{"dropping-particle":"","family":"Kramer","given":"Joel H.","non-dropping-particle":"","parse-names":false,"suffix":""},{"dropping-particle":"","family":"Miller","given":"Bruce L.","non-dropping-particle":"","parse-names":false,"suffix":""},{"dropping-particle":"","family":"Jagust","given":"William J.","non-dropping-particle":"","parse-names":false,"suffix":""},{"dropping-particle":"","family":"Rabinovici","given":"Gil D.","non-dropping-particle":"","parse-names":false,"suffix":""}],"container-title":"Neurology","id":"ITEM-1","issue":"3","issued":{"date-parts":[["2014"]]},"page":"230-238","title":"Practical utility of amyloid and FDG-PET in an academic dementia center","type":"article-journal","volume":"82"},"uris":["http://www.mendeley.com/documents/?uuid=6df32137-85dd-4087-9ff2-2d5c0fa2e55f"]}],"mendeley":{"formattedCitation":"[&lt;i&gt;16&lt;/i&gt;]","plainTextFormattedCitation":"[16]","previouslyFormattedCitation":"[16]"},"properties":{"noteIndex":0},"schema":"https://github.com/citation-style-language/schema/raw/master/csl-citation.json"}</w:instrText>
      </w:r>
      <w:r w:rsidR="00CA3EED" w:rsidRPr="0073172D">
        <w:rPr>
          <w:rFonts w:asciiTheme="minorHAnsi" w:hAnsiTheme="minorHAnsi" w:cstheme="minorHAnsi"/>
          <w:sz w:val="24"/>
          <w:lang w:eastAsia="en-GB"/>
        </w:rPr>
        <w:fldChar w:fldCharType="separate"/>
      </w:r>
      <w:r w:rsidR="00D902A8" w:rsidRPr="0073172D">
        <w:rPr>
          <w:rFonts w:asciiTheme="minorHAnsi" w:hAnsiTheme="minorHAnsi" w:cstheme="minorHAnsi"/>
          <w:noProof/>
          <w:sz w:val="24"/>
          <w:lang w:eastAsia="en-GB"/>
        </w:rPr>
        <w:t>[</w:t>
      </w:r>
      <w:r w:rsidR="00D902A8" w:rsidRPr="0073172D">
        <w:rPr>
          <w:rFonts w:asciiTheme="minorHAnsi" w:hAnsiTheme="minorHAnsi" w:cstheme="minorHAnsi"/>
          <w:i/>
          <w:noProof/>
          <w:sz w:val="24"/>
          <w:lang w:eastAsia="en-GB"/>
        </w:rPr>
        <w:t>16</w:t>
      </w:r>
      <w:r w:rsidR="00D902A8" w:rsidRPr="0073172D">
        <w:rPr>
          <w:rFonts w:asciiTheme="minorHAnsi" w:hAnsiTheme="minorHAnsi" w:cstheme="minorHAnsi"/>
          <w:noProof/>
          <w:sz w:val="24"/>
          <w:lang w:eastAsia="en-GB"/>
        </w:rPr>
        <w:t>]</w:t>
      </w:r>
      <w:r w:rsidR="00CA3EED" w:rsidRPr="0073172D">
        <w:rPr>
          <w:rFonts w:asciiTheme="minorHAnsi" w:hAnsiTheme="minorHAnsi" w:cstheme="minorHAnsi"/>
          <w:sz w:val="24"/>
          <w:lang w:eastAsia="en-GB"/>
        </w:rPr>
        <w:fldChar w:fldCharType="end"/>
      </w:r>
      <w:r w:rsidR="00E86591" w:rsidRPr="0073172D">
        <w:rPr>
          <w:rFonts w:asciiTheme="minorHAnsi" w:hAnsiTheme="minorHAnsi" w:cstheme="minorHAnsi"/>
          <w:sz w:val="24"/>
          <w:lang w:eastAsia="en-GB"/>
        </w:rPr>
        <w:t xml:space="preserve"> </w:t>
      </w:r>
      <w:r w:rsidR="00167E71" w:rsidRPr="0073172D">
        <w:rPr>
          <w:rFonts w:asciiTheme="minorHAnsi" w:hAnsiTheme="minorHAnsi" w:cstheme="minorHAnsi"/>
          <w:sz w:val="24"/>
          <w:lang w:eastAsia="en-GB"/>
        </w:rPr>
        <w:t>and to 45% in individuals where clinicians were less than 60% confident</w:t>
      </w:r>
      <w:r w:rsidR="00BB5D09" w:rsidRPr="0073172D">
        <w:rPr>
          <w:rFonts w:asciiTheme="minorHAnsi" w:hAnsiTheme="minorHAnsi" w:cstheme="minorHAnsi"/>
          <w:sz w:val="24"/>
          <w:lang w:eastAsia="en-GB"/>
        </w:rPr>
        <w:t xml:space="preserve"> before imaging</w:t>
      </w:r>
      <w:r w:rsidR="00E86591" w:rsidRPr="0073172D">
        <w:rPr>
          <w:rFonts w:asciiTheme="minorHAnsi" w:hAnsiTheme="minorHAnsi" w:cstheme="minorHAnsi"/>
          <w:sz w:val="24"/>
          <w:lang w:eastAsia="en-GB"/>
        </w:rPr>
        <w:t xml:space="preserve"> </w:t>
      </w:r>
      <w:r w:rsidR="00CA3EED" w:rsidRPr="0073172D">
        <w:rPr>
          <w:rFonts w:asciiTheme="minorHAnsi" w:hAnsiTheme="minorHAnsi" w:cstheme="minorHAnsi"/>
          <w:sz w:val="24"/>
          <w:lang w:eastAsia="en-GB"/>
        </w:rPr>
        <w:fldChar w:fldCharType="begin" w:fldLock="1"/>
      </w:r>
      <w:r w:rsidR="00D902A8" w:rsidRPr="0073172D">
        <w:rPr>
          <w:rFonts w:asciiTheme="minorHAnsi" w:hAnsiTheme="minorHAnsi" w:cstheme="minorHAnsi"/>
          <w:sz w:val="24"/>
          <w:lang w:eastAsia="en-GB"/>
        </w:rPr>
        <w:instrText>ADDIN CSL_CITATION {"citationItems":[{"id":"ITEM-1","itemData":{"DOI":"10.1016/j.jalz.2012.07.003","ISBN":"1552-5279 (Electronic) 1552-5260 (Linking)","ISSN":"1552-5279","PMID":"23164552","abstract":"BACKGROUND: [(11)C]Pittsburgh compound B ([(11)C]PIB) and [(18)F]-2-fluoro-2-deoxy-D-glucose ([(18)F]FDG) PET measure fibrillar amyloid-β load and glucose metabolism, respectively. We evaluated the impact of these tracers on the diagnostic process in a memory clinic population.\\n\\nMETHODS: One hundred fifty-four patients underwent paired dynamic [(11)C]PIB and static [(18)F]FDG PET scans shortly after completing a standard dementia screening. Two-year clinical follow-up data were available for 39 patients. Parametric PET images were assessed visually and results were reported to the neurologists responsible for the initial diagnosis. Outcome measures were (change in) clinical diagnosis and confidence in that diagnosis before and after disclosing PET results.\\n\\nRESULTS: [(11)C]PIB scans were positive in 40 of 66 (61%) patients with a clinical diagnosis of Alzheimer's disease (AD), 5 of 18 (28%) patients with frontotemporal dementia (FTD), 4 of 5 (80%) patients with Lewy body dementia, and 3 of 10 (30%) patients with other dementias. [(18)F]FDG uptake patterns matched the clinical diagnosis in 38 of 66 (58%) of AD patients, and in 6 of 18 (33%) FTD patients. PET results led to a change in diagnosis in 35 (23%) patients. This only occurred when prior diagnostic certainty was &lt;90%. Diagnostic confidence increased from 71 ± 17% before to 87 ± 16% after PET (p &lt; .001). Two-year clinical follow-up (n = 39) showed that [(11)C]PIB and [(18)F]FDG predicted progression to AD for patients with mild cognitive impairment, and that the diagnosis of dementia established after PET remained unchanged in 96% of patients.\\n\\nCONCLUSIONS: In a memory clinic setting, combined [(11)C]PIB and [(18)F]FDG PET are of additional value on top of the standard diagnostic work-up, especially when prior diagnostic confidence is low.","author":[{"dropping-particle":"","family":"Ossenkoppele","given":"Rik","non-dropping-particle":"","parse-names":false,"suffix":""},{"dropping-particle":"","family":"Prins","given":"Niels D","non-dropping-particle":"","parse-names":false,"suffix":""},{"dropping-particle":"","family":"Pijnenburg","given":"Yolande a L","non-dropping-particle":"","parse-names":false,"suffix":""},{"dropping-particle":"","family":"Lemstra","given":"Afina W","non-dropping-particle":"","parse-names":false,"suffix":""},{"dropping-particle":"","family":"Flier","given":"Wiesje M","non-dropping-particle":"van der","parse-names":false,"suffix":""},{"dropping-particle":"","family":"Adriaanse","given":"Sofie F","non-dropping-particle":"","parse-names":false,"suffix":""},{"dropping-particle":"","family":"Windhorst","given":"Albert D","non-dropping-particle":"","parse-names":false,"suffix":""},{"dropping-particle":"","family":"Handels","given":"Ron L H","non-dropping-particle":"","parse-names":false,"suffix":""},{"dropping-particle":"","family":"Wolfs","given":"Claire a G","non-dropping-particle":"","parse-names":false,"suffix":""},{"dropping-particle":"","family":"Aalten","given":"Pauline","non-dropping-particle":"","parse-names":false,"suffix":""},{"dropping-particle":"","family":"Verhey","given":"Frans R J","non-dropping-particle":"","parse-names":false,"suffix":""},{"dropping-particle":"","family":"Verbeek","given":"Marcel M","non-dropping-particle":"","parse-names":false,"suffix":""},{"dropping-particle":"","family":"Buchem","given":"Mark a","non-dropping-particle":"van","parse-names":false,"suffix":""},{"dropping-particle":"","family":"Hoekstra","given":"Otto S","non-dropping-particle":"","parse-names":false,"suffix":""},{"dropping-particle":"","family":"Lammertsma","given":"Adriaan a","non-dropping-particle":"","parse-names":false,"suffix":""},{"dropping-particle":"","family":"Scheltens","given":"Philip","non-dropping-particle":"","parse-names":false,"suffix":""},{"dropping-particle":"","family":"Berckel","given":"Bart N M","non-dropping-particle":"van","parse-names":false,"suffix":""}],"container-title":"Alzheimer's &amp; dementia : the journal of the Alzheimer's Association","id":"ITEM-1","issue":"4","issued":{"date-parts":[["2013"]]},"page":"414-21","publisher":"Elsevier Ltd","title":"Impact of molecular imaging on the diagnostic process in a memory clinic.","type":"article-journal","volume":"9"},"uris":["http://www.mendeley.com/documents/?uuid=5031ceb6-b4c2-4b07-8e04-e53942f7b159"]}],"mendeley":{"formattedCitation":"[&lt;i&gt;22&lt;/i&gt;]","plainTextFormattedCitation":"[22]","previouslyFormattedCitation":"[22]"},"properties":{"noteIndex":0},"schema":"https://github.com/citation-style-language/schema/raw/master/csl-citation.json"}</w:instrText>
      </w:r>
      <w:r w:rsidR="00CA3EED" w:rsidRPr="0073172D">
        <w:rPr>
          <w:rFonts w:asciiTheme="minorHAnsi" w:hAnsiTheme="minorHAnsi" w:cstheme="minorHAnsi"/>
          <w:sz w:val="24"/>
          <w:lang w:eastAsia="en-GB"/>
        </w:rPr>
        <w:fldChar w:fldCharType="separate"/>
      </w:r>
      <w:r w:rsidR="00D902A8" w:rsidRPr="0073172D">
        <w:rPr>
          <w:rFonts w:asciiTheme="minorHAnsi" w:hAnsiTheme="minorHAnsi" w:cstheme="minorHAnsi"/>
          <w:noProof/>
          <w:sz w:val="24"/>
          <w:lang w:eastAsia="en-GB"/>
        </w:rPr>
        <w:t>[</w:t>
      </w:r>
      <w:r w:rsidR="00D902A8" w:rsidRPr="0073172D">
        <w:rPr>
          <w:rFonts w:asciiTheme="minorHAnsi" w:hAnsiTheme="minorHAnsi" w:cstheme="minorHAnsi"/>
          <w:i/>
          <w:noProof/>
          <w:sz w:val="24"/>
          <w:lang w:eastAsia="en-GB"/>
        </w:rPr>
        <w:t>22</w:t>
      </w:r>
      <w:r w:rsidR="00D902A8" w:rsidRPr="0073172D">
        <w:rPr>
          <w:rFonts w:asciiTheme="minorHAnsi" w:hAnsiTheme="minorHAnsi" w:cstheme="minorHAnsi"/>
          <w:noProof/>
          <w:sz w:val="24"/>
          <w:lang w:eastAsia="en-GB"/>
        </w:rPr>
        <w:t>]</w:t>
      </w:r>
      <w:r w:rsidR="00CA3EED" w:rsidRPr="0073172D">
        <w:rPr>
          <w:rFonts w:asciiTheme="minorHAnsi" w:hAnsiTheme="minorHAnsi" w:cstheme="minorHAnsi"/>
          <w:sz w:val="24"/>
          <w:lang w:eastAsia="en-GB"/>
        </w:rPr>
        <w:fldChar w:fldCharType="end"/>
      </w:r>
      <w:r w:rsidR="00167E71" w:rsidRPr="0073172D">
        <w:rPr>
          <w:rFonts w:asciiTheme="minorHAnsi" w:hAnsiTheme="minorHAnsi" w:cstheme="minorHAnsi"/>
          <w:sz w:val="24"/>
          <w:lang w:eastAsia="en-GB"/>
        </w:rPr>
        <w:t xml:space="preserve">. </w:t>
      </w:r>
      <w:r w:rsidR="00882255" w:rsidRPr="0073172D">
        <w:rPr>
          <w:rFonts w:asciiTheme="minorHAnsi" w:hAnsiTheme="minorHAnsi" w:cstheme="minorHAnsi"/>
          <w:sz w:val="24"/>
          <w:lang w:eastAsia="en-GB"/>
        </w:rPr>
        <w:t>Our results are in keeping with this literature, however direct comparison of confidence change in separate studies is difficult due to differences i</w:t>
      </w:r>
      <w:r w:rsidR="009362B8" w:rsidRPr="0073172D">
        <w:rPr>
          <w:rFonts w:asciiTheme="minorHAnsi" w:hAnsiTheme="minorHAnsi" w:cstheme="minorHAnsi"/>
          <w:sz w:val="24"/>
          <w:lang w:eastAsia="en-GB"/>
        </w:rPr>
        <w:t>n investigation type, clinician</w:t>
      </w:r>
      <w:r w:rsidR="00882255" w:rsidRPr="0073172D">
        <w:rPr>
          <w:rFonts w:asciiTheme="minorHAnsi" w:hAnsiTheme="minorHAnsi" w:cstheme="minorHAnsi"/>
          <w:sz w:val="24"/>
          <w:lang w:eastAsia="en-GB"/>
        </w:rPr>
        <w:t xml:space="preserve"> experience, reason for imaging and patient selection.</w:t>
      </w:r>
    </w:p>
    <w:p w14:paraId="6D5D3AB1" w14:textId="1F3F2E1F" w:rsidR="00E54FBE" w:rsidRPr="0073172D" w:rsidRDefault="00960E29" w:rsidP="003A3A37">
      <w:pPr>
        <w:keepNext w:val="0"/>
        <w:keepLines w:val="0"/>
        <w:spacing w:line="480" w:lineRule="auto"/>
        <w:rPr>
          <w:rFonts w:asciiTheme="minorHAnsi" w:hAnsiTheme="minorHAnsi" w:cstheme="minorHAnsi"/>
          <w:sz w:val="24"/>
          <w:lang w:eastAsia="en-GB"/>
        </w:rPr>
      </w:pPr>
      <w:r w:rsidRPr="0073172D">
        <w:rPr>
          <w:rFonts w:asciiTheme="minorHAnsi" w:hAnsiTheme="minorHAnsi" w:cstheme="minorHAnsi"/>
          <w:sz w:val="24"/>
          <w:lang w:eastAsia="en-GB"/>
        </w:rPr>
        <w:lastRenderedPageBreak/>
        <w:t>We also found a</w:t>
      </w:r>
      <w:r w:rsidR="00BC2BDB" w:rsidRPr="0073172D">
        <w:rPr>
          <w:rFonts w:asciiTheme="minorHAnsi" w:hAnsiTheme="minorHAnsi" w:cstheme="minorHAnsi"/>
          <w:sz w:val="24"/>
          <w:lang w:eastAsia="en-GB"/>
        </w:rPr>
        <w:t xml:space="preserve"> large discrepancy between imaging result and clinical diagnosis</w:t>
      </w:r>
      <w:r w:rsidR="0053443C" w:rsidRPr="0073172D">
        <w:rPr>
          <w:rFonts w:asciiTheme="minorHAnsi" w:hAnsiTheme="minorHAnsi" w:cstheme="minorHAnsi"/>
          <w:sz w:val="24"/>
          <w:lang w:eastAsia="en-GB"/>
        </w:rPr>
        <w:t xml:space="preserve"> in our sample</w:t>
      </w:r>
      <w:r w:rsidR="00B63BFD" w:rsidRPr="0073172D">
        <w:rPr>
          <w:rFonts w:asciiTheme="minorHAnsi" w:hAnsiTheme="minorHAnsi" w:cstheme="minorHAnsi"/>
          <w:sz w:val="24"/>
          <w:lang w:eastAsia="en-GB"/>
        </w:rPr>
        <w:t xml:space="preserve">. </w:t>
      </w:r>
      <w:r w:rsidR="00C55984" w:rsidRPr="0073172D">
        <w:rPr>
          <w:rFonts w:asciiTheme="minorHAnsi" w:hAnsiTheme="minorHAnsi" w:cstheme="minorHAnsi"/>
          <w:sz w:val="24"/>
          <w:lang w:eastAsia="en-GB"/>
        </w:rPr>
        <w:t>Similar</w:t>
      </w:r>
      <w:r w:rsidR="005C20E1" w:rsidRPr="0073172D">
        <w:rPr>
          <w:rFonts w:asciiTheme="minorHAnsi" w:hAnsiTheme="minorHAnsi" w:cstheme="minorHAnsi"/>
          <w:sz w:val="24"/>
          <w:lang w:eastAsia="en-GB"/>
        </w:rPr>
        <w:t xml:space="preserve">ly poor correspondence </w:t>
      </w:r>
      <w:r w:rsidR="001658FD" w:rsidRPr="0073172D">
        <w:rPr>
          <w:rFonts w:asciiTheme="minorHAnsi" w:hAnsiTheme="minorHAnsi" w:cstheme="minorHAnsi"/>
          <w:sz w:val="24"/>
          <w:lang w:eastAsia="en-GB"/>
        </w:rPr>
        <w:t>has</w:t>
      </w:r>
      <w:r w:rsidR="005C20E1" w:rsidRPr="0073172D">
        <w:rPr>
          <w:rFonts w:asciiTheme="minorHAnsi" w:hAnsiTheme="minorHAnsi" w:cstheme="minorHAnsi"/>
          <w:sz w:val="24"/>
          <w:lang w:eastAsia="en-GB"/>
        </w:rPr>
        <w:t xml:space="preserve"> been found</w:t>
      </w:r>
      <w:r w:rsidR="00C55984" w:rsidRPr="0073172D">
        <w:rPr>
          <w:rFonts w:asciiTheme="minorHAnsi" w:hAnsiTheme="minorHAnsi" w:cstheme="minorHAnsi"/>
          <w:sz w:val="24"/>
          <w:lang w:eastAsia="en-GB"/>
        </w:rPr>
        <w:t xml:space="preserve"> when</w:t>
      </w:r>
      <w:r w:rsidR="001658FD" w:rsidRPr="0073172D">
        <w:rPr>
          <w:rFonts w:asciiTheme="minorHAnsi" w:hAnsiTheme="minorHAnsi" w:cstheme="minorHAnsi"/>
          <w:sz w:val="24"/>
          <w:lang w:eastAsia="en-GB"/>
        </w:rPr>
        <w:t xml:space="preserve"> clinical diagnosis</w:t>
      </w:r>
      <w:r w:rsidR="00C55984" w:rsidRPr="0073172D">
        <w:rPr>
          <w:rFonts w:asciiTheme="minorHAnsi" w:hAnsiTheme="minorHAnsi" w:cstheme="minorHAnsi"/>
          <w:sz w:val="24"/>
          <w:lang w:eastAsia="en-GB"/>
        </w:rPr>
        <w:t xml:space="preserve"> </w:t>
      </w:r>
      <w:r w:rsidR="00D8336E" w:rsidRPr="0073172D">
        <w:rPr>
          <w:rFonts w:asciiTheme="minorHAnsi" w:hAnsiTheme="minorHAnsi" w:cstheme="minorHAnsi"/>
          <w:sz w:val="24"/>
          <w:lang w:eastAsia="en-GB"/>
        </w:rPr>
        <w:t>was</w:t>
      </w:r>
      <w:r w:rsidR="00C55984" w:rsidRPr="0073172D">
        <w:rPr>
          <w:rFonts w:asciiTheme="minorHAnsi" w:hAnsiTheme="minorHAnsi" w:cstheme="minorHAnsi"/>
          <w:sz w:val="24"/>
          <w:lang w:eastAsia="en-GB"/>
        </w:rPr>
        <w:t xml:space="preserve"> compared to </w:t>
      </w:r>
      <w:r w:rsidR="001658FD" w:rsidRPr="0073172D">
        <w:rPr>
          <w:rFonts w:asciiTheme="minorHAnsi" w:hAnsiTheme="minorHAnsi" w:cstheme="minorHAnsi"/>
          <w:sz w:val="24"/>
          <w:lang w:eastAsia="en-GB"/>
        </w:rPr>
        <w:t>FDG-PET disease patterns</w:t>
      </w:r>
      <w:r w:rsidR="00C55984" w:rsidRPr="0073172D">
        <w:rPr>
          <w:rFonts w:asciiTheme="minorHAnsi" w:hAnsiTheme="minorHAnsi" w:cstheme="minorHAnsi"/>
          <w:sz w:val="24"/>
          <w:lang w:eastAsia="en-GB"/>
        </w:rPr>
        <w:t xml:space="preserve"> </w:t>
      </w:r>
      <w:r w:rsidR="00CA3EED" w:rsidRPr="0073172D">
        <w:rPr>
          <w:rFonts w:asciiTheme="minorHAnsi" w:hAnsiTheme="minorHAnsi" w:cstheme="minorHAnsi"/>
          <w:sz w:val="24"/>
          <w:lang w:eastAsia="en-GB"/>
        </w:rPr>
        <w:fldChar w:fldCharType="begin" w:fldLock="1"/>
      </w:r>
      <w:r w:rsidR="00D902A8" w:rsidRPr="0073172D">
        <w:rPr>
          <w:rFonts w:asciiTheme="minorHAnsi" w:hAnsiTheme="minorHAnsi" w:cstheme="minorHAnsi"/>
          <w:sz w:val="24"/>
          <w:lang w:eastAsia="en-GB"/>
        </w:rPr>
        <w:instrText>ADDIN CSL_CITATION {"citationItems":[{"id":"ITEM-1","itemData":{"DOI":"10.1016/j.jalz.2012.07.003","ISBN":"1552-5279 (Electronic) 1552-5260 (Linking)","ISSN":"1552-5279","PMID":"23164552","abstract":"BACKGROUND: [(11)C]Pittsburgh compound B ([(11)C]PIB) and [(18)F]-2-fluoro-2-deoxy-D-glucose ([(18)F]FDG) PET measure fibrillar amyloid-β load and glucose metabolism, respectively. We evaluated the impact of these tracers on the diagnostic process in a memory clinic population.\\n\\nMETHODS: One hundred fifty-four patients underwent paired dynamic [(11)C]PIB and static [(18)F]FDG PET scans shortly after completing a standard dementia screening. Two-year clinical follow-up data were available for 39 patients. Parametric PET images were assessed visually and results were reported to the neurologists responsible for the initial diagnosis. Outcome measures were (change in) clinical diagnosis and confidence in that diagnosis before and after disclosing PET results.\\n\\nRESULTS: [(11)C]PIB scans were positive in 40 of 66 (61%) patients with a clinical diagnosis of Alzheimer's disease (AD), 5 of 18 (28%) patients with frontotemporal dementia (FTD), 4 of 5 (80%) patients with Lewy body dementia, and 3 of 10 (30%) patients with other dementias. [(18)F]FDG uptake patterns matched the clinical diagnosis in 38 of 66 (58%) of AD patients, and in 6 of 18 (33%) FTD patients. PET results led to a change in diagnosis in 35 (23%) patients. This only occurred when prior diagnostic certainty was &lt;90%. Diagnostic confidence increased from 71 ± 17% before to 87 ± 16% after PET (p &lt; .001). Two-year clinical follow-up (n = 39) showed that [(11)C]PIB and [(18)F]FDG predicted progression to AD for patients with mild cognitive impairment, and that the diagnosis of dementia established after PET remained unchanged in 96% of patients.\\n\\nCONCLUSIONS: In a memory clinic setting, combined [(11)C]PIB and [(18)F]FDG PET are of additional value on top of the standard diagnostic work-up, especially when prior diagnostic confidence is low.","author":[{"dropping-particle":"","family":"Ossenkoppele","given":"Rik","non-dropping-particle":"","parse-names":false,"suffix":""},{"dropping-particle":"","family":"Prins","given":"Niels D","non-dropping-particle":"","parse-names":false,"suffix":""},{"dropping-particle":"","family":"Pijnenburg","given":"Yolande a L","non-dropping-particle":"","parse-names":false,"suffix":""},{"dropping-particle":"","family":"Lemstra","given":"Afina W","non-dropping-particle":"","parse-names":false,"suffix":""},{"dropping-particle":"","family":"Flier","given":"Wiesje M","non-dropping-particle":"van der","parse-names":false,"suffix":""},{"dropping-particle":"","family":"Adriaanse","given":"Sofie F","non-dropping-particle":"","parse-names":false,"suffix":""},{"dropping-particle":"","family":"Windhorst","given":"Albert D","non-dropping-particle":"","parse-names":false,"suffix":""},{"dropping-particle":"","family":"Handels","given":"Ron L H","non-dropping-particle":"","parse-names":false,"suffix":""},{"dropping-particle":"","family":"Wolfs","given":"Claire a G","non-dropping-particle":"","parse-names":false,"suffix":""},{"dropping-particle":"","family":"Aalten","given":"Pauline","non-dropping-particle":"","parse-names":false,"suffix":""},{"dropping-particle":"","family":"Verhey","given":"Frans R J","non-dropping-particle":"","parse-names":false,"suffix":""},{"dropping-particle":"","family":"Verbeek","given":"Marcel M","non-dropping-particle":"","parse-names":false,"suffix":""},{"dropping-particle":"","family":"Buchem","given":"Mark a","non-dropping-particle":"van","parse-names":false,"suffix":""},{"dropping-particle":"","family":"Hoekstra","given":"Otto S","non-dropping-particle":"","parse-names":false,"suffix":""},{"dropping-particle":"","family":"Lammertsma","given":"Adriaan a","non-dropping-particle":"","parse-names":false,"suffix":""},{"dropping-particle":"","family":"Scheltens","given":"Philip","non-dropping-particle":"","parse-names":false,"suffix":""},{"dropping-particle":"","family":"Berckel","given":"Bart N M","non-dropping-particle":"van","parse-names":false,"suffix":""}],"container-title":"Alzheimer's &amp; dementia : the journal of the Alzheimer's Association","id":"ITEM-1","issue":"4","issued":{"date-parts":[["2013"]]},"page":"414-21","publisher":"Elsevier Ltd","title":"Impact of molecular imaging on the diagnostic process in a memory clinic.","type":"article-journal","volume":"9"},"uris":["http://www.mendeley.com/documents/?uuid=5031ceb6-b4c2-4b07-8e04-e53942f7b159"]}],"mendeley":{"formattedCitation":"[&lt;i&gt;22&lt;/i&gt;]","plainTextFormattedCitation":"[22]","previouslyFormattedCitation":"[22]"},"properties":{"noteIndex":0},"schema":"https://github.com/citation-style-language/schema/raw/master/csl-citation.json"}</w:instrText>
      </w:r>
      <w:r w:rsidR="00CA3EED" w:rsidRPr="0073172D">
        <w:rPr>
          <w:rFonts w:asciiTheme="minorHAnsi" w:hAnsiTheme="minorHAnsi" w:cstheme="minorHAnsi"/>
          <w:sz w:val="24"/>
          <w:lang w:eastAsia="en-GB"/>
        </w:rPr>
        <w:fldChar w:fldCharType="separate"/>
      </w:r>
      <w:r w:rsidR="00D902A8" w:rsidRPr="0073172D">
        <w:rPr>
          <w:rFonts w:asciiTheme="minorHAnsi" w:hAnsiTheme="minorHAnsi" w:cstheme="minorHAnsi"/>
          <w:noProof/>
          <w:sz w:val="24"/>
          <w:lang w:eastAsia="en-GB"/>
        </w:rPr>
        <w:t>[</w:t>
      </w:r>
      <w:r w:rsidR="00D902A8" w:rsidRPr="0073172D">
        <w:rPr>
          <w:rFonts w:asciiTheme="minorHAnsi" w:hAnsiTheme="minorHAnsi" w:cstheme="minorHAnsi"/>
          <w:i/>
          <w:noProof/>
          <w:sz w:val="24"/>
          <w:lang w:eastAsia="en-GB"/>
        </w:rPr>
        <w:t>22</w:t>
      </w:r>
      <w:r w:rsidR="00D902A8" w:rsidRPr="0073172D">
        <w:rPr>
          <w:rFonts w:asciiTheme="minorHAnsi" w:hAnsiTheme="minorHAnsi" w:cstheme="minorHAnsi"/>
          <w:noProof/>
          <w:sz w:val="24"/>
          <w:lang w:eastAsia="en-GB"/>
        </w:rPr>
        <w:t>]</w:t>
      </w:r>
      <w:r w:rsidR="00CA3EED" w:rsidRPr="0073172D">
        <w:rPr>
          <w:rFonts w:asciiTheme="minorHAnsi" w:hAnsiTheme="minorHAnsi" w:cstheme="minorHAnsi"/>
          <w:sz w:val="24"/>
          <w:lang w:eastAsia="en-GB"/>
        </w:rPr>
        <w:fldChar w:fldCharType="end"/>
      </w:r>
      <w:r w:rsidR="00C55984" w:rsidRPr="0073172D">
        <w:rPr>
          <w:rFonts w:asciiTheme="minorHAnsi" w:hAnsiTheme="minorHAnsi" w:cstheme="minorHAnsi"/>
          <w:sz w:val="24"/>
          <w:lang w:eastAsia="en-GB"/>
        </w:rPr>
        <w:t>.</w:t>
      </w:r>
      <w:r w:rsidR="00B63BFD" w:rsidRPr="0073172D">
        <w:rPr>
          <w:rFonts w:asciiTheme="minorHAnsi" w:hAnsiTheme="minorHAnsi" w:cstheme="minorHAnsi"/>
          <w:sz w:val="24"/>
          <w:lang w:eastAsia="en-GB"/>
        </w:rPr>
        <w:t xml:space="preserve"> </w:t>
      </w:r>
      <w:r w:rsidR="00C55984" w:rsidRPr="0073172D">
        <w:rPr>
          <w:rFonts w:asciiTheme="minorHAnsi" w:hAnsiTheme="minorHAnsi" w:cstheme="minorHAnsi"/>
          <w:sz w:val="24"/>
          <w:lang w:eastAsia="en-GB"/>
        </w:rPr>
        <w:t xml:space="preserve">The </w:t>
      </w:r>
      <w:r w:rsidR="006E505E" w:rsidRPr="0073172D">
        <w:rPr>
          <w:rFonts w:asciiTheme="minorHAnsi" w:hAnsiTheme="minorHAnsi" w:cstheme="minorHAnsi"/>
          <w:sz w:val="24"/>
          <w:lang w:eastAsia="en-GB"/>
        </w:rPr>
        <w:t>discordance</w:t>
      </w:r>
      <w:r w:rsidR="00C55984" w:rsidRPr="0073172D">
        <w:rPr>
          <w:rFonts w:asciiTheme="minorHAnsi" w:hAnsiTheme="minorHAnsi" w:cstheme="minorHAnsi"/>
          <w:sz w:val="24"/>
          <w:lang w:eastAsia="en-GB"/>
        </w:rPr>
        <w:t xml:space="preserve"> seen</w:t>
      </w:r>
      <w:r w:rsidR="00BC2BDB" w:rsidRPr="0073172D">
        <w:rPr>
          <w:rFonts w:asciiTheme="minorHAnsi" w:hAnsiTheme="minorHAnsi" w:cstheme="minorHAnsi"/>
          <w:sz w:val="24"/>
          <w:lang w:eastAsia="en-GB"/>
        </w:rPr>
        <w:t xml:space="preserve"> could be due to</w:t>
      </w:r>
      <w:r w:rsidR="00CE5E2D" w:rsidRPr="0073172D">
        <w:rPr>
          <w:rFonts w:asciiTheme="minorHAnsi" w:hAnsiTheme="minorHAnsi" w:cstheme="minorHAnsi"/>
          <w:sz w:val="24"/>
          <w:lang w:eastAsia="en-GB"/>
        </w:rPr>
        <w:t xml:space="preserve"> </w:t>
      </w:r>
      <w:r w:rsidR="003A3A37" w:rsidRPr="0073172D">
        <w:rPr>
          <w:rFonts w:asciiTheme="minorHAnsi" w:hAnsiTheme="minorHAnsi" w:cstheme="minorHAnsi"/>
          <w:sz w:val="24"/>
          <w:lang w:eastAsia="en-GB"/>
        </w:rPr>
        <w:t>several</w:t>
      </w:r>
      <w:r w:rsidR="00BC2BDB" w:rsidRPr="0073172D">
        <w:rPr>
          <w:rFonts w:asciiTheme="minorHAnsi" w:hAnsiTheme="minorHAnsi" w:cstheme="minorHAnsi"/>
          <w:sz w:val="24"/>
          <w:lang w:eastAsia="en-GB"/>
        </w:rPr>
        <w:t xml:space="preserve"> factors. Our sample was relatively young (average age 67 years old), with younger de</w:t>
      </w:r>
      <w:r w:rsidR="00796A26" w:rsidRPr="0073172D">
        <w:rPr>
          <w:rFonts w:asciiTheme="minorHAnsi" w:hAnsiTheme="minorHAnsi" w:cstheme="minorHAnsi"/>
          <w:sz w:val="24"/>
          <w:lang w:eastAsia="en-GB"/>
        </w:rPr>
        <w:t>mentia patients known to show</w:t>
      </w:r>
      <w:r w:rsidR="00BC2BDB" w:rsidRPr="0073172D">
        <w:rPr>
          <w:rFonts w:asciiTheme="minorHAnsi" w:hAnsiTheme="minorHAnsi" w:cstheme="minorHAnsi"/>
          <w:sz w:val="24"/>
          <w:lang w:eastAsia="en-GB"/>
        </w:rPr>
        <w:t xml:space="preserve"> atypical presentations that can overlap diagnostic subtype categories</w:t>
      </w:r>
      <w:r w:rsidR="005D5B65" w:rsidRPr="0073172D">
        <w:rPr>
          <w:rFonts w:asciiTheme="minorHAnsi" w:hAnsiTheme="minorHAnsi" w:cstheme="minorHAnsi"/>
          <w:sz w:val="24"/>
          <w:lang w:eastAsia="en-GB"/>
        </w:rPr>
        <w:t xml:space="preserve"> and take longer to diagnose than late onset dementia</w:t>
      </w:r>
      <w:r w:rsidR="00BC2BDB" w:rsidRPr="0073172D">
        <w:rPr>
          <w:rFonts w:asciiTheme="minorHAnsi" w:hAnsiTheme="minorHAnsi" w:cstheme="minorHAnsi"/>
          <w:sz w:val="24"/>
          <w:lang w:eastAsia="en-GB"/>
        </w:rPr>
        <w:t xml:space="preserve"> </w:t>
      </w:r>
      <w:r w:rsidR="00CA3EED" w:rsidRPr="0073172D">
        <w:rPr>
          <w:rFonts w:asciiTheme="minorHAnsi" w:hAnsiTheme="minorHAnsi" w:cstheme="minorHAnsi"/>
          <w:sz w:val="24"/>
          <w:lang w:eastAsia="en-GB"/>
        </w:rPr>
        <w:fldChar w:fldCharType="begin" w:fldLock="1"/>
      </w:r>
      <w:r w:rsidR="00D902A8" w:rsidRPr="0073172D">
        <w:rPr>
          <w:rFonts w:asciiTheme="minorHAnsi" w:hAnsiTheme="minorHAnsi" w:cstheme="minorHAnsi"/>
          <w:sz w:val="24"/>
          <w:lang w:eastAsia="en-GB"/>
        </w:rPr>
        <w:instrText>ADDIN CSL_CITATION {"citationItems":[{"id":"ITEM-1","itemData":{"DOI":"http://dx.doi.org/10.3233/JAD-2010-1337","ISBN":"1387-2877","PMID":"2010201393","abstract":"Chapter 3.1 40 Abstract Objective Alzheimer's disease (AD) is the most common cause of dementia at older age. Although less prevalent before the age of 65 years, it is still the most frequent cause of early-onset dementia followed by frontotemporal dementia. The typical presentation of AD is memory dysfunction, however presentations with prominent cognitive impairment in other domains besides memory, like prominent apraxia, language problems or executive dysfunction may occur and are relatively more common in early-onset AD. In this retrospective descriptive study we determined the prevalence of non-memory presentations in a large sample of early-onset AD patients compared to late-onset AD. Methods The clinical files of 270 patients with AD starting before the age of 65 years and 90 patients with late-onset AD (≥ 65 years) were reviewed to assess clinical characteristics. Patients were classified as memory presentation and non-memory presentation according to their clinical presentation. Results The mean age of the early-onset group was 56 ± 5 years and 74 ± 6 years for the late-onset group. A third of the early-onset AD group presented with non-memory symptoms compared to only 6% in the late-onset group (p &lt; 0.001). Within the group with non-memory presentations apraxia / visuospatial dysfunction was the most prevalent presenting symptom (12%). Conclusion Patients with early-onset AD often present with a non-memory phenotype, of which apraxia / visuospatial dysfunction is the most common presenting symptom. Atypical presentations of AD should be considered in the clinical differential diagnosis of early-onset dementia. 41 Introduction In 1906 Alois Alzheimer presented the results of his post-mortem studies of a 51 year old patient, Auguste D, who developed dementia at a young age. She became the first patient who suffered from what was later called Alzheimer's disease (AD) 1 . The first symptom was jealousness towards her husband, soon afterwards she developed rapid loss of memory and disorientation in her own home. Alzheimer also described the presence of severe language disturbances and apraxia. She died four and half years after the disease onset and post-mortem examination revealed an atrophic brain with neurofibrillary pathology and unusual deposits in the cortex. Nowadays these features are recognized as typical for AD and this pathology can occur at younger and older age 2,3 . AD is the most common form of degenerative dementia at older and youn…","author":[{"dropping-particle":"","family":"Koedam","given":"E L G E","non-dropping-particle":"","parse-names":false,"suffix":""},{"dropping-particle":"","family":"Lauffer","given":"V","non-dropping-particle":"","parse-names":false,"suffix":""},{"dropping-particle":"","family":"Vlies","given":"A E","non-dropping-particle":"Van Der","parse-names":false,"suffix":""},{"dropping-particle":"","family":"Flier","given":"W M","non-dropping-particle":"Van Der","parse-names":false,"suffix":""},{"dropping-particle":"","family":"Scheltens","given":"P","non-dropping-particle":"","parse-names":false,"suffix":""},{"dropping-particle":"","family":"Pijnenburg","given":"Y A L","non-dropping-particle":"","parse-names":false,"suffix":""}],"container-title":"Journal of Alzheimer's Disease","id":"ITEM-1","issue":"4","issued":{"date-parts":[["2010"]]},"page":"1401-1408","title":"Early-versus late-onset Alzheimer's disease: more than age alone","type":"article-journal","volume":"19"},"uris":["http://www.mendeley.com/documents/?uuid=0db557d6-65f2-4f18-9298-440c62af39b6"]},{"id":"ITEM-2","itemData":{"DOI":"10.1017/S0033291712001122","ISBN":"1469-8978 (Electronic)\\n0033-2917 (Linking)","ISSN":"00332917","PMID":"22640548","abstract":"Background   The extent to which specific factors influence diagnostic delays in dementia is unclear. Therefore, the aim of the present study was to compare duration from symptom onset to diagnosis for young-onset dementia (YOD) and late-onset dementia (LOD) and to assess the effect of age at onset, type of dementia, gender, living situation, education and family history of dementia on this duration. Method Data on 235 YOD and 167 LOD patients collected from caregivers from two prospective cohort studies were used. Multiple linear regression analysis was performed. Results The duration between symptom onset and the diagnosis of YOD exceeded that of LOD by an average of 1.6 years (2.8 v. 4.4 years). Young age and being diagnosed with frontotemporal dementia were related to increases in the time to diagnosis. Subjects with vascular dementia experienced shorter time to diagnosis. Conclusions There is a need to raise special awareness of YOD to facilitate a timely diagnosis.","author":[{"dropping-particle":"","family":"Vliet","given":"D.","non-dropping-particle":"Van","parse-names":false,"suffix":""},{"dropping-particle":"","family":"Vugt","given":"M. E.","non-dropping-particle":"De","parse-names":false,"suffix":""},{"dropping-particle":"","family":"Bakker","given":"C.","non-dropping-particle":"","parse-names":false,"suffix":""},{"dropping-particle":"","family":"Pijnenburg","given":"Y. A L","non-dropping-particle":"","parse-names":false,"suffix":""},{"dropping-particle":"","family":"Vernooij-Dassen","given":"M. J F J","non-dropping-particle":"","parse-names":false,"suffix":""},{"dropping-particle":"","family":"Koopmans","given":"R. T C M","non-dropping-particle":"","parse-names":false,"suffix":""},{"dropping-particle":"","family":"Verhey","given":"F. R J","non-dropping-particle":"","parse-names":false,"suffix":""}],"container-title":"Psychological Medicine","id":"ITEM-2","issue":"2","issued":{"date-parts":[["2013"]]},"page":"423-432","title":"Time to diagnosis in young-onset dementia as compared with late-onset dementia","type":"article-journal","volume":"43"},"uris":["http://www.mendeley.com/documents/?uuid=1d656b10-e088-4112-9f31-c8513311588d"]}],"mendeley":{"formattedCitation":"[&lt;i&gt;24&lt;/i&gt;,&lt;i&gt;25&lt;/i&gt;]","plainTextFormattedCitation":"[24,25]","previouslyFormattedCitation":"[24,25]"},"properties":{"noteIndex":0},"schema":"https://github.com/citation-style-language/schema/raw/master/csl-citation.json"}</w:instrText>
      </w:r>
      <w:r w:rsidR="00CA3EED" w:rsidRPr="0073172D">
        <w:rPr>
          <w:rFonts w:asciiTheme="minorHAnsi" w:hAnsiTheme="minorHAnsi" w:cstheme="minorHAnsi"/>
          <w:sz w:val="24"/>
          <w:lang w:eastAsia="en-GB"/>
        </w:rPr>
        <w:fldChar w:fldCharType="separate"/>
      </w:r>
      <w:r w:rsidR="00D902A8" w:rsidRPr="0073172D">
        <w:rPr>
          <w:rFonts w:asciiTheme="minorHAnsi" w:hAnsiTheme="minorHAnsi" w:cstheme="minorHAnsi"/>
          <w:noProof/>
          <w:sz w:val="24"/>
          <w:lang w:eastAsia="en-GB"/>
        </w:rPr>
        <w:t>[</w:t>
      </w:r>
      <w:r w:rsidR="00D902A8" w:rsidRPr="0073172D">
        <w:rPr>
          <w:rFonts w:asciiTheme="minorHAnsi" w:hAnsiTheme="minorHAnsi" w:cstheme="minorHAnsi"/>
          <w:i/>
          <w:noProof/>
          <w:sz w:val="24"/>
          <w:lang w:eastAsia="en-GB"/>
        </w:rPr>
        <w:t>24</w:t>
      </w:r>
      <w:r w:rsidR="00D902A8" w:rsidRPr="0073172D">
        <w:rPr>
          <w:rFonts w:asciiTheme="minorHAnsi" w:hAnsiTheme="minorHAnsi" w:cstheme="minorHAnsi"/>
          <w:noProof/>
          <w:sz w:val="24"/>
          <w:lang w:eastAsia="en-GB"/>
        </w:rPr>
        <w:t>,</w:t>
      </w:r>
      <w:r w:rsidR="00D902A8" w:rsidRPr="0073172D">
        <w:rPr>
          <w:rFonts w:asciiTheme="minorHAnsi" w:hAnsiTheme="minorHAnsi" w:cstheme="minorHAnsi"/>
          <w:i/>
          <w:noProof/>
          <w:sz w:val="24"/>
          <w:lang w:eastAsia="en-GB"/>
        </w:rPr>
        <w:t>25</w:t>
      </w:r>
      <w:r w:rsidR="00D902A8" w:rsidRPr="0073172D">
        <w:rPr>
          <w:rFonts w:asciiTheme="minorHAnsi" w:hAnsiTheme="minorHAnsi" w:cstheme="minorHAnsi"/>
          <w:noProof/>
          <w:sz w:val="24"/>
          <w:lang w:eastAsia="en-GB"/>
        </w:rPr>
        <w:t>]</w:t>
      </w:r>
      <w:r w:rsidR="00CA3EED" w:rsidRPr="0073172D">
        <w:rPr>
          <w:rFonts w:asciiTheme="minorHAnsi" w:hAnsiTheme="minorHAnsi" w:cstheme="minorHAnsi"/>
          <w:sz w:val="24"/>
          <w:lang w:eastAsia="en-GB"/>
        </w:rPr>
        <w:fldChar w:fldCharType="end"/>
      </w:r>
      <w:r w:rsidR="005D5B65" w:rsidRPr="0073172D">
        <w:rPr>
          <w:rFonts w:asciiTheme="minorHAnsi" w:hAnsiTheme="minorHAnsi" w:cstheme="minorHAnsi"/>
          <w:sz w:val="24"/>
          <w:lang w:eastAsia="en-GB"/>
        </w:rPr>
        <w:t>.</w:t>
      </w:r>
      <w:r w:rsidR="00896EE2" w:rsidRPr="0073172D">
        <w:rPr>
          <w:rFonts w:asciiTheme="minorHAnsi" w:hAnsiTheme="minorHAnsi" w:cstheme="minorHAnsi"/>
          <w:sz w:val="24"/>
          <w:lang w:eastAsia="en-GB"/>
        </w:rPr>
        <w:t xml:space="preserve"> Significant diagnostic uncertainty was also presen</w:t>
      </w:r>
      <w:r w:rsidR="00127DC2" w:rsidRPr="0073172D">
        <w:rPr>
          <w:rFonts w:asciiTheme="minorHAnsi" w:hAnsiTheme="minorHAnsi" w:cstheme="minorHAnsi"/>
          <w:sz w:val="24"/>
          <w:lang w:eastAsia="en-GB"/>
        </w:rPr>
        <w:t xml:space="preserve">t in the sample </w:t>
      </w:r>
      <w:r w:rsidR="00995DA6" w:rsidRPr="0073172D">
        <w:rPr>
          <w:rFonts w:asciiTheme="minorHAnsi" w:hAnsiTheme="minorHAnsi" w:cstheme="minorHAnsi"/>
          <w:sz w:val="24"/>
          <w:lang w:eastAsia="en-GB"/>
        </w:rPr>
        <w:t>despite</w:t>
      </w:r>
      <w:r w:rsidR="003F3BEC" w:rsidRPr="0073172D">
        <w:rPr>
          <w:rFonts w:asciiTheme="minorHAnsi" w:hAnsiTheme="minorHAnsi" w:cstheme="minorHAnsi"/>
          <w:sz w:val="24"/>
          <w:lang w:eastAsia="en-GB"/>
        </w:rPr>
        <w:t xml:space="preserve"> prior clinical investigations, and a</w:t>
      </w:r>
      <w:r w:rsidR="00CA6B75" w:rsidRPr="0073172D">
        <w:rPr>
          <w:rFonts w:asciiTheme="minorHAnsi" w:hAnsiTheme="minorHAnsi" w:cstheme="minorHAnsi"/>
          <w:sz w:val="24"/>
          <w:lang w:eastAsia="en-GB"/>
        </w:rPr>
        <w:t>lthough clinicians involved were all at associate specialist or consultant level, clinician skill and experience in dementia diagnosis will v</w:t>
      </w:r>
      <w:r w:rsidR="001A4CC1" w:rsidRPr="0073172D">
        <w:rPr>
          <w:rFonts w:asciiTheme="minorHAnsi" w:hAnsiTheme="minorHAnsi" w:cstheme="minorHAnsi"/>
          <w:sz w:val="24"/>
          <w:lang w:eastAsia="en-GB"/>
        </w:rPr>
        <w:t>ary.</w:t>
      </w:r>
    </w:p>
    <w:p w14:paraId="2CA1889F" w14:textId="4C342338" w:rsidR="00B152C9" w:rsidRPr="0073172D" w:rsidRDefault="00960E29" w:rsidP="003A3A37">
      <w:pPr>
        <w:keepNext w:val="0"/>
        <w:keepLines w:val="0"/>
        <w:spacing w:line="480" w:lineRule="auto"/>
        <w:rPr>
          <w:rFonts w:asciiTheme="minorHAnsi" w:hAnsiTheme="minorHAnsi" w:cstheme="minorHAnsi"/>
          <w:sz w:val="24"/>
          <w:lang w:eastAsia="en-GB"/>
        </w:rPr>
      </w:pPr>
      <w:r w:rsidRPr="0073172D">
        <w:rPr>
          <w:rFonts w:asciiTheme="minorHAnsi" w:hAnsiTheme="minorHAnsi" w:cstheme="minorHAnsi"/>
          <w:sz w:val="24"/>
          <w:lang w:eastAsia="en-GB"/>
        </w:rPr>
        <w:t>Difficulty in diagnosis was most notable in suspected frontotemporal dementia, where a diagnosis of FTD remained after imag</w:t>
      </w:r>
      <w:r w:rsidR="007872D6" w:rsidRPr="0073172D">
        <w:rPr>
          <w:rFonts w:asciiTheme="minorHAnsi" w:hAnsiTheme="minorHAnsi" w:cstheme="minorHAnsi"/>
          <w:sz w:val="24"/>
          <w:lang w:eastAsia="en-GB"/>
        </w:rPr>
        <w:t>ing in only 40% of individuals</w:t>
      </w:r>
      <w:r w:rsidR="00AE1D8A" w:rsidRPr="0073172D">
        <w:rPr>
          <w:rFonts w:asciiTheme="minorHAnsi" w:hAnsiTheme="minorHAnsi" w:cstheme="minorHAnsi"/>
          <w:sz w:val="24"/>
          <w:lang w:eastAsia="en-GB"/>
        </w:rPr>
        <w:t xml:space="preserve"> (Figure </w:t>
      </w:r>
      <w:r w:rsidR="003C3EC9" w:rsidRPr="0073172D">
        <w:rPr>
          <w:rFonts w:asciiTheme="minorHAnsi" w:hAnsiTheme="minorHAnsi" w:cstheme="minorHAnsi"/>
          <w:sz w:val="24"/>
          <w:lang w:eastAsia="en-GB"/>
        </w:rPr>
        <w:t>2</w:t>
      </w:r>
      <w:r w:rsidR="00AE1D8A" w:rsidRPr="0073172D">
        <w:rPr>
          <w:rFonts w:asciiTheme="minorHAnsi" w:hAnsiTheme="minorHAnsi" w:cstheme="minorHAnsi"/>
          <w:sz w:val="24"/>
          <w:lang w:eastAsia="en-GB"/>
        </w:rPr>
        <w:t>)</w:t>
      </w:r>
      <w:r w:rsidR="007872D6" w:rsidRPr="0073172D">
        <w:rPr>
          <w:rFonts w:asciiTheme="minorHAnsi" w:hAnsiTheme="minorHAnsi" w:cstheme="minorHAnsi"/>
          <w:sz w:val="24"/>
          <w:lang w:eastAsia="en-GB"/>
        </w:rPr>
        <w:t>.</w:t>
      </w:r>
      <w:r w:rsidR="00490B6C" w:rsidRPr="0073172D">
        <w:rPr>
          <w:rFonts w:asciiTheme="minorHAnsi" w:hAnsiTheme="minorHAnsi" w:cstheme="minorHAnsi"/>
          <w:sz w:val="24"/>
          <w:lang w:eastAsia="en-GB"/>
        </w:rPr>
        <w:t xml:space="preserve"> </w:t>
      </w:r>
      <w:r w:rsidRPr="0073172D">
        <w:rPr>
          <w:rFonts w:asciiTheme="minorHAnsi" w:hAnsiTheme="minorHAnsi" w:cstheme="minorHAnsi"/>
          <w:sz w:val="24"/>
          <w:lang w:eastAsia="en-GB"/>
        </w:rPr>
        <w:t>Difficulty in making an FTD diagnosis is well described in the literature, with</w:t>
      </w:r>
      <w:r w:rsidR="0040597F" w:rsidRPr="0073172D">
        <w:rPr>
          <w:rFonts w:asciiTheme="minorHAnsi" w:hAnsiTheme="minorHAnsi" w:cstheme="minorHAnsi"/>
          <w:sz w:val="24"/>
          <w:lang w:eastAsia="en-GB"/>
        </w:rPr>
        <w:t xml:space="preserve"> </w:t>
      </w:r>
      <w:r w:rsidR="00BE3DBC" w:rsidRPr="0073172D">
        <w:rPr>
          <w:rFonts w:asciiTheme="minorHAnsi" w:hAnsiTheme="minorHAnsi" w:cstheme="minorHAnsi"/>
          <w:sz w:val="24"/>
          <w:lang w:eastAsia="en-GB"/>
        </w:rPr>
        <w:t xml:space="preserve">clinical criteria for distinguishing FTD from AD previously criticised </w:t>
      </w:r>
      <w:r w:rsidR="00CA3EED" w:rsidRPr="0073172D">
        <w:rPr>
          <w:rFonts w:asciiTheme="minorHAnsi" w:hAnsiTheme="minorHAnsi" w:cstheme="minorHAnsi"/>
          <w:sz w:val="24"/>
          <w:lang w:eastAsia="en-GB"/>
        </w:rPr>
        <w:fldChar w:fldCharType="begin" w:fldLock="1"/>
      </w:r>
      <w:r w:rsidR="00D902A8" w:rsidRPr="0073172D">
        <w:rPr>
          <w:rFonts w:asciiTheme="minorHAnsi" w:hAnsiTheme="minorHAnsi" w:cstheme="minorHAnsi"/>
          <w:sz w:val="24"/>
          <w:lang w:eastAsia="en-GB"/>
        </w:rPr>
        <w:instrText>ADDIN CSL_CITATION {"citationItems":[{"id":"ITEM-1","itemData":{"DOI":"10.1136/jnnp.66.2.184","ISBN":"0022-3050 (Print)\\n0022-3050 (Linking)","ISSN":"0022-3050","PMID":"10071097","abstract":"OBJECTIVES: The diagnosis of Alzheimer's disease (AD) is now reliant on the use of NINCDS-ADRDA criteria. Other diseases causing dementia are being increasingly recognised--for example, frontotemporal dementia (FTD). Historically, these disorders have not been clearly demarcated from AD. This study assesses the capability of the NINCDS-ADRDA criteria to accurately distinguish AD from FTD in a series of pathologically proved cases.\\n\\nMETHODS: The case records of 56 patients (30 with AD, 26 with FTD) who had undergone neuropsychological evaluation, brain imaging, and ultimately postmortem, were assessed in terms of whether at initial diagnosis the NINCDS-ADRDA criteria were successful in diagnosing those patients who had AD and excluding those who did not.\\n\\nRESULTS: (1) The overall sensitivity of the NINCDS-ADRDA criteria in diagnosing \"probable\" AD from 56 patients with cortical dementia (AD and FTD) was 0.93. However, the specificity was only 0.23; most patients with FTD also fulfilled NINCDS-ADRDA criteria for AD. (2) Cognitive deficits in the realms of orientation and praxis significantly increased the odds of a patient having AD compared with FTD, whereas deficits in problem solving significantly decreased the odds. Neuropsychological impairments in the domains of attention, language, perception, and memory as defined in the NINCDS-ADRDA statement did not contribute to the clinical differentiation of AD and FTD.\\n\\nCONCLUSION: NINCDS-ADRDA criteria fail accurately to differentiate AD from FTD. Suggestions to improve the diagnostic specificity of the current criteria are made.","author":[{"dropping-particle":"","family":"Varma","given":"A R","non-dropping-particle":"","parse-names":false,"suffix":""},{"dropping-particle":"","family":"Snowden","given":"J S","non-dropping-particle":"","parse-names":false,"suffix":""},{"dropping-particle":"","family":"Lloyd","given":"J J","non-dropping-particle":"","parse-names":false,"suffix":""},{"dropping-particle":"","family":"Talbot","given":"P R","non-dropping-particle":"","parse-names":false,"suffix":""},{"dropping-particle":"","family":"Mann","given":"D M A","non-dropping-particle":"","parse-names":false,"suffix":""},{"dropping-particle":"","family":"Neary","given":"D","non-dropping-particle":"","parse-names":false,"suffix":""}],"container-title":"Journal of Neurology, Neurosurgery &amp; Psychiatry","id":"ITEM-1","issue":"2","issued":{"date-parts":[["1999"]]},"page":"184-188","title":"Evaluation of the NINCDS-ADRDA criteria in the differentiation of Alzheimer's disease and frontotemporal dementia","type":"article-journal","volume":"66"},"uris":["http://www.mendeley.com/documents/?uuid=6be2c13d-952a-403c-991a-9855348e5479"]}],"mendeley":{"formattedCitation":"[&lt;i&gt;26&lt;/i&gt;]","plainTextFormattedCitation":"[26]","previouslyFormattedCitation":"[26]"},"properties":{"noteIndex":0},"schema":"https://github.com/citation-style-language/schema/raw/master/csl-citation.json"}</w:instrText>
      </w:r>
      <w:r w:rsidR="00CA3EED" w:rsidRPr="0073172D">
        <w:rPr>
          <w:rFonts w:asciiTheme="minorHAnsi" w:hAnsiTheme="minorHAnsi" w:cstheme="minorHAnsi"/>
          <w:sz w:val="24"/>
          <w:lang w:eastAsia="en-GB"/>
        </w:rPr>
        <w:fldChar w:fldCharType="separate"/>
      </w:r>
      <w:r w:rsidR="00D902A8" w:rsidRPr="0073172D">
        <w:rPr>
          <w:rFonts w:asciiTheme="minorHAnsi" w:hAnsiTheme="minorHAnsi" w:cstheme="minorHAnsi"/>
          <w:noProof/>
          <w:sz w:val="24"/>
          <w:lang w:eastAsia="en-GB"/>
        </w:rPr>
        <w:t>[</w:t>
      </w:r>
      <w:r w:rsidR="00D902A8" w:rsidRPr="0073172D">
        <w:rPr>
          <w:rFonts w:asciiTheme="minorHAnsi" w:hAnsiTheme="minorHAnsi" w:cstheme="minorHAnsi"/>
          <w:i/>
          <w:noProof/>
          <w:sz w:val="24"/>
          <w:lang w:eastAsia="en-GB"/>
        </w:rPr>
        <w:t>26</w:t>
      </w:r>
      <w:r w:rsidR="00D902A8" w:rsidRPr="0073172D">
        <w:rPr>
          <w:rFonts w:asciiTheme="minorHAnsi" w:hAnsiTheme="minorHAnsi" w:cstheme="minorHAnsi"/>
          <w:noProof/>
          <w:sz w:val="24"/>
          <w:lang w:eastAsia="en-GB"/>
        </w:rPr>
        <w:t>]</w:t>
      </w:r>
      <w:r w:rsidR="00CA3EED" w:rsidRPr="0073172D">
        <w:rPr>
          <w:rFonts w:asciiTheme="minorHAnsi" w:hAnsiTheme="minorHAnsi" w:cstheme="minorHAnsi"/>
          <w:sz w:val="24"/>
          <w:lang w:eastAsia="en-GB"/>
        </w:rPr>
        <w:fldChar w:fldCharType="end"/>
      </w:r>
      <w:r w:rsidR="00BE3DBC" w:rsidRPr="0073172D">
        <w:rPr>
          <w:rFonts w:asciiTheme="minorHAnsi" w:hAnsiTheme="minorHAnsi" w:cstheme="minorHAnsi"/>
          <w:sz w:val="24"/>
          <w:lang w:eastAsia="en-GB"/>
        </w:rPr>
        <w:t xml:space="preserve">, although </w:t>
      </w:r>
      <w:r w:rsidR="00841285" w:rsidRPr="0073172D">
        <w:rPr>
          <w:rFonts w:asciiTheme="minorHAnsi" w:hAnsiTheme="minorHAnsi" w:cstheme="minorHAnsi"/>
          <w:sz w:val="24"/>
          <w:lang w:eastAsia="en-GB"/>
        </w:rPr>
        <w:t xml:space="preserve">these </w:t>
      </w:r>
      <w:r w:rsidR="00BE3DBC" w:rsidRPr="0073172D">
        <w:rPr>
          <w:rFonts w:asciiTheme="minorHAnsi" w:hAnsiTheme="minorHAnsi" w:cstheme="minorHAnsi"/>
          <w:sz w:val="24"/>
          <w:lang w:eastAsia="en-GB"/>
        </w:rPr>
        <w:t xml:space="preserve">criteria </w:t>
      </w:r>
      <w:r w:rsidR="00841285" w:rsidRPr="0073172D">
        <w:rPr>
          <w:rFonts w:asciiTheme="minorHAnsi" w:hAnsiTheme="minorHAnsi" w:cstheme="minorHAnsi"/>
          <w:sz w:val="24"/>
          <w:lang w:eastAsia="en-GB"/>
        </w:rPr>
        <w:t xml:space="preserve">have </w:t>
      </w:r>
      <w:r w:rsidR="00BE3DBC" w:rsidRPr="0073172D">
        <w:rPr>
          <w:rFonts w:asciiTheme="minorHAnsi" w:hAnsiTheme="minorHAnsi" w:cstheme="minorHAnsi"/>
          <w:sz w:val="24"/>
          <w:lang w:eastAsia="en-GB"/>
        </w:rPr>
        <w:t xml:space="preserve">since been revised </w:t>
      </w:r>
      <w:r w:rsidR="00CA3EED" w:rsidRPr="0073172D">
        <w:rPr>
          <w:rFonts w:asciiTheme="minorHAnsi" w:hAnsiTheme="minorHAnsi" w:cstheme="minorHAnsi"/>
          <w:sz w:val="24"/>
          <w:lang w:eastAsia="en-GB"/>
        </w:rPr>
        <w:fldChar w:fldCharType="begin" w:fldLock="1"/>
      </w:r>
      <w:r w:rsidR="00D902A8" w:rsidRPr="0073172D">
        <w:rPr>
          <w:rFonts w:asciiTheme="minorHAnsi" w:hAnsiTheme="minorHAnsi" w:cstheme="minorHAnsi"/>
          <w:sz w:val="24"/>
          <w:lang w:eastAsia="en-GB"/>
        </w:rPr>
        <w:instrText>ADDIN CSL_CITATION {"citationItems":[{"id":"ITEM-1","itemData":{"DOI":"10.1016/S1474-4422(07)70178-3","ISBN":"1474-4422","ISSN":"14744422","PMID":"17616482","abstract":"The NINCDS-ADRDA and the DSM-IV-TR criteria for Alzheimer's disease (AD) are the prevailing diagnostic standards in research; however, they have now fallen behind the unprecedented growth of scientific knowledge. Distinctive and reliable biomarkers of AD are now available through structural MRI, molecular neuroimaging with PET, and cerebrospinal fluid analyses. This progress provides the impetus for our proposal of revised diagnostic criteria for AD. Our framework was developed to capture both the earliest stages, before full-blown dementia, as well as the full spectrum of the illness. These new criteria are centred on a clinical core of early and significant episodic memory impairment. They stipulate that there must also be at least one or more abnormal biomarkers among structural neuroimaging with MRI, molecular neuroimaging with PET, and cerebrospinal fluid analysis of amyloid β or tau proteins. The timeliness of these criteria is highlighted by the many drugs in development that are directed at changing pathogenesis, particularly at the production and clearance of amyloid β as well as at the hyperphosphorylation state of tau. Validation studies in existing and prospective cohorts are needed to advance these criteria and optimise their sensitivity, specificity, and accuracy. © 2007 Elsevier Ltd. All rights reserved.","author":[{"dropping-particle":"","family":"Dubois","given":"Bruno","non-dropping-particle":"","parse-names":false,"suffix":""},{"dropping-particle":"","family":"Feldman","given":"Howard H.","non-dropping-particle":"","parse-names":false,"suffix":""},{"dropping-particle":"","family":"Jacova","given":"Claudia","non-dropping-particle":"","parse-names":false,"suffix":""},{"dropping-particle":"","family":"DeKosky","given":"Steven T.","non-dropping-particle":"","parse-names":false,"suffix":""},{"dropping-particle":"","family":"Barberger-Gateau","given":"Pascale","non-dropping-particle":"","parse-names":false,"suffix":""},{"dropping-particle":"","family":"Cummings","given":"Jeffrey","non-dropping-particle":"","parse-names":false,"suffix":""},{"dropping-particle":"","family":"Delacourte","given":"André","non-dropping-particle":"","parse-names":false,"suffix":""},{"dropping-particle":"","family":"Galasko","given":"Douglas","non-dropping-particle":"","parse-names":false,"suffix":""},{"dropping-particle":"","family":"Gauthier","given":"Serge","non-dropping-particle":"","parse-names":false,"suffix":""},{"dropping-particle":"","family":"Jicha","given":"Gregory","non-dropping-particle":"","parse-names":false,"suffix":""},{"dropping-particle":"","family":"Meguro","given":"Kenichi","non-dropping-particle":"","parse-names":false,"suffix":""},{"dropping-particle":"","family":"O'Brien","given":"John","non-dropping-particle":"","parse-names":false,"suffix":""},{"dropping-particle":"","family":"Pasquier","given":"Florence","non-dropping-particle":"","parse-names":false,"suffix":""},{"dropping-particle":"","family":"Robert","given":"Philippe","non-dropping-particle":"","parse-names":false,"suffix":""},{"dropping-particle":"","family":"Rossor","given":"Martin","non-dropping-particle":"","parse-names":false,"suffix":""},{"dropping-particle":"","family":"Salloway","given":"Steven","non-dropping-particle":"","parse-names":false,"suffix":""},{"dropping-particle":"","family":"Stern","given":"Yaakov","non-dropping-particle":"","parse-names":false,"suffix":""},{"dropping-particle":"","family":"Visser","given":"Pieter J.","non-dropping-particle":"","parse-names":false,"suffix":""},{"dropping-particle":"","family":"Scheltens","given":"Philip","non-dropping-particle":"","parse-names":false,"suffix":""}],"container-title":"Lancet Neurology","id":"ITEM-1","issue":"8","issued":{"date-parts":[["2007"]]},"note":"Includes information on why SPECT is not approved - due to diagnostic accuracy less than 80%","page":"734-746","title":"Research criteria for the diagnosis of Alzheimer's disease: revising the NINCDS-ADRDA criteria","type":"article-journal","volume":"6"},"uris":["http://www.mendeley.com/documents/?uuid=f1c19614-1530-4e49-9ac5-09aece4d4de2"]}],"mendeley":{"formattedCitation":"[&lt;i&gt;27&lt;/i&gt;]","plainTextFormattedCitation":"[27]","previouslyFormattedCitation":"[27]"},"properties":{"noteIndex":0},"schema":"https://github.com/citation-style-language/schema/raw/master/csl-citation.json"}</w:instrText>
      </w:r>
      <w:r w:rsidR="00CA3EED" w:rsidRPr="0073172D">
        <w:rPr>
          <w:rFonts w:asciiTheme="minorHAnsi" w:hAnsiTheme="minorHAnsi" w:cstheme="minorHAnsi"/>
          <w:sz w:val="24"/>
          <w:lang w:eastAsia="en-GB"/>
        </w:rPr>
        <w:fldChar w:fldCharType="separate"/>
      </w:r>
      <w:r w:rsidR="00D902A8" w:rsidRPr="0073172D">
        <w:rPr>
          <w:rFonts w:asciiTheme="minorHAnsi" w:hAnsiTheme="minorHAnsi" w:cstheme="minorHAnsi"/>
          <w:noProof/>
          <w:sz w:val="24"/>
          <w:lang w:eastAsia="en-GB"/>
        </w:rPr>
        <w:t>[</w:t>
      </w:r>
      <w:r w:rsidR="00D902A8" w:rsidRPr="0073172D">
        <w:rPr>
          <w:rFonts w:asciiTheme="minorHAnsi" w:hAnsiTheme="minorHAnsi" w:cstheme="minorHAnsi"/>
          <w:i/>
          <w:noProof/>
          <w:sz w:val="24"/>
          <w:lang w:eastAsia="en-GB"/>
        </w:rPr>
        <w:t>27</w:t>
      </w:r>
      <w:r w:rsidR="00D902A8" w:rsidRPr="0073172D">
        <w:rPr>
          <w:rFonts w:asciiTheme="minorHAnsi" w:hAnsiTheme="minorHAnsi" w:cstheme="minorHAnsi"/>
          <w:noProof/>
          <w:sz w:val="24"/>
          <w:lang w:eastAsia="en-GB"/>
        </w:rPr>
        <w:t>]</w:t>
      </w:r>
      <w:r w:rsidR="00CA3EED" w:rsidRPr="0073172D">
        <w:rPr>
          <w:rFonts w:asciiTheme="minorHAnsi" w:hAnsiTheme="minorHAnsi" w:cstheme="minorHAnsi"/>
          <w:sz w:val="24"/>
          <w:lang w:eastAsia="en-GB"/>
        </w:rPr>
        <w:fldChar w:fldCharType="end"/>
      </w:r>
      <w:r w:rsidR="000024D9" w:rsidRPr="0073172D">
        <w:rPr>
          <w:rFonts w:asciiTheme="minorHAnsi" w:hAnsiTheme="minorHAnsi" w:cstheme="minorHAnsi"/>
          <w:sz w:val="24"/>
          <w:lang w:eastAsia="en-GB"/>
        </w:rPr>
        <w:t xml:space="preserve">. </w:t>
      </w:r>
      <w:r w:rsidR="00145874" w:rsidRPr="0073172D">
        <w:rPr>
          <w:rFonts w:asciiTheme="minorHAnsi" w:hAnsiTheme="minorHAnsi" w:cstheme="minorHAnsi"/>
          <w:sz w:val="24"/>
          <w:lang w:eastAsia="en-GB"/>
        </w:rPr>
        <w:t>Additionally, i</w:t>
      </w:r>
      <w:r w:rsidRPr="0073172D">
        <w:rPr>
          <w:rFonts w:asciiTheme="minorHAnsi" w:hAnsiTheme="minorHAnsi" w:cstheme="minorHAnsi"/>
          <w:sz w:val="24"/>
          <w:lang w:eastAsia="en-GB"/>
        </w:rPr>
        <w:t>ndividuals with AD</w:t>
      </w:r>
      <w:r w:rsidR="003654AE" w:rsidRPr="0073172D">
        <w:rPr>
          <w:rFonts w:asciiTheme="minorHAnsi" w:hAnsiTheme="minorHAnsi" w:cstheme="minorHAnsi"/>
          <w:sz w:val="24"/>
          <w:lang w:eastAsia="en-GB"/>
        </w:rPr>
        <w:t xml:space="preserve"> can present</w:t>
      </w:r>
      <w:r w:rsidRPr="0073172D">
        <w:rPr>
          <w:rFonts w:asciiTheme="minorHAnsi" w:hAnsiTheme="minorHAnsi" w:cstheme="minorHAnsi"/>
          <w:sz w:val="24"/>
          <w:lang w:eastAsia="en-GB"/>
        </w:rPr>
        <w:t xml:space="preserve"> with psychiatric</w:t>
      </w:r>
      <w:r w:rsidR="00145874" w:rsidRPr="0073172D">
        <w:rPr>
          <w:rFonts w:asciiTheme="minorHAnsi" w:hAnsiTheme="minorHAnsi" w:cstheme="minorHAnsi"/>
          <w:sz w:val="24"/>
          <w:lang w:eastAsia="en-GB"/>
        </w:rPr>
        <w:t xml:space="preserve"> and behavioural</w:t>
      </w:r>
      <w:r w:rsidRPr="0073172D">
        <w:rPr>
          <w:rFonts w:asciiTheme="minorHAnsi" w:hAnsiTheme="minorHAnsi" w:cstheme="minorHAnsi"/>
          <w:sz w:val="24"/>
          <w:lang w:eastAsia="en-GB"/>
        </w:rPr>
        <w:t xml:space="preserve"> symptoms </w:t>
      </w:r>
      <w:r w:rsidR="00CA3EED" w:rsidRPr="0073172D">
        <w:rPr>
          <w:rFonts w:asciiTheme="minorHAnsi" w:hAnsiTheme="minorHAnsi" w:cstheme="minorHAnsi"/>
          <w:sz w:val="24"/>
          <w:lang w:eastAsia="en-GB"/>
        </w:rPr>
        <w:fldChar w:fldCharType="begin" w:fldLock="1"/>
      </w:r>
      <w:r w:rsidR="00D902A8" w:rsidRPr="0073172D">
        <w:rPr>
          <w:rFonts w:asciiTheme="minorHAnsi" w:hAnsiTheme="minorHAnsi" w:cstheme="minorHAnsi"/>
          <w:sz w:val="24"/>
          <w:lang w:eastAsia="en-GB"/>
        </w:rPr>
        <w:instrText>ADDIN CSL_CITATION {"citationItems":[{"id":"ITEM-1","itemData":{"ISSN":"0028-3878","PMID":"8559361","abstract":"We investigated the range of behavioral abnormalities in patients with Alzheimer's disease (AD) compared with normal age-matched control subjects. The range of behavioral disturbances manifested and the relationship between specific abnormalities with the level of cognitive impairment have not been established. Fifty consecutive outpatients with mild (n = 17), moderate (n = 20), and severe (n = 13) AD and 40 age-matched normal controls were evaluated for behavioral abnormalities occurring in the month preceding the interview. The caregivers of the patients and the spouses of the control subjects were interviewed with the Neuropsychiatric Inventory (NPI). The frequency and severity of the following 10 behaviors were assessed: delusions, hallucinations, agitation, dysphoria, anxiety, euphoria, apathy, disinhibition, irritability, and aberrant motor behavior. Correlations among these 10 behaviors and their relationship with cognitive impairment were also investigated. Eighty-eight percent of AD patients had measurable behavioral changes. All 10 behaviors were significantly increased in the AD patients compared with normal subjects. The most common behavior was apathy, which was exhibited by 72% of patients, followed by agitation (60%), anxiety (48%), irritability (42%), dysphoria and aberrant motor behavior (both 38%), disinhibition (36%), delusions (22%), and hallucinations (10%). Agitation, dysphoria, apathy, and aberrant motor behavior were significantly correlated wit cognitive impairment.","author":[{"dropping-particle":"","family":"Mega","given":"M S","non-dropping-particle":"","parse-names":false,"suffix":""},{"dropping-particle":"","family":"Cummings","given":"J L","non-dropping-particle":"","parse-names":false,"suffix":""},{"dropping-particle":"","family":"Fiorello","given":"T","non-dropping-particle":"","parse-names":false,"suffix":""},{"dropping-particle":"","family":"Gornbein","given":"J","non-dropping-particle":"","parse-names":false,"suffix":""}],"container-title":"Neurology","id":"ITEM-1","issue":"1","issued":{"date-parts":[["1996","1"]]},"page":"130-5","title":"The spectrum of behavioral changes in Alzheimer's disease.","type":"article-journal","volume":"46"},"uris":["http://www.mendeley.com/documents/?uuid=33e63ba2-07dd-429e-bd1b-136bf1a18fcd"]},{"id":"ITEM-2","itemData":{"DOI":"17228","ISSN":"1420-8008","PMID":"10765045","abstract":"BACKGROUND The aim was to examine the longitudinal occurrence and persistence of behavioural and psychological symptoms of dementia (BPSD) in Alzheimer's disease (AD). METHODS Following 60 patients with mild to severe AD over a period of 2 years with annual evaluations, the prospective occurrence and persistence of BPSD in AD were determined by using the Behavioural Abnormalities in AD Rating scale (BEHAVE-AD). Clinical and demographic features of the AD patients were analysed for their association with course features of these symptoms. RESULTS All of the 60 AD patients experienced BPSD at some point during the 2-year period, particularly agitation was present in every patient within this period. 2-year persistence of BPSD in AD was frequently observed in patients with agitation and with depressiveness, with less frequency in patients with anxiety and aggressiveness, but not in patients with delusions or hallucinations. 2-year persistent aggressiveness was associated with older age and more functional impairment. More functional impairment was also related to 2-year non-persistent hallucinations. CONCLUSIONS Counselling AD patients and their families and tailoring therapeutic strategies should take into account the different modi of BPSD in AD occurring and persisting longitudinally and interacting with functional disturbances.","author":[{"dropping-particle":"","family":"Haupt","given":"M","non-dropping-particle":"","parse-names":false,"suffix":""},{"dropping-particle":"","family":"Kurz","given":"A","non-dropping-particle":"","parse-names":false,"suffix":""},{"dropping-particle":"","family":"Jänner","given":"M","non-dropping-particle":"","parse-names":false,"suffix":""}],"container-title":"Dementia and geriatric cognitive disorders","id":"ITEM-2","issue":"3","issued":{"date-parts":[["2000"]]},"page":"147-52","title":"A 2-year follow-up of behavioural and psychological symptoms in Alzheimer's disease.","type":"article-journal","volume":"11"},"uris":["http://www.mendeley.com/documents/?uuid=31039314-b3ae-4686-af36-698b6c329268"]},{"id":"ITEM-3","itemData":{"DOI":"10.1001/jama.288.12.1475","ISSN":"00987484","PMID":"12243634","abstract":"CONTEXT: Mild cognitive impairment (MCI) may be a precursor to dementia, at least in some cases. Dementia and MCI are associated with neuropsychiatric symptoms in clinical samples. Only 2 population-based studies exist of the prevalence of these symptoms in dementia, and none exist for MCI. OBJECTIVE: To estimate the prevalence of neuropsychiatric symptoms in dementia and MCI in a population-based study. DESIGN: Cross-sectional study derived from the Cardiovascular Health Study, a longitudinal cohort study. SETTING AND PARTICIPANTS: A total of 3608 participants were cognitively evaluated using data collected longitudinally over 10 years and additional data collected in 1999-2000 in 4 US counties. Dementia and MCI were classified using clinical criteria and adjudicated by committee review by expert neurologists and psychiatrists. A total of 824 individuals completed the Neuropsychiatric Inventory (NPI); 362 were classified as having dementia, 320 as having MCI; and 142 did not meet criteria for MCI or dementia. MAIN OUTCOME MEASURE: Prevalence of neuropsychiatric symptoms, based on ratings on the NPI in the previous month and from the onset of cognitive symptoms. RESULTS: Of the 682 individuals with dementia or MCI, 43% of MCI participants (n = 138) exhibited neuropsychiatric symptoms in the previous month (29% rated as clinically significant) with depression (20%), apathy (15%), and irritability (15%) being most common. Among the dementia participants, 75% (n = 270) had exhibited a neuropsychiatric symptom in the past month (62% were clinically significant); 55% (n = 199) reported 2 or more and 44% (n = 159) 3 or more disturbances in the past month. In participants with dementia, the most frequent disturbances were apathy (36%), depression (32%), and agitation/aggression (30%). Eighty percent of dementia participants (n = 233) and 50% of MCI participants (n = 139) exhibited at least 1 NPI symptom from the onset of cognitive symptoms. There were no differences in prevalence of neuropsychiatric symptoms between participants with Alzheimer-type dementia and those with other dementias, with the exception of aberrant motor behavior, which was more frequent in Alzheimer-type dementia (5.4% vs 1%; P =.02). CONCLUSIONS: Neuropsychiatric symptoms occur in the majority of persons with dementia over the course of the disease. These are the first population-based estimates for neuropsychiatric symptoms in MCI, indicating a high prevalence associated with this condi…","author":[{"dropping-particle":"","family":"Lyketsos","given":"Constantine G","non-dropping-particle":"","parse-names":false,"suffix":""},{"dropping-particle":"","family":"Lopez","given":"O","non-dropping-particle":"","parse-names":false,"suffix":""},{"dropping-particle":"","family":"Jones","given":"Beverly","non-dropping-particle":"","parse-names":false,"suffix":""},{"dropping-particle":"","family":"Fitzpatrick","given":"Annette L","non-dropping-particle":"","parse-names":false,"suffix":""},{"dropping-particle":"","family":"Breitner","given":"John","non-dropping-particle":"","parse-names":false,"suffix":""},{"dropping-particle":"","family":"Dekosky","given":"Steven","non-dropping-particle":"","parse-names":false,"suffix":""}],"container-title":"Jama","id":"ITEM-3","issue":"12","issued":{"date-parts":[["2002"]]},"page":"1475-1483","title":"Prevalence of Neuropsychiatric Symptoms Results From the Cardiovascular Health Study","type":"article-journal","volume":"288"},"uris":["http://www.mendeley.com/documents/?uuid=23b4cd36-2d33-4e8f-bc88-ccf6c8c2e360"]}],"mendeley":{"formattedCitation":"[&lt;i&gt;28&lt;/i&gt;–&lt;i&gt;30&lt;/i&gt;]","plainTextFormattedCitation":"[28–30]","previouslyFormattedCitation":"[28–30]"},"properties":{"noteIndex":0},"schema":"https://github.com/citation-style-language/schema/raw/master/csl-citation.json"}</w:instrText>
      </w:r>
      <w:r w:rsidR="00CA3EED" w:rsidRPr="0073172D">
        <w:rPr>
          <w:rFonts w:asciiTheme="minorHAnsi" w:hAnsiTheme="minorHAnsi" w:cstheme="minorHAnsi"/>
          <w:sz w:val="24"/>
          <w:lang w:eastAsia="en-GB"/>
        </w:rPr>
        <w:fldChar w:fldCharType="separate"/>
      </w:r>
      <w:r w:rsidR="00D902A8" w:rsidRPr="0073172D">
        <w:rPr>
          <w:rFonts w:asciiTheme="minorHAnsi" w:hAnsiTheme="minorHAnsi" w:cstheme="minorHAnsi"/>
          <w:noProof/>
          <w:sz w:val="24"/>
          <w:lang w:eastAsia="en-GB"/>
        </w:rPr>
        <w:t>[</w:t>
      </w:r>
      <w:r w:rsidR="00D902A8" w:rsidRPr="0073172D">
        <w:rPr>
          <w:rFonts w:asciiTheme="minorHAnsi" w:hAnsiTheme="minorHAnsi" w:cstheme="minorHAnsi"/>
          <w:i/>
          <w:noProof/>
          <w:sz w:val="24"/>
          <w:lang w:eastAsia="en-GB"/>
        </w:rPr>
        <w:t>28</w:t>
      </w:r>
      <w:r w:rsidR="00D902A8" w:rsidRPr="0073172D">
        <w:rPr>
          <w:rFonts w:asciiTheme="minorHAnsi" w:hAnsiTheme="minorHAnsi" w:cstheme="minorHAnsi"/>
          <w:noProof/>
          <w:sz w:val="24"/>
          <w:lang w:eastAsia="en-GB"/>
        </w:rPr>
        <w:t>–</w:t>
      </w:r>
      <w:r w:rsidR="00D902A8" w:rsidRPr="0073172D">
        <w:rPr>
          <w:rFonts w:asciiTheme="minorHAnsi" w:hAnsiTheme="minorHAnsi" w:cstheme="minorHAnsi"/>
          <w:i/>
          <w:noProof/>
          <w:sz w:val="24"/>
          <w:lang w:eastAsia="en-GB"/>
        </w:rPr>
        <w:t>30</w:t>
      </w:r>
      <w:r w:rsidR="00D902A8" w:rsidRPr="0073172D">
        <w:rPr>
          <w:rFonts w:asciiTheme="minorHAnsi" w:hAnsiTheme="minorHAnsi" w:cstheme="minorHAnsi"/>
          <w:noProof/>
          <w:sz w:val="24"/>
          <w:lang w:eastAsia="en-GB"/>
        </w:rPr>
        <w:t>]</w:t>
      </w:r>
      <w:r w:rsidR="00CA3EED" w:rsidRPr="0073172D">
        <w:rPr>
          <w:rFonts w:asciiTheme="minorHAnsi" w:hAnsiTheme="minorHAnsi" w:cstheme="minorHAnsi"/>
          <w:sz w:val="24"/>
          <w:lang w:eastAsia="en-GB"/>
        </w:rPr>
        <w:fldChar w:fldCharType="end"/>
      </w:r>
      <w:r w:rsidR="003654AE" w:rsidRPr="0073172D">
        <w:rPr>
          <w:rFonts w:asciiTheme="minorHAnsi" w:hAnsiTheme="minorHAnsi" w:cstheme="minorHAnsi"/>
          <w:sz w:val="24"/>
          <w:lang w:eastAsia="en-GB"/>
        </w:rPr>
        <w:t xml:space="preserve"> and </w:t>
      </w:r>
      <w:r w:rsidR="006C66F4" w:rsidRPr="0073172D">
        <w:rPr>
          <w:rFonts w:asciiTheme="minorHAnsi" w:hAnsiTheme="minorHAnsi" w:cstheme="minorHAnsi"/>
          <w:sz w:val="24"/>
          <w:lang w:eastAsia="en-GB"/>
        </w:rPr>
        <w:t xml:space="preserve">may </w:t>
      </w:r>
      <w:r w:rsidR="003654AE" w:rsidRPr="0073172D">
        <w:rPr>
          <w:rFonts w:asciiTheme="minorHAnsi" w:hAnsiTheme="minorHAnsi" w:cstheme="minorHAnsi"/>
          <w:sz w:val="24"/>
          <w:lang w:eastAsia="en-GB"/>
        </w:rPr>
        <w:t>not always present with memory complaints</w:t>
      </w:r>
      <w:r w:rsidR="008F0B3A" w:rsidRPr="0073172D">
        <w:rPr>
          <w:rFonts w:asciiTheme="minorHAnsi" w:hAnsiTheme="minorHAnsi" w:cstheme="minorHAnsi"/>
          <w:sz w:val="24"/>
          <w:lang w:eastAsia="en-GB"/>
        </w:rPr>
        <w:t xml:space="preserve"> </w:t>
      </w:r>
      <w:r w:rsidR="00CA3EED" w:rsidRPr="0073172D">
        <w:rPr>
          <w:rFonts w:asciiTheme="minorHAnsi" w:hAnsiTheme="minorHAnsi" w:cstheme="minorHAnsi"/>
          <w:sz w:val="24"/>
          <w:lang w:eastAsia="en-GB"/>
        </w:rPr>
        <w:fldChar w:fldCharType="begin" w:fldLock="1"/>
      </w:r>
      <w:r w:rsidR="00D902A8" w:rsidRPr="0073172D">
        <w:rPr>
          <w:rFonts w:asciiTheme="minorHAnsi" w:hAnsiTheme="minorHAnsi" w:cstheme="minorHAnsi"/>
          <w:sz w:val="24"/>
          <w:lang w:eastAsia="en-GB"/>
        </w:rPr>
        <w:instrText>ADDIN CSL_CITATION {"citationItems":[{"id":"ITEM-1","itemData":{"DOI":"10.1177/1533317512454711.Nonamnestic","author":[{"dropping-particle":"","family":"Mendez","given":"F","non-dropping-particle":"","parse-names":false,"suffix":""},{"dropping-particle":"","family":"Lee","given":"A","non-dropping-particle":"","parse-names":false,"suffix":""},{"dropping-particle":"","family":"Joshi","given":"A","non-dropping-particle":"","parse-names":false,"suffix":""},{"dropping-particle":"","family":"Shapira J","given":"","non-dropping-particle":"","parse-names":false,"suffix":""}],"container-title":"Am J Alzheimer Dis Other Dement","id":"ITEM-1","issue":"6","issued":{"date-parts":[["2013"]]},"page":"413-420","title":"Nonamnestic Presentations of Early-Onset Alzheimer’s Disease","type":"article-journal","volume":"27"},"uris":["http://www.mendeley.com/documents/?uuid=1d10466c-85bc-46aa-8705-d57e3a182781"]},{"id":"ITEM-2","itemData":{"DOI":"http://dx.doi.org/10.3233/JAD-2010-1337","ISBN":"1387-2877","PMID":"2010201393","abstract":"Chapter 3.1 40 Abstract Objective Alzheimer's disease (AD) is the most common cause of dementia at older age. Although less prevalent before the age of 65 years, it is still the most frequent cause of early-onset dementia followed by frontotemporal dementia. The typical presentation of AD is memory dysfunction, however presentations with prominent cognitive impairment in other domains besides memory, like prominent apraxia, language problems or executive dysfunction may occur and are relatively more common in early-onset AD. In this retrospective descriptive study we determined the prevalence of non-memory presentations in a large sample of early-onset AD patients compared to late-onset AD. Methods The clinical files of 270 patients with AD starting before the age of 65 years and 90 patients with late-onset AD (≥ 65 years) were reviewed to assess clinical characteristics. Patients were classified as memory presentation and non-memory presentation according to their clinical presentation. Results The mean age of the early-onset group was 56 ± 5 years and 74 ± 6 years for the late-onset group. A third of the early-onset AD group presented with non-memory symptoms compared to only 6% in the late-onset group (p &lt; 0.001). Within the group with non-memory presentations apraxia / visuospatial dysfunction was the most prevalent presenting symptom (12%). Conclusion Patients with early-onset AD often present with a non-memory phenotype, of which apraxia / visuospatial dysfunction is the most common presenting symptom. Atypical presentations of AD should be considered in the clinical differential diagnosis of early-onset dementia. 41 Introduction In 1906 Alois Alzheimer presented the results of his post-mortem studies of a 51 year old patient, Auguste D, who developed dementia at a young age. She became the first patient who suffered from what was later called Alzheimer's disease (AD) 1 . The first symptom was jealousness towards her husband, soon afterwards she developed rapid loss of memory and disorientation in her own home. Alzheimer also described the presence of severe language disturbances and apraxia. She died four and half years after the disease onset and post-mortem examination revealed an atrophic brain with neurofibrillary pathology and unusual deposits in the cortex. Nowadays these features are recognized as typical for AD and this pathology can occur at younger and older age 2,3 . AD is the most common form of degenerative dementia at older and youn…","author":[{"dropping-particle":"","family":"Koedam","given":"E L G E","non-dropping-particle":"","parse-names":false,"suffix":""},{"dropping-particle":"","family":"Lauffer","given":"V","non-dropping-particle":"","parse-names":false,"suffix":""},{"dropping-particle":"","family":"Vlies","given":"A E","non-dropping-particle":"Van Der","parse-names":false,"suffix":""},{"dropping-particle":"","family":"Flier","given":"W M","non-dropping-particle":"Van Der","parse-names":false,"suffix":""},{"dropping-particle":"","family":"Scheltens","given":"P","non-dropping-particle":"","parse-names":false,"suffix":""},{"dropping-particle":"","family":"Pijnenburg","given":"Y A L","non-dropping-particle":"","parse-names":false,"suffix":""}],"container-title":"Journal of Alzheimer's Disease","id":"ITEM-2","issue":"4","issued":{"date-parts":[["2010"]]},"page":"1401-1408","title":"Early-versus late-onset Alzheimer's disease: more than age alone","type":"article-journal","volume":"19"},"uris":["http://www.mendeley.com/documents/?uuid=0db557d6-65f2-4f18-9298-440c62af39b6"]},{"id":"ITEM-3","itemData":{"DOI":"10.1212/01.wnl.0000196477.78548.db","ISBN":"0028-3878","ISSN":"00283878","PMID":"16476930","abstract":"Posterior cortical atrophy (PCA) is a progressive dementia characterized by prominent disorders of higher visual processing, affecting both dorsal and ventral streams to cause Balint’s syndrome, alexia, and visual agnosia. Objective: To define the cognitive profile of PCA and compare to the typical, primary amnestic dementia of the Alzheimer’s type (DAT). Methods: The authors used standard cognitive tests and a novel battery designed to reflect dysfunction in both ventral (Object, Face &amp; Color Agnosia Screen [OFCAS]) and dorsal (complex pictures and compound stimuli) visual streams. The authors identified 19 patients with PCA and compared their performance to a matched group of patients with DAT and normal controls. Results: Patients with PCA were younger with marked impairment in visuospatial tasks, reading, and writing but relative preservation of memory compared to DAT using standard tests. Dorsal stream signs were most prevalent among the patients with PCA with no pure ventral stream syndromes found. All novel tests distinguished reliably between subjects with complex picture descriptions and processing of compound stimuli showing the most significant differences compared to DAT. Conclusions: PCA is predominantly a dorsal stream syndrome, distinct from typical DAT, which involves occipitotemporal regions over time.","author":[{"dropping-particle":"","family":"McMonagle","given":"Paul","non-dropping-particle":"","parse-names":false,"suffix":""},{"dropping-particle":"","family":"Deering","given":"Fiona","non-dropping-particle":"","parse-names":false,"suffix":""},{"dropping-particle":"","family":"Berliner","given":"Yaniv","non-dropping-particle":"","parse-names":false,"suffix":""},{"dropping-particle":"","family":"Kertesz","given":"Andrew","non-dropping-particle":"","parse-names":false,"suffix":""}],"container-title":"Neurology","id":"ITEM-3","issue":"3","issued":{"date-parts":[["2006"]]},"page":"331-338","title":"The cognitive profile of posterior cortical atrophy","type":"article-journal","volume":"66"},"uris":["http://www.mendeley.com/documents/?uuid=9724daa0-70b8-4fc2-b2aa-0f76df45294a"]}],"mendeley":{"formattedCitation":"[&lt;i&gt;24&lt;/i&gt;,&lt;i&gt;31&lt;/i&gt;,&lt;i&gt;32&lt;/i&gt;]","plainTextFormattedCitation":"[24,31,32]","previouslyFormattedCitation":"[24,31,32]"},"properties":{"noteIndex":0},"schema":"https://github.com/citation-style-language/schema/raw/master/csl-citation.json"}</w:instrText>
      </w:r>
      <w:r w:rsidR="00CA3EED" w:rsidRPr="0073172D">
        <w:rPr>
          <w:rFonts w:asciiTheme="minorHAnsi" w:hAnsiTheme="minorHAnsi" w:cstheme="minorHAnsi"/>
          <w:sz w:val="24"/>
          <w:lang w:eastAsia="en-GB"/>
        </w:rPr>
        <w:fldChar w:fldCharType="separate"/>
      </w:r>
      <w:r w:rsidR="00D902A8" w:rsidRPr="0073172D">
        <w:rPr>
          <w:rFonts w:asciiTheme="minorHAnsi" w:hAnsiTheme="minorHAnsi" w:cstheme="minorHAnsi"/>
          <w:noProof/>
          <w:sz w:val="24"/>
          <w:lang w:eastAsia="en-GB"/>
        </w:rPr>
        <w:t>[</w:t>
      </w:r>
      <w:r w:rsidR="00D902A8" w:rsidRPr="0073172D">
        <w:rPr>
          <w:rFonts w:asciiTheme="minorHAnsi" w:hAnsiTheme="minorHAnsi" w:cstheme="minorHAnsi"/>
          <w:i/>
          <w:noProof/>
          <w:sz w:val="24"/>
          <w:lang w:eastAsia="en-GB"/>
        </w:rPr>
        <w:t>24</w:t>
      </w:r>
      <w:r w:rsidR="00D902A8" w:rsidRPr="0073172D">
        <w:rPr>
          <w:rFonts w:asciiTheme="minorHAnsi" w:hAnsiTheme="minorHAnsi" w:cstheme="minorHAnsi"/>
          <w:noProof/>
          <w:sz w:val="24"/>
          <w:lang w:eastAsia="en-GB"/>
        </w:rPr>
        <w:t>,</w:t>
      </w:r>
      <w:r w:rsidR="00D902A8" w:rsidRPr="0073172D">
        <w:rPr>
          <w:rFonts w:asciiTheme="minorHAnsi" w:hAnsiTheme="minorHAnsi" w:cstheme="minorHAnsi"/>
          <w:i/>
          <w:noProof/>
          <w:sz w:val="24"/>
          <w:lang w:eastAsia="en-GB"/>
        </w:rPr>
        <w:t>31</w:t>
      </w:r>
      <w:r w:rsidR="00D902A8" w:rsidRPr="0073172D">
        <w:rPr>
          <w:rFonts w:asciiTheme="minorHAnsi" w:hAnsiTheme="minorHAnsi" w:cstheme="minorHAnsi"/>
          <w:noProof/>
          <w:sz w:val="24"/>
          <w:lang w:eastAsia="en-GB"/>
        </w:rPr>
        <w:t>,</w:t>
      </w:r>
      <w:r w:rsidR="00D902A8" w:rsidRPr="0073172D">
        <w:rPr>
          <w:rFonts w:asciiTheme="minorHAnsi" w:hAnsiTheme="minorHAnsi" w:cstheme="minorHAnsi"/>
          <w:i/>
          <w:noProof/>
          <w:sz w:val="24"/>
          <w:lang w:eastAsia="en-GB"/>
        </w:rPr>
        <w:t>32</w:t>
      </w:r>
      <w:r w:rsidR="00D902A8" w:rsidRPr="0073172D">
        <w:rPr>
          <w:rFonts w:asciiTheme="minorHAnsi" w:hAnsiTheme="minorHAnsi" w:cstheme="minorHAnsi"/>
          <w:noProof/>
          <w:sz w:val="24"/>
          <w:lang w:eastAsia="en-GB"/>
        </w:rPr>
        <w:t>]</w:t>
      </w:r>
      <w:r w:rsidR="00CA3EED" w:rsidRPr="0073172D">
        <w:rPr>
          <w:rFonts w:asciiTheme="minorHAnsi" w:hAnsiTheme="minorHAnsi" w:cstheme="minorHAnsi"/>
          <w:sz w:val="24"/>
          <w:lang w:eastAsia="en-GB"/>
        </w:rPr>
        <w:fldChar w:fldCharType="end"/>
      </w:r>
      <w:r w:rsidR="003654AE" w:rsidRPr="0073172D">
        <w:rPr>
          <w:rFonts w:asciiTheme="minorHAnsi" w:hAnsiTheme="minorHAnsi" w:cstheme="minorHAnsi"/>
          <w:sz w:val="24"/>
          <w:lang w:eastAsia="en-GB"/>
        </w:rPr>
        <w:t>,</w:t>
      </w:r>
      <w:r w:rsidRPr="0073172D">
        <w:rPr>
          <w:rFonts w:asciiTheme="minorHAnsi" w:hAnsiTheme="minorHAnsi" w:cstheme="minorHAnsi"/>
          <w:sz w:val="24"/>
          <w:lang w:eastAsia="en-GB"/>
        </w:rPr>
        <w:t xml:space="preserve"> </w:t>
      </w:r>
      <w:r w:rsidR="003654AE" w:rsidRPr="0073172D">
        <w:rPr>
          <w:rFonts w:asciiTheme="minorHAnsi" w:hAnsiTheme="minorHAnsi" w:cstheme="minorHAnsi"/>
          <w:sz w:val="24"/>
          <w:lang w:eastAsia="en-GB"/>
        </w:rPr>
        <w:t xml:space="preserve">making AD </w:t>
      </w:r>
      <w:r w:rsidRPr="0073172D">
        <w:rPr>
          <w:rFonts w:asciiTheme="minorHAnsi" w:hAnsiTheme="minorHAnsi" w:cstheme="minorHAnsi"/>
          <w:sz w:val="24"/>
          <w:lang w:eastAsia="en-GB"/>
        </w:rPr>
        <w:t xml:space="preserve">difficult to distinguish from FTD in the early stages of the disease when </w:t>
      </w:r>
      <w:r w:rsidR="006C66F4" w:rsidRPr="0073172D">
        <w:rPr>
          <w:rFonts w:asciiTheme="minorHAnsi" w:hAnsiTheme="minorHAnsi" w:cstheme="minorHAnsi"/>
          <w:sz w:val="24"/>
          <w:lang w:eastAsia="en-GB"/>
        </w:rPr>
        <w:t>regional</w:t>
      </w:r>
      <w:r w:rsidRPr="0073172D">
        <w:rPr>
          <w:rFonts w:asciiTheme="minorHAnsi" w:hAnsiTheme="minorHAnsi" w:cstheme="minorHAnsi"/>
          <w:sz w:val="24"/>
          <w:lang w:eastAsia="en-GB"/>
        </w:rPr>
        <w:t xml:space="preserve"> atrophy </w:t>
      </w:r>
      <w:r w:rsidR="00180806" w:rsidRPr="0073172D">
        <w:rPr>
          <w:rFonts w:asciiTheme="minorHAnsi" w:hAnsiTheme="minorHAnsi" w:cstheme="minorHAnsi"/>
          <w:sz w:val="24"/>
          <w:lang w:eastAsia="en-GB"/>
        </w:rPr>
        <w:t>may not be</w:t>
      </w:r>
      <w:r w:rsidR="008351B6" w:rsidRPr="0073172D">
        <w:rPr>
          <w:rFonts w:asciiTheme="minorHAnsi" w:hAnsiTheme="minorHAnsi" w:cstheme="minorHAnsi"/>
          <w:sz w:val="24"/>
          <w:lang w:eastAsia="en-GB"/>
        </w:rPr>
        <w:t xml:space="preserve"> present </w:t>
      </w:r>
      <w:r w:rsidR="00CA3EED" w:rsidRPr="0073172D">
        <w:rPr>
          <w:rFonts w:asciiTheme="minorHAnsi" w:hAnsiTheme="minorHAnsi" w:cstheme="minorHAnsi"/>
          <w:sz w:val="24"/>
          <w:lang w:eastAsia="en-GB"/>
        </w:rPr>
        <w:fldChar w:fldCharType="begin" w:fldLock="1"/>
      </w:r>
      <w:r w:rsidR="00D902A8" w:rsidRPr="0073172D">
        <w:rPr>
          <w:rFonts w:asciiTheme="minorHAnsi" w:hAnsiTheme="minorHAnsi" w:cstheme="minorHAnsi"/>
          <w:sz w:val="24"/>
          <w:lang w:eastAsia="en-GB"/>
        </w:rPr>
        <w:instrText>ADDIN CSL_CITATION {"citationItems":[{"id":"ITEM-1","itemData":{"DOI":"10.1159/000095128","ISBN":"1420-8008 (Print)\\n1420-8008 (Linking)","ISSN":"14208008","PMID":"16914925","abstract":"OBJECTIVES: Frontotemporal dementia (FTD), the second commonest degenerative cause of dementia under the age of 65, often presents with striking changes in behaviour and personality in association with frontal lobe atrophy. Based on the behavioural changes observed in FTD, it is commonly assumed that the orbitofrontal cortex is the earliest and most severely affected frontal sub-region. However, evidence to support this assumption has to date been largely lacking. METHODS: Using a novel volumetric MRI method, we performed a detailed volumetric analysis of six frontal regions in 12 subjects with the frontal or behavioural variant of FTD (fvFTD) and 12 age-, education- and sex-matched normal controls. The regions studied were: the orbitofrontal and insula regions (representing the orbitobasal cortex); the inferior and middle frontal regions (representing the dorsolateral prefrontal areas); and the superior frontal and anterior cingulate regions (representing the medial prefrontal areas). RESULTS: As a group, the fvFTD patients showed atrophy involving all six regions. We then segregated the 12 patients into three sub-groups according to their overall degree of atrophy. In the mildest group (n = 3) all regions fell within 2 standard deviations of normal. In the intermediate group (n = 6) only the orbitofrontal region (bilaterally) fell clearly outside the control range (&gt;2 z scores below the control mean); the next most atrophic region in this group was the right insular region. The severe group (n = 3) had generalized atrophy throughout the frontal regions measured. CONCLUSIONS: In conclusion, patients with the earliest stages of fvFTD show no significant loss of volume in any frontal lobe area as measured by a novel MRI volumetric technique. When volume loss does occur, changes are initially seen in the orbitofrontal cortex before atrophy becomes more widespread. These results provide some partial support for the often-quoted assumption that the orbitofrontal cortex is the locus of earliest pathology in fvFTD, although these findings must be regarded as preliminary in view of the small numbers of patients involved.","author":[{"dropping-particle":"","family":"Perry","given":"Richard J.","non-dropping-particle":"","parse-names":false,"suffix":""},{"dropping-particle":"","family":"Graham","given":"Andrew","non-dropping-particle":"","parse-names":false,"suffix":""},{"dropping-particle":"","family":"Williams","given":"Guy","non-dropping-particle":"","parse-names":false,"suffix":""},{"dropping-particle":"","family":"Rosen","given":"Howard","non-dropping-particle":"","parse-names":false,"suffix":""},{"dropping-particle":"","family":"Erzinçlioglu","given":"Sharon","non-dropping-particle":"","parse-names":false,"suffix":""},{"dropping-particle":"","family":"Weiner","given":"Mike","non-dropping-particle":"","parse-names":false,"suffix":""},{"dropping-particle":"","family":"Miller","given":"Bruce","non-dropping-particle":"","parse-names":false,"suffix":""},{"dropping-particle":"","family":"Hodges","given":"John","non-dropping-particle":"","parse-names":false,"suffix":""}],"container-title":"Dementia and Geriatric Cognitive Disorders","id":"ITEM-1","issue":"4","issued":{"date-parts":[["2006"]]},"page":"278-287","title":"Patterns of frontal lobe atrophy in frontotemporal dementia: A volumetric MRI study","type":"article-journal","volume":"22"},"uris":["http://www.mendeley.com/documents/?uuid=a70c7b69-e715-466b-bcac-289e5e15a46a"]}],"mendeley":{"formattedCitation":"[&lt;i&gt;33&lt;/i&gt;]","plainTextFormattedCitation":"[33]","previouslyFormattedCitation":"[33]"},"properties":{"noteIndex":0},"schema":"https://github.com/citation-style-language/schema/raw/master/csl-citation.json"}</w:instrText>
      </w:r>
      <w:r w:rsidR="00CA3EED" w:rsidRPr="0073172D">
        <w:rPr>
          <w:rFonts w:asciiTheme="minorHAnsi" w:hAnsiTheme="minorHAnsi" w:cstheme="minorHAnsi"/>
          <w:sz w:val="24"/>
          <w:lang w:eastAsia="en-GB"/>
        </w:rPr>
        <w:fldChar w:fldCharType="separate"/>
      </w:r>
      <w:r w:rsidR="00D902A8" w:rsidRPr="0073172D">
        <w:rPr>
          <w:rFonts w:asciiTheme="minorHAnsi" w:hAnsiTheme="minorHAnsi" w:cstheme="minorHAnsi"/>
          <w:noProof/>
          <w:sz w:val="24"/>
          <w:lang w:eastAsia="en-GB"/>
        </w:rPr>
        <w:t>[</w:t>
      </w:r>
      <w:r w:rsidR="00D902A8" w:rsidRPr="0073172D">
        <w:rPr>
          <w:rFonts w:asciiTheme="minorHAnsi" w:hAnsiTheme="minorHAnsi" w:cstheme="minorHAnsi"/>
          <w:i/>
          <w:noProof/>
          <w:sz w:val="24"/>
          <w:lang w:eastAsia="en-GB"/>
        </w:rPr>
        <w:t>33</w:t>
      </w:r>
      <w:r w:rsidR="00D902A8" w:rsidRPr="0073172D">
        <w:rPr>
          <w:rFonts w:asciiTheme="minorHAnsi" w:hAnsiTheme="minorHAnsi" w:cstheme="minorHAnsi"/>
          <w:noProof/>
          <w:sz w:val="24"/>
          <w:lang w:eastAsia="en-GB"/>
        </w:rPr>
        <w:t>]</w:t>
      </w:r>
      <w:r w:rsidR="00CA3EED" w:rsidRPr="0073172D">
        <w:rPr>
          <w:rFonts w:asciiTheme="minorHAnsi" w:hAnsiTheme="minorHAnsi" w:cstheme="minorHAnsi"/>
          <w:sz w:val="24"/>
          <w:lang w:eastAsia="en-GB"/>
        </w:rPr>
        <w:fldChar w:fldCharType="end"/>
      </w:r>
      <w:r w:rsidRPr="0073172D">
        <w:rPr>
          <w:rFonts w:asciiTheme="minorHAnsi" w:hAnsiTheme="minorHAnsi" w:cstheme="minorHAnsi"/>
          <w:sz w:val="24"/>
          <w:lang w:eastAsia="en-GB"/>
        </w:rPr>
        <w:t xml:space="preserve">. </w:t>
      </w:r>
      <w:r w:rsidR="00145874" w:rsidRPr="0073172D">
        <w:rPr>
          <w:rFonts w:asciiTheme="minorHAnsi" w:hAnsiTheme="minorHAnsi" w:cstheme="minorHAnsi"/>
          <w:sz w:val="24"/>
          <w:lang w:eastAsia="en-GB"/>
        </w:rPr>
        <w:t>P</w:t>
      </w:r>
      <w:r w:rsidR="001A4CC1" w:rsidRPr="0073172D">
        <w:rPr>
          <w:rFonts w:asciiTheme="minorHAnsi" w:hAnsiTheme="minorHAnsi" w:cstheme="minorHAnsi"/>
          <w:sz w:val="24"/>
          <w:lang w:eastAsia="en-GB"/>
        </w:rPr>
        <w:t>henocopy syndrome</w:t>
      </w:r>
      <w:r w:rsidR="00145874" w:rsidRPr="0073172D">
        <w:rPr>
          <w:rFonts w:asciiTheme="minorHAnsi" w:hAnsiTheme="minorHAnsi" w:cstheme="minorHAnsi"/>
          <w:sz w:val="24"/>
          <w:lang w:eastAsia="en-GB"/>
        </w:rPr>
        <w:t xml:space="preserve"> of</w:t>
      </w:r>
      <w:r w:rsidR="00FA4FC7" w:rsidRPr="0073172D">
        <w:rPr>
          <w:rFonts w:asciiTheme="minorHAnsi" w:hAnsiTheme="minorHAnsi" w:cstheme="minorHAnsi"/>
          <w:sz w:val="24"/>
          <w:lang w:eastAsia="en-GB"/>
        </w:rPr>
        <w:t xml:space="preserve"> behavioural variant</w:t>
      </w:r>
      <w:r w:rsidR="00145874" w:rsidRPr="0073172D">
        <w:rPr>
          <w:rFonts w:asciiTheme="minorHAnsi" w:hAnsiTheme="minorHAnsi" w:cstheme="minorHAnsi"/>
          <w:sz w:val="24"/>
          <w:lang w:eastAsia="en-GB"/>
        </w:rPr>
        <w:t xml:space="preserve"> FTD, where patients</w:t>
      </w:r>
      <w:r w:rsidR="001A4CC1" w:rsidRPr="0073172D">
        <w:rPr>
          <w:rFonts w:asciiTheme="minorHAnsi" w:hAnsiTheme="minorHAnsi" w:cstheme="minorHAnsi"/>
          <w:sz w:val="24"/>
          <w:lang w:eastAsia="en-GB"/>
        </w:rPr>
        <w:t xml:space="preserve"> present with behavioural and cognitive symptoms </w:t>
      </w:r>
      <w:r w:rsidR="00145874" w:rsidRPr="0073172D">
        <w:rPr>
          <w:rFonts w:asciiTheme="minorHAnsi" w:hAnsiTheme="minorHAnsi" w:cstheme="minorHAnsi"/>
          <w:sz w:val="24"/>
          <w:lang w:eastAsia="en-GB"/>
        </w:rPr>
        <w:t xml:space="preserve">that fulfil the ‘possible’ diagnosis criteria </w:t>
      </w:r>
      <w:r w:rsidR="00AB6315" w:rsidRPr="0073172D">
        <w:rPr>
          <w:rFonts w:asciiTheme="minorHAnsi" w:hAnsiTheme="minorHAnsi" w:cstheme="minorHAnsi"/>
          <w:sz w:val="24"/>
          <w:lang w:eastAsia="en-GB"/>
        </w:rPr>
        <w:t>but</w:t>
      </w:r>
      <w:r w:rsidR="00145874" w:rsidRPr="0073172D">
        <w:rPr>
          <w:rFonts w:asciiTheme="minorHAnsi" w:hAnsiTheme="minorHAnsi" w:cstheme="minorHAnsi"/>
          <w:sz w:val="24"/>
          <w:lang w:eastAsia="en-GB"/>
        </w:rPr>
        <w:t xml:space="preserve"> show no functional</w:t>
      </w:r>
      <w:r w:rsidR="001A4CC1" w:rsidRPr="0073172D">
        <w:rPr>
          <w:rFonts w:asciiTheme="minorHAnsi" w:hAnsiTheme="minorHAnsi" w:cstheme="minorHAnsi"/>
          <w:sz w:val="24"/>
          <w:lang w:eastAsia="en-GB"/>
        </w:rPr>
        <w:t xml:space="preserve"> decline, can further confuse diagnosis</w:t>
      </w:r>
      <w:r w:rsidR="00E86591" w:rsidRPr="0073172D">
        <w:rPr>
          <w:rFonts w:asciiTheme="minorHAnsi" w:hAnsiTheme="minorHAnsi" w:cstheme="minorHAnsi"/>
          <w:sz w:val="24"/>
          <w:lang w:eastAsia="en-GB"/>
        </w:rPr>
        <w:t xml:space="preserve"> </w:t>
      </w:r>
      <w:r w:rsidR="00CA3EED" w:rsidRPr="0073172D">
        <w:rPr>
          <w:rFonts w:asciiTheme="minorHAnsi" w:hAnsiTheme="minorHAnsi" w:cstheme="minorHAnsi"/>
          <w:sz w:val="24"/>
          <w:lang w:eastAsia="en-GB"/>
        </w:rPr>
        <w:fldChar w:fldCharType="begin" w:fldLock="1"/>
      </w:r>
      <w:r w:rsidR="00D902A8" w:rsidRPr="0073172D">
        <w:rPr>
          <w:rFonts w:asciiTheme="minorHAnsi" w:hAnsiTheme="minorHAnsi" w:cstheme="minorHAnsi"/>
          <w:sz w:val="24"/>
          <w:lang w:eastAsia="en-GB"/>
        </w:rPr>
        <w:instrText>ADDIN CSL_CITATION {"citationItems":[{"id":"ITEM-1","itemData":{"DOI":"10.1136/jnnp-2014-308284","ISBN":"1468-330X (Electronic)\\r0022-3050 (Linking)","ISSN":"1468330X","PMID":"25618904","abstract":"INTRODUCTION The frontotemporal dementia (FTD) consortium criteria (2011) emphasise the importance of distinguishing possible and probable behavioural variant FTD (bvFTD). A significant number of possible patients with bvFTD do not show functional decline and remain with normal neuroimaging over time, thus exhibiting the bvFTD phenocopy syndrome. A neurodegenerative nature is unlikely but an alternative explanation is missing. Our aim was to detect psychiatric conditions underlying the bvFTD phenocopy syndrome after extensive evaluation. METHODS We included patients with the bvFTD phenocopy syndrome whereby patients with probable bvFTD served as a control group. Patients had to have undergone both neurological and psychiatric evaluation. Their charts were reviewed retrospectively. Using both qualitative and quantitative methods, psychiatric and psychological conditions associated with the clinical syndrome were determined in both groups and their relative frequencies were compared. RESULTS Of 181 suspected bvFTD cases, 33 patients with bvFTD phenocopy syndrome and 19 with probable bvFTD were included. Recent life events, relationship problems and cluster C personality traits were the most prevalent psychiatric/psychological conditions. The frequency of these conditions was higher in the group of patients with the bvFTD phenocopy syndrome (n=28) compared to the probable bvFTD group (n=9) (χ(2) p&lt;0.05). CONCLUSIONS This is the first study thoroughly exploring psychiatric causes of the bvFTD phenocopy syndrome, revealing that in most cases multiple factors played a contributory role. Our study gives arguments for neurological and psychiatric collaboration when diagnosing bvFTD. Prompt diagnosis of treatable psychiatric conditions is to be gained.","author":[{"dropping-particle":"","family":"Gossink","given":"F. T.","non-dropping-particle":"","parse-names":false,"suffix":""},{"dropping-particle":"","family":"Dols","given":"A.","non-dropping-particle":"","parse-names":false,"suffix":""},{"dropping-particle":"","family":"Kerssens","given":"C. J.","non-dropping-particle":"","parse-names":false,"suffix":""},{"dropping-particle":"","family":"Krudop","given":"W. A.","non-dropping-particle":"","parse-names":false,"suffix":""},{"dropping-particle":"","family":"Kerklaan","given":"B. J.","non-dropping-particle":"","parse-names":false,"suffix":""},{"dropping-particle":"","family":"Scheltens","given":"Ph","non-dropping-particle":"","parse-names":false,"suffix":""},{"dropping-particle":"","family":"Stek","given":"M. L.","non-dropping-particle":"","parse-names":false,"suffix":""},{"dropping-particle":"","family":"Pijnenburg","given":"Y. A.L.","non-dropping-particle":"","parse-names":false,"suffix":""}],"container-title":"Journal of Neurology, Neurosurgery and Psychiatry","id":"ITEM-1","issue":"1","issued":{"date-parts":[["2016"]]},"page":"64-68","title":"Psychiatric diagnoses underlying the phenocopy syndrome of behavioural variant frontotemporal dementia","type":"article-journal","volume":"87"},"uris":["http://www.mendeley.com/documents/?uuid=952a3bd6-6c2c-4a18-9bb5-933c169041f8"]},{"id":"ITEM-2","itemData":{"DOI":"10.1016/S1474-4422(10)70299-4","ISBN":"1474-4465 (Electronic)\\r1474-4422 (Linking)","ISSN":"14744422","PMID":"21147039","abstract":"Patients with behavioural-variant frontotemporal dementia (bvFTD) present with insidious changes in personality and interpersonal conduct that indicate progressive disintegration of the neural circuits involved in social cognition, emotion regulation, motivation, and decision making. The underlying pathological changes are heterogeneous and are characterised by various intraneuronal inclusions. Biomarkers to detect these histopathological changes in life are becoming increasingly important with the development of disease-modifying drugs. Gene mutations have been found that collectively account for around 10-20% of cases. Recently, criteria proposed for bvFTD define three levels of diagnostic certainty: possible, probable, and definite. Detailed history taking from family members to elicit behavioural features underpins the diagnostic process, with support from neuropsychological testing designed to detect impairment in decision making, emotion processing, and social cognition. Brain imaging is important for increasing the level of diagnostic certainty. A recently developed staging instrument shows much promise for monitoring patients and evaluating therapies, which at present are aimed at symptom amelioration. Carer education and support remain of paramount importance. © 2011 Elsevier Ltd.","author":[{"dropping-particle":"","family":"Piguet","given":"Olivier","non-dropping-particle":"","parse-names":false,"suffix":""},{"dropping-particle":"","family":"Hornberger","given":"Michael","non-dropping-particle":"","parse-names":false,"suffix":""},{"dropping-particle":"","family":"Mioshi","given":"Eneida","non-dropping-particle":"","parse-names":false,"suffix":""},{"dropping-particle":"","family":"Hodges","given":"John R.","non-dropping-particle":"","parse-names":false,"suffix":""}],"container-title":"The Lancet Neurology","id":"ITEM-2","issue":"2","issued":{"date-parts":[["2011"]]},"page":"162-172","publisher":"Elsevier Ltd","title":"Behavioural-variant frontotemporal dementia: Diagnosis, clinical staging, and management","type":"article-journal","volume":"10"},"uris":["http://www.mendeley.com/documents/?uuid=845add0b-5452-4f9d-8b14-0bcbdb1e9015"]}],"mendeley":{"formattedCitation":"[&lt;i&gt;34&lt;/i&gt;,&lt;i&gt;35&lt;/i&gt;]","plainTextFormattedCitation":"[34,35]","previouslyFormattedCitation":"[34,35]"},"properties":{"noteIndex":0},"schema":"https://github.com/citation-style-language/schema/raw/master/csl-citation.json"}</w:instrText>
      </w:r>
      <w:r w:rsidR="00CA3EED" w:rsidRPr="0073172D">
        <w:rPr>
          <w:rFonts w:asciiTheme="minorHAnsi" w:hAnsiTheme="minorHAnsi" w:cstheme="minorHAnsi"/>
          <w:sz w:val="24"/>
          <w:lang w:eastAsia="en-GB"/>
        </w:rPr>
        <w:fldChar w:fldCharType="separate"/>
      </w:r>
      <w:r w:rsidR="00D902A8" w:rsidRPr="0073172D">
        <w:rPr>
          <w:rFonts w:asciiTheme="minorHAnsi" w:hAnsiTheme="minorHAnsi" w:cstheme="minorHAnsi"/>
          <w:noProof/>
          <w:sz w:val="24"/>
          <w:lang w:eastAsia="en-GB"/>
        </w:rPr>
        <w:t>[</w:t>
      </w:r>
      <w:r w:rsidR="00D902A8" w:rsidRPr="0073172D">
        <w:rPr>
          <w:rFonts w:asciiTheme="minorHAnsi" w:hAnsiTheme="minorHAnsi" w:cstheme="minorHAnsi"/>
          <w:i/>
          <w:noProof/>
          <w:sz w:val="24"/>
          <w:lang w:eastAsia="en-GB"/>
        </w:rPr>
        <w:t>34</w:t>
      </w:r>
      <w:r w:rsidR="00D902A8" w:rsidRPr="0073172D">
        <w:rPr>
          <w:rFonts w:asciiTheme="minorHAnsi" w:hAnsiTheme="minorHAnsi" w:cstheme="minorHAnsi"/>
          <w:noProof/>
          <w:sz w:val="24"/>
          <w:lang w:eastAsia="en-GB"/>
        </w:rPr>
        <w:t>,</w:t>
      </w:r>
      <w:r w:rsidR="00D902A8" w:rsidRPr="0073172D">
        <w:rPr>
          <w:rFonts w:asciiTheme="minorHAnsi" w:hAnsiTheme="minorHAnsi" w:cstheme="minorHAnsi"/>
          <w:i/>
          <w:noProof/>
          <w:sz w:val="24"/>
          <w:lang w:eastAsia="en-GB"/>
        </w:rPr>
        <w:t>35</w:t>
      </w:r>
      <w:r w:rsidR="00D902A8" w:rsidRPr="0073172D">
        <w:rPr>
          <w:rFonts w:asciiTheme="minorHAnsi" w:hAnsiTheme="minorHAnsi" w:cstheme="minorHAnsi"/>
          <w:noProof/>
          <w:sz w:val="24"/>
          <w:lang w:eastAsia="en-GB"/>
        </w:rPr>
        <w:t>]</w:t>
      </w:r>
      <w:r w:rsidR="00CA3EED" w:rsidRPr="0073172D">
        <w:rPr>
          <w:rFonts w:asciiTheme="minorHAnsi" w:hAnsiTheme="minorHAnsi" w:cstheme="minorHAnsi"/>
          <w:sz w:val="24"/>
          <w:lang w:eastAsia="en-GB"/>
        </w:rPr>
        <w:fldChar w:fldCharType="end"/>
      </w:r>
      <w:r w:rsidR="00E86591" w:rsidRPr="0073172D">
        <w:rPr>
          <w:rFonts w:asciiTheme="minorHAnsi" w:hAnsiTheme="minorHAnsi" w:cstheme="minorHAnsi"/>
          <w:sz w:val="24"/>
          <w:lang w:eastAsia="en-GB"/>
        </w:rPr>
        <w:t>.</w:t>
      </w:r>
      <w:r w:rsidR="001A4CC1" w:rsidRPr="0073172D">
        <w:rPr>
          <w:rFonts w:asciiTheme="minorHAnsi" w:hAnsiTheme="minorHAnsi" w:cstheme="minorHAnsi"/>
          <w:sz w:val="24"/>
          <w:lang w:eastAsia="en-GB"/>
        </w:rPr>
        <w:t xml:space="preserve"> </w:t>
      </w:r>
    </w:p>
    <w:p w14:paraId="4C02FA07" w14:textId="77777777" w:rsidR="001A4CC1" w:rsidRPr="0073172D" w:rsidRDefault="00145874" w:rsidP="003A3A37">
      <w:pPr>
        <w:keepNext w:val="0"/>
        <w:keepLines w:val="0"/>
        <w:spacing w:line="480" w:lineRule="auto"/>
        <w:rPr>
          <w:rFonts w:asciiTheme="minorHAnsi" w:hAnsiTheme="minorHAnsi" w:cstheme="minorHAnsi"/>
          <w:sz w:val="24"/>
          <w:lang w:eastAsia="en-GB"/>
        </w:rPr>
      </w:pPr>
      <w:r w:rsidRPr="0073172D">
        <w:rPr>
          <w:rFonts w:asciiTheme="minorHAnsi" w:hAnsiTheme="minorHAnsi" w:cstheme="minorHAnsi"/>
          <w:sz w:val="24"/>
          <w:lang w:eastAsia="en-GB"/>
        </w:rPr>
        <w:t>Although</w:t>
      </w:r>
      <w:r w:rsidR="001A4CC1" w:rsidRPr="0073172D">
        <w:rPr>
          <w:rFonts w:asciiTheme="minorHAnsi" w:hAnsiTheme="minorHAnsi" w:cstheme="minorHAnsi"/>
          <w:sz w:val="24"/>
          <w:lang w:eastAsia="en-GB"/>
        </w:rPr>
        <w:t xml:space="preserve"> there was a large conflict between pre-imaging diagnosis and SPECT results, clinicians tended to align their diagnosis with the imaging. When perfusion SPECT disagreed with original diagnosis, diagnosis changed in over two thirds of individuals. When it agreed, diagnosis remained stable in all but one case. </w:t>
      </w:r>
      <w:r w:rsidR="00376B20" w:rsidRPr="0073172D">
        <w:rPr>
          <w:rFonts w:asciiTheme="minorHAnsi" w:hAnsiTheme="minorHAnsi" w:cstheme="minorHAnsi"/>
          <w:sz w:val="24"/>
          <w:lang w:eastAsia="en-GB"/>
        </w:rPr>
        <w:t xml:space="preserve"> </w:t>
      </w:r>
    </w:p>
    <w:p w14:paraId="293EB636" w14:textId="58CE0F83" w:rsidR="009045EB" w:rsidRPr="0073172D" w:rsidRDefault="003C2E02" w:rsidP="003A3A37">
      <w:pPr>
        <w:keepNext w:val="0"/>
        <w:keepLines w:val="0"/>
        <w:spacing w:line="480" w:lineRule="auto"/>
        <w:rPr>
          <w:rFonts w:asciiTheme="minorHAnsi" w:hAnsiTheme="minorHAnsi" w:cstheme="minorHAnsi"/>
          <w:sz w:val="24"/>
          <w:lang w:eastAsia="en-GB"/>
        </w:rPr>
      </w:pPr>
      <w:r w:rsidRPr="0073172D">
        <w:rPr>
          <w:rFonts w:asciiTheme="minorHAnsi" w:hAnsiTheme="minorHAnsi" w:cstheme="minorHAnsi"/>
          <w:sz w:val="24"/>
          <w:lang w:eastAsia="en-GB"/>
        </w:rPr>
        <w:lastRenderedPageBreak/>
        <w:t>We</w:t>
      </w:r>
      <w:r w:rsidR="008C5D97" w:rsidRPr="0073172D">
        <w:rPr>
          <w:rFonts w:asciiTheme="minorHAnsi" w:hAnsiTheme="minorHAnsi" w:cstheme="minorHAnsi"/>
          <w:sz w:val="24"/>
          <w:lang w:eastAsia="en-GB"/>
        </w:rPr>
        <w:t xml:space="preserve"> found that imaging was most effective</w:t>
      </w:r>
      <w:r w:rsidR="005F0103" w:rsidRPr="0073172D">
        <w:rPr>
          <w:rFonts w:asciiTheme="minorHAnsi" w:hAnsiTheme="minorHAnsi" w:cstheme="minorHAnsi"/>
          <w:sz w:val="24"/>
          <w:lang w:eastAsia="en-GB"/>
        </w:rPr>
        <w:t xml:space="preserve"> in aiding </w:t>
      </w:r>
      <w:r w:rsidRPr="0073172D">
        <w:rPr>
          <w:rFonts w:asciiTheme="minorHAnsi" w:hAnsiTheme="minorHAnsi" w:cstheme="minorHAnsi"/>
          <w:sz w:val="24"/>
          <w:lang w:eastAsia="en-GB"/>
        </w:rPr>
        <w:t xml:space="preserve">clinician diagnostic </w:t>
      </w:r>
      <w:r w:rsidR="005F0103" w:rsidRPr="0073172D">
        <w:rPr>
          <w:rFonts w:asciiTheme="minorHAnsi" w:hAnsiTheme="minorHAnsi" w:cstheme="minorHAnsi"/>
          <w:sz w:val="24"/>
          <w:lang w:eastAsia="en-GB"/>
        </w:rPr>
        <w:t>confidence</w:t>
      </w:r>
      <w:r w:rsidR="008C5D97" w:rsidRPr="0073172D">
        <w:rPr>
          <w:rFonts w:asciiTheme="minorHAnsi" w:hAnsiTheme="minorHAnsi" w:cstheme="minorHAnsi"/>
          <w:sz w:val="24"/>
          <w:lang w:eastAsia="en-GB"/>
        </w:rPr>
        <w:t xml:space="preserve"> when </w:t>
      </w:r>
      <w:r w:rsidR="00B01388" w:rsidRPr="0073172D">
        <w:rPr>
          <w:rFonts w:asciiTheme="minorHAnsi" w:hAnsiTheme="minorHAnsi" w:cstheme="minorHAnsi"/>
          <w:sz w:val="24"/>
          <w:lang w:eastAsia="en-GB"/>
        </w:rPr>
        <w:t>there wa</w:t>
      </w:r>
      <w:r w:rsidR="005F0103" w:rsidRPr="0073172D">
        <w:rPr>
          <w:rFonts w:asciiTheme="minorHAnsi" w:hAnsiTheme="minorHAnsi" w:cstheme="minorHAnsi"/>
          <w:sz w:val="24"/>
          <w:lang w:eastAsia="en-GB"/>
        </w:rPr>
        <w:t>s substantial uncertainty</w:t>
      </w:r>
      <w:r w:rsidR="00841285" w:rsidRPr="0073172D">
        <w:rPr>
          <w:rFonts w:asciiTheme="minorHAnsi" w:hAnsiTheme="minorHAnsi" w:cstheme="minorHAnsi"/>
          <w:sz w:val="24"/>
          <w:lang w:eastAsia="en-GB"/>
        </w:rPr>
        <w:t xml:space="preserve"> (i.e. less than 50% prior confidence)</w:t>
      </w:r>
      <w:r w:rsidR="005F0103" w:rsidRPr="0073172D">
        <w:rPr>
          <w:rFonts w:asciiTheme="minorHAnsi" w:hAnsiTheme="minorHAnsi" w:cstheme="minorHAnsi"/>
          <w:sz w:val="24"/>
          <w:lang w:eastAsia="en-GB"/>
        </w:rPr>
        <w:t>. Similar findings with FDG and amyloid PET imaging</w:t>
      </w:r>
      <w:r w:rsidR="0002027A" w:rsidRPr="0073172D">
        <w:rPr>
          <w:rFonts w:asciiTheme="minorHAnsi" w:hAnsiTheme="minorHAnsi" w:cstheme="minorHAnsi"/>
          <w:sz w:val="24"/>
          <w:lang w:eastAsia="en-GB"/>
        </w:rPr>
        <w:t xml:space="preserve"> </w:t>
      </w:r>
      <w:r w:rsidR="00CA3EED" w:rsidRPr="0073172D">
        <w:rPr>
          <w:rFonts w:asciiTheme="minorHAnsi" w:hAnsiTheme="minorHAnsi" w:cstheme="minorHAnsi"/>
          <w:sz w:val="24"/>
          <w:lang w:eastAsia="en-GB"/>
        </w:rPr>
        <w:fldChar w:fldCharType="begin" w:fldLock="1"/>
      </w:r>
      <w:r w:rsidR="00D902A8" w:rsidRPr="0073172D">
        <w:rPr>
          <w:rFonts w:asciiTheme="minorHAnsi" w:hAnsiTheme="minorHAnsi" w:cstheme="minorHAnsi"/>
          <w:sz w:val="24"/>
          <w:lang w:eastAsia="en-GB"/>
        </w:rPr>
        <w:instrText>ADDIN CSL_CITATION {"citationItems":[{"id":"ITEM-1","itemData":{"DOI":"10.1016/j.jalz.2012.07.003","ISBN":"1552-5279 (Electronic) 1552-5260 (Linking)","ISSN":"1552-5279","PMID":"23164552","abstract":"BACKGROUND: [(11)C]Pittsburgh compound B ([(11)C]PIB) and [(18)F]-2-fluoro-2-deoxy-D-glucose ([(18)F]FDG) PET measure fibrillar amyloid-β load and glucose metabolism, respectively. We evaluated the impact of these tracers on the diagnostic process in a memory clinic population.\\n\\nMETHODS: One hundred fifty-four patients underwent paired dynamic [(11)C]PIB and static [(18)F]FDG PET scans shortly after completing a standard dementia screening. Two-year clinical follow-up data were available for 39 patients. Parametric PET images were assessed visually and results were reported to the neurologists responsible for the initial diagnosis. Outcome measures were (change in) clinical diagnosis and confidence in that diagnosis before and after disclosing PET results.\\n\\nRESULTS: [(11)C]PIB scans were positive in 40 of 66 (61%) patients with a clinical diagnosis of Alzheimer's disease (AD), 5 of 18 (28%) patients with frontotemporal dementia (FTD), 4 of 5 (80%) patients with Lewy body dementia, and 3 of 10 (30%) patients with other dementias. [(18)F]FDG uptake patterns matched the clinical diagnosis in 38 of 66 (58%) of AD patients, and in 6 of 18 (33%) FTD patients. PET results led to a change in diagnosis in 35 (23%) patients. This only occurred when prior diagnostic certainty was &lt;90%. Diagnostic confidence increased from 71 ± 17% before to 87 ± 16% after PET (p &lt; .001). Two-year clinical follow-up (n = 39) showed that [(11)C]PIB and [(18)F]FDG predicted progression to AD for patients with mild cognitive impairment, and that the diagnosis of dementia established after PET remained unchanged in 96% of patients.\\n\\nCONCLUSIONS: In a memory clinic setting, combined [(11)C]PIB and [(18)F]FDG PET are of additional value on top of the standard diagnostic work-up, especially when prior diagnostic confidence is low.","author":[{"dropping-particle":"","family":"Ossenkoppele","given":"Rik","non-dropping-particle":"","parse-names":false,"suffix":""},{"dropping-particle":"","family":"Prins","given":"Niels D","non-dropping-particle":"","parse-names":false,"suffix":""},{"dropping-particle":"","family":"Pijnenburg","given":"Yolande a L","non-dropping-particle":"","parse-names":false,"suffix":""},{"dropping-particle":"","family":"Lemstra","given":"Afina W","non-dropping-particle":"","parse-names":false,"suffix":""},{"dropping-particle":"","family":"Flier","given":"Wiesje M","non-dropping-particle":"van der","parse-names":false,"suffix":""},{"dropping-particle":"","family":"Adriaanse","given":"Sofie F","non-dropping-particle":"","parse-names":false,"suffix":""},{"dropping-particle":"","family":"Windhorst","given":"Albert D","non-dropping-particle":"","parse-names":false,"suffix":""},{"dropping-particle":"","family":"Handels","given":"Ron L H","non-dropping-particle":"","parse-names":false,"suffix":""},{"dropping-particle":"","family":"Wolfs","given":"Claire a G","non-dropping-particle":"","parse-names":false,"suffix":""},{"dropping-particle":"","family":"Aalten","given":"Pauline","non-dropping-particle":"","parse-names":false,"suffix":""},{"dropping-particle":"","family":"Verhey","given":"Frans R J","non-dropping-particle":"","parse-names":false,"suffix":""},{"dropping-particle":"","family":"Verbeek","given":"Marcel M","non-dropping-particle":"","parse-names":false,"suffix":""},{"dropping-particle":"","family":"Buchem","given":"Mark a","non-dropping-particle":"van","parse-names":false,"suffix":""},{"dropping-particle":"","family":"Hoekstra","given":"Otto S","non-dropping-particle":"","parse-names":false,"suffix":""},{"dropping-particle":"","family":"Lammertsma","given":"Adriaan a","non-dropping-particle":"","parse-names":false,"suffix":""},{"dropping-particle":"","family":"Scheltens","given":"Philip","non-dropping-particle":"","parse-names":false,"suffix":""},{"dropping-particle":"","family":"Berckel","given":"Bart N M","non-dropping-particle":"van","parse-names":false,"suffix":""}],"container-title":"Alzheimer's &amp; dementia : the journal of the Alzheimer's Association","id":"ITEM-1","issue":"4","issued":{"date-parts":[["2013"]]},"page":"414-21","publisher":"Elsevier Ltd","title":"Impact of molecular imaging on the diagnostic process in a memory clinic.","type":"article-journal","volume":"9"},"uris":["http://www.mendeley.com/documents/?uuid=5031ceb6-b4c2-4b07-8e04-e53942f7b159"]}],"mendeley":{"formattedCitation":"[&lt;i&gt;22&lt;/i&gt;]","plainTextFormattedCitation":"[22]","previouslyFormattedCitation":"[22]"},"properties":{"noteIndex":0},"schema":"https://github.com/citation-style-language/schema/raw/master/csl-citation.json"}</w:instrText>
      </w:r>
      <w:r w:rsidR="00CA3EED" w:rsidRPr="0073172D">
        <w:rPr>
          <w:rFonts w:asciiTheme="minorHAnsi" w:hAnsiTheme="minorHAnsi" w:cstheme="minorHAnsi"/>
          <w:sz w:val="24"/>
          <w:lang w:eastAsia="en-GB"/>
        </w:rPr>
        <w:fldChar w:fldCharType="separate"/>
      </w:r>
      <w:r w:rsidR="00D902A8" w:rsidRPr="0073172D">
        <w:rPr>
          <w:rFonts w:asciiTheme="minorHAnsi" w:hAnsiTheme="minorHAnsi" w:cstheme="minorHAnsi"/>
          <w:noProof/>
          <w:sz w:val="24"/>
          <w:lang w:eastAsia="en-GB"/>
        </w:rPr>
        <w:t>[</w:t>
      </w:r>
      <w:r w:rsidR="00D902A8" w:rsidRPr="0073172D">
        <w:rPr>
          <w:rFonts w:asciiTheme="minorHAnsi" w:hAnsiTheme="minorHAnsi" w:cstheme="minorHAnsi"/>
          <w:i/>
          <w:noProof/>
          <w:sz w:val="24"/>
          <w:lang w:eastAsia="en-GB"/>
        </w:rPr>
        <w:t>22</w:t>
      </w:r>
      <w:r w:rsidR="00D902A8" w:rsidRPr="0073172D">
        <w:rPr>
          <w:rFonts w:asciiTheme="minorHAnsi" w:hAnsiTheme="minorHAnsi" w:cstheme="minorHAnsi"/>
          <w:noProof/>
          <w:sz w:val="24"/>
          <w:lang w:eastAsia="en-GB"/>
        </w:rPr>
        <w:t>]</w:t>
      </w:r>
      <w:r w:rsidR="00CA3EED" w:rsidRPr="0073172D">
        <w:rPr>
          <w:rFonts w:asciiTheme="minorHAnsi" w:hAnsiTheme="minorHAnsi" w:cstheme="minorHAnsi"/>
          <w:sz w:val="24"/>
          <w:lang w:eastAsia="en-GB"/>
        </w:rPr>
        <w:fldChar w:fldCharType="end"/>
      </w:r>
      <w:r w:rsidR="005F0103" w:rsidRPr="0073172D">
        <w:rPr>
          <w:rFonts w:asciiTheme="minorHAnsi" w:hAnsiTheme="minorHAnsi" w:cstheme="minorHAnsi"/>
          <w:sz w:val="24"/>
          <w:lang w:eastAsia="en-GB"/>
        </w:rPr>
        <w:t xml:space="preserve"> suggest that functional imaging techniques can provide </w:t>
      </w:r>
      <w:r w:rsidR="00014359" w:rsidRPr="0073172D">
        <w:rPr>
          <w:rFonts w:asciiTheme="minorHAnsi" w:hAnsiTheme="minorHAnsi" w:cstheme="minorHAnsi"/>
          <w:sz w:val="24"/>
          <w:lang w:eastAsia="en-GB"/>
        </w:rPr>
        <w:t>information</w:t>
      </w:r>
      <w:r w:rsidR="00D1184D" w:rsidRPr="0073172D">
        <w:rPr>
          <w:rFonts w:asciiTheme="minorHAnsi" w:hAnsiTheme="minorHAnsi" w:cstheme="minorHAnsi"/>
          <w:sz w:val="24"/>
          <w:lang w:eastAsia="en-GB"/>
        </w:rPr>
        <w:t xml:space="preserve"> beyond</w:t>
      </w:r>
      <w:r w:rsidR="00014359" w:rsidRPr="0073172D">
        <w:rPr>
          <w:rFonts w:asciiTheme="minorHAnsi" w:hAnsiTheme="minorHAnsi" w:cstheme="minorHAnsi"/>
          <w:sz w:val="24"/>
          <w:lang w:eastAsia="en-GB"/>
        </w:rPr>
        <w:t xml:space="preserve"> standard diagnostic workup that can aid diagnosis in particularly difficult cases.</w:t>
      </w:r>
      <w:r w:rsidR="005F0103" w:rsidRPr="0073172D">
        <w:rPr>
          <w:rFonts w:asciiTheme="minorHAnsi" w:hAnsiTheme="minorHAnsi" w:cstheme="minorHAnsi"/>
          <w:sz w:val="24"/>
          <w:lang w:eastAsia="en-GB"/>
        </w:rPr>
        <w:t xml:space="preserve"> </w:t>
      </w:r>
      <w:r w:rsidR="00014359" w:rsidRPr="0073172D">
        <w:rPr>
          <w:rFonts w:asciiTheme="minorHAnsi" w:hAnsiTheme="minorHAnsi" w:cstheme="minorHAnsi"/>
          <w:sz w:val="24"/>
          <w:lang w:eastAsia="en-GB"/>
        </w:rPr>
        <w:t>Additionally</w:t>
      </w:r>
      <w:r w:rsidR="008C5D97" w:rsidRPr="0073172D">
        <w:rPr>
          <w:rFonts w:asciiTheme="minorHAnsi" w:hAnsiTheme="minorHAnsi" w:cstheme="minorHAnsi"/>
          <w:sz w:val="24"/>
          <w:lang w:eastAsia="en-GB"/>
        </w:rPr>
        <w:t>, we found that imaging destabilised the confidence of</w:t>
      </w:r>
      <w:r w:rsidR="009045EB" w:rsidRPr="0073172D">
        <w:rPr>
          <w:rFonts w:asciiTheme="minorHAnsi" w:hAnsiTheme="minorHAnsi" w:cstheme="minorHAnsi"/>
          <w:sz w:val="24"/>
          <w:lang w:eastAsia="en-GB"/>
        </w:rPr>
        <w:t xml:space="preserve"> some</w:t>
      </w:r>
      <w:r w:rsidR="008C5D97" w:rsidRPr="0073172D">
        <w:rPr>
          <w:rFonts w:asciiTheme="minorHAnsi" w:hAnsiTheme="minorHAnsi" w:cstheme="minorHAnsi"/>
          <w:sz w:val="24"/>
          <w:lang w:eastAsia="en-GB"/>
        </w:rPr>
        <w:t xml:space="preserve"> clinicians who were very confident pre-imaging</w:t>
      </w:r>
      <w:r w:rsidR="00014359" w:rsidRPr="0073172D">
        <w:rPr>
          <w:rFonts w:asciiTheme="minorHAnsi" w:hAnsiTheme="minorHAnsi" w:cstheme="minorHAnsi"/>
          <w:sz w:val="24"/>
          <w:lang w:eastAsia="en-GB"/>
        </w:rPr>
        <w:t>, with an average decrease in confidence</w:t>
      </w:r>
      <w:r w:rsidR="00A675A8" w:rsidRPr="0073172D">
        <w:rPr>
          <w:rFonts w:asciiTheme="minorHAnsi" w:hAnsiTheme="minorHAnsi" w:cstheme="minorHAnsi"/>
          <w:sz w:val="24"/>
          <w:lang w:eastAsia="en-GB"/>
        </w:rPr>
        <w:t xml:space="preserve"> in this group.</w:t>
      </w:r>
      <w:r w:rsidR="009045EB" w:rsidRPr="0073172D">
        <w:rPr>
          <w:rFonts w:asciiTheme="minorHAnsi" w:hAnsiTheme="minorHAnsi" w:cstheme="minorHAnsi"/>
          <w:sz w:val="24"/>
          <w:lang w:eastAsia="en-GB"/>
        </w:rPr>
        <w:t xml:space="preserve"> </w:t>
      </w:r>
      <w:r w:rsidR="00427AD6" w:rsidRPr="0073172D">
        <w:rPr>
          <w:rFonts w:asciiTheme="minorHAnsi" w:hAnsiTheme="minorHAnsi" w:cstheme="minorHAnsi"/>
          <w:sz w:val="24"/>
          <w:lang w:eastAsia="en-GB"/>
        </w:rPr>
        <w:t>The</w:t>
      </w:r>
      <w:r w:rsidR="00014359" w:rsidRPr="0073172D">
        <w:rPr>
          <w:rFonts w:asciiTheme="minorHAnsi" w:hAnsiTheme="minorHAnsi" w:cstheme="minorHAnsi"/>
          <w:sz w:val="24"/>
          <w:lang w:eastAsia="en-GB"/>
        </w:rPr>
        <w:t xml:space="preserve"> decrease in confidence</w:t>
      </w:r>
      <w:r w:rsidR="00427AD6" w:rsidRPr="0073172D">
        <w:rPr>
          <w:rFonts w:asciiTheme="minorHAnsi" w:hAnsiTheme="minorHAnsi" w:cstheme="minorHAnsi"/>
          <w:sz w:val="24"/>
          <w:lang w:eastAsia="en-GB"/>
        </w:rPr>
        <w:t xml:space="preserve"> for those with high pre-imaging confidence</w:t>
      </w:r>
      <w:r w:rsidR="00014359" w:rsidRPr="0073172D">
        <w:rPr>
          <w:rFonts w:asciiTheme="minorHAnsi" w:hAnsiTheme="minorHAnsi" w:cstheme="minorHAnsi"/>
          <w:sz w:val="24"/>
          <w:lang w:eastAsia="en-GB"/>
        </w:rPr>
        <w:t xml:space="preserve"> may not be a negative aspect of the imaging, </w:t>
      </w:r>
      <w:r w:rsidR="00BE3DBC" w:rsidRPr="0073172D">
        <w:rPr>
          <w:rFonts w:asciiTheme="minorHAnsi" w:hAnsiTheme="minorHAnsi" w:cstheme="minorHAnsi"/>
          <w:sz w:val="24"/>
          <w:lang w:eastAsia="en-GB"/>
        </w:rPr>
        <w:t>but an effect of making the cli</w:t>
      </w:r>
      <w:r w:rsidR="0056213E" w:rsidRPr="0073172D">
        <w:rPr>
          <w:rFonts w:asciiTheme="minorHAnsi" w:hAnsiTheme="minorHAnsi" w:cstheme="minorHAnsi"/>
          <w:sz w:val="24"/>
          <w:lang w:eastAsia="en-GB"/>
        </w:rPr>
        <w:t>nician reassess their diagnosis when</w:t>
      </w:r>
      <w:r w:rsidR="00F47F05" w:rsidRPr="0073172D">
        <w:rPr>
          <w:rFonts w:asciiTheme="minorHAnsi" w:hAnsiTheme="minorHAnsi" w:cstheme="minorHAnsi"/>
          <w:sz w:val="24"/>
          <w:lang w:eastAsia="en-GB"/>
        </w:rPr>
        <w:t xml:space="preserve"> their prior </w:t>
      </w:r>
      <w:r w:rsidR="009942C6" w:rsidRPr="0073172D">
        <w:rPr>
          <w:rFonts w:asciiTheme="minorHAnsi" w:hAnsiTheme="minorHAnsi" w:cstheme="minorHAnsi"/>
          <w:sz w:val="24"/>
          <w:lang w:eastAsia="en-GB"/>
        </w:rPr>
        <w:t xml:space="preserve">diagnostic </w:t>
      </w:r>
      <w:r w:rsidR="00F47F05" w:rsidRPr="0073172D">
        <w:rPr>
          <w:rFonts w:asciiTheme="minorHAnsi" w:hAnsiTheme="minorHAnsi" w:cstheme="minorHAnsi"/>
          <w:sz w:val="24"/>
          <w:lang w:eastAsia="en-GB"/>
        </w:rPr>
        <w:t>expectation was not upheld by the imaging</w:t>
      </w:r>
      <w:r w:rsidR="0056213E" w:rsidRPr="0073172D">
        <w:rPr>
          <w:rFonts w:asciiTheme="minorHAnsi" w:hAnsiTheme="minorHAnsi" w:cstheme="minorHAnsi"/>
          <w:sz w:val="24"/>
          <w:lang w:eastAsia="en-GB"/>
        </w:rPr>
        <w:t xml:space="preserve">. </w:t>
      </w:r>
    </w:p>
    <w:p w14:paraId="65E0FD06" w14:textId="0ACBEDB7" w:rsidR="0067641D" w:rsidRPr="0073172D" w:rsidRDefault="006C66F4" w:rsidP="003A3A37">
      <w:pPr>
        <w:keepNext w:val="0"/>
        <w:keepLines w:val="0"/>
        <w:spacing w:line="480" w:lineRule="auto"/>
        <w:rPr>
          <w:rFonts w:asciiTheme="minorHAnsi" w:hAnsiTheme="minorHAnsi" w:cstheme="minorHAnsi"/>
          <w:sz w:val="24"/>
          <w:lang w:eastAsia="en-GB"/>
        </w:rPr>
      </w:pPr>
      <w:r w:rsidRPr="0073172D">
        <w:rPr>
          <w:rFonts w:asciiTheme="minorHAnsi" w:hAnsiTheme="minorHAnsi" w:cstheme="minorHAnsi"/>
          <w:sz w:val="24"/>
          <w:lang w:eastAsia="en-GB"/>
        </w:rPr>
        <w:t xml:space="preserve">In this sample, we do not have </w:t>
      </w:r>
      <w:r w:rsidR="00196103" w:rsidRPr="0073172D">
        <w:rPr>
          <w:rFonts w:asciiTheme="minorHAnsi" w:hAnsiTheme="minorHAnsi" w:cstheme="minorHAnsi"/>
          <w:sz w:val="24"/>
          <w:lang w:eastAsia="en-GB"/>
        </w:rPr>
        <w:t>post-mortem</w:t>
      </w:r>
      <w:r w:rsidR="00E8543D" w:rsidRPr="0073172D">
        <w:rPr>
          <w:rFonts w:asciiTheme="minorHAnsi" w:hAnsiTheme="minorHAnsi" w:cstheme="minorHAnsi"/>
          <w:sz w:val="24"/>
          <w:lang w:eastAsia="en-GB"/>
        </w:rPr>
        <w:t xml:space="preserve"> </w:t>
      </w:r>
      <w:r w:rsidR="00F00B25" w:rsidRPr="0073172D">
        <w:rPr>
          <w:rFonts w:asciiTheme="minorHAnsi" w:hAnsiTheme="minorHAnsi" w:cstheme="minorHAnsi"/>
          <w:sz w:val="24"/>
          <w:lang w:eastAsia="en-GB"/>
        </w:rPr>
        <w:t>or long-term follow up to verify the diagnosis of those individuals where clinical diagnosis and imaging conflicted</w:t>
      </w:r>
      <w:r w:rsidR="00E8543D" w:rsidRPr="0073172D">
        <w:rPr>
          <w:rFonts w:asciiTheme="minorHAnsi" w:hAnsiTheme="minorHAnsi" w:cstheme="minorHAnsi"/>
          <w:sz w:val="24"/>
          <w:lang w:eastAsia="en-GB"/>
        </w:rPr>
        <w:t xml:space="preserve">, although a number of </w:t>
      </w:r>
      <w:r w:rsidR="00A0761A" w:rsidRPr="0073172D">
        <w:rPr>
          <w:rFonts w:asciiTheme="minorHAnsi" w:hAnsiTheme="minorHAnsi" w:cstheme="minorHAnsi"/>
          <w:sz w:val="24"/>
          <w:lang w:eastAsia="en-GB"/>
        </w:rPr>
        <w:t xml:space="preserve">these </w:t>
      </w:r>
      <w:r w:rsidR="00E8543D" w:rsidRPr="0073172D">
        <w:rPr>
          <w:rFonts w:asciiTheme="minorHAnsi" w:hAnsiTheme="minorHAnsi" w:cstheme="minorHAnsi"/>
          <w:sz w:val="24"/>
          <w:lang w:eastAsia="en-GB"/>
        </w:rPr>
        <w:t>patients are involved in a separate</w:t>
      </w:r>
      <w:r w:rsidR="00196103" w:rsidRPr="0073172D">
        <w:rPr>
          <w:rFonts w:asciiTheme="minorHAnsi" w:hAnsiTheme="minorHAnsi" w:cstheme="minorHAnsi"/>
          <w:sz w:val="24"/>
          <w:lang w:eastAsia="en-GB"/>
        </w:rPr>
        <w:t xml:space="preserve"> ongoing</w:t>
      </w:r>
      <w:r w:rsidR="00E8543D" w:rsidRPr="0073172D">
        <w:rPr>
          <w:rFonts w:asciiTheme="minorHAnsi" w:hAnsiTheme="minorHAnsi" w:cstheme="minorHAnsi"/>
          <w:sz w:val="24"/>
          <w:lang w:eastAsia="en-GB"/>
        </w:rPr>
        <w:t xml:space="preserve"> longitudinal research study to monitor functional decline</w:t>
      </w:r>
      <w:r w:rsidR="00F00B25" w:rsidRPr="0073172D">
        <w:rPr>
          <w:rFonts w:asciiTheme="minorHAnsi" w:hAnsiTheme="minorHAnsi" w:cstheme="minorHAnsi"/>
          <w:sz w:val="24"/>
          <w:lang w:eastAsia="en-GB"/>
        </w:rPr>
        <w:t>.</w:t>
      </w:r>
      <w:r w:rsidR="00650A32" w:rsidRPr="0073172D">
        <w:rPr>
          <w:rFonts w:asciiTheme="minorHAnsi" w:hAnsiTheme="minorHAnsi" w:cstheme="minorHAnsi"/>
          <w:sz w:val="24"/>
          <w:lang w:eastAsia="en-GB"/>
        </w:rPr>
        <w:t xml:space="preserve"> </w:t>
      </w:r>
      <w:r w:rsidR="008A7A6A" w:rsidRPr="0073172D">
        <w:rPr>
          <w:rFonts w:asciiTheme="minorHAnsi" w:hAnsiTheme="minorHAnsi" w:cstheme="minorHAnsi"/>
          <w:sz w:val="24"/>
          <w:lang w:eastAsia="en-GB"/>
        </w:rPr>
        <w:t>This study was not however designed to validate the accuracy of perfusion SPECT reporting</w:t>
      </w:r>
      <w:r w:rsidR="00A33679" w:rsidRPr="0073172D">
        <w:rPr>
          <w:rFonts w:asciiTheme="minorHAnsi" w:hAnsiTheme="minorHAnsi" w:cstheme="minorHAnsi"/>
          <w:sz w:val="24"/>
          <w:lang w:eastAsia="en-GB"/>
        </w:rPr>
        <w:t xml:space="preserve">, which has previously been </w:t>
      </w:r>
      <w:r w:rsidRPr="0073172D">
        <w:rPr>
          <w:rFonts w:asciiTheme="minorHAnsi" w:hAnsiTheme="minorHAnsi" w:cstheme="minorHAnsi"/>
          <w:sz w:val="24"/>
          <w:lang w:eastAsia="en-GB"/>
        </w:rPr>
        <w:t xml:space="preserve">studied </w:t>
      </w:r>
      <w:r w:rsidR="00A33679" w:rsidRPr="0073172D">
        <w:rPr>
          <w:rFonts w:asciiTheme="minorHAnsi" w:hAnsiTheme="minorHAnsi" w:cstheme="minorHAnsi"/>
          <w:sz w:val="24"/>
          <w:lang w:eastAsia="en-GB"/>
        </w:rPr>
        <w:t>extensively,</w:t>
      </w:r>
      <w:r w:rsidR="008A7A6A" w:rsidRPr="0073172D">
        <w:rPr>
          <w:rFonts w:asciiTheme="minorHAnsi" w:hAnsiTheme="minorHAnsi" w:cstheme="minorHAnsi"/>
          <w:sz w:val="24"/>
          <w:lang w:eastAsia="en-GB"/>
        </w:rPr>
        <w:t xml:space="preserve"> but to </w:t>
      </w:r>
      <w:r w:rsidR="00FE455A" w:rsidRPr="0073172D">
        <w:rPr>
          <w:rFonts w:asciiTheme="minorHAnsi" w:hAnsiTheme="minorHAnsi" w:cstheme="minorHAnsi"/>
          <w:sz w:val="24"/>
          <w:lang w:eastAsia="en-GB"/>
        </w:rPr>
        <w:t>investigate the influence of perfusion SPECT</w:t>
      </w:r>
      <w:r w:rsidR="008A7A6A" w:rsidRPr="0073172D">
        <w:rPr>
          <w:rFonts w:asciiTheme="minorHAnsi" w:hAnsiTheme="minorHAnsi" w:cstheme="minorHAnsi"/>
          <w:sz w:val="24"/>
          <w:lang w:eastAsia="en-GB"/>
        </w:rPr>
        <w:t xml:space="preserve"> reports on clinician confidence and </w:t>
      </w:r>
      <w:r w:rsidRPr="0073172D">
        <w:rPr>
          <w:rFonts w:asciiTheme="minorHAnsi" w:hAnsiTheme="minorHAnsi" w:cstheme="minorHAnsi"/>
          <w:sz w:val="24"/>
          <w:lang w:eastAsia="en-GB"/>
        </w:rPr>
        <w:t xml:space="preserve">actual clinical </w:t>
      </w:r>
      <w:r w:rsidR="008A7A6A" w:rsidRPr="0073172D">
        <w:rPr>
          <w:rFonts w:asciiTheme="minorHAnsi" w:hAnsiTheme="minorHAnsi" w:cstheme="minorHAnsi"/>
          <w:sz w:val="24"/>
          <w:lang w:eastAsia="en-GB"/>
        </w:rPr>
        <w:t>diagnosis.</w:t>
      </w:r>
      <w:r w:rsidR="00A33679" w:rsidRPr="0073172D">
        <w:rPr>
          <w:rFonts w:asciiTheme="minorHAnsi" w:hAnsiTheme="minorHAnsi" w:cstheme="minorHAnsi"/>
          <w:sz w:val="24"/>
          <w:lang w:eastAsia="en-GB"/>
        </w:rPr>
        <w:t xml:space="preserve"> P</w:t>
      </w:r>
      <w:r w:rsidR="00BF4FC0" w:rsidRPr="0073172D">
        <w:rPr>
          <w:rFonts w:asciiTheme="minorHAnsi" w:hAnsiTheme="minorHAnsi" w:cstheme="minorHAnsi"/>
          <w:sz w:val="24"/>
          <w:lang w:eastAsia="en-GB"/>
        </w:rPr>
        <w:t>rior studies</w:t>
      </w:r>
      <w:r w:rsidR="004A054E" w:rsidRPr="0073172D">
        <w:rPr>
          <w:rFonts w:asciiTheme="minorHAnsi" w:hAnsiTheme="minorHAnsi" w:cstheme="minorHAnsi"/>
          <w:sz w:val="24"/>
          <w:lang w:eastAsia="en-GB"/>
        </w:rPr>
        <w:t xml:space="preserve"> investigating</w:t>
      </w:r>
      <w:r w:rsidR="00BF4FC0" w:rsidRPr="0073172D">
        <w:rPr>
          <w:rFonts w:asciiTheme="minorHAnsi" w:hAnsiTheme="minorHAnsi" w:cstheme="minorHAnsi"/>
          <w:sz w:val="24"/>
          <w:lang w:eastAsia="en-GB"/>
        </w:rPr>
        <w:t xml:space="preserve"> </w:t>
      </w:r>
      <w:r w:rsidR="00186382" w:rsidRPr="0073172D">
        <w:rPr>
          <w:rFonts w:asciiTheme="minorHAnsi" w:hAnsiTheme="minorHAnsi" w:cstheme="minorHAnsi"/>
          <w:sz w:val="24"/>
          <w:lang w:eastAsia="en-GB"/>
        </w:rPr>
        <w:t>the ability of</w:t>
      </w:r>
      <w:r w:rsidR="00BF4FC0" w:rsidRPr="0073172D">
        <w:rPr>
          <w:rFonts w:asciiTheme="minorHAnsi" w:hAnsiTheme="minorHAnsi" w:cstheme="minorHAnsi"/>
          <w:sz w:val="24"/>
          <w:lang w:eastAsia="en-GB"/>
        </w:rPr>
        <w:t xml:space="preserve"> perfusion SPECT imaging</w:t>
      </w:r>
      <w:r w:rsidR="00186382" w:rsidRPr="0073172D">
        <w:rPr>
          <w:rFonts w:asciiTheme="minorHAnsi" w:hAnsiTheme="minorHAnsi" w:cstheme="minorHAnsi"/>
          <w:sz w:val="24"/>
          <w:lang w:eastAsia="en-GB"/>
        </w:rPr>
        <w:t xml:space="preserve"> to directly influence diagnostic confidence in clinical situations</w:t>
      </w:r>
      <w:r w:rsidR="00BF4FC0" w:rsidRPr="0073172D">
        <w:rPr>
          <w:rFonts w:asciiTheme="minorHAnsi" w:hAnsiTheme="minorHAnsi" w:cstheme="minorHAnsi"/>
          <w:sz w:val="24"/>
          <w:lang w:eastAsia="en-GB"/>
        </w:rPr>
        <w:t xml:space="preserve"> are sparse</w:t>
      </w:r>
      <w:r w:rsidR="00186382" w:rsidRPr="0073172D">
        <w:rPr>
          <w:rFonts w:asciiTheme="minorHAnsi" w:hAnsiTheme="minorHAnsi" w:cstheme="minorHAnsi"/>
          <w:sz w:val="24"/>
          <w:lang w:eastAsia="en-GB"/>
        </w:rPr>
        <w:t xml:space="preserve">. </w:t>
      </w:r>
      <w:r w:rsidR="00B15470" w:rsidRPr="0073172D">
        <w:rPr>
          <w:rFonts w:asciiTheme="minorHAnsi" w:hAnsiTheme="minorHAnsi" w:cstheme="minorHAnsi"/>
          <w:sz w:val="24"/>
          <w:lang w:eastAsia="en-GB"/>
        </w:rPr>
        <w:t xml:space="preserve">A study from 1995 by Van </w:t>
      </w:r>
      <w:proofErr w:type="spellStart"/>
      <w:r w:rsidR="00B15470" w:rsidRPr="0073172D">
        <w:rPr>
          <w:rFonts w:asciiTheme="minorHAnsi" w:hAnsiTheme="minorHAnsi" w:cstheme="minorHAnsi"/>
          <w:sz w:val="24"/>
          <w:lang w:eastAsia="en-GB"/>
        </w:rPr>
        <w:t>Gool</w:t>
      </w:r>
      <w:proofErr w:type="spellEnd"/>
      <w:r w:rsidR="00B15470" w:rsidRPr="0073172D">
        <w:rPr>
          <w:rFonts w:asciiTheme="minorHAnsi" w:hAnsiTheme="minorHAnsi" w:cstheme="minorHAnsi"/>
          <w:sz w:val="24"/>
          <w:lang w:eastAsia="en-GB"/>
        </w:rPr>
        <w:t xml:space="preserve"> et al assessing usefulness of perfusion</w:t>
      </w:r>
      <w:r w:rsidR="004E1265" w:rsidRPr="0073172D">
        <w:rPr>
          <w:rFonts w:asciiTheme="minorHAnsi" w:hAnsiTheme="minorHAnsi" w:cstheme="minorHAnsi"/>
          <w:sz w:val="24"/>
          <w:lang w:eastAsia="en-GB"/>
        </w:rPr>
        <w:t xml:space="preserve"> SPECT found that clinicians rated that</w:t>
      </w:r>
      <w:r w:rsidR="00B15470" w:rsidRPr="0073172D">
        <w:rPr>
          <w:rFonts w:asciiTheme="minorHAnsi" w:hAnsiTheme="minorHAnsi" w:cstheme="minorHAnsi"/>
          <w:sz w:val="24"/>
          <w:lang w:eastAsia="en-GB"/>
        </w:rPr>
        <w:t xml:space="preserve"> SPECT</w:t>
      </w:r>
      <w:r w:rsidR="004E1265" w:rsidRPr="0073172D">
        <w:rPr>
          <w:rFonts w:asciiTheme="minorHAnsi" w:hAnsiTheme="minorHAnsi" w:cstheme="minorHAnsi"/>
          <w:sz w:val="24"/>
          <w:lang w:eastAsia="en-GB"/>
        </w:rPr>
        <w:t xml:space="preserve"> imaging</w:t>
      </w:r>
      <w:r w:rsidR="00B15470" w:rsidRPr="0073172D">
        <w:rPr>
          <w:rFonts w:asciiTheme="minorHAnsi" w:hAnsiTheme="minorHAnsi" w:cstheme="minorHAnsi"/>
          <w:sz w:val="24"/>
          <w:lang w:eastAsia="en-GB"/>
        </w:rPr>
        <w:t xml:space="preserve"> influenced their level of confid</w:t>
      </w:r>
      <w:r w:rsidR="004E1265" w:rsidRPr="0073172D">
        <w:rPr>
          <w:rFonts w:asciiTheme="minorHAnsi" w:hAnsiTheme="minorHAnsi" w:cstheme="minorHAnsi"/>
          <w:sz w:val="24"/>
          <w:lang w:eastAsia="en-GB"/>
        </w:rPr>
        <w:t>ence in only 8% of</w:t>
      </w:r>
      <w:r w:rsidR="00B15470" w:rsidRPr="0073172D">
        <w:rPr>
          <w:rFonts w:asciiTheme="minorHAnsi" w:hAnsiTheme="minorHAnsi" w:cstheme="minorHAnsi"/>
          <w:sz w:val="24"/>
          <w:lang w:eastAsia="en-GB"/>
        </w:rPr>
        <w:t xml:space="preserve"> subjects</w:t>
      </w:r>
      <w:r w:rsidR="00186382" w:rsidRPr="0073172D">
        <w:rPr>
          <w:rFonts w:asciiTheme="minorHAnsi" w:hAnsiTheme="minorHAnsi" w:cstheme="minorHAnsi"/>
          <w:sz w:val="24"/>
          <w:lang w:eastAsia="en-GB"/>
        </w:rPr>
        <w:t xml:space="preserve"> </w:t>
      </w:r>
      <w:r w:rsidR="00CA3EED" w:rsidRPr="0073172D">
        <w:rPr>
          <w:rFonts w:asciiTheme="minorHAnsi" w:hAnsiTheme="minorHAnsi" w:cstheme="minorHAnsi"/>
          <w:sz w:val="24"/>
          <w:lang w:eastAsia="en-GB"/>
        </w:rPr>
        <w:fldChar w:fldCharType="begin" w:fldLock="1"/>
      </w:r>
      <w:r w:rsidR="00D902A8" w:rsidRPr="0073172D">
        <w:rPr>
          <w:rFonts w:asciiTheme="minorHAnsi" w:hAnsiTheme="minorHAnsi" w:cstheme="minorHAnsi"/>
          <w:sz w:val="24"/>
          <w:lang w:eastAsia="en-GB"/>
        </w:rPr>
        <w:instrText>ADDIN CSL_CITATION {"citationItems":[{"id":"ITEM-1","itemData":{"DOI":"10.1007/BF00868397","ISBN":"0340-5354 (Print)\\r0340-5354 (Linking)","ISSN":"0340-5354; 0340-5354","PMID":"7561970","abstract":"Based on the observation of bilateral temporoparietal hypoperfusion in Alzheimer's disease (AD), single photon emission computed tomography (SPECT) is advocated by some as a powerful diagnostic tool in the evaluation of demented patients. We studied whether routine brain SPECT in elderly, mildly demented outpatients increases the a priori diagnostic sensitivity and specificity of a careful clinical examination. 99mTc-HMPAO SPECT imaging was performed in 110 patients for a first evaluation for dementia. A semiquantitative measure of temporoparietal (TP) perfusion was calculated as the ratio of the activity in the temporoparietal cortex to activity in the cerebellum. A diagnosis of probable AD according to the McKhann criteria was made in 68 patients (mean age of 79.3 years) based on the results of a clinical examination, ancillary investigations and a 6-month follow-up. TP perfusion was significantly lower in AD patients than in 18 age-matched, non-demented controls. However, at a specificity of 89%, sensitivity was only 43% for detecting probable AD. The clinicians judged that SPECT had contributed to the final diagnosis in only 8% of the demented patients investigated. Routine brain SPECT in elderly, mildly demented outpatients does not contribute substantially to diagnostic accuracy after a careful clinical examination using current diagnostic criteria. Clinical guidelines have to be developed for the use of SPECT in patients with (suspected) dementia.","author":[{"dropping-particle":"","family":"Gool","given":"W a","non-dropping-particle":"Van","parse-names":false,"suffix":""},{"dropping-particle":"","family":"Walstra","given":"G J","non-dropping-particle":"","parse-names":false,"suffix":""},{"dropping-particle":"","family":"Teunisse","given":"S","non-dropping-particle":"","parse-names":false,"suffix":""},{"dropping-particle":"","family":"Zant","given":"F M","non-dropping-particle":"Van der","parse-names":false,"suffix":""},{"dropping-particle":"","family":"Weinstein","given":"H C","non-dropping-particle":"","parse-names":false,"suffix":""},{"dropping-particle":"","family":"Royen","given":"E a","non-dropping-particle":"Van","parse-names":false,"suffix":""}],"container-title":"Journal of neurology","id":"ITEM-1","issue":"6","issued":{"date-parts":[["1995"]]},"page":"401-405","title":"Diagnosing Alzheimer's disease in elderly, mildly demented patients: the impact of routine single photon emission computed tomography.","type":"article-journal","volume":"242"},"uris":["http://www.mendeley.com/documents/?uuid=e249b95f-0123-464a-a15c-daeb1e34466c"]}],"mendeley":{"formattedCitation":"[&lt;i&gt;11&lt;/i&gt;]","plainTextFormattedCitation":"[11]","previouslyFormattedCitation":"[11]"},"properties":{"noteIndex":0},"schema":"https://github.com/citation-style-language/schema/raw/master/csl-citation.json"}</w:instrText>
      </w:r>
      <w:r w:rsidR="00CA3EED" w:rsidRPr="0073172D">
        <w:rPr>
          <w:rFonts w:asciiTheme="minorHAnsi" w:hAnsiTheme="minorHAnsi" w:cstheme="minorHAnsi"/>
          <w:sz w:val="24"/>
          <w:lang w:eastAsia="en-GB"/>
        </w:rPr>
        <w:fldChar w:fldCharType="separate"/>
      </w:r>
      <w:r w:rsidR="00D902A8" w:rsidRPr="0073172D">
        <w:rPr>
          <w:rFonts w:asciiTheme="minorHAnsi" w:hAnsiTheme="minorHAnsi" w:cstheme="minorHAnsi"/>
          <w:noProof/>
          <w:sz w:val="24"/>
          <w:lang w:eastAsia="en-GB"/>
        </w:rPr>
        <w:t>[</w:t>
      </w:r>
      <w:r w:rsidR="00D902A8" w:rsidRPr="0073172D">
        <w:rPr>
          <w:rFonts w:asciiTheme="minorHAnsi" w:hAnsiTheme="minorHAnsi" w:cstheme="minorHAnsi"/>
          <w:i/>
          <w:noProof/>
          <w:sz w:val="24"/>
          <w:lang w:eastAsia="en-GB"/>
        </w:rPr>
        <w:t>11</w:t>
      </w:r>
      <w:r w:rsidR="00D902A8" w:rsidRPr="0073172D">
        <w:rPr>
          <w:rFonts w:asciiTheme="minorHAnsi" w:hAnsiTheme="minorHAnsi" w:cstheme="minorHAnsi"/>
          <w:noProof/>
          <w:sz w:val="24"/>
          <w:lang w:eastAsia="en-GB"/>
        </w:rPr>
        <w:t>]</w:t>
      </w:r>
      <w:r w:rsidR="00CA3EED" w:rsidRPr="0073172D">
        <w:rPr>
          <w:rFonts w:asciiTheme="minorHAnsi" w:hAnsiTheme="minorHAnsi" w:cstheme="minorHAnsi"/>
          <w:sz w:val="24"/>
          <w:lang w:eastAsia="en-GB"/>
        </w:rPr>
        <w:fldChar w:fldCharType="end"/>
      </w:r>
      <w:r w:rsidR="00BC2BDB" w:rsidRPr="0073172D">
        <w:rPr>
          <w:rFonts w:asciiTheme="minorHAnsi" w:hAnsiTheme="minorHAnsi" w:cstheme="minorHAnsi"/>
          <w:sz w:val="24"/>
          <w:lang w:eastAsia="en-GB"/>
        </w:rPr>
        <w:t xml:space="preserve">. </w:t>
      </w:r>
      <w:r w:rsidR="009F2F15" w:rsidRPr="0073172D">
        <w:rPr>
          <w:rFonts w:asciiTheme="minorHAnsi" w:hAnsiTheme="minorHAnsi" w:cstheme="minorHAnsi"/>
          <w:sz w:val="24"/>
          <w:lang w:eastAsia="en-GB"/>
        </w:rPr>
        <w:t>Our study results directly conflict with these findings</w:t>
      </w:r>
      <w:r w:rsidR="0067641D" w:rsidRPr="0073172D">
        <w:rPr>
          <w:rFonts w:asciiTheme="minorHAnsi" w:hAnsiTheme="minorHAnsi" w:cstheme="minorHAnsi"/>
          <w:sz w:val="24"/>
          <w:lang w:eastAsia="en-GB"/>
        </w:rPr>
        <w:t>, with perfusion SPECT imaging significantly improving diagnostic confidence</w:t>
      </w:r>
      <w:r w:rsidR="005A6E11" w:rsidRPr="0073172D">
        <w:rPr>
          <w:rFonts w:asciiTheme="minorHAnsi" w:hAnsiTheme="minorHAnsi" w:cstheme="minorHAnsi"/>
          <w:sz w:val="24"/>
          <w:lang w:eastAsia="en-GB"/>
        </w:rPr>
        <w:t xml:space="preserve"> on average</w:t>
      </w:r>
      <w:r w:rsidR="0067641D" w:rsidRPr="0073172D">
        <w:rPr>
          <w:rFonts w:asciiTheme="minorHAnsi" w:hAnsiTheme="minorHAnsi" w:cstheme="minorHAnsi"/>
          <w:sz w:val="24"/>
          <w:lang w:eastAsia="en-GB"/>
        </w:rPr>
        <w:t xml:space="preserve"> </w:t>
      </w:r>
      <w:r w:rsidR="004A054E" w:rsidRPr="0073172D">
        <w:rPr>
          <w:rFonts w:asciiTheme="minorHAnsi" w:hAnsiTheme="minorHAnsi" w:cstheme="minorHAnsi"/>
          <w:sz w:val="24"/>
          <w:lang w:eastAsia="en-GB"/>
        </w:rPr>
        <w:t>by over 25% in those with the</w:t>
      </w:r>
      <w:r w:rsidR="0067641D" w:rsidRPr="0073172D">
        <w:rPr>
          <w:rFonts w:asciiTheme="minorHAnsi" w:hAnsiTheme="minorHAnsi" w:cstheme="minorHAnsi"/>
          <w:sz w:val="24"/>
          <w:lang w:eastAsia="en-GB"/>
        </w:rPr>
        <w:t xml:space="preserve"> largest diagnostic doubt. </w:t>
      </w:r>
      <w:r w:rsidR="002C1496" w:rsidRPr="0073172D">
        <w:rPr>
          <w:rFonts w:asciiTheme="minorHAnsi" w:hAnsiTheme="minorHAnsi" w:cstheme="minorHAnsi"/>
          <w:sz w:val="24"/>
          <w:lang w:eastAsia="en-GB"/>
        </w:rPr>
        <w:t>The</w:t>
      </w:r>
      <w:r w:rsidR="0067641D" w:rsidRPr="0073172D">
        <w:rPr>
          <w:rFonts w:asciiTheme="minorHAnsi" w:hAnsiTheme="minorHAnsi" w:cstheme="minorHAnsi"/>
          <w:sz w:val="24"/>
          <w:lang w:eastAsia="en-GB"/>
        </w:rPr>
        <w:t xml:space="preserve"> </w:t>
      </w:r>
      <w:r w:rsidR="002C1496" w:rsidRPr="0073172D">
        <w:rPr>
          <w:rFonts w:asciiTheme="minorHAnsi" w:hAnsiTheme="minorHAnsi" w:cstheme="minorHAnsi"/>
          <w:sz w:val="24"/>
          <w:lang w:eastAsia="en-GB"/>
        </w:rPr>
        <w:t xml:space="preserve">increase in </w:t>
      </w:r>
      <w:r w:rsidR="0067641D" w:rsidRPr="0073172D">
        <w:rPr>
          <w:rFonts w:asciiTheme="minorHAnsi" w:hAnsiTheme="minorHAnsi" w:cstheme="minorHAnsi"/>
          <w:sz w:val="24"/>
          <w:lang w:eastAsia="en-GB"/>
        </w:rPr>
        <w:t>confidence change</w:t>
      </w:r>
      <w:r w:rsidR="004A054E" w:rsidRPr="0073172D">
        <w:rPr>
          <w:rFonts w:asciiTheme="minorHAnsi" w:hAnsiTheme="minorHAnsi" w:cstheme="minorHAnsi"/>
          <w:sz w:val="24"/>
          <w:lang w:eastAsia="en-GB"/>
        </w:rPr>
        <w:t xml:space="preserve"> and utility</w:t>
      </w:r>
      <w:r w:rsidR="002C1496" w:rsidRPr="0073172D">
        <w:rPr>
          <w:rFonts w:asciiTheme="minorHAnsi" w:hAnsiTheme="minorHAnsi" w:cstheme="minorHAnsi"/>
          <w:sz w:val="24"/>
          <w:lang w:eastAsia="en-GB"/>
        </w:rPr>
        <w:t xml:space="preserve"> seen in comparison to the</w:t>
      </w:r>
      <w:r w:rsidR="0067641D" w:rsidRPr="0073172D">
        <w:rPr>
          <w:rFonts w:asciiTheme="minorHAnsi" w:hAnsiTheme="minorHAnsi" w:cstheme="minorHAnsi"/>
          <w:sz w:val="24"/>
          <w:lang w:eastAsia="en-GB"/>
        </w:rPr>
        <w:t xml:space="preserve"> </w:t>
      </w:r>
      <w:r w:rsidR="005A6E11" w:rsidRPr="0073172D">
        <w:rPr>
          <w:rFonts w:asciiTheme="minorHAnsi" w:hAnsiTheme="minorHAnsi" w:cstheme="minorHAnsi"/>
          <w:sz w:val="24"/>
          <w:lang w:eastAsia="en-GB"/>
        </w:rPr>
        <w:t xml:space="preserve">Van </w:t>
      </w:r>
      <w:proofErr w:type="spellStart"/>
      <w:r w:rsidR="005A6E11" w:rsidRPr="0073172D">
        <w:rPr>
          <w:rFonts w:asciiTheme="minorHAnsi" w:hAnsiTheme="minorHAnsi" w:cstheme="minorHAnsi"/>
          <w:sz w:val="24"/>
          <w:lang w:eastAsia="en-GB"/>
        </w:rPr>
        <w:t>Gool</w:t>
      </w:r>
      <w:proofErr w:type="spellEnd"/>
      <w:r w:rsidR="005A6E11" w:rsidRPr="0073172D">
        <w:rPr>
          <w:rFonts w:asciiTheme="minorHAnsi" w:hAnsiTheme="minorHAnsi" w:cstheme="minorHAnsi"/>
          <w:sz w:val="24"/>
          <w:lang w:eastAsia="en-GB"/>
        </w:rPr>
        <w:t xml:space="preserve"> (1995)</w:t>
      </w:r>
      <w:r w:rsidR="0067641D" w:rsidRPr="0073172D">
        <w:rPr>
          <w:rFonts w:asciiTheme="minorHAnsi" w:hAnsiTheme="minorHAnsi" w:cstheme="minorHAnsi"/>
          <w:sz w:val="24"/>
          <w:lang w:eastAsia="en-GB"/>
        </w:rPr>
        <w:t xml:space="preserve"> study</w:t>
      </w:r>
      <w:r w:rsidR="002C1496" w:rsidRPr="0073172D">
        <w:rPr>
          <w:rFonts w:asciiTheme="minorHAnsi" w:hAnsiTheme="minorHAnsi" w:cstheme="minorHAnsi"/>
          <w:sz w:val="24"/>
          <w:lang w:eastAsia="en-GB"/>
        </w:rPr>
        <w:t xml:space="preserve"> is likely due to differing methods related to technological advancements made since </w:t>
      </w:r>
      <w:r w:rsidR="002C1496" w:rsidRPr="0073172D">
        <w:rPr>
          <w:rFonts w:asciiTheme="minorHAnsi" w:hAnsiTheme="minorHAnsi" w:cstheme="minorHAnsi"/>
          <w:sz w:val="24"/>
          <w:lang w:eastAsia="en-GB"/>
        </w:rPr>
        <w:lastRenderedPageBreak/>
        <w:t>the study was published. The present study used a</w:t>
      </w:r>
      <w:r w:rsidR="00BE766C" w:rsidRPr="0073172D">
        <w:rPr>
          <w:rFonts w:asciiTheme="minorHAnsi" w:hAnsiTheme="minorHAnsi" w:cstheme="minorHAnsi"/>
          <w:sz w:val="24"/>
          <w:lang w:eastAsia="en-GB"/>
        </w:rPr>
        <w:t>n</w:t>
      </w:r>
      <w:r w:rsidR="002C1496" w:rsidRPr="0073172D">
        <w:rPr>
          <w:rFonts w:asciiTheme="minorHAnsi" w:hAnsiTheme="minorHAnsi" w:cstheme="minorHAnsi"/>
          <w:sz w:val="24"/>
          <w:lang w:eastAsia="en-GB"/>
        </w:rPr>
        <w:t xml:space="preserve"> individual against control group semi-quantitative analysis, compared to </w:t>
      </w:r>
      <w:r w:rsidR="007F0D13" w:rsidRPr="0073172D">
        <w:rPr>
          <w:rFonts w:asciiTheme="minorHAnsi" w:hAnsiTheme="minorHAnsi" w:cstheme="minorHAnsi"/>
          <w:sz w:val="24"/>
          <w:lang w:eastAsia="en-GB"/>
        </w:rPr>
        <w:t>the</w:t>
      </w:r>
      <w:r w:rsidR="002C1496" w:rsidRPr="0073172D">
        <w:rPr>
          <w:rFonts w:asciiTheme="minorHAnsi" w:hAnsiTheme="minorHAnsi" w:cstheme="minorHAnsi"/>
          <w:sz w:val="24"/>
          <w:lang w:eastAsia="en-GB"/>
        </w:rPr>
        <w:t xml:space="preserve"> visual and manual region of interest analysis seen in the Van </w:t>
      </w:r>
      <w:proofErr w:type="spellStart"/>
      <w:r w:rsidR="002C1496" w:rsidRPr="0073172D">
        <w:rPr>
          <w:rFonts w:asciiTheme="minorHAnsi" w:hAnsiTheme="minorHAnsi" w:cstheme="minorHAnsi"/>
          <w:sz w:val="24"/>
          <w:lang w:eastAsia="en-GB"/>
        </w:rPr>
        <w:t>Gool</w:t>
      </w:r>
      <w:proofErr w:type="spellEnd"/>
      <w:r w:rsidR="002C1496" w:rsidRPr="0073172D">
        <w:rPr>
          <w:rFonts w:asciiTheme="minorHAnsi" w:hAnsiTheme="minorHAnsi" w:cstheme="minorHAnsi"/>
          <w:sz w:val="24"/>
          <w:lang w:eastAsia="en-GB"/>
        </w:rPr>
        <w:t xml:space="preserve"> (1995) study. </w:t>
      </w:r>
      <w:r w:rsidR="0067641D" w:rsidRPr="0073172D">
        <w:rPr>
          <w:rFonts w:asciiTheme="minorHAnsi" w:hAnsiTheme="minorHAnsi" w:cstheme="minorHAnsi"/>
          <w:sz w:val="24"/>
          <w:lang w:eastAsia="en-GB"/>
        </w:rPr>
        <w:t>Additionally, knowledge on functional imaging patterns and</w:t>
      </w:r>
      <w:r w:rsidR="004A054E" w:rsidRPr="0073172D">
        <w:rPr>
          <w:rFonts w:asciiTheme="minorHAnsi" w:hAnsiTheme="minorHAnsi" w:cstheme="minorHAnsi"/>
          <w:sz w:val="24"/>
          <w:lang w:eastAsia="en-GB"/>
        </w:rPr>
        <w:t xml:space="preserve"> dementia subtypes have grown considerabl</w:t>
      </w:r>
      <w:r w:rsidR="0067641D" w:rsidRPr="0073172D">
        <w:rPr>
          <w:rFonts w:asciiTheme="minorHAnsi" w:hAnsiTheme="minorHAnsi" w:cstheme="minorHAnsi"/>
          <w:sz w:val="24"/>
          <w:lang w:eastAsia="en-GB"/>
        </w:rPr>
        <w:t xml:space="preserve">y over the past twenty years since the Van </w:t>
      </w:r>
      <w:proofErr w:type="spellStart"/>
      <w:r w:rsidR="0067641D" w:rsidRPr="0073172D">
        <w:rPr>
          <w:rFonts w:asciiTheme="minorHAnsi" w:hAnsiTheme="minorHAnsi" w:cstheme="minorHAnsi"/>
          <w:sz w:val="24"/>
          <w:lang w:eastAsia="en-GB"/>
        </w:rPr>
        <w:t>Gool</w:t>
      </w:r>
      <w:proofErr w:type="spellEnd"/>
      <w:r w:rsidR="00186382" w:rsidRPr="0073172D">
        <w:rPr>
          <w:rFonts w:asciiTheme="minorHAnsi" w:hAnsiTheme="minorHAnsi" w:cstheme="minorHAnsi"/>
          <w:sz w:val="24"/>
          <w:lang w:eastAsia="en-GB"/>
        </w:rPr>
        <w:t xml:space="preserve"> (1995)</w:t>
      </w:r>
      <w:r w:rsidR="0067641D" w:rsidRPr="0073172D">
        <w:rPr>
          <w:rFonts w:asciiTheme="minorHAnsi" w:hAnsiTheme="minorHAnsi" w:cstheme="minorHAnsi"/>
          <w:sz w:val="24"/>
          <w:lang w:eastAsia="en-GB"/>
        </w:rPr>
        <w:t xml:space="preserve"> study was published, with</w:t>
      </w:r>
      <w:r w:rsidR="004A054E" w:rsidRPr="0073172D">
        <w:rPr>
          <w:rFonts w:asciiTheme="minorHAnsi" w:hAnsiTheme="minorHAnsi" w:cstheme="minorHAnsi"/>
          <w:sz w:val="24"/>
          <w:lang w:eastAsia="en-GB"/>
        </w:rPr>
        <w:t xml:space="preserve"> extensive literature</w:t>
      </w:r>
      <w:r w:rsidR="0067641D" w:rsidRPr="0073172D">
        <w:rPr>
          <w:rFonts w:asciiTheme="minorHAnsi" w:hAnsiTheme="minorHAnsi" w:cstheme="minorHAnsi"/>
          <w:sz w:val="24"/>
          <w:lang w:eastAsia="en-GB"/>
        </w:rPr>
        <w:t xml:space="preserve"> </w:t>
      </w:r>
      <w:r w:rsidR="005D4941" w:rsidRPr="0073172D">
        <w:rPr>
          <w:rFonts w:asciiTheme="minorHAnsi" w:hAnsiTheme="minorHAnsi" w:cstheme="minorHAnsi"/>
          <w:sz w:val="24"/>
          <w:lang w:eastAsia="en-GB"/>
        </w:rPr>
        <w:t>aiding image</w:t>
      </w:r>
      <w:r w:rsidR="0067641D" w:rsidRPr="0073172D">
        <w:rPr>
          <w:rFonts w:asciiTheme="minorHAnsi" w:hAnsiTheme="minorHAnsi" w:cstheme="minorHAnsi"/>
          <w:sz w:val="24"/>
          <w:lang w:eastAsia="en-GB"/>
        </w:rPr>
        <w:t xml:space="preserve"> reporting</w:t>
      </w:r>
      <w:r w:rsidR="005D4941" w:rsidRPr="0073172D">
        <w:rPr>
          <w:rFonts w:asciiTheme="minorHAnsi" w:hAnsiTheme="minorHAnsi" w:cstheme="minorHAnsi"/>
          <w:sz w:val="24"/>
          <w:lang w:eastAsia="en-GB"/>
        </w:rPr>
        <w:t xml:space="preserve"> accuracy</w:t>
      </w:r>
      <w:r w:rsidR="0067641D" w:rsidRPr="0073172D">
        <w:rPr>
          <w:rFonts w:asciiTheme="minorHAnsi" w:hAnsiTheme="minorHAnsi" w:cstheme="minorHAnsi"/>
          <w:sz w:val="24"/>
          <w:lang w:eastAsia="en-GB"/>
        </w:rPr>
        <w:t>.</w:t>
      </w:r>
    </w:p>
    <w:p w14:paraId="0357ACFE" w14:textId="6109D44F" w:rsidR="007A2251" w:rsidRPr="0073172D" w:rsidRDefault="00BC2BDB" w:rsidP="003A3A37">
      <w:pPr>
        <w:keepNext w:val="0"/>
        <w:keepLines w:val="0"/>
        <w:spacing w:line="480" w:lineRule="auto"/>
        <w:rPr>
          <w:rFonts w:asciiTheme="minorHAnsi" w:hAnsiTheme="minorHAnsi" w:cstheme="minorHAnsi"/>
          <w:sz w:val="24"/>
          <w:lang w:eastAsia="en-GB"/>
        </w:rPr>
      </w:pPr>
      <w:r w:rsidRPr="0073172D">
        <w:rPr>
          <w:rFonts w:asciiTheme="minorHAnsi" w:hAnsiTheme="minorHAnsi" w:cstheme="minorHAnsi"/>
          <w:sz w:val="24"/>
          <w:lang w:eastAsia="en-GB"/>
        </w:rPr>
        <w:t>There are limitations to this study.</w:t>
      </w:r>
      <w:r w:rsidR="00A763F4" w:rsidRPr="0073172D">
        <w:rPr>
          <w:rFonts w:asciiTheme="minorHAnsi" w:hAnsiTheme="minorHAnsi" w:cstheme="minorHAnsi"/>
          <w:sz w:val="24"/>
          <w:lang w:eastAsia="en-GB"/>
        </w:rPr>
        <w:t xml:space="preserve"> As information on confidence was collected during normal clinical care across multiple sites,</w:t>
      </w:r>
      <w:r w:rsidR="004B3F23" w:rsidRPr="0073172D">
        <w:rPr>
          <w:rFonts w:asciiTheme="minorHAnsi" w:hAnsiTheme="minorHAnsi" w:cstheme="minorHAnsi"/>
          <w:sz w:val="24"/>
          <w:lang w:eastAsia="en-GB"/>
        </w:rPr>
        <w:t xml:space="preserve"> </w:t>
      </w:r>
      <w:r w:rsidR="00BE766C" w:rsidRPr="0073172D">
        <w:rPr>
          <w:rFonts w:asciiTheme="minorHAnsi" w:hAnsiTheme="minorHAnsi" w:cstheme="minorHAnsi"/>
          <w:sz w:val="24"/>
          <w:lang w:eastAsia="en-GB"/>
        </w:rPr>
        <w:t>w</w:t>
      </w:r>
      <w:r w:rsidR="004B3F23" w:rsidRPr="0073172D">
        <w:rPr>
          <w:rFonts w:asciiTheme="minorHAnsi" w:hAnsiTheme="minorHAnsi" w:cstheme="minorHAnsi"/>
          <w:sz w:val="24"/>
          <w:lang w:eastAsia="en-GB"/>
        </w:rPr>
        <w:t xml:space="preserve">e </w:t>
      </w:r>
      <w:r w:rsidR="00BE766C" w:rsidRPr="0073172D">
        <w:rPr>
          <w:rFonts w:asciiTheme="minorHAnsi" w:hAnsiTheme="minorHAnsi" w:cstheme="minorHAnsi"/>
          <w:sz w:val="24"/>
          <w:lang w:eastAsia="en-GB"/>
        </w:rPr>
        <w:t>were unable to</w:t>
      </w:r>
      <w:r w:rsidR="007F0D13" w:rsidRPr="0073172D">
        <w:rPr>
          <w:rFonts w:asciiTheme="minorHAnsi" w:hAnsiTheme="minorHAnsi" w:cstheme="minorHAnsi"/>
          <w:sz w:val="24"/>
          <w:lang w:eastAsia="en-GB"/>
        </w:rPr>
        <w:t xml:space="preserve"> ascertain</w:t>
      </w:r>
      <w:r w:rsidR="004B3F23" w:rsidRPr="0073172D">
        <w:rPr>
          <w:rFonts w:asciiTheme="minorHAnsi" w:hAnsiTheme="minorHAnsi" w:cstheme="minorHAnsi"/>
          <w:sz w:val="24"/>
          <w:lang w:eastAsia="en-GB"/>
        </w:rPr>
        <w:t xml:space="preserve"> </w:t>
      </w:r>
      <w:r w:rsidR="00596A39" w:rsidRPr="0073172D">
        <w:rPr>
          <w:rFonts w:asciiTheme="minorHAnsi" w:hAnsiTheme="minorHAnsi" w:cstheme="minorHAnsi"/>
          <w:sz w:val="24"/>
          <w:lang w:eastAsia="en-GB"/>
        </w:rPr>
        <w:t>if</w:t>
      </w:r>
      <w:r w:rsidR="007F0D13" w:rsidRPr="0073172D">
        <w:rPr>
          <w:rFonts w:asciiTheme="minorHAnsi" w:hAnsiTheme="minorHAnsi" w:cstheme="minorHAnsi"/>
          <w:sz w:val="24"/>
          <w:lang w:eastAsia="en-GB"/>
        </w:rPr>
        <w:t xml:space="preserve"> </w:t>
      </w:r>
      <w:r w:rsidR="004B3F23" w:rsidRPr="0073172D">
        <w:rPr>
          <w:rFonts w:asciiTheme="minorHAnsi" w:hAnsiTheme="minorHAnsi" w:cstheme="minorHAnsi"/>
          <w:sz w:val="24"/>
          <w:lang w:eastAsia="en-GB"/>
        </w:rPr>
        <w:t>other tests were completed between the time of pre-imaging and post-imaging questionnaire completion.</w:t>
      </w:r>
      <w:r w:rsidR="00A763F4" w:rsidRPr="0073172D">
        <w:rPr>
          <w:rFonts w:asciiTheme="minorHAnsi" w:hAnsiTheme="minorHAnsi" w:cstheme="minorHAnsi"/>
          <w:sz w:val="24"/>
          <w:lang w:eastAsia="en-GB"/>
        </w:rPr>
        <w:t xml:space="preserve"> </w:t>
      </w:r>
      <w:r w:rsidR="00E564A3" w:rsidRPr="0073172D">
        <w:rPr>
          <w:rFonts w:asciiTheme="minorHAnsi" w:hAnsiTheme="minorHAnsi" w:cstheme="minorHAnsi"/>
          <w:sz w:val="24"/>
          <w:lang w:eastAsia="en-GB"/>
        </w:rPr>
        <w:t>Although this is a single centre test, patients were referred from a wide geographical area</w:t>
      </w:r>
      <w:r w:rsidR="00F8051D" w:rsidRPr="0073172D">
        <w:rPr>
          <w:rFonts w:asciiTheme="minorHAnsi" w:hAnsiTheme="minorHAnsi" w:cstheme="minorHAnsi"/>
          <w:sz w:val="24"/>
          <w:lang w:eastAsia="en-GB"/>
        </w:rPr>
        <w:t>, therefore information was gained</w:t>
      </w:r>
      <w:r w:rsidR="00E564A3" w:rsidRPr="0073172D">
        <w:rPr>
          <w:rFonts w:asciiTheme="minorHAnsi" w:hAnsiTheme="minorHAnsi" w:cstheme="minorHAnsi"/>
          <w:sz w:val="24"/>
          <w:lang w:eastAsia="en-GB"/>
        </w:rPr>
        <w:t xml:space="preserve"> from </w:t>
      </w:r>
      <w:proofErr w:type="gramStart"/>
      <w:r w:rsidR="00E564A3" w:rsidRPr="0073172D">
        <w:rPr>
          <w:rFonts w:asciiTheme="minorHAnsi" w:hAnsiTheme="minorHAnsi" w:cstheme="minorHAnsi"/>
          <w:sz w:val="24"/>
          <w:lang w:eastAsia="en-GB"/>
        </w:rPr>
        <w:t>a large number of</w:t>
      </w:r>
      <w:proofErr w:type="gramEnd"/>
      <w:r w:rsidR="00E564A3" w:rsidRPr="0073172D">
        <w:rPr>
          <w:rFonts w:asciiTheme="minorHAnsi" w:hAnsiTheme="minorHAnsi" w:cstheme="minorHAnsi"/>
          <w:sz w:val="24"/>
          <w:lang w:eastAsia="en-GB"/>
        </w:rPr>
        <w:t xml:space="preserve"> clinicians</w:t>
      </w:r>
      <w:r w:rsidR="00F8051D" w:rsidRPr="0073172D">
        <w:rPr>
          <w:rFonts w:asciiTheme="minorHAnsi" w:hAnsiTheme="minorHAnsi" w:cstheme="minorHAnsi"/>
          <w:sz w:val="24"/>
          <w:lang w:eastAsia="en-GB"/>
        </w:rPr>
        <w:t>,</w:t>
      </w:r>
      <w:r w:rsidR="00E564A3" w:rsidRPr="0073172D">
        <w:rPr>
          <w:rFonts w:asciiTheme="minorHAnsi" w:hAnsiTheme="minorHAnsi" w:cstheme="minorHAnsi"/>
          <w:sz w:val="24"/>
          <w:lang w:eastAsia="en-GB"/>
        </w:rPr>
        <w:t xml:space="preserve"> with different levels of experience</w:t>
      </w:r>
      <w:r w:rsidR="00F8051D" w:rsidRPr="0073172D">
        <w:rPr>
          <w:rFonts w:asciiTheme="minorHAnsi" w:hAnsiTheme="minorHAnsi" w:cstheme="minorHAnsi"/>
          <w:sz w:val="24"/>
          <w:lang w:eastAsia="en-GB"/>
        </w:rPr>
        <w:t>, across different disciplines</w:t>
      </w:r>
      <w:r w:rsidR="00E564A3" w:rsidRPr="0073172D">
        <w:rPr>
          <w:rFonts w:asciiTheme="minorHAnsi" w:hAnsiTheme="minorHAnsi" w:cstheme="minorHAnsi"/>
          <w:sz w:val="24"/>
          <w:lang w:eastAsia="en-GB"/>
        </w:rPr>
        <w:t xml:space="preserve"> providing a representative sample to determine clinician opinion.</w:t>
      </w:r>
      <w:r w:rsidR="00531D60" w:rsidRPr="0073172D">
        <w:rPr>
          <w:rFonts w:asciiTheme="minorHAnsi" w:hAnsiTheme="minorHAnsi" w:cstheme="minorHAnsi"/>
          <w:sz w:val="24"/>
          <w:lang w:eastAsia="en-GB"/>
        </w:rPr>
        <w:t xml:space="preserve"> Additionally, although referring clinicians were not provided with their pre-imaging answers when completing the post-imaging questionnaire</w:t>
      </w:r>
      <w:r w:rsidR="007A3697" w:rsidRPr="0073172D">
        <w:rPr>
          <w:rFonts w:asciiTheme="minorHAnsi" w:hAnsiTheme="minorHAnsi" w:cstheme="minorHAnsi"/>
          <w:sz w:val="24"/>
          <w:lang w:eastAsia="en-GB"/>
        </w:rPr>
        <w:t xml:space="preserve"> to try to minimise bias</w:t>
      </w:r>
      <w:r w:rsidR="00531D60" w:rsidRPr="0073172D">
        <w:rPr>
          <w:rFonts w:asciiTheme="minorHAnsi" w:hAnsiTheme="minorHAnsi" w:cstheme="minorHAnsi"/>
          <w:sz w:val="24"/>
          <w:lang w:eastAsia="en-GB"/>
        </w:rPr>
        <w:t>, the</w:t>
      </w:r>
      <w:r w:rsidR="007A3697" w:rsidRPr="0073172D">
        <w:rPr>
          <w:rFonts w:asciiTheme="minorHAnsi" w:hAnsiTheme="minorHAnsi" w:cstheme="minorHAnsi"/>
          <w:sz w:val="24"/>
          <w:lang w:eastAsia="en-GB"/>
        </w:rPr>
        <w:t>y may recall their previous responses if only referring a small number of patients.</w:t>
      </w:r>
      <w:r w:rsidR="00E564A3" w:rsidRPr="0073172D">
        <w:rPr>
          <w:rFonts w:asciiTheme="minorHAnsi" w:hAnsiTheme="minorHAnsi" w:cstheme="minorHAnsi"/>
          <w:sz w:val="24"/>
          <w:lang w:eastAsia="en-GB"/>
        </w:rPr>
        <w:t xml:space="preserve"> </w:t>
      </w:r>
      <w:r w:rsidR="006A050B" w:rsidRPr="0073172D">
        <w:rPr>
          <w:rFonts w:asciiTheme="minorHAnsi" w:hAnsiTheme="minorHAnsi" w:cstheme="minorHAnsi"/>
          <w:sz w:val="24"/>
          <w:lang w:eastAsia="en-GB"/>
        </w:rPr>
        <w:t>Finally, although SPM has been shown to</w:t>
      </w:r>
      <w:r w:rsidR="005316AE" w:rsidRPr="0073172D">
        <w:rPr>
          <w:rFonts w:asciiTheme="minorHAnsi" w:hAnsiTheme="minorHAnsi" w:cstheme="minorHAnsi"/>
          <w:sz w:val="24"/>
          <w:lang w:eastAsia="en-GB"/>
        </w:rPr>
        <w:t xml:space="preserve"> be a useful method of analysis </w:t>
      </w:r>
      <w:r w:rsidR="006E3F23" w:rsidRPr="0073172D">
        <w:rPr>
          <w:rFonts w:asciiTheme="minorHAnsi" w:hAnsiTheme="minorHAnsi" w:cstheme="minorHAnsi"/>
          <w:sz w:val="24"/>
          <w:lang w:eastAsia="en-GB"/>
        </w:rPr>
        <w:t>to</w:t>
      </w:r>
      <w:r w:rsidR="006A050B" w:rsidRPr="0073172D">
        <w:rPr>
          <w:rFonts w:asciiTheme="minorHAnsi" w:hAnsiTheme="minorHAnsi" w:cstheme="minorHAnsi"/>
          <w:sz w:val="24"/>
          <w:lang w:eastAsia="en-GB"/>
        </w:rPr>
        <w:t xml:space="preserve"> </w:t>
      </w:r>
      <w:r w:rsidR="005316AE" w:rsidRPr="0073172D">
        <w:rPr>
          <w:rFonts w:asciiTheme="minorHAnsi" w:hAnsiTheme="minorHAnsi" w:cstheme="minorHAnsi"/>
          <w:sz w:val="24"/>
          <w:lang w:eastAsia="en-GB"/>
        </w:rPr>
        <w:t>aid</w:t>
      </w:r>
      <w:r w:rsidR="006A050B" w:rsidRPr="0073172D">
        <w:rPr>
          <w:rFonts w:asciiTheme="minorHAnsi" w:hAnsiTheme="minorHAnsi" w:cstheme="minorHAnsi"/>
          <w:sz w:val="24"/>
          <w:lang w:eastAsia="en-GB"/>
        </w:rPr>
        <w:t xml:space="preserve"> dia</w:t>
      </w:r>
      <w:r w:rsidR="005316AE" w:rsidRPr="0073172D">
        <w:rPr>
          <w:rFonts w:asciiTheme="minorHAnsi" w:hAnsiTheme="minorHAnsi" w:cstheme="minorHAnsi"/>
          <w:sz w:val="24"/>
          <w:lang w:eastAsia="en-GB"/>
        </w:rPr>
        <w:t>gnosis by identifying dementia disease patterns</w:t>
      </w:r>
      <w:r w:rsidR="00B351CD" w:rsidRPr="0073172D">
        <w:rPr>
          <w:rFonts w:asciiTheme="minorHAnsi" w:hAnsiTheme="minorHAnsi" w:cstheme="minorHAnsi"/>
          <w:sz w:val="24"/>
          <w:lang w:eastAsia="en-GB"/>
        </w:rPr>
        <w:t>,</w:t>
      </w:r>
      <w:r w:rsidR="006E3F23" w:rsidRPr="0073172D">
        <w:rPr>
          <w:rFonts w:asciiTheme="minorHAnsi" w:hAnsiTheme="minorHAnsi" w:cstheme="minorHAnsi"/>
          <w:sz w:val="24"/>
          <w:lang w:eastAsia="en-GB"/>
        </w:rPr>
        <w:t xml:space="preserve"> </w:t>
      </w:r>
      <w:r w:rsidR="005316AE" w:rsidRPr="0073172D">
        <w:rPr>
          <w:rFonts w:asciiTheme="minorHAnsi" w:hAnsiTheme="minorHAnsi" w:cstheme="minorHAnsi"/>
          <w:sz w:val="24"/>
          <w:lang w:eastAsia="en-GB"/>
        </w:rPr>
        <w:t>in clinical practice these patterns still require</w:t>
      </w:r>
      <w:r w:rsidR="006A050B" w:rsidRPr="0073172D">
        <w:rPr>
          <w:rFonts w:asciiTheme="minorHAnsi" w:hAnsiTheme="minorHAnsi" w:cstheme="minorHAnsi"/>
          <w:sz w:val="24"/>
          <w:lang w:eastAsia="en-GB"/>
        </w:rPr>
        <w:t xml:space="preserve"> an experienced clinician to report on the </w:t>
      </w:r>
      <w:r w:rsidR="005316AE" w:rsidRPr="0073172D">
        <w:rPr>
          <w:rFonts w:asciiTheme="minorHAnsi" w:hAnsiTheme="minorHAnsi" w:cstheme="minorHAnsi"/>
          <w:sz w:val="24"/>
          <w:lang w:eastAsia="en-GB"/>
        </w:rPr>
        <w:t>images</w:t>
      </w:r>
      <w:r w:rsidR="006A050B" w:rsidRPr="0073172D">
        <w:rPr>
          <w:rFonts w:asciiTheme="minorHAnsi" w:hAnsiTheme="minorHAnsi" w:cstheme="minorHAnsi"/>
          <w:sz w:val="24"/>
          <w:lang w:eastAsia="en-GB"/>
        </w:rPr>
        <w:t>. Imaging accuracy in diagnosis is therefore limited by</w:t>
      </w:r>
      <w:r w:rsidR="005316AE" w:rsidRPr="0073172D">
        <w:rPr>
          <w:rFonts w:asciiTheme="minorHAnsi" w:hAnsiTheme="minorHAnsi" w:cstheme="minorHAnsi"/>
          <w:sz w:val="24"/>
          <w:lang w:eastAsia="en-GB"/>
        </w:rPr>
        <w:t xml:space="preserve"> current</w:t>
      </w:r>
      <w:r w:rsidR="006A050B" w:rsidRPr="0073172D">
        <w:rPr>
          <w:rFonts w:asciiTheme="minorHAnsi" w:hAnsiTheme="minorHAnsi" w:cstheme="minorHAnsi"/>
          <w:sz w:val="24"/>
          <w:lang w:eastAsia="en-GB"/>
        </w:rPr>
        <w:t xml:space="preserve"> dementia pattern knowledge in both the current literature and of the reporting clinician.</w:t>
      </w:r>
      <w:r w:rsidR="00356F1C" w:rsidRPr="0073172D">
        <w:rPr>
          <w:rFonts w:asciiTheme="minorHAnsi" w:hAnsiTheme="minorHAnsi" w:cstheme="minorHAnsi"/>
          <w:sz w:val="24"/>
          <w:lang w:eastAsia="en-GB"/>
        </w:rPr>
        <w:t xml:space="preserve"> </w:t>
      </w:r>
    </w:p>
    <w:p w14:paraId="054404C6" w14:textId="522E4E5C" w:rsidR="00153D6B" w:rsidRPr="0073172D" w:rsidRDefault="007A2251" w:rsidP="003A3A37">
      <w:pPr>
        <w:keepNext w:val="0"/>
        <w:keepLines w:val="0"/>
        <w:spacing w:line="480" w:lineRule="auto"/>
        <w:rPr>
          <w:rFonts w:asciiTheme="minorHAnsi" w:hAnsiTheme="minorHAnsi" w:cstheme="minorHAnsi"/>
          <w:sz w:val="24"/>
          <w:lang w:eastAsia="en-GB"/>
        </w:rPr>
      </w:pPr>
      <w:r w:rsidRPr="0073172D">
        <w:rPr>
          <w:rFonts w:asciiTheme="minorHAnsi" w:hAnsiTheme="minorHAnsi" w:cstheme="minorHAnsi"/>
          <w:sz w:val="24"/>
          <w:lang w:eastAsia="en-GB"/>
        </w:rPr>
        <w:t>In conclusion, perfusion SPECT imaging shows additional value beyond standard diagnostic workup</w:t>
      </w:r>
      <w:r w:rsidR="00C43CA2" w:rsidRPr="0073172D">
        <w:rPr>
          <w:rFonts w:asciiTheme="minorHAnsi" w:hAnsiTheme="minorHAnsi" w:cstheme="minorHAnsi"/>
          <w:sz w:val="24"/>
          <w:lang w:eastAsia="en-GB"/>
        </w:rPr>
        <w:t xml:space="preserve"> and improves clinician confidence in diagnosis</w:t>
      </w:r>
      <w:r w:rsidRPr="0073172D">
        <w:rPr>
          <w:rFonts w:asciiTheme="minorHAnsi" w:hAnsiTheme="minorHAnsi" w:cstheme="minorHAnsi"/>
          <w:sz w:val="24"/>
          <w:lang w:eastAsia="en-GB"/>
        </w:rPr>
        <w:t xml:space="preserve">. Perfusion SPECT can provide a diagnosis, aid specification of individual dementia subtype where dementia is </w:t>
      </w:r>
      <w:proofErr w:type="gramStart"/>
      <w:r w:rsidRPr="0073172D">
        <w:rPr>
          <w:rFonts w:asciiTheme="minorHAnsi" w:hAnsiTheme="minorHAnsi" w:cstheme="minorHAnsi"/>
          <w:sz w:val="24"/>
          <w:lang w:eastAsia="en-GB"/>
        </w:rPr>
        <w:t>suspected, and</w:t>
      </w:r>
      <w:proofErr w:type="gramEnd"/>
      <w:r w:rsidRPr="0073172D">
        <w:rPr>
          <w:rFonts w:asciiTheme="minorHAnsi" w:hAnsiTheme="minorHAnsi" w:cstheme="minorHAnsi"/>
          <w:sz w:val="24"/>
          <w:lang w:eastAsia="en-GB"/>
        </w:rPr>
        <w:t xml:space="preserve"> confirm dementia diagnostic subtype for individuals in whom diagnosis is already </w:t>
      </w:r>
      <w:r w:rsidRPr="0073172D">
        <w:rPr>
          <w:rFonts w:asciiTheme="minorHAnsi" w:hAnsiTheme="minorHAnsi" w:cstheme="minorHAnsi"/>
          <w:sz w:val="24"/>
          <w:lang w:eastAsia="en-GB"/>
        </w:rPr>
        <w:lastRenderedPageBreak/>
        <w:t>certain. Perfusion SPECT is especially useful in cases where clinicians have low</w:t>
      </w:r>
      <w:r w:rsidR="00841285" w:rsidRPr="0073172D">
        <w:rPr>
          <w:rFonts w:asciiTheme="minorHAnsi" w:hAnsiTheme="minorHAnsi" w:cstheme="minorHAnsi"/>
          <w:sz w:val="24"/>
          <w:lang w:eastAsia="en-GB"/>
        </w:rPr>
        <w:t>er</w:t>
      </w:r>
      <w:r w:rsidRPr="0073172D">
        <w:rPr>
          <w:rFonts w:asciiTheme="minorHAnsi" w:hAnsiTheme="minorHAnsi" w:cstheme="minorHAnsi"/>
          <w:sz w:val="24"/>
          <w:lang w:eastAsia="en-GB"/>
        </w:rPr>
        <w:t xml:space="preserve"> diagnostic confidence, however it can also aid clinicians with </w:t>
      </w:r>
      <w:r w:rsidR="00841285" w:rsidRPr="0073172D">
        <w:rPr>
          <w:rFonts w:asciiTheme="minorHAnsi" w:hAnsiTheme="minorHAnsi" w:cstheme="minorHAnsi"/>
          <w:sz w:val="24"/>
          <w:lang w:eastAsia="en-GB"/>
        </w:rPr>
        <w:t xml:space="preserve">the </w:t>
      </w:r>
      <w:r w:rsidRPr="0073172D">
        <w:rPr>
          <w:rFonts w:asciiTheme="minorHAnsi" w:hAnsiTheme="minorHAnsi" w:cstheme="minorHAnsi"/>
          <w:sz w:val="24"/>
          <w:lang w:eastAsia="en-GB"/>
        </w:rPr>
        <w:t>high</w:t>
      </w:r>
      <w:r w:rsidR="00841285" w:rsidRPr="0073172D">
        <w:rPr>
          <w:rFonts w:asciiTheme="minorHAnsi" w:hAnsiTheme="minorHAnsi" w:cstheme="minorHAnsi"/>
          <w:sz w:val="24"/>
          <w:lang w:eastAsia="en-GB"/>
        </w:rPr>
        <w:t>est</w:t>
      </w:r>
      <w:r w:rsidRPr="0073172D">
        <w:rPr>
          <w:rFonts w:asciiTheme="minorHAnsi" w:hAnsiTheme="minorHAnsi" w:cstheme="minorHAnsi"/>
          <w:sz w:val="24"/>
          <w:lang w:eastAsia="en-GB"/>
        </w:rPr>
        <w:t xml:space="preserve"> diagnostic confidence by</w:t>
      </w:r>
      <w:r w:rsidR="00AA0127" w:rsidRPr="0073172D">
        <w:rPr>
          <w:rFonts w:asciiTheme="minorHAnsi" w:hAnsiTheme="minorHAnsi" w:cstheme="minorHAnsi"/>
          <w:sz w:val="24"/>
          <w:lang w:eastAsia="en-GB"/>
        </w:rPr>
        <w:t xml:space="preserve"> both confirming diagnosis and</w:t>
      </w:r>
      <w:r w:rsidRPr="0073172D">
        <w:rPr>
          <w:rFonts w:asciiTheme="minorHAnsi" w:hAnsiTheme="minorHAnsi" w:cstheme="minorHAnsi"/>
          <w:sz w:val="24"/>
          <w:lang w:eastAsia="en-GB"/>
        </w:rPr>
        <w:t xml:space="preserve"> prompting a reassessment of diagnosis when prior expectation is not upheld by the imaging. In our sample </w:t>
      </w:r>
      <w:proofErr w:type="gramStart"/>
      <w:r w:rsidRPr="0073172D">
        <w:rPr>
          <w:rFonts w:asciiTheme="minorHAnsi" w:hAnsiTheme="minorHAnsi" w:cstheme="minorHAnsi"/>
          <w:sz w:val="24"/>
          <w:lang w:eastAsia="en-GB"/>
        </w:rPr>
        <w:t>the vast majority of</w:t>
      </w:r>
      <w:proofErr w:type="gramEnd"/>
      <w:r w:rsidRPr="0073172D">
        <w:rPr>
          <w:rFonts w:asciiTheme="minorHAnsi" w:hAnsiTheme="minorHAnsi" w:cstheme="minorHAnsi"/>
          <w:sz w:val="24"/>
          <w:lang w:eastAsia="en-GB"/>
        </w:rPr>
        <w:t xml:space="preserve"> clinicians found that the imaging contributed towards the diagnostic process and the clinicians understanding of the patient’s disease, even when the imaging conflicted with their original diagnosis. Results from this study validate the use of HMPAO SPECT to aid dementia diagnosis</w:t>
      </w:r>
      <w:r w:rsidR="00802628" w:rsidRPr="0073172D">
        <w:rPr>
          <w:rFonts w:asciiTheme="minorHAnsi" w:hAnsiTheme="minorHAnsi" w:cstheme="minorHAnsi"/>
          <w:sz w:val="24"/>
          <w:lang w:eastAsia="en-GB"/>
        </w:rPr>
        <w:t xml:space="preserve"> and support the current NICE recommendations for use of brain perfusion SPECT imaging in cases where diagnostic </w:t>
      </w:r>
      <w:r w:rsidR="00F63361" w:rsidRPr="0073172D">
        <w:rPr>
          <w:rFonts w:asciiTheme="minorHAnsi" w:hAnsiTheme="minorHAnsi" w:cstheme="minorHAnsi"/>
          <w:sz w:val="24"/>
          <w:lang w:eastAsia="en-GB"/>
        </w:rPr>
        <w:t>uncertainty</w:t>
      </w:r>
      <w:r w:rsidR="00802628" w:rsidRPr="0073172D">
        <w:rPr>
          <w:rFonts w:asciiTheme="minorHAnsi" w:hAnsiTheme="minorHAnsi" w:cstheme="minorHAnsi"/>
          <w:sz w:val="24"/>
          <w:lang w:eastAsia="en-GB"/>
        </w:rPr>
        <w:t xml:space="preserve"> exists </w:t>
      </w:r>
      <w:r w:rsidR="00802628" w:rsidRPr="0073172D">
        <w:rPr>
          <w:rFonts w:asciiTheme="minorHAnsi" w:hAnsiTheme="minorHAnsi" w:cstheme="minorHAnsi"/>
          <w:i/>
          <w:sz w:val="24"/>
          <w:lang w:eastAsia="en-GB"/>
        </w:rPr>
        <w:t>[1]</w:t>
      </w:r>
      <w:r w:rsidR="00802628" w:rsidRPr="0073172D">
        <w:rPr>
          <w:rFonts w:asciiTheme="minorHAnsi" w:hAnsiTheme="minorHAnsi" w:cstheme="minorHAnsi"/>
          <w:sz w:val="24"/>
          <w:lang w:eastAsia="en-GB"/>
        </w:rPr>
        <w:t>. Perfusion</w:t>
      </w:r>
      <w:r w:rsidRPr="0073172D">
        <w:rPr>
          <w:rFonts w:asciiTheme="minorHAnsi" w:hAnsiTheme="minorHAnsi" w:cstheme="minorHAnsi"/>
          <w:sz w:val="24"/>
          <w:lang w:eastAsia="en-GB"/>
        </w:rPr>
        <w:t xml:space="preserve"> SPECT imaging with </w:t>
      </w:r>
      <w:r w:rsidR="007F0D13" w:rsidRPr="0073172D">
        <w:rPr>
          <w:rFonts w:asciiTheme="minorHAnsi" w:hAnsiTheme="minorHAnsi" w:cstheme="minorHAnsi"/>
          <w:sz w:val="24"/>
          <w:lang w:eastAsia="en-GB"/>
        </w:rPr>
        <w:t>semi</w:t>
      </w:r>
      <w:r w:rsidR="00BE766C" w:rsidRPr="0073172D">
        <w:rPr>
          <w:rFonts w:asciiTheme="minorHAnsi" w:hAnsiTheme="minorHAnsi" w:cstheme="minorHAnsi"/>
          <w:sz w:val="24"/>
          <w:lang w:eastAsia="en-GB"/>
        </w:rPr>
        <w:t>-</w:t>
      </w:r>
      <w:r w:rsidR="007F0D13" w:rsidRPr="0073172D">
        <w:rPr>
          <w:rFonts w:asciiTheme="minorHAnsi" w:hAnsiTheme="minorHAnsi" w:cstheme="minorHAnsi"/>
          <w:sz w:val="24"/>
          <w:lang w:eastAsia="en-GB"/>
        </w:rPr>
        <w:t>quant</w:t>
      </w:r>
      <w:r w:rsidR="00CA1F87" w:rsidRPr="0073172D">
        <w:rPr>
          <w:rFonts w:asciiTheme="minorHAnsi" w:hAnsiTheme="minorHAnsi" w:cstheme="minorHAnsi"/>
          <w:sz w:val="24"/>
          <w:lang w:eastAsia="en-GB"/>
        </w:rPr>
        <w:t>it</w:t>
      </w:r>
      <w:r w:rsidR="007F0D13" w:rsidRPr="0073172D">
        <w:rPr>
          <w:rFonts w:asciiTheme="minorHAnsi" w:hAnsiTheme="minorHAnsi" w:cstheme="minorHAnsi"/>
          <w:sz w:val="24"/>
          <w:lang w:eastAsia="en-GB"/>
        </w:rPr>
        <w:t xml:space="preserve">ative </w:t>
      </w:r>
      <w:r w:rsidRPr="0073172D">
        <w:rPr>
          <w:rFonts w:asciiTheme="minorHAnsi" w:hAnsiTheme="minorHAnsi" w:cstheme="minorHAnsi"/>
          <w:sz w:val="24"/>
          <w:lang w:eastAsia="en-GB"/>
        </w:rPr>
        <w:t>methods of analysis is valued by clinicians and contributes to diagnostic decision making</w:t>
      </w:r>
      <w:r w:rsidR="007F0D13" w:rsidRPr="0073172D">
        <w:rPr>
          <w:rFonts w:asciiTheme="minorHAnsi" w:hAnsiTheme="minorHAnsi" w:cstheme="minorHAnsi"/>
          <w:sz w:val="24"/>
          <w:lang w:eastAsia="en-GB"/>
        </w:rPr>
        <w:t xml:space="preserve"> in actual clinical practice</w:t>
      </w:r>
      <w:r w:rsidRPr="0073172D">
        <w:rPr>
          <w:rFonts w:asciiTheme="minorHAnsi" w:hAnsiTheme="minorHAnsi" w:cstheme="minorHAnsi"/>
          <w:sz w:val="24"/>
          <w:lang w:eastAsia="en-GB"/>
        </w:rPr>
        <w:t xml:space="preserve">. </w:t>
      </w:r>
    </w:p>
    <w:p w14:paraId="40E84971" w14:textId="77777777" w:rsidR="00153D6B" w:rsidRPr="00537443" w:rsidRDefault="00153D6B" w:rsidP="003A3A37">
      <w:pPr>
        <w:keepNext w:val="0"/>
        <w:keepLines w:val="0"/>
        <w:spacing w:line="480" w:lineRule="auto"/>
        <w:rPr>
          <w:rFonts w:asciiTheme="minorHAnsi" w:hAnsiTheme="minorHAnsi" w:cstheme="minorHAnsi"/>
          <w:color w:val="000000" w:themeColor="text1"/>
          <w:sz w:val="24"/>
          <w:lang w:eastAsia="en-GB"/>
        </w:rPr>
      </w:pPr>
    </w:p>
    <w:p w14:paraId="4BF044B3" w14:textId="47CFF33B" w:rsidR="00D94632" w:rsidRPr="00537443" w:rsidRDefault="00D94632" w:rsidP="003A3A37">
      <w:pPr>
        <w:widowControl w:val="0"/>
        <w:autoSpaceDE w:val="0"/>
        <w:autoSpaceDN w:val="0"/>
        <w:adjustRightInd w:val="0"/>
        <w:spacing w:line="480" w:lineRule="auto"/>
        <w:ind w:left="640" w:hanging="640"/>
        <w:rPr>
          <w:rFonts w:asciiTheme="minorHAnsi" w:hAnsiTheme="minorHAnsi" w:cstheme="minorHAnsi"/>
          <w:b/>
          <w:color w:val="000000" w:themeColor="text1"/>
          <w:kern w:val="32"/>
          <w:sz w:val="28"/>
          <w:lang w:eastAsia="en-GB"/>
        </w:rPr>
      </w:pPr>
      <w:r w:rsidRPr="00537443">
        <w:rPr>
          <w:rFonts w:asciiTheme="minorHAnsi" w:hAnsiTheme="minorHAnsi" w:cstheme="minorHAnsi"/>
          <w:b/>
          <w:color w:val="000000" w:themeColor="text1"/>
          <w:kern w:val="32"/>
          <w:sz w:val="28"/>
          <w:lang w:eastAsia="en-GB"/>
        </w:rPr>
        <w:lastRenderedPageBreak/>
        <w:t>References</w:t>
      </w:r>
    </w:p>
    <w:p w14:paraId="2949D89C" w14:textId="0CE6DEE4" w:rsidR="00D902A8" w:rsidRPr="00D902A8" w:rsidRDefault="00CA3EED" w:rsidP="00D902A8">
      <w:pPr>
        <w:widowControl w:val="0"/>
        <w:autoSpaceDE w:val="0"/>
        <w:autoSpaceDN w:val="0"/>
        <w:adjustRightInd w:val="0"/>
        <w:spacing w:line="480" w:lineRule="auto"/>
        <w:ind w:left="640" w:hanging="640"/>
        <w:rPr>
          <w:rFonts w:ascii="Calibri" w:hAnsi="Calibri" w:cs="Calibri"/>
          <w:noProof/>
        </w:rPr>
      </w:pPr>
      <w:r w:rsidRPr="00537443">
        <w:rPr>
          <w:rFonts w:asciiTheme="minorHAnsi" w:hAnsiTheme="minorHAnsi" w:cstheme="minorHAnsi"/>
          <w:color w:val="000000" w:themeColor="text1"/>
          <w:lang w:eastAsia="en-GB"/>
        </w:rPr>
        <w:fldChar w:fldCharType="begin" w:fldLock="1"/>
      </w:r>
      <w:r w:rsidR="00F00B25" w:rsidRPr="00537443">
        <w:rPr>
          <w:rFonts w:asciiTheme="minorHAnsi" w:hAnsiTheme="minorHAnsi" w:cstheme="minorHAnsi"/>
          <w:color w:val="000000" w:themeColor="text1"/>
          <w:lang w:eastAsia="en-GB"/>
        </w:rPr>
        <w:instrText xml:space="preserve">ADDIN Mendeley Bibliography CSL_BIBLIOGRAPHY </w:instrText>
      </w:r>
      <w:r w:rsidRPr="00537443">
        <w:rPr>
          <w:rFonts w:asciiTheme="minorHAnsi" w:hAnsiTheme="minorHAnsi" w:cstheme="minorHAnsi"/>
          <w:color w:val="000000" w:themeColor="text1"/>
          <w:lang w:eastAsia="en-GB"/>
        </w:rPr>
        <w:fldChar w:fldCharType="separate"/>
      </w:r>
      <w:r w:rsidR="00D902A8" w:rsidRPr="00D902A8">
        <w:rPr>
          <w:rFonts w:ascii="Calibri" w:hAnsi="Calibri" w:cs="Calibri"/>
          <w:noProof/>
        </w:rPr>
        <w:t xml:space="preserve">1. </w:t>
      </w:r>
      <w:r w:rsidR="00D902A8" w:rsidRPr="00D902A8">
        <w:rPr>
          <w:rFonts w:ascii="Calibri" w:hAnsi="Calibri" w:cs="Calibri"/>
          <w:noProof/>
        </w:rPr>
        <w:tab/>
        <w:t>National Institute for Health and Care Excellence. Dementia: assessment, management and support for people living with dementia and their carers.</w:t>
      </w:r>
      <w:r w:rsidR="00A67A94">
        <w:rPr>
          <w:rFonts w:ascii="Calibri" w:hAnsi="Calibri" w:cs="Calibri"/>
          <w:noProof/>
        </w:rPr>
        <w:t xml:space="preserve"> NICE</w:t>
      </w:r>
      <w:r w:rsidR="00D902A8" w:rsidRPr="00D902A8">
        <w:rPr>
          <w:rFonts w:ascii="Calibri" w:hAnsi="Calibri" w:cs="Calibri"/>
          <w:noProof/>
        </w:rPr>
        <w:t xml:space="preserve"> </w:t>
      </w:r>
      <w:r w:rsidR="00A67A94">
        <w:rPr>
          <w:rFonts w:ascii="Calibri" w:hAnsi="Calibri" w:cs="Calibri"/>
          <w:noProof/>
        </w:rPr>
        <w:t>g</w:t>
      </w:r>
      <w:r w:rsidR="00D902A8" w:rsidRPr="00D902A8">
        <w:rPr>
          <w:rFonts w:ascii="Calibri" w:hAnsi="Calibri" w:cs="Calibri"/>
          <w:noProof/>
        </w:rPr>
        <w:t>uideline 97</w:t>
      </w:r>
      <w:r w:rsidR="00A67A94">
        <w:rPr>
          <w:rFonts w:ascii="Calibri" w:hAnsi="Calibri" w:cs="Calibri"/>
          <w:noProof/>
        </w:rPr>
        <w:t xml:space="preserve"> [NG97]</w:t>
      </w:r>
      <w:r w:rsidR="00D902A8" w:rsidRPr="00D902A8">
        <w:rPr>
          <w:rFonts w:ascii="Calibri" w:hAnsi="Calibri" w:cs="Calibri"/>
          <w:noProof/>
        </w:rPr>
        <w:t xml:space="preserve">. London; 2018. </w:t>
      </w:r>
      <w:r w:rsidR="00A67A94">
        <w:rPr>
          <w:rFonts w:ascii="Calibri" w:hAnsi="Calibri" w:cs="Calibri"/>
          <w:noProof/>
        </w:rPr>
        <w:t>Available from: https://www.nice.org.uk/guidance/ng97</w:t>
      </w:r>
    </w:p>
    <w:p w14:paraId="1107A6D3" w14:textId="67AE4D71" w:rsidR="00D902A8" w:rsidRPr="00D902A8" w:rsidRDefault="00D902A8" w:rsidP="00D902A8">
      <w:pPr>
        <w:widowControl w:val="0"/>
        <w:autoSpaceDE w:val="0"/>
        <w:autoSpaceDN w:val="0"/>
        <w:adjustRightInd w:val="0"/>
        <w:spacing w:line="480" w:lineRule="auto"/>
        <w:ind w:left="640" w:hanging="640"/>
        <w:rPr>
          <w:rFonts w:ascii="Calibri" w:hAnsi="Calibri" w:cs="Calibri"/>
          <w:noProof/>
        </w:rPr>
      </w:pPr>
      <w:r w:rsidRPr="00D902A8">
        <w:rPr>
          <w:rFonts w:ascii="Calibri" w:hAnsi="Calibri" w:cs="Calibri"/>
          <w:noProof/>
        </w:rPr>
        <w:t xml:space="preserve">2. </w:t>
      </w:r>
      <w:r w:rsidRPr="00D902A8">
        <w:rPr>
          <w:rFonts w:ascii="Calibri" w:hAnsi="Calibri" w:cs="Calibri"/>
          <w:noProof/>
        </w:rPr>
        <w:tab/>
        <w:t xml:space="preserve">O’Brien JT, Firbank MJ, Davison C, Barnett N, Bamford C, Donaldson C, et al. 18F-FDG PET and Perfusion SPECT in the Diagnosis of Alzheimer and Lewy Body Dementias. J Nucl Med. 2014;55(12):1959–65. </w:t>
      </w:r>
    </w:p>
    <w:p w14:paraId="6D97B16F" w14:textId="77777777" w:rsidR="00D902A8" w:rsidRPr="00D902A8" w:rsidRDefault="00D902A8" w:rsidP="00D902A8">
      <w:pPr>
        <w:widowControl w:val="0"/>
        <w:autoSpaceDE w:val="0"/>
        <w:autoSpaceDN w:val="0"/>
        <w:adjustRightInd w:val="0"/>
        <w:spacing w:line="480" w:lineRule="auto"/>
        <w:ind w:left="640" w:hanging="640"/>
        <w:rPr>
          <w:rFonts w:ascii="Calibri" w:hAnsi="Calibri" w:cs="Calibri"/>
          <w:noProof/>
        </w:rPr>
      </w:pPr>
      <w:r w:rsidRPr="00D902A8">
        <w:rPr>
          <w:rFonts w:ascii="Calibri" w:hAnsi="Calibri" w:cs="Calibri"/>
          <w:noProof/>
        </w:rPr>
        <w:t xml:space="preserve">3. </w:t>
      </w:r>
      <w:r w:rsidRPr="00D902A8">
        <w:rPr>
          <w:rFonts w:ascii="Calibri" w:hAnsi="Calibri" w:cs="Calibri"/>
          <w:noProof/>
        </w:rPr>
        <w:tab/>
        <w:t xml:space="preserve">Ebmeier KP. Is there Still a Place for Perfusion SPECT in the Diagnosis of Dementia? Open Nucl Med J. 2010;2(2):40–5. </w:t>
      </w:r>
    </w:p>
    <w:p w14:paraId="6F7EE5C9" w14:textId="6AC1F118" w:rsidR="00D902A8" w:rsidRPr="00D902A8" w:rsidRDefault="00D902A8" w:rsidP="00D902A8">
      <w:pPr>
        <w:widowControl w:val="0"/>
        <w:autoSpaceDE w:val="0"/>
        <w:autoSpaceDN w:val="0"/>
        <w:adjustRightInd w:val="0"/>
        <w:spacing w:line="480" w:lineRule="auto"/>
        <w:ind w:left="640" w:hanging="640"/>
        <w:rPr>
          <w:rFonts w:ascii="Calibri" w:hAnsi="Calibri" w:cs="Calibri"/>
          <w:noProof/>
        </w:rPr>
      </w:pPr>
      <w:r w:rsidRPr="00D902A8">
        <w:rPr>
          <w:rFonts w:ascii="Calibri" w:hAnsi="Calibri" w:cs="Calibri"/>
          <w:noProof/>
        </w:rPr>
        <w:t xml:space="preserve">4. </w:t>
      </w:r>
      <w:r w:rsidRPr="00D902A8">
        <w:rPr>
          <w:rFonts w:ascii="Calibri" w:hAnsi="Calibri" w:cs="Calibri"/>
          <w:noProof/>
        </w:rPr>
        <w:tab/>
        <w:t xml:space="preserve">Kubota T, Ushijima Y, Yamada K, Okuyama C, Kizu O, Nishimura T. Diagnosis of Alzheimer’s disease using brain perfusion SPECT and MR imaging: which modality achieves better diagnostic accuracy? Eur J Nucl Med Mol Imaging. 2005;32(4):414–21. </w:t>
      </w:r>
    </w:p>
    <w:p w14:paraId="72423099" w14:textId="77777777" w:rsidR="00D902A8" w:rsidRPr="00D902A8" w:rsidRDefault="00D902A8" w:rsidP="00D902A8">
      <w:pPr>
        <w:widowControl w:val="0"/>
        <w:autoSpaceDE w:val="0"/>
        <w:autoSpaceDN w:val="0"/>
        <w:adjustRightInd w:val="0"/>
        <w:spacing w:line="480" w:lineRule="auto"/>
        <w:ind w:left="640" w:hanging="640"/>
        <w:rPr>
          <w:rFonts w:ascii="Calibri" w:hAnsi="Calibri" w:cs="Calibri"/>
          <w:noProof/>
        </w:rPr>
      </w:pPr>
      <w:r w:rsidRPr="00D902A8">
        <w:rPr>
          <w:rFonts w:ascii="Calibri" w:hAnsi="Calibri" w:cs="Calibri"/>
          <w:noProof/>
        </w:rPr>
        <w:t xml:space="preserve">5. </w:t>
      </w:r>
      <w:r w:rsidRPr="00D902A8">
        <w:rPr>
          <w:rFonts w:ascii="Calibri" w:hAnsi="Calibri" w:cs="Calibri"/>
          <w:noProof/>
        </w:rPr>
        <w:tab/>
        <w:t xml:space="preserve">Jagust W, Thisted R, Devous M. SPECT perfusion imaging in the diagnosis of Alzheimer’s disease A clinical-pathologic study. Neurology. 2001;56:950–6. </w:t>
      </w:r>
    </w:p>
    <w:p w14:paraId="704F6307" w14:textId="231911C7" w:rsidR="00D902A8" w:rsidRPr="00D902A8" w:rsidRDefault="00D902A8" w:rsidP="00D902A8">
      <w:pPr>
        <w:widowControl w:val="0"/>
        <w:autoSpaceDE w:val="0"/>
        <w:autoSpaceDN w:val="0"/>
        <w:adjustRightInd w:val="0"/>
        <w:spacing w:line="480" w:lineRule="auto"/>
        <w:ind w:left="640" w:hanging="640"/>
        <w:rPr>
          <w:rFonts w:ascii="Calibri" w:hAnsi="Calibri" w:cs="Calibri"/>
          <w:noProof/>
        </w:rPr>
      </w:pPr>
      <w:r w:rsidRPr="00D902A8">
        <w:rPr>
          <w:rFonts w:ascii="Calibri" w:hAnsi="Calibri" w:cs="Calibri"/>
          <w:noProof/>
        </w:rPr>
        <w:t xml:space="preserve">6. </w:t>
      </w:r>
      <w:r w:rsidRPr="00D902A8">
        <w:rPr>
          <w:rFonts w:ascii="Calibri" w:hAnsi="Calibri" w:cs="Calibri"/>
          <w:noProof/>
        </w:rPr>
        <w:tab/>
        <w:t xml:space="preserve">Kemp PM, Hoffmann SA, Holmes C, Bolt L, Ward T, Holmes RB, et al. The contribution of statistical parametric mapping in the assessment of precuneal and medial temporal lobe perfusion by 99mTc-HMPAO SPECT in mild Alzheimer’s and Lewy body dementia. Nucl Med Commun. 2005;26(12):1099–106. </w:t>
      </w:r>
    </w:p>
    <w:p w14:paraId="3096F0B7" w14:textId="28B8423E" w:rsidR="00D902A8" w:rsidRPr="00D902A8" w:rsidRDefault="00D902A8" w:rsidP="00D902A8">
      <w:pPr>
        <w:widowControl w:val="0"/>
        <w:autoSpaceDE w:val="0"/>
        <w:autoSpaceDN w:val="0"/>
        <w:adjustRightInd w:val="0"/>
        <w:spacing w:line="480" w:lineRule="auto"/>
        <w:ind w:left="640" w:hanging="640"/>
        <w:rPr>
          <w:rFonts w:ascii="Calibri" w:hAnsi="Calibri" w:cs="Calibri"/>
          <w:noProof/>
        </w:rPr>
      </w:pPr>
      <w:r w:rsidRPr="00D902A8">
        <w:rPr>
          <w:rFonts w:ascii="Calibri" w:hAnsi="Calibri" w:cs="Calibri"/>
          <w:noProof/>
        </w:rPr>
        <w:t xml:space="preserve">7. </w:t>
      </w:r>
      <w:r w:rsidRPr="00D902A8">
        <w:rPr>
          <w:rFonts w:ascii="Calibri" w:hAnsi="Calibri" w:cs="Calibri"/>
          <w:noProof/>
        </w:rPr>
        <w:tab/>
        <w:t>Honda N, Machida K, Matsumoto T, Matsuda H, Imabayashi E, Hashimoto J, et al. Three-dimensional stereotactic surface projection of brain perfusion SPECT improves diagnosis of Alzheimer’s disease. Ann Nucl Med. 200</w:t>
      </w:r>
      <w:r w:rsidR="0073172D">
        <w:rPr>
          <w:rFonts w:ascii="Calibri" w:hAnsi="Calibri" w:cs="Calibri"/>
          <w:noProof/>
        </w:rPr>
        <w:t>3</w:t>
      </w:r>
      <w:r w:rsidRPr="00D902A8">
        <w:rPr>
          <w:rFonts w:ascii="Calibri" w:hAnsi="Calibri" w:cs="Calibri"/>
          <w:noProof/>
        </w:rPr>
        <w:t xml:space="preserve">;17(8):641–8. </w:t>
      </w:r>
    </w:p>
    <w:p w14:paraId="299D68FC" w14:textId="4F6E9E1B" w:rsidR="00D902A8" w:rsidRPr="00D902A8" w:rsidRDefault="00D902A8" w:rsidP="00D902A8">
      <w:pPr>
        <w:widowControl w:val="0"/>
        <w:autoSpaceDE w:val="0"/>
        <w:autoSpaceDN w:val="0"/>
        <w:adjustRightInd w:val="0"/>
        <w:spacing w:line="480" w:lineRule="auto"/>
        <w:ind w:left="640" w:hanging="640"/>
        <w:rPr>
          <w:rFonts w:ascii="Calibri" w:hAnsi="Calibri" w:cs="Calibri"/>
          <w:noProof/>
        </w:rPr>
      </w:pPr>
      <w:r w:rsidRPr="00D902A8">
        <w:rPr>
          <w:rFonts w:ascii="Calibri" w:hAnsi="Calibri" w:cs="Calibri"/>
          <w:noProof/>
        </w:rPr>
        <w:t xml:space="preserve">8. </w:t>
      </w:r>
      <w:r w:rsidRPr="00D902A8">
        <w:rPr>
          <w:rFonts w:ascii="Calibri" w:hAnsi="Calibri" w:cs="Calibri"/>
          <w:noProof/>
        </w:rPr>
        <w:tab/>
        <w:t xml:space="preserve">Dougall NJ. Systematic Review of the Diagnostic Accuracy of 99mTc-HMPAO-SPECT in Dementia. Am J Geriatr Psychiatry. 2004;12(6):554–70. </w:t>
      </w:r>
    </w:p>
    <w:p w14:paraId="16D1507C" w14:textId="2AEBE9BE" w:rsidR="00D902A8" w:rsidRPr="00D902A8" w:rsidRDefault="00D902A8" w:rsidP="00D902A8">
      <w:pPr>
        <w:widowControl w:val="0"/>
        <w:autoSpaceDE w:val="0"/>
        <w:autoSpaceDN w:val="0"/>
        <w:adjustRightInd w:val="0"/>
        <w:spacing w:line="480" w:lineRule="auto"/>
        <w:ind w:left="640" w:hanging="640"/>
        <w:rPr>
          <w:rFonts w:ascii="Calibri" w:hAnsi="Calibri" w:cs="Calibri"/>
          <w:noProof/>
        </w:rPr>
      </w:pPr>
      <w:r w:rsidRPr="00D902A8">
        <w:rPr>
          <w:rFonts w:ascii="Calibri" w:hAnsi="Calibri" w:cs="Calibri"/>
          <w:noProof/>
        </w:rPr>
        <w:lastRenderedPageBreak/>
        <w:t xml:space="preserve">9. </w:t>
      </w:r>
      <w:r w:rsidRPr="00D902A8">
        <w:rPr>
          <w:rFonts w:ascii="Calibri" w:hAnsi="Calibri" w:cs="Calibri"/>
          <w:noProof/>
        </w:rPr>
        <w:tab/>
        <w:t xml:space="preserve">Frisoni GB, Bocchetta M, Chételat G, Rabinovici GD, de Leon MJ, Kaye J, et al. Imaging markers for Alzheimer disease: which vs how. Neurology. 2013;81(5):487–500. </w:t>
      </w:r>
    </w:p>
    <w:p w14:paraId="77095CB7" w14:textId="1C30475D" w:rsidR="00D902A8" w:rsidRPr="00D902A8" w:rsidRDefault="00D902A8" w:rsidP="00D902A8">
      <w:pPr>
        <w:widowControl w:val="0"/>
        <w:autoSpaceDE w:val="0"/>
        <w:autoSpaceDN w:val="0"/>
        <w:adjustRightInd w:val="0"/>
        <w:spacing w:line="480" w:lineRule="auto"/>
        <w:ind w:left="640" w:hanging="640"/>
        <w:rPr>
          <w:rFonts w:ascii="Calibri" w:hAnsi="Calibri" w:cs="Calibri"/>
          <w:noProof/>
        </w:rPr>
      </w:pPr>
      <w:r w:rsidRPr="00D902A8">
        <w:rPr>
          <w:rFonts w:ascii="Calibri" w:hAnsi="Calibri" w:cs="Calibri"/>
          <w:noProof/>
        </w:rPr>
        <w:t xml:space="preserve">10. </w:t>
      </w:r>
      <w:r w:rsidRPr="00D902A8">
        <w:rPr>
          <w:rFonts w:ascii="Calibri" w:hAnsi="Calibri" w:cs="Calibri"/>
          <w:noProof/>
        </w:rPr>
        <w:tab/>
        <w:t xml:space="preserve">Yeo JM, Lim X, Khan Z, Pal S. Systematic review of the diagnostic utility of SPECT imaging in dementia. Eur Arch Psychiatry Clin Neurosci. 2013;263(7):539–52. </w:t>
      </w:r>
    </w:p>
    <w:p w14:paraId="3D36D71C" w14:textId="77777777" w:rsidR="00D902A8" w:rsidRPr="00D902A8" w:rsidRDefault="00D902A8" w:rsidP="00D902A8">
      <w:pPr>
        <w:widowControl w:val="0"/>
        <w:autoSpaceDE w:val="0"/>
        <w:autoSpaceDN w:val="0"/>
        <w:adjustRightInd w:val="0"/>
        <w:spacing w:line="480" w:lineRule="auto"/>
        <w:ind w:left="640" w:hanging="640"/>
        <w:rPr>
          <w:rFonts w:ascii="Calibri" w:hAnsi="Calibri" w:cs="Calibri"/>
          <w:noProof/>
        </w:rPr>
      </w:pPr>
      <w:r w:rsidRPr="00D902A8">
        <w:rPr>
          <w:rFonts w:ascii="Calibri" w:hAnsi="Calibri" w:cs="Calibri"/>
          <w:noProof/>
        </w:rPr>
        <w:t xml:space="preserve">11. </w:t>
      </w:r>
      <w:r w:rsidRPr="00D902A8">
        <w:rPr>
          <w:rFonts w:ascii="Calibri" w:hAnsi="Calibri" w:cs="Calibri"/>
          <w:noProof/>
        </w:rPr>
        <w:tab/>
        <w:t xml:space="preserve">Van Gool W a, Walstra GJ, Teunisse S, Van der Zant FM, Weinstein HC, Van Royen E a. Diagnosing Alzheimer’s disease in elderly, mildly demented patients: the impact of routine single photon emission computed tomography. J Neurol. 1995;242(6):401–5. </w:t>
      </w:r>
    </w:p>
    <w:p w14:paraId="7BE7261C" w14:textId="77777777" w:rsidR="00D902A8" w:rsidRPr="00D902A8" w:rsidRDefault="00D902A8" w:rsidP="00D902A8">
      <w:pPr>
        <w:widowControl w:val="0"/>
        <w:autoSpaceDE w:val="0"/>
        <w:autoSpaceDN w:val="0"/>
        <w:adjustRightInd w:val="0"/>
        <w:spacing w:line="480" w:lineRule="auto"/>
        <w:ind w:left="640" w:hanging="640"/>
        <w:rPr>
          <w:rFonts w:ascii="Calibri" w:hAnsi="Calibri" w:cs="Calibri"/>
          <w:noProof/>
        </w:rPr>
      </w:pPr>
      <w:r w:rsidRPr="00D902A8">
        <w:rPr>
          <w:rFonts w:ascii="Calibri" w:hAnsi="Calibri" w:cs="Calibri"/>
          <w:noProof/>
        </w:rPr>
        <w:t xml:space="preserve">12. </w:t>
      </w:r>
      <w:r w:rsidRPr="00D902A8">
        <w:rPr>
          <w:rFonts w:ascii="Calibri" w:hAnsi="Calibri" w:cs="Calibri"/>
          <w:noProof/>
        </w:rPr>
        <w:tab/>
        <w:t xml:space="preserve">Smith FW, Besson JA, Gemmell HG, Sharp PF. The use of technetium-99m-HM-PAO in the assessment of patients with dementia and other neuropsychiatric conditions. J Cereb Blood Flow Metab. 1988;8(6):S116-22. </w:t>
      </w:r>
    </w:p>
    <w:p w14:paraId="6DADF150" w14:textId="77777777" w:rsidR="00D902A8" w:rsidRPr="00D902A8" w:rsidRDefault="00D902A8" w:rsidP="00D902A8">
      <w:pPr>
        <w:widowControl w:val="0"/>
        <w:autoSpaceDE w:val="0"/>
        <w:autoSpaceDN w:val="0"/>
        <w:adjustRightInd w:val="0"/>
        <w:spacing w:line="480" w:lineRule="auto"/>
        <w:ind w:left="640" w:hanging="640"/>
        <w:rPr>
          <w:rFonts w:ascii="Calibri" w:hAnsi="Calibri" w:cs="Calibri"/>
          <w:noProof/>
        </w:rPr>
      </w:pPr>
      <w:r w:rsidRPr="00D902A8">
        <w:rPr>
          <w:rFonts w:ascii="Calibri" w:hAnsi="Calibri" w:cs="Calibri"/>
          <w:noProof/>
        </w:rPr>
        <w:t xml:space="preserve">13. </w:t>
      </w:r>
      <w:r w:rsidRPr="00D902A8">
        <w:rPr>
          <w:rFonts w:ascii="Calibri" w:hAnsi="Calibri" w:cs="Calibri"/>
          <w:noProof/>
        </w:rPr>
        <w:tab/>
        <w:t xml:space="preserve">Archer HA, Smailagic N, John C, Holmes RB, Takwoingi Y, Coulthard EJ, et al. Regional Cerebral Blood Flow Single Photon Emission Computed Tomography for detection of Frontotemporal dementia in people with suspected dementia. Cochrane database Syst Rev. 2015;6(6):CD010896. </w:t>
      </w:r>
    </w:p>
    <w:p w14:paraId="450F6EB1" w14:textId="7C244097" w:rsidR="00D902A8" w:rsidRPr="00D902A8" w:rsidRDefault="00D902A8" w:rsidP="00D902A8">
      <w:pPr>
        <w:widowControl w:val="0"/>
        <w:autoSpaceDE w:val="0"/>
        <w:autoSpaceDN w:val="0"/>
        <w:adjustRightInd w:val="0"/>
        <w:spacing w:line="480" w:lineRule="auto"/>
        <w:ind w:left="640" w:hanging="640"/>
        <w:rPr>
          <w:rFonts w:ascii="Calibri" w:hAnsi="Calibri" w:cs="Calibri"/>
          <w:noProof/>
        </w:rPr>
      </w:pPr>
      <w:r w:rsidRPr="00D902A8">
        <w:rPr>
          <w:rFonts w:ascii="Calibri" w:hAnsi="Calibri" w:cs="Calibri"/>
          <w:noProof/>
        </w:rPr>
        <w:t xml:space="preserve">14. </w:t>
      </w:r>
      <w:r w:rsidRPr="00D902A8">
        <w:rPr>
          <w:rFonts w:ascii="Calibri" w:hAnsi="Calibri" w:cs="Calibri"/>
          <w:noProof/>
        </w:rPr>
        <w:tab/>
        <w:t>Walker Z, Moreno E, Thomas A, Inglis F, Tabet N, Rainer M, et al. Clinical usefulness of dopamine transporter SPECT imaging with 123I-FP-CIT in patients with possible dementia with Lewy bodies: randomised study. Br J Psychiatry. 201</w:t>
      </w:r>
      <w:r w:rsidR="00A67A94">
        <w:rPr>
          <w:rFonts w:ascii="Calibri" w:hAnsi="Calibri" w:cs="Calibri"/>
          <w:noProof/>
        </w:rPr>
        <w:t>5</w:t>
      </w:r>
      <w:r w:rsidRPr="00D902A8">
        <w:rPr>
          <w:rFonts w:ascii="Calibri" w:hAnsi="Calibri" w:cs="Calibri"/>
          <w:noProof/>
        </w:rPr>
        <w:t xml:space="preserve">;206(2):145–52. </w:t>
      </w:r>
    </w:p>
    <w:p w14:paraId="7C16540A" w14:textId="77777777" w:rsidR="00D902A8" w:rsidRPr="00D902A8" w:rsidRDefault="00D902A8" w:rsidP="00D902A8">
      <w:pPr>
        <w:widowControl w:val="0"/>
        <w:autoSpaceDE w:val="0"/>
        <w:autoSpaceDN w:val="0"/>
        <w:adjustRightInd w:val="0"/>
        <w:spacing w:line="480" w:lineRule="auto"/>
        <w:ind w:left="640" w:hanging="640"/>
        <w:rPr>
          <w:rFonts w:ascii="Calibri" w:hAnsi="Calibri" w:cs="Calibri"/>
          <w:noProof/>
        </w:rPr>
      </w:pPr>
      <w:r w:rsidRPr="00D902A8">
        <w:rPr>
          <w:rFonts w:ascii="Calibri" w:hAnsi="Calibri" w:cs="Calibri"/>
          <w:noProof/>
        </w:rPr>
        <w:t xml:space="preserve">15. </w:t>
      </w:r>
      <w:r w:rsidRPr="00D902A8">
        <w:rPr>
          <w:rFonts w:ascii="Calibri" w:hAnsi="Calibri" w:cs="Calibri"/>
          <w:noProof/>
        </w:rPr>
        <w:tab/>
        <w:t xml:space="preserve">Frederiksen KS, Hasselbalch SG, Hejl A-M, Law I, Højgaard L, Waldemar G. Added Diagnostic Value of 11C-PiB-PET in Memory Clinic Patients with Uncertain Diagnosis. Dement Geriatr Cogn Dis Extra. 2012;2(1):610–21. </w:t>
      </w:r>
    </w:p>
    <w:p w14:paraId="7FA2F85E" w14:textId="77777777" w:rsidR="00D902A8" w:rsidRPr="00D902A8" w:rsidRDefault="00D902A8" w:rsidP="00D902A8">
      <w:pPr>
        <w:widowControl w:val="0"/>
        <w:autoSpaceDE w:val="0"/>
        <w:autoSpaceDN w:val="0"/>
        <w:adjustRightInd w:val="0"/>
        <w:spacing w:line="480" w:lineRule="auto"/>
        <w:ind w:left="640" w:hanging="640"/>
        <w:rPr>
          <w:rFonts w:ascii="Calibri" w:hAnsi="Calibri" w:cs="Calibri"/>
          <w:noProof/>
        </w:rPr>
      </w:pPr>
      <w:r w:rsidRPr="00D902A8">
        <w:rPr>
          <w:rFonts w:ascii="Calibri" w:hAnsi="Calibri" w:cs="Calibri"/>
          <w:noProof/>
        </w:rPr>
        <w:t xml:space="preserve">16. </w:t>
      </w:r>
      <w:r w:rsidRPr="00D902A8">
        <w:rPr>
          <w:rFonts w:ascii="Calibri" w:hAnsi="Calibri" w:cs="Calibri"/>
          <w:noProof/>
        </w:rPr>
        <w:tab/>
        <w:t xml:space="preserve">Sánchez-Juan P, Ghosh PM, Hagen J, Gesierich B, Henry M, Grinberg LT, et al. Practical utility of amyloid and FDG-PET in an academic dementia center. Neurology. 2014;82(3):230–8. </w:t>
      </w:r>
    </w:p>
    <w:p w14:paraId="2A1F2E5A" w14:textId="77777777" w:rsidR="00D902A8" w:rsidRPr="00D902A8" w:rsidRDefault="00D902A8" w:rsidP="00D902A8">
      <w:pPr>
        <w:widowControl w:val="0"/>
        <w:autoSpaceDE w:val="0"/>
        <w:autoSpaceDN w:val="0"/>
        <w:adjustRightInd w:val="0"/>
        <w:spacing w:line="480" w:lineRule="auto"/>
        <w:ind w:left="640" w:hanging="640"/>
        <w:rPr>
          <w:rFonts w:ascii="Calibri" w:hAnsi="Calibri" w:cs="Calibri"/>
          <w:noProof/>
        </w:rPr>
      </w:pPr>
      <w:r w:rsidRPr="00D902A8">
        <w:rPr>
          <w:rFonts w:ascii="Calibri" w:hAnsi="Calibri" w:cs="Calibri"/>
          <w:noProof/>
        </w:rPr>
        <w:lastRenderedPageBreak/>
        <w:t xml:space="preserve">17. </w:t>
      </w:r>
      <w:r w:rsidRPr="00D902A8">
        <w:rPr>
          <w:rFonts w:ascii="Calibri" w:hAnsi="Calibri" w:cs="Calibri"/>
          <w:noProof/>
        </w:rPr>
        <w:tab/>
        <w:t xml:space="preserve">Bosco P, Redolfi A, Bocchetta M, Ferrari C, Mega A, Galluzzi S, et al. The impact of automated hippocampal volumetry on diagnostic confidence in patients with suspected Alzheimer’s disease: A European Alzheimer’s Disease Consortium study. Alzheimer’s Dement. 2017;13(9):1013–23. </w:t>
      </w:r>
    </w:p>
    <w:p w14:paraId="09420472" w14:textId="6A82D730" w:rsidR="00D902A8" w:rsidRPr="0073172D" w:rsidRDefault="00D902A8" w:rsidP="00D902A8">
      <w:pPr>
        <w:widowControl w:val="0"/>
        <w:autoSpaceDE w:val="0"/>
        <w:autoSpaceDN w:val="0"/>
        <w:adjustRightInd w:val="0"/>
        <w:spacing w:line="480" w:lineRule="auto"/>
        <w:ind w:left="640" w:hanging="640"/>
        <w:rPr>
          <w:rFonts w:ascii="Calibri" w:hAnsi="Calibri" w:cs="Calibri"/>
          <w:noProof/>
        </w:rPr>
      </w:pPr>
      <w:r w:rsidRPr="00D902A8">
        <w:rPr>
          <w:rFonts w:ascii="Calibri" w:hAnsi="Calibri" w:cs="Calibri"/>
          <w:noProof/>
        </w:rPr>
        <w:t xml:space="preserve">18. </w:t>
      </w:r>
      <w:r w:rsidRPr="00D902A8">
        <w:rPr>
          <w:rFonts w:ascii="Calibri" w:hAnsi="Calibri" w:cs="Calibri"/>
          <w:noProof/>
        </w:rPr>
        <w:tab/>
        <w:t>Cerami C, Dubois B, Boccardi M, Monsch AU, Demonet JF, Cappa SF, et al. Clinical validity of delayed recall tests as a gateway biomarker for Alzheimer’s disease in the context of a structured 5-phase de</w:t>
      </w:r>
      <w:r w:rsidRPr="0073172D">
        <w:rPr>
          <w:rFonts w:ascii="Calibri" w:hAnsi="Calibri" w:cs="Calibri"/>
          <w:noProof/>
        </w:rPr>
        <w:t xml:space="preserve">velopment framework. Neurobiol Aging. 2017;52:153–66. </w:t>
      </w:r>
    </w:p>
    <w:p w14:paraId="44B14369" w14:textId="47AE7ACF" w:rsidR="00D902A8" w:rsidRPr="0073172D" w:rsidRDefault="00D902A8" w:rsidP="00D902A8">
      <w:pPr>
        <w:widowControl w:val="0"/>
        <w:autoSpaceDE w:val="0"/>
        <w:autoSpaceDN w:val="0"/>
        <w:adjustRightInd w:val="0"/>
        <w:spacing w:line="480" w:lineRule="auto"/>
        <w:ind w:left="640" w:hanging="640"/>
        <w:rPr>
          <w:rFonts w:ascii="Calibri" w:hAnsi="Calibri" w:cs="Calibri"/>
          <w:noProof/>
        </w:rPr>
      </w:pPr>
      <w:r w:rsidRPr="0073172D">
        <w:rPr>
          <w:rFonts w:ascii="Calibri" w:hAnsi="Calibri" w:cs="Calibri"/>
          <w:noProof/>
        </w:rPr>
        <w:t xml:space="preserve">19. </w:t>
      </w:r>
      <w:r w:rsidRPr="0073172D">
        <w:rPr>
          <w:rFonts w:ascii="Calibri" w:hAnsi="Calibri" w:cs="Calibri"/>
          <w:noProof/>
        </w:rPr>
        <w:tab/>
        <w:t>National Institute for Health and Care Excellence. Dementia: Supporting People with Dementia and their Carers in Health and Social Care. Clinical guideline 42</w:t>
      </w:r>
      <w:r w:rsidR="00A67A94">
        <w:rPr>
          <w:rFonts w:ascii="Calibri" w:hAnsi="Calibri" w:cs="Calibri"/>
          <w:noProof/>
        </w:rPr>
        <w:t xml:space="preserve"> [CG42]</w:t>
      </w:r>
      <w:r w:rsidRPr="0073172D">
        <w:rPr>
          <w:rFonts w:ascii="Calibri" w:hAnsi="Calibri" w:cs="Calibri"/>
          <w:noProof/>
        </w:rPr>
        <w:t xml:space="preserve">. </w:t>
      </w:r>
      <w:r w:rsidR="00A67A94">
        <w:rPr>
          <w:rFonts w:ascii="Calibri" w:hAnsi="Calibri" w:cs="Calibri"/>
          <w:noProof/>
        </w:rPr>
        <w:t>L</w:t>
      </w:r>
      <w:r w:rsidRPr="0073172D">
        <w:rPr>
          <w:rFonts w:ascii="Calibri" w:hAnsi="Calibri" w:cs="Calibri"/>
          <w:noProof/>
        </w:rPr>
        <w:t xml:space="preserve">ondon; 2006. </w:t>
      </w:r>
    </w:p>
    <w:p w14:paraId="5F73DD3F" w14:textId="77777777" w:rsidR="00D902A8" w:rsidRPr="00D902A8" w:rsidRDefault="00D902A8" w:rsidP="00D902A8">
      <w:pPr>
        <w:widowControl w:val="0"/>
        <w:autoSpaceDE w:val="0"/>
        <w:autoSpaceDN w:val="0"/>
        <w:adjustRightInd w:val="0"/>
        <w:spacing w:line="480" w:lineRule="auto"/>
        <w:ind w:left="640" w:hanging="640"/>
        <w:rPr>
          <w:rFonts w:ascii="Calibri" w:hAnsi="Calibri" w:cs="Calibri"/>
          <w:noProof/>
        </w:rPr>
      </w:pPr>
      <w:r w:rsidRPr="00D902A8">
        <w:rPr>
          <w:rFonts w:ascii="Calibri" w:hAnsi="Calibri" w:cs="Calibri"/>
          <w:noProof/>
        </w:rPr>
        <w:t xml:space="preserve">20. </w:t>
      </w:r>
      <w:r w:rsidRPr="00D902A8">
        <w:rPr>
          <w:rFonts w:ascii="Calibri" w:hAnsi="Calibri" w:cs="Calibri"/>
          <w:noProof/>
        </w:rPr>
        <w:tab/>
        <w:t xml:space="preserve">Friston KJ. Statistical parametric mapping. In: Functional neuroimaging: Technical foundations. San Diego, CA, US: Academic Press; 1994. p. 79–93. </w:t>
      </w:r>
    </w:p>
    <w:p w14:paraId="7AFBAC60" w14:textId="77777777" w:rsidR="00D902A8" w:rsidRPr="00D902A8" w:rsidRDefault="00D902A8" w:rsidP="00D902A8">
      <w:pPr>
        <w:widowControl w:val="0"/>
        <w:autoSpaceDE w:val="0"/>
        <w:autoSpaceDN w:val="0"/>
        <w:adjustRightInd w:val="0"/>
        <w:spacing w:line="480" w:lineRule="auto"/>
        <w:ind w:left="640" w:hanging="640"/>
        <w:rPr>
          <w:rFonts w:ascii="Calibri" w:hAnsi="Calibri" w:cs="Calibri"/>
          <w:noProof/>
        </w:rPr>
      </w:pPr>
      <w:r w:rsidRPr="00D902A8">
        <w:rPr>
          <w:rFonts w:ascii="Calibri" w:hAnsi="Calibri" w:cs="Calibri"/>
          <w:noProof/>
        </w:rPr>
        <w:t xml:space="preserve">21. </w:t>
      </w:r>
      <w:r w:rsidRPr="00D902A8">
        <w:rPr>
          <w:rFonts w:ascii="Calibri" w:hAnsi="Calibri" w:cs="Calibri"/>
          <w:noProof/>
        </w:rPr>
        <w:tab/>
        <w:t xml:space="preserve">Hägerström D, Jakobsson D, Stomrud E, Andersson AM, Ryding E, Londos E, et al. A new automated method for analysis of rCBF-SPECT images based on the active-shape algorithm: Normal values. Clin Physiol Funct Imaging. 2012;32(2):114–9. </w:t>
      </w:r>
    </w:p>
    <w:p w14:paraId="2410CDB2" w14:textId="77777777" w:rsidR="00D902A8" w:rsidRPr="00D902A8" w:rsidRDefault="00D902A8" w:rsidP="00D902A8">
      <w:pPr>
        <w:widowControl w:val="0"/>
        <w:autoSpaceDE w:val="0"/>
        <w:autoSpaceDN w:val="0"/>
        <w:adjustRightInd w:val="0"/>
        <w:spacing w:line="480" w:lineRule="auto"/>
        <w:ind w:left="640" w:hanging="640"/>
        <w:rPr>
          <w:rFonts w:ascii="Calibri" w:hAnsi="Calibri" w:cs="Calibri"/>
          <w:noProof/>
        </w:rPr>
      </w:pPr>
      <w:r w:rsidRPr="00D902A8">
        <w:rPr>
          <w:rFonts w:ascii="Calibri" w:hAnsi="Calibri" w:cs="Calibri"/>
          <w:noProof/>
        </w:rPr>
        <w:t xml:space="preserve">22. </w:t>
      </w:r>
      <w:r w:rsidRPr="00D902A8">
        <w:rPr>
          <w:rFonts w:ascii="Calibri" w:hAnsi="Calibri" w:cs="Calibri"/>
          <w:noProof/>
        </w:rPr>
        <w:tab/>
        <w:t xml:space="preserve">Ossenkoppele R, Prins ND, Pijnenburg Y a L, Lemstra AW, van der Flier WM, Adriaanse SF, et al. Impact of molecular imaging on the diagnostic process in a memory clinic. Alzheimers Dement. 2013;9(4):414–21. </w:t>
      </w:r>
    </w:p>
    <w:p w14:paraId="33AFF204" w14:textId="77777777" w:rsidR="00D902A8" w:rsidRPr="00D902A8" w:rsidRDefault="00D902A8" w:rsidP="00D902A8">
      <w:pPr>
        <w:widowControl w:val="0"/>
        <w:autoSpaceDE w:val="0"/>
        <w:autoSpaceDN w:val="0"/>
        <w:adjustRightInd w:val="0"/>
        <w:spacing w:line="480" w:lineRule="auto"/>
        <w:ind w:left="640" w:hanging="640"/>
        <w:rPr>
          <w:rFonts w:ascii="Calibri" w:hAnsi="Calibri" w:cs="Calibri"/>
          <w:noProof/>
        </w:rPr>
      </w:pPr>
      <w:r w:rsidRPr="00D902A8">
        <w:rPr>
          <w:rFonts w:ascii="Calibri" w:hAnsi="Calibri" w:cs="Calibri"/>
          <w:noProof/>
        </w:rPr>
        <w:t xml:space="preserve">23. </w:t>
      </w:r>
      <w:r w:rsidRPr="00D902A8">
        <w:rPr>
          <w:rFonts w:ascii="Calibri" w:hAnsi="Calibri" w:cs="Calibri"/>
          <w:noProof/>
        </w:rPr>
        <w:tab/>
        <w:t xml:space="preserve">Mouton-Liger F, Wallon D, Troussière A-C, Yatimi R, Dumurgier J, Magnin E, et al. Impact of cerebro-spinal fluid biomarkers of Alzheimer’s disease in clinical practice: a multicentric study. J Neurol. 2014;261(1):144–51. </w:t>
      </w:r>
    </w:p>
    <w:p w14:paraId="7FE460CF" w14:textId="77777777" w:rsidR="00D902A8" w:rsidRPr="00D902A8" w:rsidRDefault="00D902A8" w:rsidP="00D902A8">
      <w:pPr>
        <w:widowControl w:val="0"/>
        <w:autoSpaceDE w:val="0"/>
        <w:autoSpaceDN w:val="0"/>
        <w:adjustRightInd w:val="0"/>
        <w:spacing w:line="480" w:lineRule="auto"/>
        <w:ind w:left="640" w:hanging="640"/>
        <w:rPr>
          <w:rFonts w:ascii="Calibri" w:hAnsi="Calibri" w:cs="Calibri"/>
          <w:noProof/>
        </w:rPr>
      </w:pPr>
      <w:r w:rsidRPr="00D902A8">
        <w:rPr>
          <w:rFonts w:ascii="Calibri" w:hAnsi="Calibri" w:cs="Calibri"/>
          <w:noProof/>
        </w:rPr>
        <w:lastRenderedPageBreak/>
        <w:t xml:space="preserve">24. </w:t>
      </w:r>
      <w:r w:rsidRPr="00D902A8">
        <w:rPr>
          <w:rFonts w:ascii="Calibri" w:hAnsi="Calibri" w:cs="Calibri"/>
          <w:noProof/>
        </w:rPr>
        <w:tab/>
        <w:t xml:space="preserve">Koedam ELGE, Lauffer V, Van Der Vlies AE, Van Der Flier WM, Scheltens P, Pijnenburg YAL. Early-versus late-onset Alzheimer’s disease: more than age alone. J Alzheimer’s Dis. 2010;19(4):1401–8. </w:t>
      </w:r>
    </w:p>
    <w:p w14:paraId="7762F1D6" w14:textId="77777777" w:rsidR="00D902A8" w:rsidRPr="00D902A8" w:rsidRDefault="00D902A8" w:rsidP="00D902A8">
      <w:pPr>
        <w:widowControl w:val="0"/>
        <w:autoSpaceDE w:val="0"/>
        <w:autoSpaceDN w:val="0"/>
        <w:adjustRightInd w:val="0"/>
        <w:spacing w:line="480" w:lineRule="auto"/>
        <w:ind w:left="640" w:hanging="640"/>
        <w:rPr>
          <w:rFonts w:ascii="Calibri" w:hAnsi="Calibri" w:cs="Calibri"/>
          <w:noProof/>
        </w:rPr>
      </w:pPr>
      <w:r w:rsidRPr="00D902A8">
        <w:rPr>
          <w:rFonts w:ascii="Calibri" w:hAnsi="Calibri" w:cs="Calibri"/>
          <w:noProof/>
        </w:rPr>
        <w:t xml:space="preserve">25. </w:t>
      </w:r>
      <w:r w:rsidRPr="00D902A8">
        <w:rPr>
          <w:rFonts w:ascii="Calibri" w:hAnsi="Calibri" w:cs="Calibri"/>
          <w:noProof/>
        </w:rPr>
        <w:tab/>
        <w:t xml:space="preserve">Van Vliet D, De Vugt ME, Bakker C, Pijnenburg YAL, Vernooij-Dassen MJFJ, Koopmans RTCM, et al. Time to diagnosis in young-onset dementia as compared with late-onset dementia. Psychol Med. 2013;43(2):423–32. </w:t>
      </w:r>
    </w:p>
    <w:p w14:paraId="29E49CB3" w14:textId="77777777" w:rsidR="00D902A8" w:rsidRPr="00D902A8" w:rsidRDefault="00D902A8" w:rsidP="00D902A8">
      <w:pPr>
        <w:widowControl w:val="0"/>
        <w:autoSpaceDE w:val="0"/>
        <w:autoSpaceDN w:val="0"/>
        <w:adjustRightInd w:val="0"/>
        <w:spacing w:line="480" w:lineRule="auto"/>
        <w:ind w:left="640" w:hanging="640"/>
        <w:rPr>
          <w:rFonts w:ascii="Calibri" w:hAnsi="Calibri" w:cs="Calibri"/>
          <w:noProof/>
        </w:rPr>
      </w:pPr>
      <w:r w:rsidRPr="00D902A8">
        <w:rPr>
          <w:rFonts w:ascii="Calibri" w:hAnsi="Calibri" w:cs="Calibri"/>
          <w:noProof/>
        </w:rPr>
        <w:t xml:space="preserve">26. </w:t>
      </w:r>
      <w:r w:rsidRPr="00D902A8">
        <w:rPr>
          <w:rFonts w:ascii="Calibri" w:hAnsi="Calibri" w:cs="Calibri"/>
          <w:noProof/>
        </w:rPr>
        <w:tab/>
        <w:t xml:space="preserve">Varma AR, Snowden JS, Lloyd JJ, Talbot PR, Mann DMA, Neary D. Evaluation of the NINCDS-ADRDA criteria in the differentiation of Alzheimer’s disease and frontotemporal dementia. J Neurol Neurosurg Psychiatry. 1999;66(2):184–8. </w:t>
      </w:r>
    </w:p>
    <w:p w14:paraId="425C3F8A" w14:textId="77777777" w:rsidR="00D902A8" w:rsidRPr="00D902A8" w:rsidRDefault="00D902A8" w:rsidP="00D902A8">
      <w:pPr>
        <w:widowControl w:val="0"/>
        <w:autoSpaceDE w:val="0"/>
        <w:autoSpaceDN w:val="0"/>
        <w:adjustRightInd w:val="0"/>
        <w:spacing w:line="480" w:lineRule="auto"/>
        <w:ind w:left="640" w:hanging="640"/>
        <w:rPr>
          <w:rFonts w:ascii="Calibri" w:hAnsi="Calibri" w:cs="Calibri"/>
          <w:noProof/>
        </w:rPr>
      </w:pPr>
      <w:r w:rsidRPr="00D902A8">
        <w:rPr>
          <w:rFonts w:ascii="Calibri" w:hAnsi="Calibri" w:cs="Calibri"/>
          <w:noProof/>
        </w:rPr>
        <w:t xml:space="preserve">27. </w:t>
      </w:r>
      <w:r w:rsidRPr="00D902A8">
        <w:rPr>
          <w:rFonts w:ascii="Calibri" w:hAnsi="Calibri" w:cs="Calibri"/>
          <w:noProof/>
        </w:rPr>
        <w:tab/>
        <w:t xml:space="preserve">Dubois B, Feldman HH, Jacova C, DeKosky ST, Barberger-Gateau P, Cummings J, et al. Research criteria for the diagnosis of Alzheimer’s disease: revising the NINCDS-ADRDA criteria. Lancet Neurol. 2007;6(8):734–46. </w:t>
      </w:r>
    </w:p>
    <w:p w14:paraId="67FE7A08" w14:textId="77777777" w:rsidR="00D902A8" w:rsidRPr="00D902A8" w:rsidRDefault="00D902A8" w:rsidP="00D902A8">
      <w:pPr>
        <w:widowControl w:val="0"/>
        <w:autoSpaceDE w:val="0"/>
        <w:autoSpaceDN w:val="0"/>
        <w:adjustRightInd w:val="0"/>
        <w:spacing w:line="480" w:lineRule="auto"/>
        <w:ind w:left="640" w:hanging="640"/>
        <w:rPr>
          <w:rFonts w:ascii="Calibri" w:hAnsi="Calibri" w:cs="Calibri"/>
          <w:noProof/>
        </w:rPr>
      </w:pPr>
      <w:r w:rsidRPr="00D902A8">
        <w:rPr>
          <w:rFonts w:ascii="Calibri" w:hAnsi="Calibri" w:cs="Calibri"/>
          <w:noProof/>
        </w:rPr>
        <w:t xml:space="preserve">28. </w:t>
      </w:r>
      <w:r w:rsidRPr="00D902A8">
        <w:rPr>
          <w:rFonts w:ascii="Calibri" w:hAnsi="Calibri" w:cs="Calibri"/>
          <w:noProof/>
        </w:rPr>
        <w:tab/>
        <w:t xml:space="preserve">Mega MS, Cummings JL, Fiorello T, Gornbein J. The spectrum of behavioral changes in Alzheimer’s disease. Neurology. 1996 Jan;46(1):130–5. </w:t>
      </w:r>
    </w:p>
    <w:p w14:paraId="289C6A23" w14:textId="77777777" w:rsidR="00D902A8" w:rsidRPr="00D902A8" w:rsidRDefault="00D902A8" w:rsidP="00D902A8">
      <w:pPr>
        <w:widowControl w:val="0"/>
        <w:autoSpaceDE w:val="0"/>
        <w:autoSpaceDN w:val="0"/>
        <w:adjustRightInd w:val="0"/>
        <w:spacing w:line="480" w:lineRule="auto"/>
        <w:ind w:left="640" w:hanging="640"/>
        <w:rPr>
          <w:rFonts w:ascii="Calibri" w:hAnsi="Calibri" w:cs="Calibri"/>
          <w:noProof/>
        </w:rPr>
      </w:pPr>
      <w:r w:rsidRPr="00D902A8">
        <w:rPr>
          <w:rFonts w:ascii="Calibri" w:hAnsi="Calibri" w:cs="Calibri"/>
          <w:noProof/>
        </w:rPr>
        <w:t xml:space="preserve">29. </w:t>
      </w:r>
      <w:r w:rsidRPr="00D902A8">
        <w:rPr>
          <w:rFonts w:ascii="Calibri" w:hAnsi="Calibri" w:cs="Calibri"/>
          <w:noProof/>
        </w:rPr>
        <w:tab/>
        <w:t xml:space="preserve">Haupt M, Kurz A, Jänner M. A 2-year follow-up of behavioural and psychological symptoms in Alzheimer’s disease. Dement Geriatr Cogn Disord. 2000;11(3):147–52. </w:t>
      </w:r>
    </w:p>
    <w:p w14:paraId="13A08367" w14:textId="77777777" w:rsidR="00D902A8" w:rsidRPr="00D902A8" w:rsidRDefault="00D902A8" w:rsidP="00D902A8">
      <w:pPr>
        <w:widowControl w:val="0"/>
        <w:autoSpaceDE w:val="0"/>
        <w:autoSpaceDN w:val="0"/>
        <w:adjustRightInd w:val="0"/>
        <w:spacing w:line="480" w:lineRule="auto"/>
        <w:ind w:left="640" w:hanging="640"/>
        <w:rPr>
          <w:rFonts w:ascii="Calibri" w:hAnsi="Calibri" w:cs="Calibri"/>
          <w:noProof/>
        </w:rPr>
      </w:pPr>
      <w:r w:rsidRPr="00D902A8">
        <w:rPr>
          <w:rFonts w:ascii="Calibri" w:hAnsi="Calibri" w:cs="Calibri"/>
          <w:noProof/>
        </w:rPr>
        <w:t xml:space="preserve">30. </w:t>
      </w:r>
      <w:r w:rsidRPr="00D902A8">
        <w:rPr>
          <w:rFonts w:ascii="Calibri" w:hAnsi="Calibri" w:cs="Calibri"/>
          <w:noProof/>
        </w:rPr>
        <w:tab/>
        <w:t xml:space="preserve">Lyketsos CG, Lopez O, Jones B, Fitzpatrick AL, Breitner J, Dekosky S. Prevalence of Neuropsychiatric Symptoms Results From the Cardiovascular Health Study. Jama. 2002;288(12):1475–83. </w:t>
      </w:r>
    </w:p>
    <w:p w14:paraId="0FDDD339" w14:textId="1B3ED07A" w:rsidR="00D902A8" w:rsidRPr="00D902A8" w:rsidRDefault="00D902A8" w:rsidP="00D902A8">
      <w:pPr>
        <w:widowControl w:val="0"/>
        <w:autoSpaceDE w:val="0"/>
        <w:autoSpaceDN w:val="0"/>
        <w:adjustRightInd w:val="0"/>
        <w:spacing w:line="480" w:lineRule="auto"/>
        <w:ind w:left="640" w:hanging="640"/>
        <w:rPr>
          <w:rFonts w:ascii="Calibri" w:hAnsi="Calibri" w:cs="Calibri"/>
          <w:noProof/>
        </w:rPr>
      </w:pPr>
      <w:r w:rsidRPr="00D902A8">
        <w:rPr>
          <w:rFonts w:ascii="Calibri" w:hAnsi="Calibri" w:cs="Calibri"/>
          <w:noProof/>
        </w:rPr>
        <w:t xml:space="preserve">31. </w:t>
      </w:r>
      <w:r w:rsidRPr="00D902A8">
        <w:rPr>
          <w:rFonts w:ascii="Calibri" w:hAnsi="Calibri" w:cs="Calibri"/>
          <w:noProof/>
        </w:rPr>
        <w:tab/>
        <w:t>Mendez F, Lee A, Joshi A, Shapira J. Nonamnestic Presentations of Early-Onset Alzheimer’s Disease. Am J Alzheimer Dis Other Dement. 201</w:t>
      </w:r>
      <w:r w:rsidR="00A67A94">
        <w:rPr>
          <w:rFonts w:ascii="Calibri" w:hAnsi="Calibri" w:cs="Calibri"/>
          <w:noProof/>
        </w:rPr>
        <w:t>2</w:t>
      </w:r>
      <w:r w:rsidRPr="00D902A8">
        <w:rPr>
          <w:rFonts w:ascii="Calibri" w:hAnsi="Calibri" w:cs="Calibri"/>
          <w:noProof/>
        </w:rPr>
        <w:t xml:space="preserve">;27(6):413–20. </w:t>
      </w:r>
    </w:p>
    <w:p w14:paraId="4BFCEC27" w14:textId="77777777" w:rsidR="00D902A8" w:rsidRPr="00D902A8" w:rsidRDefault="00D902A8" w:rsidP="00D902A8">
      <w:pPr>
        <w:widowControl w:val="0"/>
        <w:autoSpaceDE w:val="0"/>
        <w:autoSpaceDN w:val="0"/>
        <w:adjustRightInd w:val="0"/>
        <w:spacing w:line="480" w:lineRule="auto"/>
        <w:ind w:left="640" w:hanging="640"/>
        <w:rPr>
          <w:rFonts w:ascii="Calibri" w:hAnsi="Calibri" w:cs="Calibri"/>
          <w:noProof/>
        </w:rPr>
      </w:pPr>
      <w:r w:rsidRPr="00D902A8">
        <w:rPr>
          <w:rFonts w:ascii="Calibri" w:hAnsi="Calibri" w:cs="Calibri"/>
          <w:noProof/>
        </w:rPr>
        <w:t xml:space="preserve">32. </w:t>
      </w:r>
      <w:r w:rsidRPr="00D902A8">
        <w:rPr>
          <w:rFonts w:ascii="Calibri" w:hAnsi="Calibri" w:cs="Calibri"/>
          <w:noProof/>
        </w:rPr>
        <w:tab/>
        <w:t xml:space="preserve">McMonagle P, Deering F, Berliner Y, Kertesz A. The cognitive profile of posterior cortical atrophy. Neurology. 2006;66(3):331–8. </w:t>
      </w:r>
    </w:p>
    <w:p w14:paraId="40FC61B8" w14:textId="77777777" w:rsidR="00D902A8" w:rsidRPr="00D902A8" w:rsidRDefault="00D902A8" w:rsidP="00D902A8">
      <w:pPr>
        <w:widowControl w:val="0"/>
        <w:autoSpaceDE w:val="0"/>
        <w:autoSpaceDN w:val="0"/>
        <w:adjustRightInd w:val="0"/>
        <w:spacing w:line="480" w:lineRule="auto"/>
        <w:ind w:left="640" w:hanging="640"/>
        <w:rPr>
          <w:rFonts w:ascii="Calibri" w:hAnsi="Calibri" w:cs="Calibri"/>
          <w:noProof/>
        </w:rPr>
      </w:pPr>
      <w:r w:rsidRPr="00D902A8">
        <w:rPr>
          <w:rFonts w:ascii="Calibri" w:hAnsi="Calibri" w:cs="Calibri"/>
          <w:noProof/>
        </w:rPr>
        <w:lastRenderedPageBreak/>
        <w:t xml:space="preserve">33. </w:t>
      </w:r>
      <w:r w:rsidRPr="00D902A8">
        <w:rPr>
          <w:rFonts w:ascii="Calibri" w:hAnsi="Calibri" w:cs="Calibri"/>
          <w:noProof/>
        </w:rPr>
        <w:tab/>
        <w:t xml:space="preserve">Perry RJ, Graham A, Williams G, Rosen H, Erzinçlioglu S, Weiner M, et al. Patterns of frontal lobe atrophy in frontotemporal dementia: A volumetric MRI study. Dement Geriatr Cogn Disord. 2006;22(4):278–87. </w:t>
      </w:r>
    </w:p>
    <w:p w14:paraId="2D3DA99C" w14:textId="77777777" w:rsidR="00D902A8" w:rsidRPr="00D902A8" w:rsidRDefault="00D902A8" w:rsidP="00D902A8">
      <w:pPr>
        <w:widowControl w:val="0"/>
        <w:autoSpaceDE w:val="0"/>
        <w:autoSpaceDN w:val="0"/>
        <w:adjustRightInd w:val="0"/>
        <w:spacing w:line="480" w:lineRule="auto"/>
        <w:ind w:left="640" w:hanging="640"/>
        <w:rPr>
          <w:rFonts w:ascii="Calibri" w:hAnsi="Calibri" w:cs="Calibri"/>
          <w:noProof/>
        </w:rPr>
      </w:pPr>
      <w:r w:rsidRPr="00D902A8">
        <w:rPr>
          <w:rFonts w:ascii="Calibri" w:hAnsi="Calibri" w:cs="Calibri"/>
          <w:noProof/>
        </w:rPr>
        <w:t xml:space="preserve">34. </w:t>
      </w:r>
      <w:r w:rsidRPr="00D902A8">
        <w:rPr>
          <w:rFonts w:ascii="Calibri" w:hAnsi="Calibri" w:cs="Calibri"/>
          <w:noProof/>
        </w:rPr>
        <w:tab/>
        <w:t xml:space="preserve">Gossink FT, Dols A, Kerssens CJ, Krudop WA, Kerklaan BJ, Scheltens P, et al. Psychiatric diagnoses underlying the phenocopy syndrome of behavioural variant frontotemporal dementia. J Neurol Neurosurg Psychiatry. 2016;87(1):64–8. </w:t>
      </w:r>
    </w:p>
    <w:p w14:paraId="31A09060" w14:textId="77777777" w:rsidR="00D902A8" w:rsidRPr="00D902A8" w:rsidRDefault="00D902A8" w:rsidP="00D902A8">
      <w:pPr>
        <w:widowControl w:val="0"/>
        <w:autoSpaceDE w:val="0"/>
        <w:autoSpaceDN w:val="0"/>
        <w:adjustRightInd w:val="0"/>
        <w:spacing w:line="480" w:lineRule="auto"/>
        <w:ind w:left="640" w:hanging="640"/>
        <w:rPr>
          <w:rFonts w:ascii="Calibri" w:hAnsi="Calibri" w:cs="Calibri"/>
          <w:noProof/>
        </w:rPr>
      </w:pPr>
      <w:r w:rsidRPr="00D902A8">
        <w:rPr>
          <w:rFonts w:ascii="Calibri" w:hAnsi="Calibri" w:cs="Calibri"/>
          <w:noProof/>
        </w:rPr>
        <w:t xml:space="preserve">35. </w:t>
      </w:r>
      <w:r w:rsidRPr="00D902A8">
        <w:rPr>
          <w:rFonts w:ascii="Calibri" w:hAnsi="Calibri" w:cs="Calibri"/>
          <w:noProof/>
        </w:rPr>
        <w:tab/>
        <w:t xml:space="preserve">Piguet O, Hornberger M, Mioshi E, Hodges JR. Behavioural-variant frontotemporal dementia: Diagnosis, clinical staging, and management. Lancet Neurol. 2011;10(2):162–72. </w:t>
      </w:r>
    </w:p>
    <w:p w14:paraId="6EC750B9" w14:textId="6D26191B" w:rsidR="00D7776A" w:rsidRPr="00537443" w:rsidRDefault="00CA3EED" w:rsidP="003A3A37">
      <w:pPr>
        <w:keepNext w:val="0"/>
        <w:keepLines w:val="0"/>
        <w:pageBreakBefore/>
        <w:spacing w:line="480" w:lineRule="auto"/>
        <w:rPr>
          <w:rFonts w:asciiTheme="minorHAnsi" w:eastAsiaTheme="minorHAnsi" w:hAnsiTheme="minorHAnsi" w:cstheme="minorHAnsi"/>
          <w:b/>
          <w:bCs/>
          <w:color w:val="000000" w:themeColor="text1"/>
          <w:sz w:val="28"/>
          <w:lang w:val="en-US"/>
        </w:rPr>
      </w:pPr>
      <w:r w:rsidRPr="00537443">
        <w:rPr>
          <w:rFonts w:asciiTheme="minorHAnsi" w:hAnsiTheme="minorHAnsi" w:cstheme="minorHAnsi"/>
          <w:color w:val="000000" w:themeColor="text1"/>
          <w:lang w:eastAsia="en-GB"/>
        </w:rPr>
        <w:lastRenderedPageBreak/>
        <w:fldChar w:fldCharType="end"/>
      </w:r>
      <w:r w:rsidR="00D7776A" w:rsidRPr="00537443">
        <w:rPr>
          <w:rFonts w:asciiTheme="minorHAnsi" w:hAnsiTheme="minorHAnsi" w:cstheme="minorHAnsi"/>
          <w:b/>
          <w:color w:val="000000" w:themeColor="text1"/>
          <w:kern w:val="32"/>
          <w:sz w:val="28"/>
          <w:lang w:eastAsia="en-GB"/>
        </w:rPr>
        <w:t>Tables</w:t>
      </w:r>
    </w:p>
    <w:p w14:paraId="6F70B15B" w14:textId="6FBA2A27" w:rsidR="00D7776A" w:rsidRPr="00537443" w:rsidRDefault="00D7776A" w:rsidP="00D7776A">
      <w:pPr>
        <w:pStyle w:val="Caption"/>
        <w:keepNext/>
        <w:rPr>
          <w:rFonts w:asciiTheme="minorHAnsi" w:hAnsiTheme="minorHAnsi" w:cstheme="minorHAnsi"/>
          <w:color w:val="000000" w:themeColor="text1"/>
          <w:sz w:val="22"/>
          <w:szCs w:val="22"/>
        </w:rPr>
      </w:pPr>
      <w:bookmarkStart w:id="12" w:name="_Ref501643521"/>
      <w:bookmarkStart w:id="13" w:name="_Toc501374442"/>
      <w:bookmarkStart w:id="14" w:name="_Ref501643513"/>
      <w:r w:rsidRPr="00537443">
        <w:rPr>
          <w:rFonts w:asciiTheme="minorHAnsi" w:hAnsiTheme="minorHAnsi" w:cstheme="minorHAnsi"/>
          <w:color w:val="000000" w:themeColor="text1"/>
          <w:sz w:val="22"/>
          <w:szCs w:val="22"/>
        </w:rPr>
        <w:t xml:space="preserve">Table </w:t>
      </w:r>
      <w:r w:rsidRPr="00537443">
        <w:rPr>
          <w:rFonts w:asciiTheme="minorHAnsi" w:hAnsiTheme="minorHAnsi" w:cstheme="minorHAnsi"/>
          <w:color w:val="000000" w:themeColor="text1"/>
          <w:sz w:val="22"/>
          <w:szCs w:val="22"/>
        </w:rPr>
        <w:fldChar w:fldCharType="begin"/>
      </w:r>
      <w:r w:rsidRPr="00537443">
        <w:rPr>
          <w:rFonts w:asciiTheme="minorHAnsi" w:hAnsiTheme="minorHAnsi" w:cstheme="minorHAnsi"/>
          <w:color w:val="000000" w:themeColor="text1"/>
          <w:sz w:val="22"/>
          <w:szCs w:val="22"/>
        </w:rPr>
        <w:instrText xml:space="preserve"> SEQ Table \* ARABIC \s 1 </w:instrText>
      </w:r>
      <w:r w:rsidRPr="00537443">
        <w:rPr>
          <w:rFonts w:asciiTheme="minorHAnsi" w:hAnsiTheme="minorHAnsi" w:cstheme="minorHAnsi"/>
          <w:color w:val="000000" w:themeColor="text1"/>
          <w:sz w:val="22"/>
          <w:szCs w:val="22"/>
        </w:rPr>
        <w:fldChar w:fldCharType="separate"/>
      </w:r>
      <w:r w:rsidRPr="00537443">
        <w:rPr>
          <w:rFonts w:asciiTheme="minorHAnsi" w:hAnsiTheme="minorHAnsi" w:cstheme="minorHAnsi"/>
          <w:noProof/>
          <w:color w:val="000000" w:themeColor="text1"/>
          <w:sz w:val="22"/>
          <w:szCs w:val="22"/>
        </w:rPr>
        <w:t>1</w:t>
      </w:r>
      <w:r w:rsidRPr="00537443">
        <w:rPr>
          <w:rFonts w:asciiTheme="minorHAnsi" w:hAnsiTheme="minorHAnsi" w:cstheme="minorHAnsi"/>
          <w:color w:val="000000" w:themeColor="text1"/>
          <w:sz w:val="22"/>
          <w:szCs w:val="22"/>
        </w:rPr>
        <w:fldChar w:fldCharType="end"/>
      </w:r>
      <w:bookmarkEnd w:id="12"/>
      <w:bookmarkEnd w:id="13"/>
      <w:bookmarkEnd w:id="14"/>
    </w:p>
    <w:p w14:paraId="5150DC7B" w14:textId="77777777" w:rsidR="00D7776A" w:rsidRPr="00537443" w:rsidRDefault="00D7776A" w:rsidP="003A3A37">
      <w:pPr>
        <w:keepNext w:val="0"/>
        <w:keepLines w:val="0"/>
        <w:spacing w:line="48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Change in diagnostic confidence as measured by a 0-100 visual analogue scale, from 0 (not confident at all) to 100 (extremely confident), grouped by pre-imaging confidence into very low (0-25), low-moderate (26-50), moderate-high (51-75) and very high (76-100) confidence groups.</w:t>
      </w:r>
    </w:p>
    <w:tbl>
      <w:tblPr>
        <w:tblpPr w:leftFromText="181" w:rightFromText="181" w:vertAnchor="text" w:horzAnchor="margin" w:tblpY="-36"/>
        <w:tblOverlap w:val="never"/>
        <w:tblW w:w="9217" w:type="dxa"/>
        <w:tblBorders>
          <w:top w:val="nil"/>
          <w:left w:val="nil"/>
          <w:right w:val="nil"/>
        </w:tblBorders>
        <w:tblLayout w:type="fixed"/>
        <w:tblLook w:val="0000" w:firstRow="0" w:lastRow="0" w:firstColumn="0" w:lastColumn="0" w:noHBand="0" w:noVBand="0"/>
      </w:tblPr>
      <w:tblGrid>
        <w:gridCol w:w="2948"/>
        <w:gridCol w:w="734"/>
        <w:gridCol w:w="2220"/>
        <w:gridCol w:w="1467"/>
        <w:gridCol w:w="1848"/>
      </w:tblGrid>
      <w:tr w:rsidR="00537443" w:rsidRPr="00537443" w14:paraId="6F22FC5B" w14:textId="77777777" w:rsidTr="0018742B">
        <w:trPr>
          <w:trHeight w:val="555"/>
        </w:trPr>
        <w:tc>
          <w:tcPr>
            <w:tcW w:w="2948" w:type="dxa"/>
            <w:tcBorders>
              <w:top w:val="single" w:sz="8" w:space="0" w:color="262E33"/>
              <w:left w:val="nil"/>
              <w:bottom w:val="single" w:sz="8" w:space="0" w:color="262E33"/>
              <w:right w:val="nil"/>
            </w:tcBorders>
            <w:shd w:val="clear" w:color="auto" w:fill="auto"/>
            <w:tcMar>
              <w:top w:w="192" w:type="nil"/>
              <w:left w:w="96" w:type="nil"/>
              <w:bottom w:w="96" w:type="nil"/>
              <w:right w:w="192" w:type="nil"/>
            </w:tcMar>
          </w:tcPr>
          <w:p w14:paraId="26272E3B" w14:textId="77777777" w:rsidR="00D7776A" w:rsidRPr="00537443" w:rsidRDefault="00D7776A" w:rsidP="00531D60">
            <w:pPr>
              <w:keepNext w:val="0"/>
              <w:keepLines w:val="0"/>
              <w:spacing w:after="0" w:line="240" w:lineRule="auto"/>
              <w:rPr>
                <w:rFonts w:asciiTheme="minorHAnsi" w:eastAsiaTheme="minorHAnsi" w:hAnsiTheme="minorHAnsi" w:cstheme="minorHAnsi"/>
                <w:bCs/>
                <w:color w:val="000000" w:themeColor="text1"/>
                <w:szCs w:val="22"/>
              </w:rPr>
            </w:pPr>
            <w:r w:rsidRPr="00537443">
              <w:rPr>
                <w:rFonts w:asciiTheme="minorHAnsi" w:eastAsiaTheme="minorHAnsi" w:hAnsiTheme="minorHAnsi" w:cstheme="minorHAnsi"/>
                <w:bCs/>
                <w:color w:val="000000" w:themeColor="text1"/>
                <w:szCs w:val="22"/>
              </w:rPr>
              <w:t>Pre-imaging Confidence</w:t>
            </w:r>
          </w:p>
          <w:p w14:paraId="48255537" w14:textId="77777777" w:rsidR="00D7776A" w:rsidRPr="00537443" w:rsidRDefault="00D7776A" w:rsidP="00531D60">
            <w:pPr>
              <w:keepNext w:val="0"/>
              <w:keepLines w:val="0"/>
              <w:spacing w:after="0" w:line="240" w:lineRule="auto"/>
              <w:rPr>
                <w:rFonts w:asciiTheme="minorHAnsi" w:eastAsiaTheme="minorHAnsi" w:hAnsiTheme="minorHAnsi" w:cstheme="minorHAnsi"/>
                <w:color w:val="000000" w:themeColor="text1"/>
                <w:szCs w:val="22"/>
              </w:rPr>
            </w:pPr>
            <w:r w:rsidRPr="00537443">
              <w:rPr>
                <w:rFonts w:asciiTheme="minorHAnsi" w:eastAsiaTheme="minorHAnsi" w:hAnsiTheme="minorHAnsi" w:cstheme="minorHAnsi"/>
                <w:bCs/>
                <w:color w:val="000000" w:themeColor="text1"/>
                <w:szCs w:val="22"/>
              </w:rPr>
              <w:t>(VAS score)</w:t>
            </w:r>
          </w:p>
        </w:tc>
        <w:tc>
          <w:tcPr>
            <w:tcW w:w="734" w:type="dxa"/>
            <w:tcBorders>
              <w:top w:val="single" w:sz="8" w:space="0" w:color="262E33"/>
              <w:left w:val="nil"/>
              <w:bottom w:val="single" w:sz="8" w:space="0" w:color="262E33"/>
              <w:right w:val="nil"/>
            </w:tcBorders>
            <w:shd w:val="clear" w:color="auto" w:fill="auto"/>
            <w:tcMar>
              <w:top w:w="192" w:type="nil"/>
              <w:left w:w="96" w:type="nil"/>
              <w:bottom w:w="96" w:type="nil"/>
              <w:right w:w="192" w:type="nil"/>
            </w:tcMar>
          </w:tcPr>
          <w:p w14:paraId="5B42F945" w14:textId="77777777" w:rsidR="00D7776A" w:rsidRPr="00537443" w:rsidRDefault="00D7776A" w:rsidP="00531D60">
            <w:pPr>
              <w:keepNext w:val="0"/>
              <w:keepLines w:val="0"/>
              <w:spacing w:after="0" w:line="240" w:lineRule="auto"/>
              <w:rPr>
                <w:rFonts w:asciiTheme="minorHAnsi" w:eastAsiaTheme="minorHAnsi" w:hAnsiTheme="minorHAnsi" w:cstheme="minorHAnsi"/>
                <w:i/>
                <w:color w:val="000000" w:themeColor="text1"/>
                <w:szCs w:val="22"/>
              </w:rPr>
            </w:pPr>
            <w:r w:rsidRPr="00537443">
              <w:rPr>
                <w:rFonts w:asciiTheme="minorHAnsi" w:eastAsiaTheme="minorHAnsi" w:hAnsiTheme="minorHAnsi" w:cstheme="minorHAnsi"/>
                <w:bCs/>
                <w:i/>
                <w:color w:val="000000" w:themeColor="text1"/>
                <w:szCs w:val="22"/>
              </w:rPr>
              <w:t>N</w:t>
            </w:r>
          </w:p>
        </w:tc>
        <w:tc>
          <w:tcPr>
            <w:tcW w:w="2220" w:type="dxa"/>
            <w:tcBorders>
              <w:top w:val="single" w:sz="8" w:space="0" w:color="262E33"/>
              <w:left w:val="nil"/>
              <w:bottom w:val="single" w:sz="8" w:space="0" w:color="262E33"/>
              <w:right w:val="nil"/>
            </w:tcBorders>
            <w:shd w:val="clear" w:color="auto" w:fill="auto"/>
            <w:tcMar>
              <w:top w:w="192" w:type="nil"/>
              <w:left w:w="96" w:type="nil"/>
              <w:bottom w:w="96" w:type="nil"/>
              <w:right w:w="192" w:type="nil"/>
            </w:tcMar>
          </w:tcPr>
          <w:p w14:paraId="3361A130" w14:textId="77777777" w:rsidR="00D7776A" w:rsidRPr="00537443" w:rsidRDefault="00D7776A" w:rsidP="00531D60">
            <w:pPr>
              <w:keepNext w:val="0"/>
              <w:keepLines w:val="0"/>
              <w:spacing w:after="0" w:line="240" w:lineRule="auto"/>
              <w:rPr>
                <w:rFonts w:asciiTheme="minorHAnsi" w:eastAsiaTheme="minorHAnsi" w:hAnsiTheme="minorHAnsi" w:cstheme="minorHAnsi"/>
                <w:bCs/>
                <w:color w:val="000000" w:themeColor="text1"/>
                <w:szCs w:val="22"/>
              </w:rPr>
            </w:pPr>
            <w:r w:rsidRPr="00537443">
              <w:rPr>
                <w:rFonts w:asciiTheme="minorHAnsi" w:eastAsiaTheme="minorHAnsi" w:hAnsiTheme="minorHAnsi" w:cstheme="minorHAnsi"/>
                <w:bCs/>
                <w:color w:val="000000" w:themeColor="text1"/>
                <w:szCs w:val="22"/>
              </w:rPr>
              <w:t>Confidence change</w:t>
            </w:r>
          </w:p>
          <w:p w14:paraId="43716F1A" w14:textId="77777777" w:rsidR="00D7776A" w:rsidRPr="00537443" w:rsidRDefault="00D7776A" w:rsidP="00531D60">
            <w:pPr>
              <w:keepNext w:val="0"/>
              <w:keepLines w:val="0"/>
              <w:spacing w:after="0" w:line="240" w:lineRule="auto"/>
              <w:rPr>
                <w:rFonts w:asciiTheme="minorHAnsi" w:eastAsiaTheme="minorHAnsi" w:hAnsiTheme="minorHAnsi" w:cstheme="minorHAnsi"/>
                <w:color w:val="000000" w:themeColor="text1"/>
                <w:szCs w:val="22"/>
              </w:rPr>
            </w:pPr>
            <w:r w:rsidRPr="00537443">
              <w:rPr>
                <w:rFonts w:asciiTheme="minorHAnsi" w:eastAsiaTheme="minorHAnsi" w:hAnsiTheme="minorHAnsi" w:cstheme="minorHAnsi"/>
                <w:bCs/>
                <w:color w:val="000000" w:themeColor="text1"/>
                <w:szCs w:val="22"/>
              </w:rPr>
              <w:t xml:space="preserve">Mean </w:t>
            </w:r>
            <w:r w:rsidRPr="00537443">
              <w:rPr>
                <w:rFonts w:asciiTheme="minorHAnsi" w:eastAsiaTheme="minorHAnsi" w:hAnsiTheme="minorHAnsi" w:cstheme="minorHAnsi"/>
                <w:color w:val="000000" w:themeColor="text1"/>
                <w:szCs w:val="22"/>
              </w:rPr>
              <w:t>± SD</w:t>
            </w:r>
          </w:p>
        </w:tc>
        <w:tc>
          <w:tcPr>
            <w:tcW w:w="3315" w:type="dxa"/>
            <w:gridSpan w:val="2"/>
            <w:tcBorders>
              <w:top w:val="single" w:sz="8" w:space="0" w:color="262E33"/>
              <w:left w:val="nil"/>
              <w:bottom w:val="single" w:sz="8" w:space="0" w:color="262E33"/>
              <w:right w:val="nil"/>
            </w:tcBorders>
            <w:shd w:val="clear" w:color="auto" w:fill="auto"/>
            <w:tcMar>
              <w:top w:w="192" w:type="nil"/>
              <w:left w:w="96" w:type="nil"/>
              <w:bottom w:w="96" w:type="nil"/>
              <w:right w:w="192" w:type="nil"/>
            </w:tcMar>
          </w:tcPr>
          <w:p w14:paraId="71C008EA" w14:textId="77777777" w:rsidR="00D7776A" w:rsidRPr="00537443" w:rsidRDefault="00D7776A" w:rsidP="00531D60">
            <w:pPr>
              <w:keepNext w:val="0"/>
              <w:keepLines w:val="0"/>
              <w:spacing w:after="0" w:line="240" w:lineRule="auto"/>
              <w:rPr>
                <w:rFonts w:asciiTheme="minorHAnsi" w:eastAsiaTheme="minorHAnsi" w:hAnsiTheme="minorHAnsi" w:cstheme="minorHAnsi"/>
                <w:color w:val="000000" w:themeColor="text1"/>
                <w:szCs w:val="22"/>
              </w:rPr>
            </w:pPr>
            <w:r w:rsidRPr="00537443">
              <w:rPr>
                <w:rFonts w:asciiTheme="minorHAnsi" w:eastAsiaTheme="minorHAnsi" w:hAnsiTheme="minorHAnsi" w:cstheme="minorHAnsi"/>
                <w:bCs/>
                <w:i/>
                <w:iCs/>
                <w:color w:val="000000" w:themeColor="text1"/>
                <w:szCs w:val="22"/>
              </w:rPr>
              <w:t>P</w:t>
            </w:r>
          </w:p>
        </w:tc>
      </w:tr>
      <w:tr w:rsidR="00537443" w:rsidRPr="00537443" w14:paraId="17C3AABF" w14:textId="77777777" w:rsidTr="0018742B">
        <w:tblPrEx>
          <w:tblBorders>
            <w:top w:val="none" w:sz="0" w:space="0" w:color="auto"/>
          </w:tblBorders>
        </w:tblPrEx>
        <w:trPr>
          <w:trHeight w:val="353"/>
        </w:trPr>
        <w:tc>
          <w:tcPr>
            <w:tcW w:w="2948" w:type="dxa"/>
            <w:tcBorders>
              <w:top w:val="single" w:sz="8" w:space="0" w:color="262E33"/>
              <w:left w:val="nil"/>
              <w:bottom w:val="single" w:sz="4" w:space="0" w:color="auto"/>
              <w:right w:val="nil"/>
            </w:tcBorders>
            <w:shd w:val="clear" w:color="auto" w:fill="auto"/>
            <w:tcMar>
              <w:top w:w="192" w:type="nil"/>
              <w:left w:w="96" w:type="nil"/>
              <w:bottom w:w="96" w:type="nil"/>
              <w:right w:w="192" w:type="nil"/>
            </w:tcMar>
          </w:tcPr>
          <w:p w14:paraId="2C3818EF" w14:textId="77777777" w:rsidR="00D7776A" w:rsidRPr="00537443" w:rsidRDefault="00D7776A" w:rsidP="00531D60">
            <w:pPr>
              <w:keepNext w:val="0"/>
              <w:keepLines w:val="0"/>
              <w:spacing w:after="0" w:line="240" w:lineRule="auto"/>
              <w:rPr>
                <w:rFonts w:asciiTheme="minorHAnsi" w:eastAsiaTheme="minorHAnsi" w:hAnsiTheme="minorHAnsi" w:cstheme="minorHAnsi"/>
                <w:color w:val="000000" w:themeColor="text1"/>
                <w:szCs w:val="22"/>
              </w:rPr>
            </w:pPr>
            <w:r w:rsidRPr="00537443">
              <w:rPr>
                <w:rFonts w:asciiTheme="minorHAnsi" w:eastAsiaTheme="minorHAnsi" w:hAnsiTheme="minorHAnsi" w:cstheme="minorHAnsi"/>
                <w:color w:val="000000" w:themeColor="text1"/>
                <w:szCs w:val="22"/>
              </w:rPr>
              <w:t>0-25</w:t>
            </w:r>
          </w:p>
          <w:p w14:paraId="7F21559F" w14:textId="77777777" w:rsidR="00D7776A" w:rsidRPr="00537443" w:rsidRDefault="00D7776A" w:rsidP="00531D60">
            <w:pPr>
              <w:keepNext w:val="0"/>
              <w:keepLines w:val="0"/>
              <w:spacing w:after="0" w:line="240" w:lineRule="auto"/>
              <w:rPr>
                <w:rFonts w:asciiTheme="minorHAnsi" w:eastAsiaTheme="minorHAnsi" w:hAnsiTheme="minorHAnsi" w:cstheme="minorHAnsi"/>
                <w:color w:val="000000" w:themeColor="text1"/>
                <w:szCs w:val="22"/>
              </w:rPr>
            </w:pPr>
          </w:p>
        </w:tc>
        <w:tc>
          <w:tcPr>
            <w:tcW w:w="734" w:type="dxa"/>
            <w:tcBorders>
              <w:top w:val="single" w:sz="8" w:space="0" w:color="262E33"/>
              <w:left w:val="nil"/>
              <w:bottom w:val="single" w:sz="4" w:space="0" w:color="auto"/>
              <w:right w:val="nil"/>
            </w:tcBorders>
            <w:shd w:val="clear" w:color="auto" w:fill="auto"/>
            <w:tcMar>
              <w:top w:w="192" w:type="nil"/>
              <w:left w:w="96" w:type="nil"/>
              <w:bottom w:w="96" w:type="nil"/>
              <w:right w:w="192" w:type="nil"/>
            </w:tcMar>
          </w:tcPr>
          <w:p w14:paraId="3CDEBBEF" w14:textId="77777777" w:rsidR="00D7776A" w:rsidRPr="00537443" w:rsidRDefault="00D7776A" w:rsidP="00531D60">
            <w:pPr>
              <w:keepNext w:val="0"/>
              <w:keepLines w:val="0"/>
              <w:spacing w:after="0" w:line="240" w:lineRule="auto"/>
              <w:rPr>
                <w:rFonts w:asciiTheme="minorHAnsi" w:eastAsiaTheme="minorHAnsi" w:hAnsiTheme="minorHAnsi" w:cstheme="minorHAnsi"/>
                <w:color w:val="000000" w:themeColor="text1"/>
                <w:szCs w:val="22"/>
              </w:rPr>
            </w:pPr>
            <w:r w:rsidRPr="00537443">
              <w:rPr>
                <w:rFonts w:asciiTheme="minorHAnsi" w:eastAsiaTheme="minorHAnsi" w:hAnsiTheme="minorHAnsi" w:cstheme="minorHAnsi"/>
                <w:color w:val="000000" w:themeColor="text1"/>
                <w:szCs w:val="22"/>
              </w:rPr>
              <w:t>6</w:t>
            </w:r>
          </w:p>
        </w:tc>
        <w:tc>
          <w:tcPr>
            <w:tcW w:w="2220" w:type="dxa"/>
            <w:tcBorders>
              <w:top w:val="single" w:sz="8" w:space="0" w:color="262E33"/>
              <w:left w:val="nil"/>
              <w:bottom w:val="single" w:sz="4" w:space="0" w:color="auto"/>
              <w:right w:val="nil"/>
            </w:tcBorders>
            <w:shd w:val="clear" w:color="auto" w:fill="auto"/>
            <w:tcMar>
              <w:top w:w="192" w:type="nil"/>
              <w:left w:w="96" w:type="nil"/>
              <w:bottom w:w="96" w:type="nil"/>
              <w:right w:w="192" w:type="nil"/>
            </w:tcMar>
          </w:tcPr>
          <w:p w14:paraId="47DC8D60" w14:textId="77777777" w:rsidR="00D7776A" w:rsidRPr="00537443" w:rsidRDefault="00D7776A" w:rsidP="00531D60">
            <w:pPr>
              <w:keepNext w:val="0"/>
              <w:keepLines w:val="0"/>
              <w:spacing w:after="0" w:line="240" w:lineRule="auto"/>
              <w:rPr>
                <w:rFonts w:asciiTheme="minorHAnsi" w:eastAsiaTheme="minorHAnsi" w:hAnsiTheme="minorHAnsi" w:cstheme="minorHAnsi"/>
                <w:color w:val="000000" w:themeColor="text1"/>
                <w:szCs w:val="22"/>
              </w:rPr>
            </w:pPr>
            <w:r w:rsidRPr="00537443">
              <w:rPr>
                <w:rFonts w:asciiTheme="minorHAnsi" w:eastAsiaTheme="minorHAnsi" w:hAnsiTheme="minorHAnsi" w:cstheme="minorHAnsi"/>
                <w:color w:val="000000" w:themeColor="text1"/>
                <w:szCs w:val="22"/>
              </w:rPr>
              <w:t>47.2 ± 14.5</w:t>
            </w:r>
          </w:p>
        </w:tc>
        <w:tc>
          <w:tcPr>
            <w:tcW w:w="1467" w:type="dxa"/>
            <w:tcBorders>
              <w:top w:val="single" w:sz="8" w:space="0" w:color="262E33"/>
              <w:left w:val="nil"/>
              <w:bottom w:val="single" w:sz="4" w:space="0" w:color="auto"/>
              <w:right w:val="nil"/>
            </w:tcBorders>
            <w:shd w:val="clear" w:color="auto" w:fill="auto"/>
            <w:tcMar>
              <w:top w:w="192" w:type="nil"/>
              <w:left w:w="96" w:type="nil"/>
              <w:bottom w:w="96" w:type="nil"/>
              <w:right w:w="192" w:type="nil"/>
            </w:tcMar>
          </w:tcPr>
          <w:p w14:paraId="732875A3" w14:textId="77777777" w:rsidR="00D7776A" w:rsidRPr="00537443" w:rsidRDefault="00D7776A" w:rsidP="00531D60">
            <w:pPr>
              <w:keepNext w:val="0"/>
              <w:keepLines w:val="0"/>
              <w:spacing w:after="0" w:line="240" w:lineRule="auto"/>
              <w:rPr>
                <w:rFonts w:asciiTheme="minorHAnsi" w:eastAsiaTheme="minorHAnsi" w:hAnsiTheme="minorHAnsi" w:cstheme="minorHAnsi"/>
                <w:color w:val="000000" w:themeColor="text1"/>
                <w:szCs w:val="22"/>
              </w:rPr>
            </w:pPr>
            <w:r w:rsidRPr="00537443">
              <w:rPr>
                <w:rFonts w:asciiTheme="minorHAnsi" w:eastAsiaTheme="minorHAnsi" w:hAnsiTheme="minorHAnsi" w:cstheme="minorHAnsi"/>
                <w:color w:val="000000" w:themeColor="text1"/>
                <w:szCs w:val="22"/>
              </w:rPr>
              <w:t>.001</w:t>
            </w:r>
          </w:p>
        </w:tc>
        <w:tc>
          <w:tcPr>
            <w:tcW w:w="1848" w:type="dxa"/>
            <w:vMerge w:val="restart"/>
            <w:tcBorders>
              <w:top w:val="single" w:sz="8" w:space="0" w:color="262E33"/>
              <w:left w:val="nil"/>
              <w:bottom w:val="single" w:sz="4" w:space="0" w:color="auto"/>
              <w:right w:val="nil"/>
            </w:tcBorders>
            <w:shd w:val="clear" w:color="auto" w:fill="auto"/>
            <w:tcMar>
              <w:top w:w="192" w:type="nil"/>
              <w:left w:w="96" w:type="nil"/>
              <w:bottom w:w="96" w:type="nil"/>
              <w:right w:w="192" w:type="nil"/>
            </w:tcMar>
            <w:vAlign w:val="center"/>
          </w:tcPr>
          <w:p w14:paraId="7235DF47" w14:textId="77777777" w:rsidR="00D7776A" w:rsidRPr="00537443" w:rsidRDefault="00D7776A" w:rsidP="00531D60">
            <w:pPr>
              <w:keepNext w:val="0"/>
              <w:keepLines w:val="0"/>
              <w:spacing w:after="0" w:line="240" w:lineRule="auto"/>
              <w:jc w:val="center"/>
              <w:rPr>
                <w:rFonts w:asciiTheme="minorHAnsi" w:eastAsiaTheme="minorHAnsi" w:hAnsiTheme="minorHAnsi" w:cstheme="minorHAnsi"/>
                <w:color w:val="000000" w:themeColor="text1"/>
                <w:szCs w:val="22"/>
              </w:rPr>
            </w:pPr>
            <w:r w:rsidRPr="00537443">
              <w:rPr>
                <w:rFonts w:asciiTheme="minorHAnsi" w:eastAsiaTheme="minorHAnsi" w:hAnsiTheme="minorHAnsi" w:cstheme="minorHAnsi"/>
                <w:color w:val="000000" w:themeColor="text1"/>
                <w:szCs w:val="22"/>
              </w:rPr>
              <w:t>&lt; .001</w:t>
            </w:r>
          </w:p>
        </w:tc>
      </w:tr>
      <w:tr w:rsidR="00537443" w:rsidRPr="00537443" w14:paraId="282A17A3" w14:textId="77777777" w:rsidTr="0018742B">
        <w:tblPrEx>
          <w:tblBorders>
            <w:top w:val="none" w:sz="0" w:space="0" w:color="auto"/>
          </w:tblBorders>
        </w:tblPrEx>
        <w:trPr>
          <w:trHeight w:val="353"/>
        </w:trPr>
        <w:tc>
          <w:tcPr>
            <w:tcW w:w="2948" w:type="dxa"/>
            <w:tcBorders>
              <w:top w:val="single" w:sz="4" w:space="0" w:color="auto"/>
              <w:left w:val="nil"/>
              <w:bottom w:val="single" w:sz="4" w:space="0" w:color="auto"/>
              <w:right w:val="nil"/>
            </w:tcBorders>
            <w:shd w:val="clear" w:color="auto" w:fill="auto"/>
            <w:tcMar>
              <w:top w:w="192" w:type="nil"/>
              <w:left w:w="96" w:type="nil"/>
              <w:bottom w:w="96" w:type="nil"/>
              <w:right w:w="192" w:type="nil"/>
            </w:tcMar>
          </w:tcPr>
          <w:p w14:paraId="487A0FEB" w14:textId="77777777" w:rsidR="00D7776A" w:rsidRPr="00537443" w:rsidRDefault="00D7776A" w:rsidP="00531D60">
            <w:pPr>
              <w:keepNext w:val="0"/>
              <w:keepLines w:val="0"/>
              <w:spacing w:after="0" w:line="240" w:lineRule="auto"/>
              <w:rPr>
                <w:rFonts w:asciiTheme="minorHAnsi" w:eastAsiaTheme="minorHAnsi" w:hAnsiTheme="minorHAnsi" w:cstheme="minorHAnsi"/>
                <w:color w:val="000000" w:themeColor="text1"/>
                <w:szCs w:val="22"/>
              </w:rPr>
            </w:pPr>
            <w:r w:rsidRPr="00537443">
              <w:rPr>
                <w:rFonts w:asciiTheme="minorHAnsi" w:eastAsiaTheme="minorHAnsi" w:hAnsiTheme="minorHAnsi" w:cstheme="minorHAnsi"/>
                <w:color w:val="000000" w:themeColor="text1"/>
                <w:szCs w:val="22"/>
              </w:rPr>
              <w:t>26-50</w:t>
            </w:r>
          </w:p>
          <w:p w14:paraId="0DC17C7F" w14:textId="77777777" w:rsidR="00D7776A" w:rsidRPr="00537443" w:rsidRDefault="00D7776A" w:rsidP="00531D60">
            <w:pPr>
              <w:keepNext w:val="0"/>
              <w:keepLines w:val="0"/>
              <w:spacing w:after="0" w:line="240" w:lineRule="auto"/>
              <w:rPr>
                <w:rFonts w:asciiTheme="minorHAnsi" w:eastAsiaTheme="minorHAnsi" w:hAnsiTheme="minorHAnsi" w:cstheme="minorHAnsi"/>
                <w:color w:val="000000" w:themeColor="text1"/>
                <w:szCs w:val="22"/>
              </w:rPr>
            </w:pPr>
          </w:p>
        </w:tc>
        <w:tc>
          <w:tcPr>
            <w:tcW w:w="734" w:type="dxa"/>
            <w:tcBorders>
              <w:top w:val="single" w:sz="4" w:space="0" w:color="auto"/>
              <w:left w:val="nil"/>
              <w:bottom w:val="single" w:sz="4" w:space="0" w:color="auto"/>
              <w:right w:val="nil"/>
            </w:tcBorders>
            <w:shd w:val="clear" w:color="auto" w:fill="auto"/>
            <w:tcMar>
              <w:top w:w="192" w:type="nil"/>
              <w:left w:w="96" w:type="nil"/>
              <w:bottom w:w="96" w:type="nil"/>
              <w:right w:w="192" w:type="nil"/>
            </w:tcMar>
          </w:tcPr>
          <w:p w14:paraId="52D1CA9C" w14:textId="77777777" w:rsidR="00D7776A" w:rsidRPr="00537443" w:rsidRDefault="00D7776A" w:rsidP="00531D60">
            <w:pPr>
              <w:keepNext w:val="0"/>
              <w:keepLines w:val="0"/>
              <w:spacing w:after="0" w:line="240" w:lineRule="auto"/>
              <w:rPr>
                <w:rFonts w:asciiTheme="minorHAnsi" w:eastAsiaTheme="minorHAnsi" w:hAnsiTheme="minorHAnsi" w:cstheme="minorHAnsi"/>
                <w:color w:val="000000" w:themeColor="text1"/>
                <w:szCs w:val="22"/>
              </w:rPr>
            </w:pPr>
            <w:r w:rsidRPr="00537443">
              <w:rPr>
                <w:rFonts w:asciiTheme="minorHAnsi" w:eastAsiaTheme="minorHAnsi" w:hAnsiTheme="minorHAnsi" w:cstheme="minorHAnsi"/>
                <w:color w:val="000000" w:themeColor="text1"/>
                <w:szCs w:val="22"/>
              </w:rPr>
              <w:t>20</w:t>
            </w:r>
          </w:p>
        </w:tc>
        <w:tc>
          <w:tcPr>
            <w:tcW w:w="2220" w:type="dxa"/>
            <w:tcBorders>
              <w:top w:val="single" w:sz="4" w:space="0" w:color="auto"/>
              <w:left w:val="nil"/>
              <w:bottom w:val="single" w:sz="4" w:space="0" w:color="auto"/>
              <w:right w:val="nil"/>
            </w:tcBorders>
            <w:shd w:val="clear" w:color="auto" w:fill="auto"/>
            <w:tcMar>
              <w:top w:w="192" w:type="nil"/>
              <w:left w:w="96" w:type="nil"/>
              <w:bottom w:w="96" w:type="nil"/>
              <w:right w:w="192" w:type="nil"/>
            </w:tcMar>
          </w:tcPr>
          <w:p w14:paraId="55569E88" w14:textId="77777777" w:rsidR="00D7776A" w:rsidRPr="00537443" w:rsidRDefault="00D7776A" w:rsidP="00531D60">
            <w:pPr>
              <w:keepNext w:val="0"/>
              <w:keepLines w:val="0"/>
              <w:spacing w:after="0" w:line="240" w:lineRule="auto"/>
              <w:rPr>
                <w:rFonts w:asciiTheme="minorHAnsi" w:eastAsiaTheme="minorHAnsi" w:hAnsiTheme="minorHAnsi" w:cstheme="minorHAnsi"/>
                <w:color w:val="000000" w:themeColor="text1"/>
                <w:szCs w:val="22"/>
              </w:rPr>
            </w:pPr>
            <w:r w:rsidRPr="00537443">
              <w:rPr>
                <w:rFonts w:asciiTheme="minorHAnsi" w:eastAsiaTheme="minorHAnsi" w:hAnsiTheme="minorHAnsi" w:cstheme="minorHAnsi"/>
                <w:color w:val="000000" w:themeColor="text1"/>
                <w:szCs w:val="22"/>
              </w:rPr>
              <w:t>20.1 ± 20.3</w:t>
            </w:r>
          </w:p>
        </w:tc>
        <w:tc>
          <w:tcPr>
            <w:tcW w:w="1467" w:type="dxa"/>
            <w:tcBorders>
              <w:top w:val="single" w:sz="4" w:space="0" w:color="auto"/>
              <w:left w:val="nil"/>
              <w:bottom w:val="single" w:sz="4" w:space="0" w:color="auto"/>
              <w:right w:val="nil"/>
            </w:tcBorders>
            <w:shd w:val="clear" w:color="auto" w:fill="auto"/>
            <w:tcMar>
              <w:top w:w="192" w:type="nil"/>
              <w:left w:w="96" w:type="nil"/>
              <w:bottom w:w="96" w:type="nil"/>
              <w:right w:w="192" w:type="nil"/>
            </w:tcMar>
          </w:tcPr>
          <w:p w14:paraId="770CBBC4" w14:textId="77777777" w:rsidR="00D7776A" w:rsidRPr="00537443" w:rsidRDefault="00D7776A" w:rsidP="00531D60">
            <w:pPr>
              <w:keepNext w:val="0"/>
              <w:keepLines w:val="0"/>
              <w:spacing w:after="0" w:line="240" w:lineRule="auto"/>
              <w:rPr>
                <w:rFonts w:asciiTheme="minorHAnsi" w:eastAsiaTheme="minorHAnsi" w:hAnsiTheme="minorHAnsi" w:cstheme="minorHAnsi"/>
                <w:color w:val="000000" w:themeColor="text1"/>
                <w:szCs w:val="22"/>
              </w:rPr>
            </w:pPr>
            <w:r w:rsidRPr="00537443">
              <w:rPr>
                <w:rFonts w:asciiTheme="minorHAnsi" w:eastAsiaTheme="minorHAnsi" w:hAnsiTheme="minorHAnsi" w:cstheme="minorHAnsi"/>
                <w:color w:val="000000" w:themeColor="text1"/>
                <w:szCs w:val="22"/>
              </w:rPr>
              <w:t>.0002</w:t>
            </w:r>
          </w:p>
        </w:tc>
        <w:tc>
          <w:tcPr>
            <w:tcW w:w="1848" w:type="dxa"/>
            <w:vMerge/>
            <w:tcBorders>
              <w:top w:val="single" w:sz="8" w:space="0" w:color="262E33"/>
              <w:left w:val="nil"/>
              <w:bottom w:val="single" w:sz="4" w:space="0" w:color="auto"/>
              <w:right w:val="nil"/>
            </w:tcBorders>
            <w:shd w:val="clear" w:color="auto" w:fill="auto"/>
            <w:tcMar>
              <w:top w:w="192" w:type="nil"/>
              <w:left w:w="96" w:type="nil"/>
              <w:bottom w:w="96" w:type="nil"/>
              <w:right w:w="192" w:type="nil"/>
            </w:tcMar>
            <w:vAlign w:val="center"/>
          </w:tcPr>
          <w:p w14:paraId="3E8C51C7" w14:textId="77777777" w:rsidR="00D7776A" w:rsidRPr="00537443" w:rsidRDefault="00D7776A" w:rsidP="00531D60">
            <w:pPr>
              <w:keepNext w:val="0"/>
              <w:keepLines w:val="0"/>
              <w:spacing w:after="0" w:line="240" w:lineRule="auto"/>
              <w:jc w:val="center"/>
              <w:rPr>
                <w:rFonts w:asciiTheme="minorHAnsi" w:eastAsiaTheme="minorHAnsi" w:hAnsiTheme="minorHAnsi" w:cstheme="minorHAnsi"/>
                <w:color w:val="000000" w:themeColor="text1"/>
                <w:szCs w:val="22"/>
              </w:rPr>
            </w:pPr>
          </w:p>
        </w:tc>
      </w:tr>
      <w:tr w:rsidR="00537443" w:rsidRPr="00537443" w14:paraId="4F8D1040" w14:textId="77777777" w:rsidTr="0018742B">
        <w:tblPrEx>
          <w:tblBorders>
            <w:top w:val="none" w:sz="0" w:space="0" w:color="auto"/>
          </w:tblBorders>
        </w:tblPrEx>
        <w:trPr>
          <w:trHeight w:val="353"/>
        </w:trPr>
        <w:tc>
          <w:tcPr>
            <w:tcW w:w="2948" w:type="dxa"/>
            <w:tcBorders>
              <w:top w:val="single" w:sz="4" w:space="0" w:color="auto"/>
              <w:left w:val="nil"/>
              <w:bottom w:val="single" w:sz="4" w:space="0" w:color="auto"/>
              <w:right w:val="nil"/>
            </w:tcBorders>
            <w:shd w:val="clear" w:color="auto" w:fill="auto"/>
            <w:tcMar>
              <w:top w:w="192" w:type="nil"/>
              <w:left w:w="96" w:type="nil"/>
              <w:bottom w:w="96" w:type="nil"/>
              <w:right w:w="192" w:type="nil"/>
            </w:tcMar>
          </w:tcPr>
          <w:p w14:paraId="71D9819B" w14:textId="77777777" w:rsidR="00D7776A" w:rsidRPr="00537443" w:rsidRDefault="00D7776A" w:rsidP="00531D60">
            <w:pPr>
              <w:keepNext w:val="0"/>
              <w:keepLines w:val="0"/>
              <w:spacing w:after="0" w:line="240" w:lineRule="auto"/>
              <w:rPr>
                <w:rFonts w:asciiTheme="minorHAnsi" w:eastAsiaTheme="minorHAnsi" w:hAnsiTheme="minorHAnsi" w:cstheme="minorHAnsi"/>
                <w:color w:val="000000" w:themeColor="text1"/>
                <w:szCs w:val="22"/>
              </w:rPr>
            </w:pPr>
            <w:r w:rsidRPr="00537443">
              <w:rPr>
                <w:rFonts w:asciiTheme="minorHAnsi" w:eastAsiaTheme="minorHAnsi" w:hAnsiTheme="minorHAnsi" w:cstheme="minorHAnsi"/>
                <w:color w:val="000000" w:themeColor="text1"/>
                <w:szCs w:val="22"/>
              </w:rPr>
              <w:t>51-75</w:t>
            </w:r>
          </w:p>
          <w:p w14:paraId="404E1CC2" w14:textId="77777777" w:rsidR="00D7776A" w:rsidRPr="00537443" w:rsidRDefault="00D7776A" w:rsidP="00531D60">
            <w:pPr>
              <w:keepNext w:val="0"/>
              <w:keepLines w:val="0"/>
              <w:spacing w:after="0" w:line="240" w:lineRule="auto"/>
              <w:rPr>
                <w:rFonts w:asciiTheme="minorHAnsi" w:eastAsiaTheme="minorHAnsi" w:hAnsiTheme="minorHAnsi" w:cstheme="minorHAnsi"/>
                <w:color w:val="000000" w:themeColor="text1"/>
                <w:szCs w:val="22"/>
              </w:rPr>
            </w:pPr>
          </w:p>
        </w:tc>
        <w:tc>
          <w:tcPr>
            <w:tcW w:w="734" w:type="dxa"/>
            <w:tcBorders>
              <w:top w:val="single" w:sz="4" w:space="0" w:color="auto"/>
              <w:left w:val="nil"/>
              <w:bottom w:val="single" w:sz="4" w:space="0" w:color="auto"/>
              <w:right w:val="nil"/>
            </w:tcBorders>
            <w:shd w:val="clear" w:color="auto" w:fill="auto"/>
            <w:tcMar>
              <w:top w:w="192" w:type="nil"/>
              <w:left w:w="96" w:type="nil"/>
              <w:bottom w:w="96" w:type="nil"/>
              <w:right w:w="192" w:type="nil"/>
            </w:tcMar>
          </w:tcPr>
          <w:p w14:paraId="0FB20549" w14:textId="77777777" w:rsidR="00D7776A" w:rsidRPr="00537443" w:rsidRDefault="00D7776A" w:rsidP="00531D60">
            <w:pPr>
              <w:keepNext w:val="0"/>
              <w:keepLines w:val="0"/>
              <w:spacing w:after="0" w:line="240" w:lineRule="auto"/>
              <w:rPr>
                <w:rFonts w:asciiTheme="minorHAnsi" w:eastAsiaTheme="minorHAnsi" w:hAnsiTheme="minorHAnsi" w:cstheme="minorHAnsi"/>
                <w:color w:val="000000" w:themeColor="text1"/>
                <w:szCs w:val="22"/>
              </w:rPr>
            </w:pPr>
            <w:r w:rsidRPr="00537443">
              <w:rPr>
                <w:rFonts w:asciiTheme="minorHAnsi" w:eastAsiaTheme="minorHAnsi" w:hAnsiTheme="minorHAnsi" w:cstheme="minorHAnsi"/>
                <w:color w:val="000000" w:themeColor="text1"/>
                <w:szCs w:val="22"/>
              </w:rPr>
              <w:t>43</w:t>
            </w:r>
          </w:p>
        </w:tc>
        <w:tc>
          <w:tcPr>
            <w:tcW w:w="2220" w:type="dxa"/>
            <w:tcBorders>
              <w:top w:val="single" w:sz="4" w:space="0" w:color="auto"/>
              <w:left w:val="nil"/>
              <w:bottom w:val="single" w:sz="4" w:space="0" w:color="auto"/>
              <w:right w:val="nil"/>
            </w:tcBorders>
            <w:shd w:val="clear" w:color="auto" w:fill="auto"/>
            <w:tcMar>
              <w:top w:w="192" w:type="nil"/>
              <w:left w:w="96" w:type="nil"/>
              <w:bottom w:w="96" w:type="nil"/>
              <w:right w:w="192" w:type="nil"/>
            </w:tcMar>
          </w:tcPr>
          <w:p w14:paraId="3B818DF2" w14:textId="77777777" w:rsidR="00D7776A" w:rsidRPr="00537443" w:rsidRDefault="00D7776A" w:rsidP="00531D60">
            <w:pPr>
              <w:keepNext w:val="0"/>
              <w:keepLines w:val="0"/>
              <w:spacing w:after="0" w:line="240" w:lineRule="auto"/>
              <w:rPr>
                <w:rFonts w:asciiTheme="minorHAnsi" w:eastAsiaTheme="minorHAnsi" w:hAnsiTheme="minorHAnsi" w:cstheme="minorHAnsi"/>
                <w:color w:val="000000" w:themeColor="text1"/>
                <w:szCs w:val="22"/>
              </w:rPr>
            </w:pPr>
            <w:r w:rsidRPr="00537443">
              <w:rPr>
                <w:rFonts w:asciiTheme="minorHAnsi" w:eastAsiaTheme="minorHAnsi" w:hAnsiTheme="minorHAnsi" w:cstheme="minorHAnsi"/>
                <w:color w:val="000000" w:themeColor="text1"/>
                <w:szCs w:val="22"/>
              </w:rPr>
              <w:t>-1.8 ± 20.0</w:t>
            </w:r>
          </w:p>
        </w:tc>
        <w:tc>
          <w:tcPr>
            <w:tcW w:w="1467" w:type="dxa"/>
            <w:tcBorders>
              <w:top w:val="single" w:sz="4" w:space="0" w:color="auto"/>
              <w:left w:val="nil"/>
              <w:bottom w:val="single" w:sz="4" w:space="0" w:color="auto"/>
              <w:right w:val="nil"/>
            </w:tcBorders>
            <w:shd w:val="clear" w:color="auto" w:fill="auto"/>
            <w:tcMar>
              <w:top w:w="192" w:type="nil"/>
              <w:left w:w="96" w:type="nil"/>
              <w:bottom w:w="96" w:type="nil"/>
              <w:right w:w="192" w:type="nil"/>
            </w:tcMar>
          </w:tcPr>
          <w:p w14:paraId="742F613D" w14:textId="77777777" w:rsidR="00D7776A" w:rsidRPr="00537443" w:rsidRDefault="00D7776A" w:rsidP="00531D60">
            <w:pPr>
              <w:keepNext w:val="0"/>
              <w:keepLines w:val="0"/>
              <w:spacing w:after="0" w:line="240" w:lineRule="auto"/>
              <w:rPr>
                <w:rFonts w:asciiTheme="minorHAnsi" w:eastAsiaTheme="minorHAnsi" w:hAnsiTheme="minorHAnsi" w:cstheme="minorHAnsi"/>
                <w:color w:val="000000" w:themeColor="text1"/>
                <w:szCs w:val="22"/>
              </w:rPr>
            </w:pPr>
            <w:r w:rsidRPr="00537443">
              <w:rPr>
                <w:rFonts w:asciiTheme="minorHAnsi" w:eastAsiaTheme="minorHAnsi" w:hAnsiTheme="minorHAnsi" w:cstheme="minorHAnsi"/>
                <w:color w:val="000000" w:themeColor="text1"/>
                <w:szCs w:val="22"/>
              </w:rPr>
              <w:t>.545</w:t>
            </w:r>
          </w:p>
        </w:tc>
        <w:tc>
          <w:tcPr>
            <w:tcW w:w="1848" w:type="dxa"/>
            <w:vMerge w:val="restart"/>
            <w:tcBorders>
              <w:top w:val="single" w:sz="4" w:space="0" w:color="auto"/>
              <w:left w:val="nil"/>
              <w:bottom w:val="single" w:sz="8" w:space="0" w:color="262E33"/>
              <w:right w:val="nil"/>
            </w:tcBorders>
            <w:shd w:val="clear" w:color="auto" w:fill="auto"/>
            <w:tcMar>
              <w:top w:w="192" w:type="nil"/>
              <w:left w:w="96" w:type="nil"/>
              <w:bottom w:w="96" w:type="nil"/>
              <w:right w:w="192" w:type="nil"/>
            </w:tcMar>
            <w:vAlign w:val="center"/>
          </w:tcPr>
          <w:p w14:paraId="58B269AE" w14:textId="77777777" w:rsidR="00D7776A" w:rsidRPr="00537443" w:rsidRDefault="00D7776A" w:rsidP="00531D60">
            <w:pPr>
              <w:keepNext w:val="0"/>
              <w:keepLines w:val="0"/>
              <w:spacing w:after="0" w:line="240" w:lineRule="auto"/>
              <w:jc w:val="center"/>
              <w:rPr>
                <w:rFonts w:asciiTheme="minorHAnsi" w:eastAsiaTheme="minorHAnsi" w:hAnsiTheme="minorHAnsi" w:cstheme="minorHAnsi"/>
                <w:color w:val="000000" w:themeColor="text1"/>
                <w:szCs w:val="22"/>
              </w:rPr>
            </w:pPr>
            <w:r w:rsidRPr="00537443">
              <w:rPr>
                <w:rFonts w:asciiTheme="minorHAnsi" w:eastAsiaTheme="minorHAnsi" w:hAnsiTheme="minorHAnsi" w:cstheme="minorHAnsi"/>
                <w:color w:val="000000" w:themeColor="text1"/>
                <w:szCs w:val="22"/>
              </w:rPr>
              <w:t>.066</w:t>
            </w:r>
          </w:p>
        </w:tc>
      </w:tr>
      <w:tr w:rsidR="00537443" w:rsidRPr="00537443" w14:paraId="01BD4CB1" w14:textId="77777777" w:rsidTr="0018742B">
        <w:trPr>
          <w:trHeight w:val="353"/>
        </w:trPr>
        <w:tc>
          <w:tcPr>
            <w:tcW w:w="2948" w:type="dxa"/>
            <w:tcBorders>
              <w:top w:val="single" w:sz="4" w:space="0" w:color="auto"/>
              <w:left w:val="nil"/>
              <w:bottom w:val="single" w:sz="8" w:space="0" w:color="262E33"/>
              <w:right w:val="nil"/>
            </w:tcBorders>
            <w:shd w:val="clear" w:color="auto" w:fill="auto"/>
            <w:tcMar>
              <w:top w:w="192" w:type="nil"/>
              <w:left w:w="96" w:type="nil"/>
              <w:bottom w:w="96" w:type="nil"/>
              <w:right w:w="192" w:type="nil"/>
            </w:tcMar>
          </w:tcPr>
          <w:p w14:paraId="71B5517F" w14:textId="77777777" w:rsidR="00D7776A" w:rsidRPr="00537443" w:rsidRDefault="00D7776A" w:rsidP="00531D60">
            <w:pPr>
              <w:keepNext w:val="0"/>
              <w:keepLines w:val="0"/>
              <w:spacing w:after="0" w:line="240" w:lineRule="auto"/>
              <w:rPr>
                <w:rFonts w:asciiTheme="minorHAnsi" w:eastAsiaTheme="minorHAnsi" w:hAnsiTheme="minorHAnsi" w:cstheme="minorHAnsi"/>
                <w:color w:val="000000" w:themeColor="text1"/>
                <w:szCs w:val="22"/>
              </w:rPr>
            </w:pPr>
            <w:r w:rsidRPr="00537443">
              <w:rPr>
                <w:rFonts w:asciiTheme="minorHAnsi" w:eastAsiaTheme="minorHAnsi" w:hAnsiTheme="minorHAnsi" w:cstheme="minorHAnsi"/>
                <w:color w:val="000000" w:themeColor="text1"/>
                <w:szCs w:val="22"/>
              </w:rPr>
              <w:t>76-100</w:t>
            </w:r>
          </w:p>
          <w:p w14:paraId="540464B4" w14:textId="77777777" w:rsidR="00D7776A" w:rsidRPr="00537443" w:rsidRDefault="00D7776A" w:rsidP="00531D60">
            <w:pPr>
              <w:keepNext w:val="0"/>
              <w:keepLines w:val="0"/>
              <w:spacing w:after="0" w:line="240" w:lineRule="auto"/>
              <w:rPr>
                <w:rFonts w:asciiTheme="minorHAnsi" w:eastAsiaTheme="minorHAnsi" w:hAnsiTheme="minorHAnsi" w:cstheme="minorHAnsi"/>
                <w:color w:val="000000" w:themeColor="text1"/>
                <w:szCs w:val="22"/>
              </w:rPr>
            </w:pPr>
          </w:p>
        </w:tc>
        <w:tc>
          <w:tcPr>
            <w:tcW w:w="734" w:type="dxa"/>
            <w:tcBorders>
              <w:top w:val="single" w:sz="4" w:space="0" w:color="auto"/>
              <w:left w:val="nil"/>
              <w:bottom w:val="single" w:sz="8" w:space="0" w:color="262E33"/>
              <w:right w:val="nil"/>
            </w:tcBorders>
            <w:shd w:val="clear" w:color="auto" w:fill="auto"/>
            <w:tcMar>
              <w:top w:w="192" w:type="nil"/>
              <w:left w:w="96" w:type="nil"/>
              <w:bottom w:w="96" w:type="nil"/>
              <w:right w:w="192" w:type="nil"/>
            </w:tcMar>
          </w:tcPr>
          <w:p w14:paraId="47983910" w14:textId="77777777" w:rsidR="00D7776A" w:rsidRPr="00537443" w:rsidRDefault="00D7776A" w:rsidP="00531D60">
            <w:pPr>
              <w:keepNext w:val="0"/>
              <w:keepLines w:val="0"/>
              <w:spacing w:after="0" w:line="240" w:lineRule="auto"/>
              <w:rPr>
                <w:rFonts w:asciiTheme="minorHAnsi" w:eastAsiaTheme="minorHAnsi" w:hAnsiTheme="minorHAnsi" w:cstheme="minorHAnsi"/>
                <w:color w:val="000000" w:themeColor="text1"/>
                <w:szCs w:val="22"/>
              </w:rPr>
            </w:pPr>
            <w:r w:rsidRPr="00537443">
              <w:rPr>
                <w:rFonts w:asciiTheme="minorHAnsi" w:eastAsiaTheme="minorHAnsi" w:hAnsiTheme="minorHAnsi" w:cstheme="minorHAnsi"/>
                <w:color w:val="000000" w:themeColor="text1"/>
                <w:szCs w:val="22"/>
              </w:rPr>
              <w:t>10</w:t>
            </w:r>
          </w:p>
        </w:tc>
        <w:tc>
          <w:tcPr>
            <w:tcW w:w="2220" w:type="dxa"/>
            <w:tcBorders>
              <w:top w:val="single" w:sz="4" w:space="0" w:color="auto"/>
              <w:left w:val="nil"/>
              <w:bottom w:val="single" w:sz="8" w:space="0" w:color="262E33"/>
              <w:right w:val="nil"/>
            </w:tcBorders>
            <w:shd w:val="clear" w:color="auto" w:fill="auto"/>
            <w:tcMar>
              <w:top w:w="192" w:type="nil"/>
              <w:left w:w="96" w:type="nil"/>
              <w:bottom w:w="96" w:type="nil"/>
              <w:right w:w="192" w:type="nil"/>
            </w:tcMar>
          </w:tcPr>
          <w:p w14:paraId="35D1F554" w14:textId="77777777" w:rsidR="00D7776A" w:rsidRPr="00537443" w:rsidRDefault="00D7776A" w:rsidP="00531D60">
            <w:pPr>
              <w:keepNext w:val="0"/>
              <w:keepLines w:val="0"/>
              <w:spacing w:after="0" w:line="240" w:lineRule="auto"/>
              <w:rPr>
                <w:rFonts w:asciiTheme="minorHAnsi" w:eastAsiaTheme="minorHAnsi" w:hAnsiTheme="minorHAnsi" w:cstheme="minorHAnsi"/>
                <w:color w:val="000000" w:themeColor="text1"/>
                <w:szCs w:val="22"/>
              </w:rPr>
            </w:pPr>
            <w:r w:rsidRPr="00537443">
              <w:rPr>
                <w:rFonts w:asciiTheme="minorHAnsi" w:eastAsiaTheme="minorHAnsi" w:hAnsiTheme="minorHAnsi" w:cstheme="minorHAnsi"/>
                <w:color w:val="000000" w:themeColor="text1"/>
                <w:szCs w:val="22"/>
              </w:rPr>
              <w:t>-26.8 ± 36.3</w:t>
            </w:r>
          </w:p>
        </w:tc>
        <w:tc>
          <w:tcPr>
            <w:tcW w:w="1467" w:type="dxa"/>
            <w:tcBorders>
              <w:top w:val="single" w:sz="4" w:space="0" w:color="auto"/>
              <w:left w:val="nil"/>
              <w:bottom w:val="single" w:sz="8" w:space="0" w:color="262E33"/>
              <w:right w:val="nil"/>
            </w:tcBorders>
            <w:shd w:val="clear" w:color="auto" w:fill="auto"/>
            <w:tcMar>
              <w:top w:w="192" w:type="nil"/>
              <w:left w:w="96" w:type="nil"/>
              <w:bottom w:w="96" w:type="nil"/>
              <w:right w:w="192" w:type="nil"/>
            </w:tcMar>
          </w:tcPr>
          <w:p w14:paraId="52BD5B2D" w14:textId="77777777" w:rsidR="00D7776A" w:rsidRPr="00537443" w:rsidRDefault="00D7776A" w:rsidP="00531D60">
            <w:pPr>
              <w:keepNext w:val="0"/>
              <w:keepLines w:val="0"/>
              <w:spacing w:after="0" w:line="240" w:lineRule="auto"/>
              <w:rPr>
                <w:rFonts w:asciiTheme="minorHAnsi" w:eastAsiaTheme="minorHAnsi" w:hAnsiTheme="minorHAnsi" w:cstheme="minorHAnsi"/>
                <w:color w:val="000000" w:themeColor="text1"/>
                <w:szCs w:val="22"/>
              </w:rPr>
            </w:pPr>
            <w:r w:rsidRPr="00537443">
              <w:rPr>
                <w:rFonts w:asciiTheme="minorHAnsi" w:eastAsiaTheme="minorHAnsi" w:hAnsiTheme="minorHAnsi" w:cstheme="minorHAnsi"/>
                <w:color w:val="000000" w:themeColor="text1"/>
                <w:szCs w:val="22"/>
              </w:rPr>
              <w:t>.045</w:t>
            </w:r>
          </w:p>
        </w:tc>
        <w:tc>
          <w:tcPr>
            <w:tcW w:w="1848" w:type="dxa"/>
            <w:vMerge/>
            <w:tcBorders>
              <w:top w:val="single" w:sz="8" w:space="0" w:color="262E33"/>
              <w:left w:val="nil"/>
              <w:bottom w:val="single" w:sz="8" w:space="0" w:color="262E33"/>
              <w:right w:val="nil"/>
            </w:tcBorders>
            <w:shd w:val="clear" w:color="auto" w:fill="auto"/>
            <w:tcMar>
              <w:top w:w="192" w:type="nil"/>
              <w:left w:w="96" w:type="nil"/>
              <w:bottom w:w="96" w:type="nil"/>
              <w:right w:w="192" w:type="nil"/>
            </w:tcMar>
          </w:tcPr>
          <w:p w14:paraId="455FA803" w14:textId="77777777" w:rsidR="00D7776A" w:rsidRPr="00537443" w:rsidRDefault="00D7776A" w:rsidP="00531D60">
            <w:pPr>
              <w:keepNext w:val="0"/>
              <w:keepLines w:val="0"/>
              <w:spacing w:after="0" w:line="240" w:lineRule="auto"/>
              <w:rPr>
                <w:rFonts w:asciiTheme="minorHAnsi" w:eastAsiaTheme="minorHAnsi" w:hAnsiTheme="minorHAnsi" w:cstheme="minorHAnsi"/>
                <w:color w:val="000000" w:themeColor="text1"/>
                <w:szCs w:val="22"/>
              </w:rPr>
            </w:pPr>
          </w:p>
        </w:tc>
      </w:tr>
    </w:tbl>
    <w:p w14:paraId="1C8071C6" w14:textId="399009F5" w:rsidR="00D7776A" w:rsidRPr="00537443" w:rsidRDefault="00D7776A" w:rsidP="003A3A37">
      <w:pPr>
        <w:pStyle w:val="Caption"/>
        <w:pageBreakBefore/>
        <w:rPr>
          <w:rFonts w:asciiTheme="minorHAnsi" w:hAnsiTheme="minorHAnsi" w:cstheme="minorHAnsi"/>
          <w:color w:val="000000" w:themeColor="text1"/>
          <w:sz w:val="22"/>
          <w:szCs w:val="22"/>
        </w:rPr>
      </w:pPr>
      <w:bookmarkStart w:id="15" w:name="_Ref518925703"/>
      <w:r w:rsidRPr="00537443">
        <w:rPr>
          <w:rFonts w:asciiTheme="minorHAnsi" w:hAnsiTheme="minorHAnsi" w:cstheme="minorHAnsi"/>
          <w:color w:val="000000" w:themeColor="text1"/>
          <w:sz w:val="22"/>
          <w:szCs w:val="22"/>
        </w:rPr>
        <w:lastRenderedPageBreak/>
        <w:t xml:space="preserve">Table </w:t>
      </w:r>
      <w:r w:rsidRPr="00537443">
        <w:rPr>
          <w:rFonts w:asciiTheme="minorHAnsi" w:hAnsiTheme="minorHAnsi" w:cstheme="minorHAnsi"/>
          <w:color w:val="000000" w:themeColor="text1"/>
          <w:sz w:val="22"/>
          <w:szCs w:val="22"/>
        </w:rPr>
        <w:fldChar w:fldCharType="begin"/>
      </w:r>
      <w:r w:rsidRPr="00537443">
        <w:rPr>
          <w:rFonts w:asciiTheme="minorHAnsi" w:hAnsiTheme="minorHAnsi" w:cstheme="minorHAnsi"/>
          <w:color w:val="000000" w:themeColor="text1"/>
          <w:sz w:val="22"/>
          <w:szCs w:val="22"/>
        </w:rPr>
        <w:instrText xml:space="preserve"> SEQ Table \* ARABIC \s 1 </w:instrText>
      </w:r>
      <w:r w:rsidRPr="00537443">
        <w:rPr>
          <w:rFonts w:asciiTheme="minorHAnsi" w:hAnsiTheme="minorHAnsi" w:cstheme="minorHAnsi"/>
          <w:color w:val="000000" w:themeColor="text1"/>
          <w:sz w:val="22"/>
          <w:szCs w:val="22"/>
        </w:rPr>
        <w:fldChar w:fldCharType="separate"/>
      </w:r>
      <w:r w:rsidRPr="00537443">
        <w:rPr>
          <w:rFonts w:asciiTheme="minorHAnsi" w:hAnsiTheme="minorHAnsi" w:cstheme="minorHAnsi"/>
          <w:noProof/>
          <w:color w:val="000000" w:themeColor="text1"/>
          <w:sz w:val="22"/>
          <w:szCs w:val="22"/>
        </w:rPr>
        <w:t>2</w:t>
      </w:r>
      <w:r w:rsidRPr="00537443">
        <w:rPr>
          <w:rFonts w:asciiTheme="minorHAnsi" w:hAnsiTheme="minorHAnsi" w:cstheme="minorHAnsi"/>
          <w:color w:val="000000" w:themeColor="text1"/>
          <w:sz w:val="22"/>
          <w:szCs w:val="22"/>
        </w:rPr>
        <w:fldChar w:fldCharType="end"/>
      </w:r>
      <w:bookmarkEnd w:id="15"/>
    </w:p>
    <w:p w14:paraId="069974F3" w14:textId="185FA245" w:rsidR="00D7776A" w:rsidRPr="00537443" w:rsidRDefault="00D7776A" w:rsidP="003A3A37">
      <w:pPr>
        <w:keepNext w:val="0"/>
        <w:keepLines w:val="0"/>
        <w:spacing w:line="48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Information on the 10 individuals for whom clinicians had high diagnostic confidence before imaging (VAS score &gt; 75). AD = Alzheimer’s disease, FTD = Frontotemporal dementia, MCI = Mild cognitive impairment, NAD = No appreciable disease</w:t>
      </w:r>
    </w:p>
    <w:tbl>
      <w:tblPr>
        <w:tblStyle w:val="TableGrid"/>
        <w:tblW w:w="9092" w:type="dxa"/>
        <w:tblLook w:val="04A0" w:firstRow="1" w:lastRow="0" w:firstColumn="1" w:lastColumn="0" w:noHBand="0" w:noVBand="1"/>
      </w:tblPr>
      <w:tblGrid>
        <w:gridCol w:w="872"/>
        <w:gridCol w:w="1244"/>
        <w:gridCol w:w="1369"/>
        <w:gridCol w:w="1244"/>
        <w:gridCol w:w="1369"/>
        <w:gridCol w:w="1651"/>
        <w:gridCol w:w="1343"/>
      </w:tblGrid>
      <w:tr w:rsidR="00537443" w:rsidRPr="00537443" w14:paraId="2988E6BB" w14:textId="77777777" w:rsidTr="00724413">
        <w:trPr>
          <w:trHeight w:val="442"/>
        </w:trPr>
        <w:tc>
          <w:tcPr>
            <w:tcW w:w="872" w:type="dxa"/>
            <w:tcBorders>
              <w:top w:val="single" w:sz="8" w:space="0" w:color="262E33"/>
              <w:left w:val="nil"/>
              <w:bottom w:val="single" w:sz="8" w:space="0" w:color="262E33"/>
              <w:right w:val="nil"/>
            </w:tcBorders>
            <w:shd w:val="clear" w:color="auto" w:fill="auto"/>
            <w:noWrap/>
            <w:hideMark/>
          </w:tcPr>
          <w:p w14:paraId="482854B6"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ID</w:t>
            </w:r>
          </w:p>
        </w:tc>
        <w:tc>
          <w:tcPr>
            <w:tcW w:w="1244" w:type="dxa"/>
            <w:tcBorders>
              <w:top w:val="single" w:sz="8" w:space="0" w:color="262E33"/>
              <w:left w:val="nil"/>
              <w:bottom w:val="single" w:sz="8" w:space="0" w:color="262E33"/>
              <w:right w:val="nil"/>
            </w:tcBorders>
            <w:shd w:val="clear" w:color="auto" w:fill="auto"/>
            <w:noWrap/>
            <w:hideMark/>
          </w:tcPr>
          <w:p w14:paraId="4E469A11"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Diagnosis (pre-imaging)</w:t>
            </w:r>
          </w:p>
        </w:tc>
        <w:tc>
          <w:tcPr>
            <w:tcW w:w="1369" w:type="dxa"/>
            <w:tcBorders>
              <w:top w:val="single" w:sz="8" w:space="0" w:color="262E33"/>
              <w:left w:val="nil"/>
              <w:bottom w:val="single" w:sz="8" w:space="0" w:color="262E33"/>
              <w:right w:val="nil"/>
            </w:tcBorders>
            <w:shd w:val="clear" w:color="auto" w:fill="auto"/>
            <w:noWrap/>
            <w:hideMark/>
          </w:tcPr>
          <w:p w14:paraId="059150C0" w14:textId="03EADE96"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Confidence (</w:t>
            </w:r>
            <w:r w:rsidR="005A24F5">
              <w:rPr>
                <w:rFonts w:asciiTheme="minorHAnsi" w:hAnsiTheme="minorHAnsi" w:cstheme="minorHAnsi"/>
                <w:color w:val="000000" w:themeColor="text1"/>
                <w:szCs w:val="22"/>
              </w:rPr>
              <w:t xml:space="preserve">pre-imaging </w:t>
            </w:r>
            <w:r w:rsidRPr="00537443">
              <w:rPr>
                <w:rFonts w:asciiTheme="minorHAnsi" w:hAnsiTheme="minorHAnsi" w:cstheme="minorHAnsi"/>
                <w:color w:val="000000" w:themeColor="text1"/>
                <w:szCs w:val="22"/>
              </w:rPr>
              <w:t>VAS score)</w:t>
            </w:r>
          </w:p>
        </w:tc>
        <w:tc>
          <w:tcPr>
            <w:tcW w:w="1244" w:type="dxa"/>
            <w:tcBorders>
              <w:top w:val="single" w:sz="8" w:space="0" w:color="262E33"/>
              <w:left w:val="nil"/>
              <w:bottom w:val="single" w:sz="8" w:space="0" w:color="262E33"/>
              <w:right w:val="nil"/>
            </w:tcBorders>
            <w:shd w:val="clear" w:color="auto" w:fill="auto"/>
            <w:noWrap/>
            <w:hideMark/>
          </w:tcPr>
          <w:p w14:paraId="32D38FAC"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Diagnosis (post-imaging)</w:t>
            </w:r>
          </w:p>
        </w:tc>
        <w:tc>
          <w:tcPr>
            <w:tcW w:w="1369" w:type="dxa"/>
            <w:tcBorders>
              <w:top w:val="single" w:sz="8" w:space="0" w:color="262E33"/>
              <w:left w:val="nil"/>
              <w:bottom w:val="single" w:sz="8" w:space="0" w:color="262E33"/>
              <w:right w:val="nil"/>
            </w:tcBorders>
            <w:shd w:val="clear" w:color="auto" w:fill="auto"/>
            <w:noWrap/>
            <w:hideMark/>
          </w:tcPr>
          <w:p w14:paraId="793B7C9E" w14:textId="29AAF644"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Confidence (</w:t>
            </w:r>
            <w:r w:rsidR="005A24F5">
              <w:rPr>
                <w:rFonts w:asciiTheme="minorHAnsi" w:hAnsiTheme="minorHAnsi" w:cstheme="minorHAnsi"/>
                <w:color w:val="000000" w:themeColor="text1"/>
                <w:szCs w:val="22"/>
              </w:rPr>
              <w:t xml:space="preserve">post-imaging </w:t>
            </w:r>
            <w:r w:rsidRPr="00537443">
              <w:rPr>
                <w:rFonts w:asciiTheme="minorHAnsi" w:hAnsiTheme="minorHAnsi" w:cstheme="minorHAnsi"/>
                <w:color w:val="000000" w:themeColor="text1"/>
                <w:szCs w:val="22"/>
              </w:rPr>
              <w:t>VAS score)</w:t>
            </w:r>
          </w:p>
        </w:tc>
        <w:tc>
          <w:tcPr>
            <w:tcW w:w="1651" w:type="dxa"/>
            <w:tcBorders>
              <w:top w:val="single" w:sz="8" w:space="0" w:color="262E33"/>
              <w:left w:val="nil"/>
              <w:bottom w:val="single" w:sz="8" w:space="0" w:color="262E33"/>
              <w:right w:val="nil"/>
            </w:tcBorders>
            <w:shd w:val="clear" w:color="auto" w:fill="auto"/>
            <w:noWrap/>
            <w:hideMark/>
          </w:tcPr>
          <w:p w14:paraId="7A28B002"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Confidence change (change in VAS score)</w:t>
            </w:r>
          </w:p>
        </w:tc>
        <w:tc>
          <w:tcPr>
            <w:tcW w:w="1343" w:type="dxa"/>
            <w:tcBorders>
              <w:top w:val="single" w:sz="8" w:space="0" w:color="262E33"/>
              <w:left w:val="nil"/>
              <w:bottom w:val="single" w:sz="8" w:space="0" w:color="262E33"/>
              <w:right w:val="nil"/>
            </w:tcBorders>
            <w:shd w:val="clear" w:color="auto" w:fill="auto"/>
            <w:noWrap/>
            <w:hideMark/>
          </w:tcPr>
          <w:p w14:paraId="05F52B40"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SPECT result</w:t>
            </w:r>
          </w:p>
        </w:tc>
      </w:tr>
      <w:tr w:rsidR="00537443" w:rsidRPr="00537443" w14:paraId="0ECD1AB2" w14:textId="77777777" w:rsidTr="00724413">
        <w:trPr>
          <w:trHeight w:val="555"/>
        </w:trPr>
        <w:tc>
          <w:tcPr>
            <w:tcW w:w="872" w:type="dxa"/>
            <w:tcBorders>
              <w:top w:val="single" w:sz="8" w:space="0" w:color="262E33"/>
              <w:left w:val="nil"/>
              <w:bottom w:val="nil"/>
              <w:right w:val="nil"/>
            </w:tcBorders>
            <w:noWrap/>
            <w:hideMark/>
          </w:tcPr>
          <w:p w14:paraId="04085B6B" w14:textId="77777777" w:rsidR="00D7776A" w:rsidRPr="00537443" w:rsidRDefault="00D7776A" w:rsidP="00531D60">
            <w:pPr>
              <w:keepNext w:val="0"/>
              <w:keepLines w:val="0"/>
              <w:spacing w:line="240" w:lineRule="auto"/>
              <w:rPr>
                <w:rFonts w:asciiTheme="minorHAnsi" w:hAnsiTheme="minorHAnsi" w:cstheme="minorHAnsi"/>
                <w:i/>
                <w:color w:val="000000" w:themeColor="text1"/>
                <w:szCs w:val="22"/>
              </w:rPr>
            </w:pPr>
            <w:r w:rsidRPr="00537443">
              <w:rPr>
                <w:rFonts w:asciiTheme="minorHAnsi" w:hAnsiTheme="minorHAnsi" w:cstheme="minorHAnsi"/>
                <w:i/>
                <w:color w:val="000000" w:themeColor="text1"/>
                <w:szCs w:val="22"/>
              </w:rPr>
              <w:t>1</w:t>
            </w:r>
          </w:p>
        </w:tc>
        <w:tc>
          <w:tcPr>
            <w:tcW w:w="1244" w:type="dxa"/>
            <w:tcBorders>
              <w:top w:val="single" w:sz="8" w:space="0" w:color="262E33"/>
              <w:left w:val="nil"/>
              <w:bottom w:val="nil"/>
              <w:right w:val="nil"/>
            </w:tcBorders>
            <w:noWrap/>
            <w:hideMark/>
          </w:tcPr>
          <w:p w14:paraId="4FA7D649"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FTD</w:t>
            </w:r>
          </w:p>
        </w:tc>
        <w:tc>
          <w:tcPr>
            <w:tcW w:w="1369" w:type="dxa"/>
            <w:tcBorders>
              <w:top w:val="single" w:sz="8" w:space="0" w:color="262E33"/>
              <w:left w:val="nil"/>
              <w:bottom w:val="nil"/>
              <w:right w:val="nil"/>
            </w:tcBorders>
            <w:noWrap/>
            <w:hideMark/>
          </w:tcPr>
          <w:p w14:paraId="74D4941F"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81</w:t>
            </w:r>
          </w:p>
        </w:tc>
        <w:tc>
          <w:tcPr>
            <w:tcW w:w="1244" w:type="dxa"/>
            <w:tcBorders>
              <w:top w:val="single" w:sz="8" w:space="0" w:color="262E33"/>
              <w:left w:val="nil"/>
              <w:bottom w:val="nil"/>
              <w:right w:val="nil"/>
            </w:tcBorders>
            <w:noWrap/>
            <w:hideMark/>
          </w:tcPr>
          <w:p w14:paraId="1A434ECB"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FTD</w:t>
            </w:r>
          </w:p>
        </w:tc>
        <w:tc>
          <w:tcPr>
            <w:tcW w:w="1369" w:type="dxa"/>
            <w:tcBorders>
              <w:top w:val="single" w:sz="8" w:space="0" w:color="262E33"/>
              <w:left w:val="nil"/>
              <w:bottom w:val="nil"/>
              <w:right w:val="nil"/>
            </w:tcBorders>
            <w:noWrap/>
            <w:hideMark/>
          </w:tcPr>
          <w:p w14:paraId="23327A05"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100</w:t>
            </w:r>
          </w:p>
        </w:tc>
        <w:tc>
          <w:tcPr>
            <w:tcW w:w="1651" w:type="dxa"/>
            <w:tcBorders>
              <w:top w:val="single" w:sz="8" w:space="0" w:color="262E33"/>
              <w:left w:val="nil"/>
              <w:bottom w:val="nil"/>
              <w:right w:val="nil"/>
            </w:tcBorders>
            <w:noWrap/>
            <w:hideMark/>
          </w:tcPr>
          <w:p w14:paraId="627FD51A"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+19</w:t>
            </w:r>
          </w:p>
        </w:tc>
        <w:tc>
          <w:tcPr>
            <w:tcW w:w="1343" w:type="dxa"/>
            <w:tcBorders>
              <w:top w:val="single" w:sz="8" w:space="0" w:color="262E33"/>
              <w:left w:val="nil"/>
              <w:bottom w:val="nil"/>
              <w:right w:val="nil"/>
            </w:tcBorders>
            <w:noWrap/>
            <w:hideMark/>
          </w:tcPr>
          <w:p w14:paraId="5D1F24A1"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FTD</w:t>
            </w:r>
          </w:p>
        </w:tc>
      </w:tr>
      <w:tr w:rsidR="00537443" w:rsidRPr="00537443" w14:paraId="2CF849C9" w14:textId="77777777" w:rsidTr="00531D60">
        <w:trPr>
          <w:trHeight w:val="555"/>
        </w:trPr>
        <w:tc>
          <w:tcPr>
            <w:tcW w:w="872" w:type="dxa"/>
            <w:tcBorders>
              <w:top w:val="nil"/>
              <w:left w:val="nil"/>
              <w:bottom w:val="nil"/>
              <w:right w:val="nil"/>
            </w:tcBorders>
            <w:noWrap/>
            <w:hideMark/>
          </w:tcPr>
          <w:p w14:paraId="6D85C8D9" w14:textId="77777777" w:rsidR="00D7776A" w:rsidRPr="00537443" w:rsidRDefault="00D7776A" w:rsidP="00531D60">
            <w:pPr>
              <w:keepNext w:val="0"/>
              <w:keepLines w:val="0"/>
              <w:spacing w:line="240" w:lineRule="auto"/>
              <w:rPr>
                <w:rFonts w:asciiTheme="minorHAnsi" w:hAnsiTheme="minorHAnsi" w:cstheme="minorHAnsi"/>
                <w:i/>
                <w:color w:val="000000" w:themeColor="text1"/>
                <w:szCs w:val="22"/>
              </w:rPr>
            </w:pPr>
            <w:r w:rsidRPr="00537443">
              <w:rPr>
                <w:rFonts w:asciiTheme="minorHAnsi" w:hAnsiTheme="minorHAnsi" w:cstheme="minorHAnsi"/>
                <w:i/>
                <w:color w:val="000000" w:themeColor="text1"/>
                <w:szCs w:val="22"/>
              </w:rPr>
              <w:t>2</w:t>
            </w:r>
          </w:p>
        </w:tc>
        <w:tc>
          <w:tcPr>
            <w:tcW w:w="1244" w:type="dxa"/>
            <w:tcBorders>
              <w:top w:val="nil"/>
              <w:left w:val="nil"/>
              <w:bottom w:val="nil"/>
              <w:right w:val="nil"/>
            </w:tcBorders>
            <w:noWrap/>
            <w:hideMark/>
          </w:tcPr>
          <w:p w14:paraId="407710C9"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AD</w:t>
            </w:r>
          </w:p>
        </w:tc>
        <w:tc>
          <w:tcPr>
            <w:tcW w:w="1369" w:type="dxa"/>
            <w:tcBorders>
              <w:top w:val="nil"/>
              <w:left w:val="nil"/>
              <w:bottom w:val="nil"/>
              <w:right w:val="nil"/>
            </w:tcBorders>
            <w:noWrap/>
            <w:hideMark/>
          </w:tcPr>
          <w:p w14:paraId="32CBD4D9"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85</w:t>
            </w:r>
          </w:p>
        </w:tc>
        <w:tc>
          <w:tcPr>
            <w:tcW w:w="1244" w:type="dxa"/>
            <w:tcBorders>
              <w:top w:val="nil"/>
              <w:left w:val="nil"/>
              <w:bottom w:val="nil"/>
              <w:right w:val="nil"/>
            </w:tcBorders>
            <w:noWrap/>
            <w:hideMark/>
          </w:tcPr>
          <w:p w14:paraId="50B15CE7"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AD</w:t>
            </w:r>
          </w:p>
        </w:tc>
        <w:tc>
          <w:tcPr>
            <w:tcW w:w="1369" w:type="dxa"/>
            <w:tcBorders>
              <w:top w:val="nil"/>
              <w:left w:val="nil"/>
              <w:bottom w:val="nil"/>
              <w:right w:val="nil"/>
            </w:tcBorders>
            <w:noWrap/>
            <w:hideMark/>
          </w:tcPr>
          <w:p w14:paraId="3F45DC1D"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100</w:t>
            </w:r>
          </w:p>
        </w:tc>
        <w:tc>
          <w:tcPr>
            <w:tcW w:w="1651" w:type="dxa"/>
            <w:tcBorders>
              <w:top w:val="nil"/>
              <w:left w:val="nil"/>
              <w:bottom w:val="nil"/>
              <w:right w:val="nil"/>
            </w:tcBorders>
            <w:noWrap/>
            <w:hideMark/>
          </w:tcPr>
          <w:p w14:paraId="761A2856"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+15</w:t>
            </w:r>
          </w:p>
        </w:tc>
        <w:tc>
          <w:tcPr>
            <w:tcW w:w="1343" w:type="dxa"/>
            <w:tcBorders>
              <w:top w:val="nil"/>
              <w:left w:val="nil"/>
              <w:bottom w:val="nil"/>
              <w:right w:val="nil"/>
            </w:tcBorders>
            <w:noWrap/>
            <w:hideMark/>
          </w:tcPr>
          <w:p w14:paraId="648A6958"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AD</w:t>
            </w:r>
          </w:p>
        </w:tc>
      </w:tr>
      <w:tr w:rsidR="00537443" w:rsidRPr="00537443" w14:paraId="373BE3B3" w14:textId="77777777" w:rsidTr="00531D60">
        <w:trPr>
          <w:trHeight w:val="555"/>
        </w:trPr>
        <w:tc>
          <w:tcPr>
            <w:tcW w:w="872" w:type="dxa"/>
            <w:tcBorders>
              <w:top w:val="nil"/>
              <w:left w:val="nil"/>
              <w:bottom w:val="nil"/>
              <w:right w:val="nil"/>
            </w:tcBorders>
            <w:noWrap/>
            <w:hideMark/>
          </w:tcPr>
          <w:p w14:paraId="4C335E50" w14:textId="77777777" w:rsidR="00D7776A" w:rsidRPr="00537443" w:rsidRDefault="00D7776A" w:rsidP="00531D60">
            <w:pPr>
              <w:keepNext w:val="0"/>
              <w:keepLines w:val="0"/>
              <w:spacing w:line="240" w:lineRule="auto"/>
              <w:rPr>
                <w:rFonts w:asciiTheme="minorHAnsi" w:hAnsiTheme="minorHAnsi" w:cstheme="minorHAnsi"/>
                <w:i/>
                <w:color w:val="000000" w:themeColor="text1"/>
                <w:szCs w:val="22"/>
              </w:rPr>
            </w:pPr>
            <w:r w:rsidRPr="00537443">
              <w:rPr>
                <w:rFonts w:asciiTheme="minorHAnsi" w:hAnsiTheme="minorHAnsi" w:cstheme="minorHAnsi"/>
                <w:i/>
                <w:color w:val="000000" w:themeColor="text1"/>
                <w:szCs w:val="22"/>
              </w:rPr>
              <w:t>3</w:t>
            </w:r>
          </w:p>
        </w:tc>
        <w:tc>
          <w:tcPr>
            <w:tcW w:w="1244" w:type="dxa"/>
            <w:tcBorders>
              <w:top w:val="nil"/>
              <w:left w:val="nil"/>
              <w:bottom w:val="nil"/>
              <w:right w:val="nil"/>
            </w:tcBorders>
            <w:noWrap/>
            <w:hideMark/>
          </w:tcPr>
          <w:p w14:paraId="69B6090A"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AD</w:t>
            </w:r>
          </w:p>
        </w:tc>
        <w:tc>
          <w:tcPr>
            <w:tcW w:w="1369" w:type="dxa"/>
            <w:tcBorders>
              <w:top w:val="nil"/>
              <w:left w:val="nil"/>
              <w:bottom w:val="nil"/>
              <w:right w:val="nil"/>
            </w:tcBorders>
            <w:noWrap/>
            <w:hideMark/>
          </w:tcPr>
          <w:p w14:paraId="0785A6A5"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100</w:t>
            </w:r>
          </w:p>
        </w:tc>
        <w:tc>
          <w:tcPr>
            <w:tcW w:w="1244" w:type="dxa"/>
            <w:tcBorders>
              <w:top w:val="nil"/>
              <w:left w:val="nil"/>
              <w:bottom w:val="nil"/>
              <w:right w:val="nil"/>
            </w:tcBorders>
            <w:noWrap/>
            <w:hideMark/>
          </w:tcPr>
          <w:p w14:paraId="2D56AB89" w14:textId="6033FEEF"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AD</w:t>
            </w:r>
          </w:p>
        </w:tc>
        <w:tc>
          <w:tcPr>
            <w:tcW w:w="1369" w:type="dxa"/>
            <w:tcBorders>
              <w:top w:val="nil"/>
              <w:left w:val="nil"/>
              <w:bottom w:val="nil"/>
              <w:right w:val="nil"/>
            </w:tcBorders>
            <w:noWrap/>
            <w:hideMark/>
          </w:tcPr>
          <w:p w14:paraId="70FF64F5"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100</w:t>
            </w:r>
          </w:p>
        </w:tc>
        <w:tc>
          <w:tcPr>
            <w:tcW w:w="1651" w:type="dxa"/>
            <w:tcBorders>
              <w:top w:val="nil"/>
              <w:left w:val="nil"/>
              <w:bottom w:val="nil"/>
              <w:right w:val="nil"/>
            </w:tcBorders>
            <w:noWrap/>
            <w:hideMark/>
          </w:tcPr>
          <w:p w14:paraId="10D10211"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0</w:t>
            </w:r>
          </w:p>
        </w:tc>
        <w:tc>
          <w:tcPr>
            <w:tcW w:w="1343" w:type="dxa"/>
            <w:tcBorders>
              <w:top w:val="nil"/>
              <w:left w:val="nil"/>
              <w:bottom w:val="nil"/>
              <w:right w:val="nil"/>
            </w:tcBorders>
            <w:noWrap/>
            <w:hideMark/>
          </w:tcPr>
          <w:p w14:paraId="3D4911C7"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AD</w:t>
            </w:r>
          </w:p>
        </w:tc>
      </w:tr>
      <w:tr w:rsidR="00537443" w:rsidRPr="00537443" w14:paraId="2FDF944D" w14:textId="77777777" w:rsidTr="00531D60">
        <w:trPr>
          <w:trHeight w:val="555"/>
        </w:trPr>
        <w:tc>
          <w:tcPr>
            <w:tcW w:w="872" w:type="dxa"/>
            <w:tcBorders>
              <w:top w:val="nil"/>
              <w:left w:val="nil"/>
              <w:bottom w:val="nil"/>
              <w:right w:val="nil"/>
            </w:tcBorders>
            <w:noWrap/>
            <w:hideMark/>
          </w:tcPr>
          <w:p w14:paraId="0F9B0CCB" w14:textId="77777777" w:rsidR="00D7776A" w:rsidRPr="00537443" w:rsidRDefault="00D7776A" w:rsidP="00531D60">
            <w:pPr>
              <w:keepNext w:val="0"/>
              <w:keepLines w:val="0"/>
              <w:spacing w:line="240" w:lineRule="auto"/>
              <w:rPr>
                <w:rFonts w:asciiTheme="minorHAnsi" w:hAnsiTheme="minorHAnsi" w:cstheme="minorHAnsi"/>
                <w:i/>
                <w:color w:val="000000" w:themeColor="text1"/>
                <w:szCs w:val="22"/>
              </w:rPr>
            </w:pPr>
            <w:r w:rsidRPr="00537443">
              <w:rPr>
                <w:rFonts w:asciiTheme="minorHAnsi" w:hAnsiTheme="minorHAnsi" w:cstheme="minorHAnsi"/>
                <w:i/>
                <w:color w:val="000000" w:themeColor="text1"/>
                <w:szCs w:val="22"/>
              </w:rPr>
              <w:t>4</w:t>
            </w:r>
          </w:p>
        </w:tc>
        <w:tc>
          <w:tcPr>
            <w:tcW w:w="1244" w:type="dxa"/>
            <w:tcBorders>
              <w:top w:val="nil"/>
              <w:left w:val="nil"/>
              <w:bottom w:val="nil"/>
              <w:right w:val="nil"/>
            </w:tcBorders>
            <w:noWrap/>
            <w:hideMark/>
          </w:tcPr>
          <w:p w14:paraId="4A467527"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AD</w:t>
            </w:r>
          </w:p>
        </w:tc>
        <w:tc>
          <w:tcPr>
            <w:tcW w:w="1369" w:type="dxa"/>
            <w:tcBorders>
              <w:top w:val="nil"/>
              <w:left w:val="nil"/>
              <w:bottom w:val="nil"/>
              <w:right w:val="nil"/>
            </w:tcBorders>
            <w:noWrap/>
            <w:hideMark/>
          </w:tcPr>
          <w:p w14:paraId="0C0935DC" w14:textId="2B892F1C"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78</w:t>
            </w:r>
          </w:p>
        </w:tc>
        <w:tc>
          <w:tcPr>
            <w:tcW w:w="1244" w:type="dxa"/>
            <w:tcBorders>
              <w:top w:val="nil"/>
              <w:left w:val="nil"/>
              <w:bottom w:val="nil"/>
              <w:right w:val="nil"/>
            </w:tcBorders>
            <w:noWrap/>
            <w:hideMark/>
          </w:tcPr>
          <w:p w14:paraId="5863E07C" w14:textId="7B39C692"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AD</w:t>
            </w:r>
          </w:p>
        </w:tc>
        <w:tc>
          <w:tcPr>
            <w:tcW w:w="1369" w:type="dxa"/>
            <w:tcBorders>
              <w:top w:val="nil"/>
              <w:left w:val="nil"/>
              <w:bottom w:val="nil"/>
              <w:right w:val="nil"/>
            </w:tcBorders>
            <w:noWrap/>
            <w:hideMark/>
          </w:tcPr>
          <w:p w14:paraId="0AA7CB4B" w14:textId="2B11FD26"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74</w:t>
            </w:r>
          </w:p>
        </w:tc>
        <w:tc>
          <w:tcPr>
            <w:tcW w:w="1651" w:type="dxa"/>
            <w:tcBorders>
              <w:top w:val="nil"/>
              <w:left w:val="nil"/>
              <w:bottom w:val="nil"/>
              <w:right w:val="nil"/>
            </w:tcBorders>
            <w:noWrap/>
            <w:hideMark/>
          </w:tcPr>
          <w:p w14:paraId="622EB258"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-4</w:t>
            </w:r>
          </w:p>
        </w:tc>
        <w:tc>
          <w:tcPr>
            <w:tcW w:w="1343" w:type="dxa"/>
            <w:tcBorders>
              <w:top w:val="nil"/>
              <w:left w:val="nil"/>
              <w:bottom w:val="nil"/>
              <w:right w:val="nil"/>
            </w:tcBorders>
            <w:noWrap/>
            <w:hideMark/>
          </w:tcPr>
          <w:p w14:paraId="347CB95A"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AD</w:t>
            </w:r>
          </w:p>
        </w:tc>
      </w:tr>
      <w:tr w:rsidR="00537443" w:rsidRPr="00537443" w14:paraId="637323EE" w14:textId="77777777" w:rsidTr="00531D60">
        <w:trPr>
          <w:trHeight w:val="555"/>
        </w:trPr>
        <w:tc>
          <w:tcPr>
            <w:tcW w:w="872" w:type="dxa"/>
            <w:tcBorders>
              <w:top w:val="nil"/>
              <w:left w:val="nil"/>
              <w:bottom w:val="nil"/>
              <w:right w:val="nil"/>
            </w:tcBorders>
            <w:noWrap/>
            <w:hideMark/>
          </w:tcPr>
          <w:p w14:paraId="2F492950" w14:textId="77777777" w:rsidR="00D7776A" w:rsidRPr="00537443" w:rsidRDefault="00D7776A" w:rsidP="00531D60">
            <w:pPr>
              <w:keepNext w:val="0"/>
              <w:keepLines w:val="0"/>
              <w:spacing w:line="240" w:lineRule="auto"/>
              <w:rPr>
                <w:rFonts w:asciiTheme="minorHAnsi" w:hAnsiTheme="minorHAnsi" w:cstheme="minorHAnsi"/>
                <w:i/>
                <w:color w:val="000000" w:themeColor="text1"/>
                <w:szCs w:val="22"/>
              </w:rPr>
            </w:pPr>
            <w:r w:rsidRPr="00537443">
              <w:rPr>
                <w:rFonts w:asciiTheme="minorHAnsi" w:hAnsiTheme="minorHAnsi" w:cstheme="minorHAnsi"/>
                <w:i/>
                <w:color w:val="000000" w:themeColor="text1"/>
                <w:szCs w:val="22"/>
              </w:rPr>
              <w:t>5</w:t>
            </w:r>
          </w:p>
        </w:tc>
        <w:tc>
          <w:tcPr>
            <w:tcW w:w="1244" w:type="dxa"/>
            <w:tcBorders>
              <w:top w:val="nil"/>
              <w:left w:val="nil"/>
              <w:bottom w:val="nil"/>
              <w:right w:val="nil"/>
            </w:tcBorders>
            <w:noWrap/>
            <w:hideMark/>
          </w:tcPr>
          <w:p w14:paraId="24C2A5A6"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MCI</w:t>
            </w:r>
          </w:p>
        </w:tc>
        <w:tc>
          <w:tcPr>
            <w:tcW w:w="1369" w:type="dxa"/>
            <w:tcBorders>
              <w:top w:val="nil"/>
              <w:left w:val="nil"/>
              <w:bottom w:val="nil"/>
              <w:right w:val="nil"/>
            </w:tcBorders>
            <w:noWrap/>
            <w:hideMark/>
          </w:tcPr>
          <w:p w14:paraId="5A59A500"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77</w:t>
            </w:r>
          </w:p>
        </w:tc>
        <w:tc>
          <w:tcPr>
            <w:tcW w:w="1244" w:type="dxa"/>
            <w:tcBorders>
              <w:top w:val="nil"/>
              <w:left w:val="nil"/>
              <w:bottom w:val="nil"/>
              <w:right w:val="nil"/>
            </w:tcBorders>
            <w:noWrap/>
            <w:hideMark/>
          </w:tcPr>
          <w:p w14:paraId="3C1BC6B8"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MCI</w:t>
            </w:r>
          </w:p>
        </w:tc>
        <w:tc>
          <w:tcPr>
            <w:tcW w:w="1369" w:type="dxa"/>
            <w:tcBorders>
              <w:top w:val="nil"/>
              <w:left w:val="nil"/>
              <w:bottom w:val="nil"/>
              <w:right w:val="nil"/>
            </w:tcBorders>
            <w:noWrap/>
            <w:hideMark/>
          </w:tcPr>
          <w:p w14:paraId="10A352E5"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51</w:t>
            </w:r>
          </w:p>
        </w:tc>
        <w:tc>
          <w:tcPr>
            <w:tcW w:w="1651" w:type="dxa"/>
            <w:tcBorders>
              <w:top w:val="nil"/>
              <w:left w:val="nil"/>
              <w:bottom w:val="nil"/>
              <w:right w:val="nil"/>
            </w:tcBorders>
            <w:noWrap/>
            <w:hideMark/>
          </w:tcPr>
          <w:p w14:paraId="64AFCAB2"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-26</w:t>
            </w:r>
          </w:p>
        </w:tc>
        <w:tc>
          <w:tcPr>
            <w:tcW w:w="1343" w:type="dxa"/>
            <w:tcBorders>
              <w:top w:val="nil"/>
              <w:left w:val="nil"/>
              <w:bottom w:val="nil"/>
              <w:right w:val="nil"/>
            </w:tcBorders>
            <w:noWrap/>
            <w:hideMark/>
          </w:tcPr>
          <w:p w14:paraId="46FFEEA6"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NAD</w:t>
            </w:r>
          </w:p>
        </w:tc>
      </w:tr>
      <w:tr w:rsidR="00537443" w:rsidRPr="00537443" w14:paraId="608B2ECB" w14:textId="77777777" w:rsidTr="00531D60">
        <w:trPr>
          <w:trHeight w:val="555"/>
        </w:trPr>
        <w:tc>
          <w:tcPr>
            <w:tcW w:w="872" w:type="dxa"/>
            <w:tcBorders>
              <w:top w:val="nil"/>
              <w:left w:val="nil"/>
              <w:bottom w:val="nil"/>
              <w:right w:val="nil"/>
            </w:tcBorders>
            <w:noWrap/>
            <w:hideMark/>
          </w:tcPr>
          <w:p w14:paraId="53364231" w14:textId="77777777" w:rsidR="00D7776A" w:rsidRPr="00537443" w:rsidRDefault="00D7776A" w:rsidP="00531D60">
            <w:pPr>
              <w:keepNext w:val="0"/>
              <w:keepLines w:val="0"/>
              <w:spacing w:line="240" w:lineRule="auto"/>
              <w:rPr>
                <w:rFonts w:asciiTheme="minorHAnsi" w:hAnsiTheme="minorHAnsi" w:cstheme="minorHAnsi"/>
                <w:i/>
                <w:color w:val="000000" w:themeColor="text1"/>
                <w:szCs w:val="22"/>
              </w:rPr>
            </w:pPr>
            <w:r w:rsidRPr="00537443">
              <w:rPr>
                <w:rFonts w:asciiTheme="minorHAnsi" w:hAnsiTheme="minorHAnsi" w:cstheme="minorHAnsi"/>
                <w:i/>
                <w:color w:val="000000" w:themeColor="text1"/>
                <w:szCs w:val="22"/>
              </w:rPr>
              <w:t>6</w:t>
            </w:r>
          </w:p>
        </w:tc>
        <w:tc>
          <w:tcPr>
            <w:tcW w:w="1244" w:type="dxa"/>
            <w:tcBorders>
              <w:top w:val="nil"/>
              <w:left w:val="nil"/>
              <w:bottom w:val="nil"/>
              <w:right w:val="nil"/>
            </w:tcBorders>
            <w:noWrap/>
            <w:hideMark/>
          </w:tcPr>
          <w:p w14:paraId="63963EBF"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FTD</w:t>
            </w:r>
          </w:p>
        </w:tc>
        <w:tc>
          <w:tcPr>
            <w:tcW w:w="1369" w:type="dxa"/>
            <w:tcBorders>
              <w:top w:val="nil"/>
              <w:left w:val="nil"/>
              <w:bottom w:val="nil"/>
              <w:right w:val="nil"/>
            </w:tcBorders>
            <w:noWrap/>
            <w:hideMark/>
          </w:tcPr>
          <w:p w14:paraId="15F20346"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78</w:t>
            </w:r>
          </w:p>
        </w:tc>
        <w:tc>
          <w:tcPr>
            <w:tcW w:w="1244" w:type="dxa"/>
            <w:tcBorders>
              <w:top w:val="nil"/>
              <w:left w:val="nil"/>
              <w:bottom w:val="nil"/>
              <w:right w:val="nil"/>
            </w:tcBorders>
            <w:noWrap/>
            <w:hideMark/>
          </w:tcPr>
          <w:p w14:paraId="00745EC3"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AD</w:t>
            </w:r>
          </w:p>
        </w:tc>
        <w:tc>
          <w:tcPr>
            <w:tcW w:w="1369" w:type="dxa"/>
            <w:tcBorders>
              <w:top w:val="nil"/>
              <w:left w:val="nil"/>
              <w:bottom w:val="nil"/>
              <w:right w:val="nil"/>
            </w:tcBorders>
            <w:noWrap/>
            <w:hideMark/>
          </w:tcPr>
          <w:p w14:paraId="0B641983"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50</w:t>
            </w:r>
          </w:p>
        </w:tc>
        <w:tc>
          <w:tcPr>
            <w:tcW w:w="1651" w:type="dxa"/>
            <w:tcBorders>
              <w:top w:val="nil"/>
              <w:left w:val="nil"/>
              <w:bottom w:val="nil"/>
              <w:right w:val="nil"/>
            </w:tcBorders>
            <w:noWrap/>
            <w:hideMark/>
          </w:tcPr>
          <w:p w14:paraId="1A3372B0"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-28</w:t>
            </w:r>
          </w:p>
        </w:tc>
        <w:tc>
          <w:tcPr>
            <w:tcW w:w="1343" w:type="dxa"/>
            <w:tcBorders>
              <w:top w:val="nil"/>
              <w:left w:val="nil"/>
              <w:bottom w:val="nil"/>
              <w:right w:val="nil"/>
            </w:tcBorders>
            <w:noWrap/>
            <w:hideMark/>
          </w:tcPr>
          <w:p w14:paraId="42C37C7A"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AD</w:t>
            </w:r>
          </w:p>
        </w:tc>
      </w:tr>
      <w:tr w:rsidR="00537443" w:rsidRPr="00537443" w14:paraId="01542F09" w14:textId="77777777" w:rsidTr="00531D60">
        <w:trPr>
          <w:trHeight w:val="555"/>
        </w:trPr>
        <w:tc>
          <w:tcPr>
            <w:tcW w:w="872" w:type="dxa"/>
            <w:tcBorders>
              <w:top w:val="nil"/>
              <w:left w:val="nil"/>
              <w:bottom w:val="nil"/>
              <w:right w:val="nil"/>
            </w:tcBorders>
            <w:noWrap/>
            <w:hideMark/>
          </w:tcPr>
          <w:p w14:paraId="568F1B6E" w14:textId="77777777" w:rsidR="00D7776A" w:rsidRPr="00537443" w:rsidRDefault="00D7776A" w:rsidP="00531D60">
            <w:pPr>
              <w:keepNext w:val="0"/>
              <w:keepLines w:val="0"/>
              <w:spacing w:line="240" w:lineRule="auto"/>
              <w:rPr>
                <w:rFonts w:asciiTheme="minorHAnsi" w:hAnsiTheme="minorHAnsi" w:cstheme="minorHAnsi"/>
                <w:i/>
                <w:color w:val="000000" w:themeColor="text1"/>
                <w:szCs w:val="22"/>
              </w:rPr>
            </w:pPr>
            <w:r w:rsidRPr="00537443">
              <w:rPr>
                <w:rFonts w:asciiTheme="minorHAnsi" w:hAnsiTheme="minorHAnsi" w:cstheme="minorHAnsi"/>
                <w:i/>
                <w:color w:val="000000" w:themeColor="text1"/>
                <w:szCs w:val="22"/>
              </w:rPr>
              <w:t>7</w:t>
            </w:r>
          </w:p>
        </w:tc>
        <w:tc>
          <w:tcPr>
            <w:tcW w:w="1244" w:type="dxa"/>
            <w:tcBorders>
              <w:top w:val="nil"/>
              <w:left w:val="nil"/>
              <w:bottom w:val="nil"/>
              <w:right w:val="nil"/>
            </w:tcBorders>
            <w:noWrap/>
            <w:hideMark/>
          </w:tcPr>
          <w:p w14:paraId="4B1C2433"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AD</w:t>
            </w:r>
          </w:p>
        </w:tc>
        <w:tc>
          <w:tcPr>
            <w:tcW w:w="1369" w:type="dxa"/>
            <w:tcBorders>
              <w:top w:val="nil"/>
              <w:left w:val="nil"/>
              <w:bottom w:val="nil"/>
              <w:right w:val="nil"/>
            </w:tcBorders>
            <w:noWrap/>
            <w:hideMark/>
          </w:tcPr>
          <w:p w14:paraId="11A59F2F"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82</w:t>
            </w:r>
          </w:p>
        </w:tc>
        <w:tc>
          <w:tcPr>
            <w:tcW w:w="1244" w:type="dxa"/>
            <w:tcBorders>
              <w:top w:val="nil"/>
              <w:left w:val="nil"/>
              <w:bottom w:val="nil"/>
              <w:right w:val="nil"/>
            </w:tcBorders>
            <w:noWrap/>
            <w:hideMark/>
          </w:tcPr>
          <w:p w14:paraId="19D87BB5"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AD</w:t>
            </w:r>
          </w:p>
        </w:tc>
        <w:tc>
          <w:tcPr>
            <w:tcW w:w="1369" w:type="dxa"/>
            <w:tcBorders>
              <w:top w:val="nil"/>
              <w:left w:val="nil"/>
              <w:bottom w:val="nil"/>
              <w:right w:val="nil"/>
            </w:tcBorders>
            <w:noWrap/>
            <w:hideMark/>
          </w:tcPr>
          <w:p w14:paraId="210E99FC"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49</w:t>
            </w:r>
          </w:p>
        </w:tc>
        <w:tc>
          <w:tcPr>
            <w:tcW w:w="1651" w:type="dxa"/>
            <w:tcBorders>
              <w:top w:val="nil"/>
              <w:left w:val="nil"/>
              <w:bottom w:val="nil"/>
              <w:right w:val="nil"/>
            </w:tcBorders>
            <w:noWrap/>
            <w:hideMark/>
          </w:tcPr>
          <w:p w14:paraId="48361A1C"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-33</w:t>
            </w:r>
          </w:p>
        </w:tc>
        <w:tc>
          <w:tcPr>
            <w:tcW w:w="1343" w:type="dxa"/>
            <w:tcBorders>
              <w:top w:val="nil"/>
              <w:left w:val="nil"/>
              <w:bottom w:val="nil"/>
              <w:right w:val="nil"/>
            </w:tcBorders>
            <w:noWrap/>
            <w:hideMark/>
          </w:tcPr>
          <w:p w14:paraId="5E947B89"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AD (not diagnostic)</w:t>
            </w:r>
          </w:p>
        </w:tc>
      </w:tr>
      <w:tr w:rsidR="00537443" w:rsidRPr="00537443" w14:paraId="657DFAE8" w14:textId="77777777" w:rsidTr="00531D60">
        <w:trPr>
          <w:trHeight w:val="555"/>
        </w:trPr>
        <w:tc>
          <w:tcPr>
            <w:tcW w:w="872" w:type="dxa"/>
            <w:tcBorders>
              <w:top w:val="nil"/>
              <w:left w:val="nil"/>
              <w:bottom w:val="nil"/>
              <w:right w:val="nil"/>
            </w:tcBorders>
            <w:noWrap/>
            <w:hideMark/>
          </w:tcPr>
          <w:p w14:paraId="159D0DD7" w14:textId="77777777" w:rsidR="00D7776A" w:rsidRPr="00537443" w:rsidRDefault="00D7776A" w:rsidP="00531D60">
            <w:pPr>
              <w:keepNext w:val="0"/>
              <w:keepLines w:val="0"/>
              <w:spacing w:line="240" w:lineRule="auto"/>
              <w:rPr>
                <w:rFonts w:asciiTheme="minorHAnsi" w:hAnsiTheme="minorHAnsi" w:cstheme="minorHAnsi"/>
                <w:i/>
                <w:color w:val="000000" w:themeColor="text1"/>
                <w:szCs w:val="22"/>
              </w:rPr>
            </w:pPr>
            <w:r w:rsidRPr="00537443">
              <w:rPr>
                <w:rFonts w:asciiTheme="minorHAnsi" w:hAnsiTheme="minorHAnsi" w:cstheme="minorHAnsi"/>
                <w:i/>
                <w:color w:val="000000" w:themeColor="text1"/>
                <w:szCs w:val="22"/>
              </w:rPr>
              <w:t>8</w:t>
            </w:r>
          </w:p>
        </w:tc>
        <w:tc>
          <w:tcPr>
            <w:tcW w:w="1244" w:type="dxa"/>
            <w:tcBorders>
              <w:top w:val="nil"/>
              <w:left w:val="nil"/>
              <w:bottom w:val="nil"/>
              <w:right w:val="nil"/>
            </w:tcBorders>
            <w:noWrap/>
            <w:hideMark/>
          </w:tcPr>
          <w:p w14:paraId="4528B2F8"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AD</w:t>
            </w:r>
          </w:p>
        </w:tc>
        <w:tc>
          <w:tcPr>
            <w:tcW w:w="1369" w:type="dxa"/>
            <w:tcBorders>
              <w:top w:val="nil"/>
              <w:left w:val="nil"/>
              <w:bottom w:val="nil"/>
              <w:right w:val="nil"/>
            </w:tcBorders>
            <w:noWrap/>
            <w:hideMark/>
          </w:tcPr>
          <w:p w14:paraId="4566AC79"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93</w:t>
            </w:r>
          </w:p>
        </w:tc>
        <w:tc>
          <w:tcPr>
            <w:tcW w:w="1244" w:type="dxa"/>
            <w:tcBorders>
              <w:top w:val="nil"/>
              <w:left w:val="nil"/>
              <w:bottom w:val="nil"/>
              <w:right w:val="nil"/>
            </w:tcBorders>
            <w:noWrap/>
            <w:hideMark/>
          </w:tcPr>
          <w:p w14:paraId="0EF36DFC"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AD</w:t>
            </w:r>
          </w:p>
        </w:tc>
        <w:tc>
          <w:tcPr>
            <w:tcW w:w="1369" w:type="dxa"/>
            <w:tcBorders>
              <w:top w:val="nil"/>
              <w:left w:val="nil"/>
              <w:bottom w:val="nil"/>
              <w:right w:val="nil"/>
            </w:tcBorders>
            <w:noWrap/>
            <w:hideMark/>
          </w:tcPr>
          <w:p w14:paraId="2BCF0FB9"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49</w:t>
            </w:r>
          </w:p>
        </w:tc>
        <w:tc>
          <w:tcPr>
            <w:tcW w:w="1651" w:type="dxa"/>
            <w:tcBorders>
              <w:top w:val="nil"/>
              <w:left w:val="nil"/>
              <w:bottom w:val="nil"/>
              <w:right w:val="nil"/>
            </w:tcBorders>
            <w:noWrap/>
            <w:hideMark/>
          </w:tcPr>
          <w:p w14:paraId="419B085E"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-44</w:t>
            </w:r>
          </w:p>
        </w:tc>
        <w:tc>
          <w:tcPr>
            <w:tcW w:w="1343" w:type="dxa"/>
            <w:tcBorders>
              <w:top w:val="nil"/>
              <w:left w:val="nil"/>
              <w:bottom w:val="nil"/>
              <w:right w:val="nil"/>
            </w:tcBorders>
            <w:noWrap/>
            <w:hideMark/>
          </w:tcPr>
          <w:p w14:paraId="739CE805"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AD (not diagnostic)</w:t>
            </w:r>
          </w:p>
        </w:tc>
      </w:tr>
      <w:tr w:rsidR="00537443" w:rsidRPr="00537443" w14:paraId="564DF106" w14:textId="77777777" w:rsidTr="00724413">
        <w:trPr>
          <w:trHeight w:val="555"/>
        </w:trPr>
        <w:tc>
          <w:tcPr>
            <w:tcW w:w="872" w:type="dxa"/>
            <w:tcBorders>
              <w:top w:val="nil"/>
              <w:left w:val="nil"/>
              <w:bottom w:val="nil"/>
              <w:right w:val="nil"/>
            </w:tcBorders>
            <w:noWrap/>
            <w:hideMark/>
          </w:tcPr>
          <w:p w14:paraId="2D0F701F" w14:textId="77777777" w:rsidR="00D7776A" w:rsidRPr="00537443" w:rsidRDefault="00D7776A" w:rsidP="00531D60">
            <w:pPr>
              <w:keepNext w:val="0"/>
              <w:keepLines w:val="0"/>
              <w:spacing w:line="240" w:lineRule="auto"/>
              <w:rPr>
                <w:rFonts w:asciiTheme="minorHAnsi" w:hAnsiTheme="minorHAnsi" w:cstheme="minorHAnsi"/>
                <w:i/>
                <w:color w:val="000000" w:themeColor="text1"/>
                <w:szCs w:val="22"/>
              </w:rPr>
            </w:pPr>
            <w:r w:rsidRPr="00537443">
              <w:rPr>
                <w:rFonts w:asciiTheme="minorHAnsi" w:hAnsiTheme="minorHAnsi" w:cstheme="minorHAnsi"/>
                <w:i/>
                <w:color w:val="000000" w:themeColor="text1"/>
                <w:szCs w:val="22"/>
              </w:rPr>
              <w:t>9</w:t>
            </w:r>
          </w:p>
        </w:tc>
        <w:tc>
          <w:tcPr>
            <w:tcW w:w="1244" w:type="dxa"/>
            <w:tcBorders>
              <w:top w:val="nil"/>
              <w:left w:val="nil"/>
              <w:bottom w:val="nil"/>
              <w:right w:val="nil"/>
            </w:tcBorders>
            <w:noWrap/>
            <w:hideMark/>
          </w:tcPr>
          <w:p w14:paraId="444D26EF"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AD</w:t>
            </w:r>
          </w:p>
        </w:tc>
        <w:tc>
          <w:tcPr>
            <w:tcW w:w="1369" w:type="dxa"/>
            <w:tcBorders>
              <w:top w:val="nil"/>
              <w:left w:val="nil"/>
              <w:bottom w:val="nil"/>
              <w:right w:val="nil"/>
            </w:tcBorders>
            <w:noWrap/>
            <w:hideMark/>
          </w:tcPr>
          <w:p w14:paraId="5EDB7836"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80</w:t>
            </w:r>
          </w:p>
        </w:tc>
        <w:tc>
          <w:tcPr>
            <w:tcW w:w="1244" w:type="dxa"/>
            <w:tcBorders>
              <w:top w:val="nil"/>
              <w:left w:val="nil"/>
              <w:bottom w:val="nil"/>
              <w:right w:val="nil"/>
            </w:tcBorders>
            <w:noWrap/>
            <w:hideMark/>
          </w:tcPr>
          <w:p w14:paraId="249FA435"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MCI</w:t>
            </w:r>
          </w:p>
        </w:tc>
        <w:tc>
          <w:tcPr>
            <w:tcW w:w="1369" w:type="dxa"/>
            <w:tcBorders>
              <w:top w:val="nil"/>
              <w:left w:val="nil"/>
              <w:bottom w:val="nil"/>
              <w:right w:val="nil"/>
            </w:tcBorders>
            <w:noWrap/>
            <w:hideMark/>
          </w:tcPr>
          <w:p w14:paraId="1B6B5102"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10</w:t>
            </w:r>
          </w:p>
        </w:tc>
        <w:tc>
          <w:tcPr>
            <w:tcW w:w="1651" w:type="dxa"/>
            <w:tcBorders>
              <w:top w:val="nil"/>
              <w:left w:val="nil"/>
              <w:bottom w:val="nil"/>
              <w:right w:val="nil"/>
            </w:tcBorders>
            <w:noWrap/>
            <w:hideMark/>
          </w:tcPr>
          <w:p w14:paraId="7F0F85B3"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-79</w:t>
            </w:r>
          </w:p>
        </w:tc>
        <w:tc>
          <w:tcPr>
            <w:tcW w:w="1343" w:type="dxa"/>
            <w:tcBorders>
              <w:top w:val="nil"/>
              <w:left w:val="nil"/>
              <w:bottom w:val="nil"/>
              <w:right w:val="nil"/>
            </w:tcBorders>
            <w:noWrap/>
            <w:hideMark/>
          </w:tcPr>
          <w:p w14:paraId="11892B47"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Vascular</w:t>
            </w:r>
          </w:p>
        </w:tc>
      </w:tr>
      <w:tr w:rsidR="00537443" w:rsidRPr="00537443" w14:paraId="4C7307F8" w14:textId="77777777" w:rsidTr="00724413">
        <w:trPr>
          <w:trHeight w:val="555"/>
        </w:trPr>
        <w:tc>
          <w:tcPr>
            <w:tcW w:w="872" w:type="dxa"/>
            <w:tcBorders>
              <w:top w:val="nil"/>
              <w:left w:val="nil"/>
              <w:bottom w:val="single" w:sz="8" w:space="0" w:color="262E33"/>
              <w:right w:val="nil"/>
            </w:tcBorders>
            <w:noWrap/>
            <w:hideMark/>
          </w:tcPr>
          <w:p w14:paraId="07244FCB" w14:textId="77777777" w:rsidR="00D7776A" w:rsidRPr="00537443" w:rsidRDefault="00D7776A" w:rsidP="00531D60">
            <w:pPr>
              <w:keepNext w:val="0"/>
              <w:keepLines w:val="0"/>
              <w:spacing w:line="240" w:lineRule="auto"/>
              <w:rPr>
                <w:rFonts w:asciiTheme="minorHAnsi" w:hAnsiTheme="minorHAnsi" w:cstheme="minorHAnsi"/>
                <w:i/>
                <w:color w:val="000000" w:themeColor="text1"/>
                <w:szCs w:val="22"/>
              </w:rPr>
            </w:pPr>
            <w:r w:rsidRPr="00537443">
              <w:rPr>
                <w:rFonts w:asciiTheme="minorHAnsi" w:hAnsiTheme="minorHAnsi" w:cstheme="minorHAnsi"/>
                <w:i/>
                <w:color w:val="000000" w:themeColor="text1"/>
                <w:szCs w:val="22"/>
              </w:rPr>
              <w:t>10</w:t>
            </w:r>
          </w:p>
        </w:tc>
        <w:tc>
          <w:tcPr>
            <w:tcW w:w="1244" w:type="dxa"/>
            <w:tcBorders>
              <w:top w:val="nil"/>
              <w:left w:val="nil"/>
              <w:bottom w:val="single" w:sz="8" w:space="0" w:color="262E33"/>
              <w:right w:val="nil"/>
            </w:tcBorders>
            <w:noWrap/>
            <w:hideMark/>
          </w:tcPr>
          <w:p w14:paraId="1715E5B5"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MCI</w:t>
            </w:r>
          </w:p>
        </w:tc>
        <w:tc>
          <w:tcPr>
            <w:tcW w:w="1369" w:type="dxa"/>
            <w:tcBorders>
              <w:top w:val="nil"/>
              <w:left w:val="nil"/>
              <w:bottom w:val="single" w:sz="8" w:space="0" w:color="262E33"/>
              <w:right w:val="nil"/>
            </w:tcBorders>
            <w:noWrap/>
            <w:hideMark/>
          </w:tcPr>
          <w:p w14:paraId="3E1A04C1"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93</w:t>
            </w:r>
          </w:p>
        </w:tc>
        <w:tc>
          <w:tcPr>
            <w:tcW w:w="1244" w:type="dxa"/>
            <w:tcBorders>
              <w:top w:val="nil"/>
              <w:left w:val="nil"/>
              <w:bottom w:val="single" w:sz="8" w:space="0" w:color="262E33"/>
              <w:right w:val="nil"/>
            </w:tcBorders>
            <w:noWrap/>
            <w:hideMark/>
          </w:tcPr>
          <w:p w14:paraId="07353C34"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AD</w:t>
            </w:r>
          </w:p>
        </w:tc>
        <w:tc>
          <w:tcPr>
            <w:tcW w:w="1369" w:type="dxa"/>
            <w:tcBorders>
              <w:top w:val="nil"/>
              <w:left w:val="nil"/>
              <w:bottom w:val="single" w:sz="8" w:space="0" w:color="262E33"/>
              <w:right w:val="nil"/>
            </w:tcBorders>
            <w:noWrap/>
            <w:hideMark/>
          </w:tcPr>
          <w:p w14:paraId="2053536F"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5</w:t>
            </w:r>
          </w:p>
        </w:tc>
        <w:tc>
          <w:tcPr>
            <w:tcW w:w="1651" w:type="dxa"/>
            <w:tcBorders>
              <w:top w:val="nil"/>
              <w:left w:val="nil"/>
              <w:bottom w:val="single" w:sz="8" w:space="0" w:color="262E33"/>
              <w:right w:val="nil"/>
            </w:tcBorders>
            <w:noWrap/>
            <w:hideMark/>
          </w:tcPr>
          <w:p w14:paraId="37B49A2C"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-88</w:t>
            </w:r>
          </w:p>
        </w:tc>
        <w:tc>
          <w:tcPr>
            <w:tcW w:w="1343" w:type="dxa"/>
            <w:tcBorders>
              <w:top w:val="nil"/>
              <w:left w:val="nil"/>
              <w:bottom w:val="single" w:sz="8" w:space="0" w:color="262E33"/>
              <w:right w:val="nil"/>
            </w:tcBorders>
            <w:noWrap/>
            <w:hideMark/>
          </w:tcPr>
          <w:p w14:paraId="268B6373" w14:textId="77777777" w:rsidR="00D7776A" w:rsidRPr="00537443" w:rsidRDefault="00D7776A" w:rsidP="00531D60">
            <w:pPr>
              <w:keepNext w:val="0"/>
              <w:keepLines w:val="0"/>
              <w:spacing w:line="240" w:lineRule="auto"/>
              <w:rPr>
                <w:rFonts w:asciiTheme="minorHAnsi" w:hAnsiTheme="minorHAnsi" w:cstheme="minorHAnsi"/>
                <w:color w:val="000000" w:themeColor="text1"/>
                <w:szCs w:val="22"/>
              </w:rPr>
            </w:pPr>
            <w:r w:rsidRPr="00537443">
              <w:rPr>
                <w:rFonts w:asciiTheme="minorHAnsi" w:hAnsiTheme="minorHAnsi" w:cstheme="minorHAnsi"/>
                <w:color w:val="000000" w:themeColor="text1"/>
                <w:szCs w:val="22"/>
              </w:rPr>
              <w:t>Vascular</w:t>
            </w:r>
          </w:p>
        </w:tc>
      </w:tr>
    </w:tbl>
    <w:p w14:paraId="680B6E28" w14:textId="08B62E15" w:rsidR="003C3EC9" w:rsidRPr="001E60B9" w:rsidRDefault="00D94632" w:rsidP="0064600F">
      <w:pPr>
        <w:pageBreakBefore/>
        <w:widowControl w:val="0"/>
        <w:autoSpaceDE w:val="0"/>
        <w:autoSpaceDN w:val="0"/>
        <w:adjustRightInd w:val="0"/>
        <w:spacing w:line="240" w:lineRule="auto"/>
        <w:ind w:left="641" w:hanging="641"/>
        <w:rPr>
          <w:rFonts w:asciiTheme="minorHAnsi" w:hAnsiTheme="minorHAnsi" w:cstheme="minorHAnsi"/>
          <w:color w:val="FF0000"/>
          <w:kern w:val="32"/>
          <w:sz w:val="20"/>
          <w:szCs w:val="20"/>
          <w:lang w:eastAsia="en-GB"/>
        </w:rPr>
      </w:pPr>
      <w:r w:rsidRPr="00537443">
        <w:rPr>
          <w:rFonts w:asciiTheme="minorHAnsi" w:hAnsiTheme="minorHAnsi" w:cstheme="minorHAnsi"/>
          <w:b/>
          <w:color w:val="000000" w:themeColor="text1"/>
          <w:kern w:val="32"/>
          <w:sz w:val="28"/>
          <w:lang w:eastAsia="en-GB"/>
        </w:rPr>
        <w:lastRenderedPageBreak/>
        <w:t>Figure</w:t>
      </w:r>
      <w:r w:rsidR="00F444AA">
        <w:rPr>
          <w:rFonts w:asciiTheme="minorHAnsi" w:hAnsiTheme="minorHAnsi" w:cstheme="minorHAnsi"/>
          <w:b/>
          <w:color w:val="000000" w:themeColor="text1"/>
          <w:kern w:val="32"/>
          <w:sz w:val="28"/>
          <w:lang w:eastAsia="en-GB"/>
        </w:rPr>
        <w:t>s</w:t>
      </w:r>
      <w:bookmarkStart w:id="16" w:name="_Hlk33549048"/>
    </w:p>
    <w:bookmarkEnd w:id="16"/>
    <w:p w14:paraId="5AC74879" w14:textId="6D7B4E19" w:rsidR="0077389D" w:rsidRDefault="0077389D" w:rsidP="00326A17">
      <w:pPr>
        <w:pStyle w:val="Caption"/>
        <w:ind w:left="0" w:firstLine="0"/>
        <w:rPr>
          <w:rFonts w:asciiTheme="minorHAnsi" w:hAnsiTheme="minorHAnsi" w:cstheme="minorHAnsi"/>
          <w:sz w:val="24"/>
          <w:szCs w:val="24"/>
          <w:lang w:eastAsia="en-GB"/>
        </w:rPr>
      </w:pPr>
      <w:r>
        <w:rPr>
          <w:rFonts w:asciiTheme="minorHAnsi" w:hAnsiTheme="minorHAnsi" w:cstheme="minorHAnsi"/>
          <w:noProof/>
          <w:sz w:val="24"/>
          <w:szCs w:val="24"/>
          <w:lang w:eastAsia="en-GB"/>
        </w:rPr>
        <w:drawing>
          <wp:inline distT="0" distB="0" distL="0" distR="0" wp14:anchorId="2E7002C7" wp14:editId="4D8EFDD1">
            <wp:extent cx="5727700" cy="5657850"/>
            <wp:effectExtent l="0" t="0" r="6350" b="0"/>
            <wp:docPr id="1" name="Picture 1"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1_high.jpg"/>
                    <pic:cNvPicPr/>
                  </pic:nvPicPr>
                  <pic:blipFill rotWithShape="1">
                    <a:blip r:embed="rId8" cstate="print">
                      <a:extLst>
                        <a:ext uri="{28A0092B-C50C-407E-A947-70E740481C1C}">
                          <a14:useLocalDpi xmlns:a14="http://schemas.microsoft.com/office/drawing/2010/main" val="0"/>
                        </a:ext>
                      </a:extLst>
                    </a:blip>
                    <a:srcRect t="7056" b="23095"/>
                    <a:stretch/>
                  </pic:blipFill>
                  <pic:spPr bwMode="auto">
                    <a:xfrm>
                      <a:off x="0" y="0"/>
                      <a:ext cx="5727700" cy="5657850"/>
                    </a:xfrm>
                    <a:prstGeom prst="rect">
                      <a:avLst/>
                    </a:prstGeom>
                    <a:ln>
                      <a:noFill/>
                    </a:ln>
                    <a:extLst>
                      <a:ext uri="{53640926-AAD7-44D8-BBD7-CCE9431645EC}">
                        <a14:shadowObscured xmlns:a14="http://schemas.microsoft.com/office/drawing/2010/main"/>
                      </a:ext>
                    </a:extLst>
                  </pic:spPr>
                </pic:pic>
              </a:graphicData>
            </a:graphic>
          </wp:inline>
        </w:drawing>
      </w:r>
    </w:p>
    <w:p w14:paraId="6E4793C4" w14:textId="5F805EF2" w:rsidR="003C3EC9" w:rsidRPr="00F444AA" w:rsidRDefault="003C3EC9" w:rsidP="00326A17">
      <w:pPr>
        <w:pStyle w:val="Caption"/>
        <w:ind w:left="0" w:firstLine="0"/>
        <w:rPr>
          <w:rFonts w:asciiTheme="minorHAnsi" w:hAnsiTheme="minorHAnsi" w:cstheme="minorHAnsi"/>
          <w:sz w:val="24"/>
          <w:szCs w:val="24"/>
          <w:lang w:eastAsia="en-GB"/>
        </w:rPr>
      </w:pPr>
      <w:r w:rsidRPr="00F444AA">
        <w:rPr>
          <w:rFonts w:asciiTheme="minorHAnsi" w:hAnsiTheme="minorHAnsi" w:cstheme="minorHAnsi"/>
          <w:sz w:val="24"/>
          <w:szCs w:val="24"/>
          <w:lang w:eastAsia="en-GB"/>
        </w:rPr>
        <w:t>Figure 1</w:t>
      </w:r>
    </w:p>
    <w:p w14:paraId="6E2A98F6" w14:textId="31754420" w:rsidR="00D94632" w:rsidRDefault="003C3EC9" w:rsidP="005A24F5">
      <w:pPr>
        <w:keepNext w:val="0"/>
        <w:spacing w:line="480" w:lineRule="auto"/>
        <w:rPr>
          <w:rFonts w:asciiTheme="minorHAnsi" w:hAnsiTheme="minorHAnsi" w:cstheme="minorHAnsi"/>
          <w:lang w:eastAsia="en-GB"/>
        </w:rPr>
      </w:pPr>
      <w:r w:rsidRPr="00F444AA">
        <w:rPr>
          <w:rFonts w:asciiTheme="minorHAnsi" w:hAnsiTheme="minorHAnsi" w:cstheme="minorHAnsi"/>
          <w:lang w:eastAsia="en-GB"/>
        </w:rPr>
        <w:t>Flow diagram showing the number of pre-imaging and post-imaging questionnaires sent</w:t>
      </w:r>
      <w:r w:rsidR="006A5B93" w:rsidRPr="00F444AA">
        <w:rPr>
          <w:rFonts w:asciiTheme="minorHAnsi" w:hAnsiTheme="minorHAnsi" w:cstheme="minorHAnsi"/>
          <w:lang w:eastAsia="en-GB"/>
        </w:rPr>
        <w:t>, received</w:t>
      </w:r>
      <w:r w:rsidRPr="00F444AA">
        <w:rPr>
          <w:rFonts w:asciiTheme="minorHAnsi" w:hAnsiTheme="minorHAnsi" w:cstheme="minorHAnsi"/>
          <w:lang w:eastAsia="en-GB"/>
        </w:rPr>
        <w:t xml:space="preserve"> and excluded </w:t>
      </w:r>
      <w:r w:rsidR="006A5B93" w:rsidRPr="00F444AA">
        <w:rPr>
          <w:rFonts w:asciiTheme="minorHAnsi" w:hAnsiTheme="minorHAnsi" w:cstheme="minorHAnsi"/>
          <w:lang w:eastAsia="en-GB"/>
        </w:rPr>
        <w:t>to arrive at the final sample size.</w:t>
      </w:r>
    </w:p>
    <w:p w14:paraId="7AC343A8" w14:textId="518655CD" w:rsidR="0077389D" w:rsidRPr="00F444AA" w:rsidRDefault="0077389D" w:rsidP="0064600F">
      <w:pPr>
        <w:spacing w:line="480" w:lineRule="auto"/>
        <w:rPr>
          <w:rFonts w:asciiTheme="minorHAnsi" w:hAnsiTheme="minorHAnsi" w:cstheme="minorHAnsi"/>
          <w:lang w:eastAsia="en-GB"/>
        </w:rPr>
      </w:pPr>
      <w:r>
        <w:rPr>
          <w:rFonts w:asciiTheme="minorHAnsi" w:hAnsiTheme="minorHAnsi" w:cstheme="minorHAnsi"/>
          <w:noProof/>
          <w:lang w:eastAsia="en-GB"/>
        </w:rPr>
        <w:lastRenderedPageBreak/>
        <w:drawing>
          <wp:inline distT="0" distB="0" distL="0" distR="0" wp14:anchorId="29967290" wp14:editId="2640A835">
            <wp:extent cx="5746400" cy="3676650"/>
            <wp:effectExtent l="0" t="0" r="6985" b="0"/>
            <wp:docPr id="2" name="Picture 2" descr="A picture containing whe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2_high.jpg"/>
                    <pic:cNvPicPr/>
                  </pic:nvPicPr>
                  <pic:blipFill rotWithShape="1">
                    <a:blip r:embed="rId9" cstate="print">
                      <a:extLst>
                        <a:ext uri="{28A0092B-C50C-407E-A947-70E740481C1C}">
                          <a14:useLocalDpi xmlns:a14="http://schemas.microsoft.com/office/drawing/2010/main" val="0"/>
                        </a:ext>
                      </a:extLst>
                    </a:blip>
                    <a:srcRect l="8974" r="12533" b="28919"/>
                    <a:stretch/>
                  </pic:blipFill>
                  <pic:spPr bwMode="auto">
                    <a:xfrm>
                      <a:off x="0" y="0"/>
                      <a:ext cx="5769783" cy="3691611"/>
                    </a:xfrm>
                    <a:prstGeom prst="rect">
                      <a:avLst/>
                    </a:prstGeom>
                    <a:ln>
                      <a:noFill/>
                    </a:ln>
                    <a:extLst>
                      <a:ext uri="{53640926-AAD7-44D8-BBD7-CCE9431645EC}">
                        <a14:shadowObscured xmlns:a14="http://schemas.microsoft.com/office/drawing/2010/main"/>
                      </a:ext>
                    </a:extLst>
                  </pic:spPr>
                </pic:pic>
              </a:graphicData>
            </a:graphic>
          </wp:inline>
        </w:drawing>
      </w:r>
    </w:p>
    <w:p w14:paraId="2EC1FD09" w14:textId="75635E9A" w:rsidR="00D94632" w:rsidRPr="00F444AA" w:rsidRDefault="00D94632" w:rsidP="00D94632">
      <w:pPr>
        <w:pStyle w:val="Caption"/>
        <w:rPr>
          <w:rFonts w:asciiTheme="minorHAnsi" w:hAnsiTheme="minorHAnsi" w:cstheme="minorHAnsi"/>
          <w:b w:val="0"/>
          <w:sz w:val="24"/>
          <w:szCs w:val="24"/>
          <w:lang w:eastAsia="en-GB"/>
        </w:rPr>
      </w:pPr>
      <w:r w:rsidRPr="00F444AA">
        <w:rPr>
          <w:rFonts w:asciiTheme="minorHAnsi" w:hAnsiTheme="minorHAnsi" w:cstheme="minorHAnsi"/>
          <w:sz w:val="24"/>
          <w:szCs w:val="24"/>
          <w:lang w:eastAsia="en-GB"/>
        </w:rPr>
        <w:t xml:space="preserve">Figure </w:t>
      </w:r>
      <w:r w:rsidR="003C3EC9" w:rsidRPr="00F444AA">
        <w:rPr>
          <w:rFonts w:asciiTheme="minorHAnsi" w:hAnsiTheme="minorHAnsi" w:cstheme="minorHAnsi"/>
          <w:sz w:val="24"/>
          <w:szCs w:val="24"/>
          <w:lang w:eastAsia="en-GB"/>
        </w:rPr>
        <w:t>2</w:t>
      </w:r>
    </w:p>
    <w:p w14:paraId="66DD2590" w14:textId="3356ADC6" w:rsidR="00D94632" w:rsidRPr="00F444AA" w:rsidRDefault="00D94632" w:rsidP="003A3A37">
      <w:pPr>
        <w:keepNext w:val="0"/>
        <w:keepLines w:val="0"/>
        <w:spacing w:line="480" w:lineRule="auto"/>
        <w:rPr>
          <w:rFonts w:asciiTheme="minorHAnsi" w:hAnsiTheme="minorHAnsi" w:cstheme="minorHAnsi"/>
          <w:lang w:eastAsia="en-GB"/>
        </w:rPr>
      </w:pPr>
      <w:r w:rsidRPr="00F444AA">
        <w:rPr>
          <w:rFonts w:asciiTheme="minorHAnsi" w:hAnsiTheme="minorHAnsi" w:cstheme="minorHAnsi"/>
          <w:lang w:eastAsia="en-GB"/>
        </w:rPr>
        <w:t>Pie charts showing post-imaging diagnoses for participants with a pre-imaging diagnosis of Alzheimer’s disease (</w:t>
      </w:r>
      <w:r w:rsidRPr="00F444AA">
        <w:rPr>
          <w:rFonts w:asciiTheme="minorHAnsi" w:hAnsiTheme="minorHAnsi" w:cstheme="minorHAnsi"/>
          <w:i/>
          <w:lang w:eastAsia="en-GB"/>
        </w:rPr>
        <w:t>N</w:t>
      </w:r>
      <w:r w:rsidRPr="00F444AA">
        <w:rPr>
          <w:rFonts w:asciiTheme="minorHAnsi" w:hAnsiTheme="minorHAnsi" w:cstheme="minorHAnsi"/>
          <w:lang w:eastAsia="en-GB"/>
        </w:rPr>
        <w:t xml:space="preserve"> = 29) and frontotemporal dementia (</w:t>
      </w:r>
      <w:r w:rsidRPr="00F444AA">
        <w:rPr>
          <w:rFonts w:asciiTheme="minorHAnsi" w:hAnsiTheme="minorHAnsi" w:cstheme="minorHAnsi"/>
          <w:i/>
          <w:lang w:eastAsia="en-GB"/>
        </w:rPr>
        <w:t>N</w:t>
      </w:r>
      <w:r w:rsidRPr="00F444AA">
        <w:rPr>
          <w:rFonts w:asciiTheme="minorHAnsi" w:hAnsiTheme="minorHAnsi" w:cstheme="minorHAnsi"/>
          <w:lang w:eastAsia="en-GB"/>
        </w:rPr>
        <w:t xml:space="preserve"> = 15). Percentages for each group are presented. Diagnosis changed after imaging in 41% of cases with a pre-imaging diagnosis of AD and 60% of cases with a pre-imaging diagnosis of FTD. AD, Alzheimer’s disease; FTD, frontotemporal dementia; MCI, mild cognitive impairment; </w:t>
      </w:r>
      <w:proofErr w:type="spellStart"/>
      <w:r w:rsidRPr="00F444AA">
        <w:rPr>
          <w:rFonts w:asciiTheme="minorHAnsi" w:hAnsiTheme="minorHAnsi" w:cstheme="minorHAnsi"/>
          <w:lang w:eastAsia="en-GB"/>
        </w:rPr>
        <w:t>VaD</w:t>
      </w:r>
      <w:proofErr w:type="spellEnd"/>
      <w:r w:rsidRPr="00F444AA">
        <w:rPr>
          <w:rFonts w:asciiTheme="minorHAnsi" w:hAnsiTheme="minorHAnsi" w:cstheme="minorHAnsi"/>
          <w:lang w:eastAsia="en-GB"/>
        </w:rPr>
        <w:t>, vascular dementia; Psych, psychiatric; D–</w:t>
      </w:r>
      <w:proofErr w:type="spellStart"/>
      <w:r w:rsidRPr="00F444AA">
        <w:rPr>
          <w:rFonts w:asciiTheme="minorHAnsi" w:hAnsiTheme="minorHAnsi" w:cstheme="minorHAnsi"/>
          <w:lang w:eastAsia="en-GB"/>
        </w:rPr>
        <w:t>Oth</w:t>
      </w:r>
      <w:proofErr w:type="spellEnd"/>
      <w:r w:rsidRPr="00F444AA">
        <w:rPr>
          <w:rFonts w:asciiTheme="minorHAnsi" w:hAnsiTheme="minorHAnsi" w:cstheme="minorHAnsi"/>
          <w:lang w:eastAsia="en-GB"/>
        </w:rPr>
        <w:t>, other dementia; N–</w:t>
      </w:r>
      <w:proofErr w:type="spellStart"/>
      <w:r w:rsidRPr="00F444AA">
        <w:rPr>
          <w:rFonts w:asciiTheme="minorHAnsi" w:hAnsiTheme="minorHAnsi" w:cstheme="minorHAnsi"/>
          <w:lang w:eastAsia="en-GB"/>
        </w:rPr>
        <w:t>Oth</w:t>
      </w:r>
      <w:proofErr w:type="spellEnd"/>
      <w:r w:rsidRPr="00F444AA">
        <w:rPr>
          <w:rFonts w:asciiTheme="minorHAnsi" w:hAnsiTheme="minorHAnsi" w:cstheme="minorHAnsi"/>
          <w:lang w:eastAsia="en-GB"/>
        </w:rPr>
        <w:t>, other neurological disorder.</w:t>
      </w:r>
    </w:p>
    <w:p w14:paraId="512DA32E" w14:textId="5015B812" w:rsidR="005A24F5" w:rsidRDefault="005A24F5" w:rsidP="003A3A37">
      <w:pPr>
        <w:pStyle w:val="Caption"/>
        <w:spacing w:line="480" w:lineRule="auto"/>
        <w:ind w:left="0" w:firstLine="0"/>
        <w:rPr>
          <w:rFonts w:asciiTheme="minorHAnsi" w:hAnsiTheme="minorHAnsi" w:cstheme="minorHAnsi"/>
          <w:sz w:val="24"/>
          <w:szCs w:val="24"/>
          <w:lang w:eastAsia="en-GB"/>
        </w:rPr>
      </w:pPr>
      <w:bookmarkStart w:id="17" w:name="_Ref501643492"/>
      <w:bookmarkStart w:id="18" w:name="_Toc501374460"/>
      <w:r>
        <w:rPr>
          <w:rFonts w:asciiTheme="minorHAnsi" w:hAnsiTheme="minorHAnsi" w:cstheme="minorHAnsi"/>
          <w:noProof/>
          <w:sz w:val="24"/>
          <w:szCs w:val="24"/>
          <w:lang w:eastAsia="en-GB"/>
        </w:rPr>
        <w:lastRenderedPageBreak/>
        <w:drawing>
          <wp:inline distT="0" distB="0" distL="0" distR="0" wp14:anchorId="6C437469" wp14:editId="7EBA2716">
            <wp:extent cx="5486400" cy="5273566"/>
            <wp:effectExtent l="0" t="0" r="0" b="381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3_high.jpg"/>
                    <pic:cNvPicPr/>
                  </pic:nvPicPr>
                  <pic:blipFill rotWithShape="1">
                    <a:blip r:embed="rId10" cstate="print">
                      <a:extLst>
                        <a:ext uri="{28A0092B-C50C-407E-A947-70E740481C1C}">
                          <a14:useLocalDpi xmlns:a14="http://schemas.microsoft.com/office/drawing/2010/main" val="0"/>
                        </a:ext>
                      </a:extLst>
                    </a:blip>
                    <a:srcRect l="11807" t="7520" r="11031" b="40075"/>
                    <a:stretch/>
                  </pic:blipFill>
                  <pic:spPr bwMode="auto">
                    <a:xfrm>
                      <a:off x="0" y="0"/>
                      <a:ext cx="5491404" cy="5278375"/>
                    </a:xfrm>
                    <a:prstGeom prst="rect">
                      <a:avLst/>
                    </a:prstGeom>
                    <a:ln>
                      <a:noFill/>
                    </a:ln>
                    <a:extLst>
                      <a:ext uri="{53640926-AAD7-44D8-BBD7-CCE9431645EC}">
                        <a14:shadowObscured xmlns:a14="http://schemas.microsoft.com/office/drawing/2010/main"/>
                      </a:ext>
                    </a:extLst>
                  </pic:spPr>
                </pic:pic>
              </a:graphicData>
            </a:graphic>
          </wp:inline>
        </w:drawing>
      </w:r>
    </w:p>
    <w:p w14:paraId="6FE66D9E" w14:textId="3B9EABB2" w:rsidR="00D94632" w:rsidRPr="00F444AA" w:rsidRDefault="00D94632" w:rsidP="003A3A37">
      <w:pPr>
        <w:pStyle w:val="Caption"/>
        <w:spacing w:line="480" w:lineRule="auto"/>
        <w:ind w:left="0" w:firstLine="0"/>
        <w:rPr>
          <w:rFonts w:asciiTheme="minorHAnsi" w:hAnsiTheme="minorHAnsi" w:cstheme="minorHAnsi"/>
          <w:sz w:val="22"/>
          <w:szCs w:val="22"/>
        </w:rPr>
      </w:pPr>
      <w:r w:rsidRPr="00F444AA">
        <w:rPr>
          <w:rFonts w:asciiTheme="minorHAnsi" w:hAnsiTheme="minorHAnsi" w:cstheme="minorHAnsi"/>
          <w:sz w:val="24"/>
          <w:szCs w:val="24"/>
          <w:lang w:eastAsia="en-GB"/>
        </w:rPr>
        <w:t xml:space="preserve">Figure </w:t>
      </w:r>
      <w:bookmarkEnd w:id="17"/>
      <w:bookmarkEnd w:id="18"/>
      <w:r w:rsidR="003C3EC9" w:rsidRPr="00F444AA">
        <w:rPr>
          <w:rFonts w:asciiTheme="minorHAnsi" w:hAnsiTheme="minorHAnsi" w:cstheme="minorHAnsi"/>
          <w:sz w:val="24"/>
          <w:szCs w:val="24"/>
          <w:lang w:eastAsia="en-GB"/>
        </w:rPr>
        <w:t>3</w:t>
      </w:r>
    </w:p>
    <w:p w14:paraId="7608270E" w14:textId="1175C565" w:rsidR="00D94632" w:rsidRPr="00154622" w:rsidRDefault="00D94632" w:rsidP="003A3A37">
      <w:pPr>
        <w:spacing w:line="480" w:lineRule="auto"/>
        <w:rPr>
          <w:rFonts w:asciiTheme="minorHAnsi" w:hAnsiTheme="minorHAnsi" w:cstheme="minorHAnsi"/>
          <w:color w:val="000000" w:themeColor="text1"/>
          <w:lang w:eastAsia="en-GB"/>
        </w:rPr>
      </w:pPr>
      <w:r w:rsidRPr="00F444AA">
        <w:rPr>
          <w:rFonts w:asciiTheme="minorHAnsi" w:hAnsiTheme="minorHAnsi" w:cstheme="minorHAnsi"/>
          <w:lang w:eastAsia="en-GB"/>
        </w:rPr>
        <w:t>Box plot showing change in diagnostic confidence after perfusion SPECT imaging as measured by a visual analogue scale (VAS) from 0 (not confident at all) to 100 (extremely confident), grouped by pre-imaging confidence into very low (0-25</w:t>
      </w:r>
      <w:r w:rsidRPr="00154622">
        <w:rPr>
          <w:rFonts w:asciiTheme="minorHAnsi" w:hAnsiTheme="minorHAnsi" w:cstheme="minorHAnsi"/>
          <w:color w:val="000000" w:themeColor="text1"/>
          <w:lang w:eastAsia="en-GB"/>
        </w:rPr>
        <w:t xml:space="preserve">), low-moderate (26-50), moderate-high (51-75) and very high (76-100) confidence groups. *p &lt; 0.05, ***p &lt; 0.001, </w:t>
      </w:r>
      <w:proofErr w:type="spellStart"/>
      <w:r w:rsidRPr="00154622">
        <w:rPr>
          <w:rFonts w:asciiTheme="minorHAnsi" w:hAnsiTheme="minorHAnsi" w:cstheme="minorHAnsi"/>
          <w:color w:val="000000" w:themeColor="text1"/>
          <w:lang w:eastAsia="en-GB"/>
        </w:rPr>
        <w:t>n.s</w:t>
      </w:r>
      <w:proofErr w:type="spellEnd"/>
      <w:r w:rsidRPr="00154622">
        <w:rPr>
          <w:rFonts w:asciiTheme="minorHAnsi" w:hAnsiTheme="minorHAnsi" w:cstheme="minorHAnsi"/>
          <w:color w:val="000000" w:themeColor="text1"/>
          <w:lang w:eastAsia="en-GB"/>
        </w:rPr>
        <w:t>.= not significant.</w:t>
      </w:r>
    </w:p>
    <w:sectPr w:rsidR="00D94632" w:rsidRPr="00154622" w:rsidSect="00D601D6">
      <w:head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F236A" w14:textId="77777777" w:rsidR="00F45BAB" w:rsidRDefault="00F45BAB">
      <w:pPr>
        <w:spacing w:after="0" w:line="240" w:lineRule="auto"/>
      </w:pPr>
      <w:r>
        <w:separator/>
      </w:r>
    </w:p>
  </w:endnote>
  <w:endnote w:type="continuationSeparator" w:id="0">
    <w:p w14:paraId="3069559A" w14:textId="77777777" w:rsidR="00F45BAB" w:rsidRDefault="00F4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59A68" w14:textId="77777777" w:rsidR="00F45BAB" w:rsidRDefault="00F45BAB">
      <w:pPr>
        <w:spacing w:after="0" w:line="240" w:lineRule="auto"/>
      </w:pPr>
      <w:r>
        <w:separator/>
      </w:r>
    </w:p>
  </w:footnote>
  <w:footnote w:type="continuationSeparator" w:id="0">
    <w:p w14:paraId="6ABDD742" w14:textId="77777777" w:rsidR="00F45BAB" w:rsidRDefault="00F45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D0C46" w14:textId="77777777" w:rsidR="00C16327" w:rsidRDefault="00C16327" w:rsidP="00186382">
    <w:pPr>
      <w:pStyle w:val="Header"/>
      <w:tabs>
        <w:tab w:val="clear" w:pos="8306"/>
        <w:tab w:val="right" w:pos="846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16E1332"/>
    <w:lvl w:ilvl="0">
      <w:start w:val="1"/>
      <w:numFmt w:val="decimal"/>
      <w:pStyle w:val="ListNumber"/>
      <w:lvlText w:val="%1."/>
      <w:lvlJc w:val="left"/>
      <w:pPr>
        <w:tabs>
          <w:tab w:val="num" w:pos="360"/>
        </w:tabs>
        <w:ind w:left="360" w:hanging="360"/>
      </w:pPr>
    </w:lvl>
  </w:abstractNum>
  <w:abstractNum w:abstractNumId="1" w15:restartNumberingAfterBreak="0">
    <w:nsid w:val="0295359D"/>
    <w:multiLevelType w:val="hybridMultilevel"/>
    <w:tmpl w:val="800851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A676A"/>
    <w:multiLevelType w:val="hybridMultilevel"/>
    <w:tmpl w:val="5C1E7EFE"/>
    <w:lvl w:ilvl="0" w:tplc="A9A0FE74">
      <w:start w:val="6"/>
      <w:numFmt w:val="bullet"/>
      <w:lvlText w:val="-"/>
      <w:lvlJc w:val="left"/>
      <w:pPr>
        <w:ind w:left="720" w:hanging="360"/>
      </w:pPr>
      <w:rPr>
        <w:rFonts w:ascii="Lucida Sans" w:eastAsia="Times New Roman" w:hAnsi="Lucida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E7839"/>
    <w:multiLevelType w:val="hybridMultilevel"/>
    <w:tmpl w:val="637CFD10"/>
    <w:lvl w:ilvl="0" w:tplc="E806AF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0573B1"/>
    <w:multiLevelType w:val="multilevel"/>
    <w:tmpl w:val="7A06ABA0"/>
    <w:lvl w:ilvl="0">
      <w:start w:val="1"/>
      <w:numFmt w:val="decimal"/>
      <w:lvlText w:val="Chapter %1: "/>
      <w:lvlJc w:val="left"/>
      <w:pPr>
        <w:tabs>
          <w:tab w:val="num" w:pos="567"/>
        </w:tabs>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474"/>
        </w:tabs>
        <w:ind w:left="1474" w:hanging="1474"/>
      </w:pPr>
      <w:rPr>
        <w:rFonts w:hint="default"/>
      </w:rPr>
    </w:lvl>
    <w:lvl w:ilvl="7">
      <w:start w:val="1"/>
      <w:numFmt w:val="decimal"/>
      <w:lvlText w:val="%1.%2.%3.%4.%5.%6.%7.%8"/>
      <w:lvlJc w:val="left"/>
      <w:pPr>
        <w:tabs>
          <w:tab w:val="num" w:pos="1588"/>
        </w:tabs>
        <w:ind w:left="1588" w:hanging="1588"/>
      </w:pPr>
      <w:rPr>
        <w:rFonts w:hint="default"/>
      </w:rPr>
    </w:lvl>
    <w:lvl w:ilvl="8">
      <w:start w:val="1"/>
      <w:numFmt w:val="decimal"/>
      <w:lvlText w:val="%1.%2.%3.%4.%5.%6.%7.%8.%9"/>
      <w:lvlJc w:val="left"/>
      <w:pPr>
        <w:tabs>
          <w:tab w:val="num" w:pos="1701"/>
        </w:tabs>
        <w:ind w:left="1701" w:hanging="1701"/>
      </w:pPr>
      <w:rPr>
        <w:rFonts w:hint="default"/>
      </w:rPr>
    </w:lvl>
  </w:abstractNum>
  <w:abstractNum w:abstractNumId="5" w15:restartNumberingAfterBreak="0">
    <w:nsid w:val="37976D8B"/>
    <w:multiLevelType w:val="hybridMultilevel"/>
    <w:tmpl w:val="73089C6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 w15:restartNumberingAfterBreak="0">
    <w:nsid w:val="3C4D2370"/>
    <w:multiLevelType w:val="multilevel"/>
    <w:tmpl w:val="6352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1F0023"/>
    <w:multiLevelType w:val="multilevel"/>
    <w:tmpl w:val="7A06ABA0"/>
    <w:lvl w:ilvl="0">
      <w:start w:val="1"/>
      <w:numFmt w:val="decimal"/>
      <w:pStyle w:val="Heading1"/>
      <w:lvlText w:val="Chapter %1: "/>
      <w:lvlJc w:val="left"/>
      <w:pPr>
        <w:tabs>
          <w:tab w:val="num" w:pos="567"/>
        </w:tabs>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8" w15:restartNumberingAfterBreak="0">
    <w:nsid w:val="4794433D"/>
    <w:multiLevelType w:val="hybridMultilevel"/>
    <w:tmpl w:val="7E4228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4A16CB4"/>
    <w:multiLevelType w:val="hybridMultilevel"/>
    <w:tmpl w:val="809C6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547646"/>
    <w:multiLevelType w:val="hybridMultilevel"/>
    <w:tmpl w:val="757EE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E421C2"/>
    <w:multiLevelType w:val="hybridMultilevel"/>
    <w:tmpl w:val="FED4D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0"/>
  </w:num>
  <w:num w:numId="4">
    <w:abstractNumId w:val="8"/>
  </w:num>
  <w:num w:numId="5">
    <w:abstractNumId w:val="2"/>
  </w:num>
  <w:num w:numId="6">
    <w:abstractNumId w:val="1"/>
  </w:num>
  <w:num w:numId="7">
    <w:abstractNumId w:val="9"/>
  </w:num>
  <w:num w:numId="8">
    <w:abstractNumId w:val="5"/>
  </w:num>
  <w:num w:numId="9">
    <w:abstractNumId w:val="11"/>
  </w:num>
  <w:num w:numId="10">
    <w:abstractNumId w:val="4"/>
  </w:num>
  <w:num w:numId="11">
    <w:abstractNumId w:val="7"/>
  </w:num>
  <w:num w:numId="12">
    <w:abstractNumId w:val="6"/>
  </w:num>
  <w:num w:numId="13">
    <w:abstractNumId w:val="3"/>
  </w:num>
  <w:num w:numId="14">
    <w:abstractNumId w:val="7"/>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BDB"/>
    <w:rsid w:val="000017AA"/>
    <w:rsid w:val="000024D9"/>
    <w:rsid w:val="00004454"/>
    <w:rsid w:val="0000446C"/>
    <w:rsid w:val="00004D56"/>
    <w:rsid w:val="00005268"/>
    <w:rsid w:val="00005C07"/>
    <w:rsid w:val="00006C34"/>
    <w:rsid w:val="00012303"/>
    <w:rsid w:val="00012F79"/>
    <w:rsid w:val="00014359"/>
    <w:rsid w:val="0001511B"/>
    <w:rsid w:val="00017A66"/>
    <w:rsid w:val="0002027A"/>
    <w:rsid w:val="00022F8E"/>
    <w:rsid w:val="00024BC0"/>
    <w:rsid w:val="000271A6"/>
    <w:rsid w:val="00047E6C"/>
    <w:rsid w:val="000501DF"/>
    <w:rsid w:val="00050FB8"/>
    <w:rsid w:val="00054128"/>
    <w:rsid w:val="00056E38"/>
    <w:rsid w:val="00060C99"/>
    <w:rsid w:val="00064F5E"/>
    <w:rsid w:val="00072632"/>
    <w:rsid w:val="00081E16"/>
    <w:rsid w:val="00081F88"/>
    <w:rsid w:val="00084490"/>
    <w:rsid w:val="00086791"/>
    <w:rsid w:val="000904D9"/>
    <w:rsid w:val="00091E18"/>
    <w:rsid w:val="00094DB8"/>
    <w:rsid w:val="000B1D22"/>
    <w:rsid w:val="000B5E5D"/>
    <w:rsid w:val="000B6B37"/>
    <w:rsid w:val="000D397B"/>
    <w:rsid w:val="000D52DA"/>
    <w:rsid w:val="000E3ACC"/>
    <w:rsid w:val="000E5F90"/>
    <w:rsid w:val="000F742B"/>
    <w:rsid w:val="0010201A"/>
    <w:rsid w:val="00110575"/>
    <w:rsid w:val="00115470"/>
    <w:rsid w:val="00121EB9"/>
    <w:rsid w:val="00127DC2"/>
    <w:rsid w:val="00131252"/>
    <w:rsid w:val="001331C8"/>
    <w:rsid w:val="00145874"/>
    <w:rsid w:val="001461E8"/>
    <w:rsid w:val="00147AC6"/>
    <w:rsid w:val="00152051"/>
    <w:rsid w:val="00153D6B"/>
    <w:rsid w:val="00154622"/>
    <w:rsid w:val="00156E80"/>
    <w:rsid w:val="00163BF5"/>
    <w:rsid w:val="001658FD"/>
    <w:rsid w:val="00166D32"/>
    <w:rsid w:val="00167E71"/>
    <w:rsid w:val="00170B20"/>
    <w:rsid w:val="0017537F"/>
    <w:rsid w:val="0017690B"/>
    <w:rsid w:val="00180806"/>
    <w:rsid w:val="00182CF5"/>
    <w:rsid w:val="00186382"/>
    <w:rsid w:val="0018742B"/>
    <w:rsid w:val="00187874"/>
    <w:rsid w:val="00187B21"/>
    <w:rsid w:val="00195AA2"/>
    <w:rsid w:val="00196103"/>
    <w:rsid w:val="00197BDF"/>
    <w:rsid w:val="001A4CC1"/>
    <w:rsid w:val="001B70B9"/>
    <w:rsid w:val="001B737E"/>
    <w:rsid w:val="001B78DF"/>
    <w:rsid w:val="001B7A08"/>
    <w:rsid w:val="001C00A9"/>
    <w:rsid w:val="001C4E2A"/>
    <w:rsid w:val="001D71E7"/>
    <w:rsid w:val="001E0DB3"/>
    <w:rsid w:val="001E23E8"/>
    <w:rsid w:val="001E492E"/>
    <w:rsid w:val="001E5894"/>
    <w:rsid w:val="001E60B9"/>
    <w:rsid w:val="001F2999"/>
    <w:rsid w:val="001F4A1A"/>
    <w:rsid w:val="002045DA"/>
    <w:rsid w:val="00204D42"/>
    <w:rsid w:val="00204F8B"/>
    <w:rsid w:val="00214CAA"/>
    <w:rsid w:val="00215568"/>
    <w:rsid w:val="00216DE1"/>
    <w:rsid w:val="002228F0"/>
    <w:rsid w:val="0022404A"/>
    <w:rsid w:val="002279A3"/>
    <w:rsid w:val="0023372A"/>
    <w:rsid w:val="002356FA"/>
    <w:rsid w:val="0024194E"/>
    <w:rsid w:val="00243165"/>
    <w:rsid w:val="002463C0"/>
    <w:rsid w:val="00252A39"/>
    <w:rsid w:val="00255C02"/>
    <w:rsid w:val="00256D79"/>
    <w:rsid w:val="002622A0"/>
    <w:rsid w:val="00264085"/>
    <w:rsid w:val="002653BB"/>
    <w:rsid w:val="002675CE"/>
    <w:rsid w:val="002675D1"/>
    <w:rsid w:val="00270EC3"/>
    <w:rsid w:val="002748F5"/>
    <w:rsid w:val="0027646A"/>
    <w:rsid w:val="002818A4"/>
    <w:rsid w:val="00284E55"/>
    <w:rsid w:val="0028616D"/>
    <w:rsid w:val="002956BA"/>
    <w:rsid w:val="00297CEF"/>
    <w:rsid w:val="002A2184"/>
    <w:rsid w:val="002A36E0"/>
    <w:rsid w:val="002A5BCA"/>
    <w:rsid w:val="002A6DA3"/>
    <w:rsid w:val="002A7574"/>
    <w:rsid w:val="002B35C7"/>
    <w:rsid w:val="002B5BC8"/>
    <w:rsid w:val="002C04C8"/>
    <w:rsid w:val="002C1496"/>
    <w:rsid w:val="002C17C4"/>
    <w:rsid w:val="002C425A"/>
    <w:rsid w:val="002C74B2"/>
    <w:rsid w:val="002D183D"/>
    <w:rsid w:val="002D4BFC"/>
    <w:rsid w:val="002F5B21"/>
    <w:rsid w:val="002F7E3F"/>
    <w:rsid w:val="00300439"/>
    <w:rsid w:val="00302A92"/>
    <w:rsid w:val="00312AB7"/>
    <w:rsid w:val="003206E9"/>
    <w:rsid w:val="00322C25"/>
    <w:rsid w:val="00326A00"/>
    <w:rsid w:val="00326A17"/>
    <w:rsid w:val="00327152"/>
    <w:rsid w:val="0033360A"/>
    <w:rsid w:val="00334C50"/>
    <w:rsid w:val="00337A31"/>
    <w:rsid w:val="003437E1"/>
    <w:rsid w:val="00346A26"/>
    <w:rsid w:val="003508EA"/>
    <w:rsid w:val="00353929"/>
    <w:rsid w:val="00356F1C"/>
    <w:rsid w:val="00357198"/>
    <w:rsid w:val="00357B27"/>
    <w:rsid w:val="0036392C"/>
    <w:rsid w:val="003654AE"/>
    <w:rsid w:val="00366A0D"/>
    <w:rsid w:val="0037352E"/>
    <w:rsid w:val="00376B20"/>
    <w:rsid w:val="0039278E"/>
    <w:rsid w:val="00394C4E"/>
    <w:rsid w:val="003A02BA"/>
    <w:rsid w:val="003A27D7"/>
    <w:rsid w:val="003A3A37"/>
    <w:rsid w:val="003A77E1"/>
    <w:rsid w:val="003B1083"/>
    <w:rsid w:val="003B35C8"/>
    <w:rsid w:val="003B4A34"/>
    <w:rsid w:val="003B7828"/>
    <w:rsid w:val="003C0D7B"/>
    <w:rsid w:val="003C1A4D"/>
    <w:rsid w:val="003C1DEE"/>
    <w:rsid w:val="003C2E02"/>
    <w:rsid w:val="003C3EC9"/>
    <w:rsid w:val="003C5881"/>
    <w:rsid w:val="003C6573"/>
    <w:rsid w:val="003D344C"/>
    <w:rsid w:val="003D6B76"/>
    <w:rsid w:val="003E25F0"/>
    <w:rsid w:val="003E26F5"/>
    <w:rsid w:val="003E5971"/>
    <w:rsid w:val="003F27E0"/>
    <w:rsid w:val="003F3BEC"/>
    <w:rsid w:val="00403015"/>
    <w:rsid w:val="0040597F"/>
    <w:rsid w:val="004075B8"/>
    <w:rsid w:val="0041282F"/>
    <w:rsid w:val="004218F3"/>
    <w:rsid w:val="004239EF"/>
    <w:rsid w:val="004246BD"/>
    <w:rsid w:val="00424B62"/>
    <w:rsid w:val="00426CA8"/>
    <w:rsid w:val="00427AD6"/>
    <w:rsid w:val="0043053F"/>
    <w:rsid w:val="00434112"/>
    <w:rsid w:val="00437760"/>
    <w:rsid w:val="00446BD5"/>
    <w:rsid w:val="00451B2E"/>
    <w:rsid w:val="004540F6"/>
    <w:rsid w:val="00455553"/>
    <w:rsid w:val="0045596D"/>
    <w:rsid w:val="00465C41"/>
    <w:rsid w:val="00466BD1"/>
    <w:rsid w:val="00472644"/>
    <w:rsid w:val="00480B22"/>
    <w:rsid w:val="00481CFB"/>
    <w:rsid w:val="00490B6C"/>
    <w:rsid w:val="00496A6C"/>
    <w:rsid w:val="00497754"/>
    <w:rsid w:val="004A054E"/>
    <w:rsid w:val="004A63CA"/>
    <w:rsid w:val="004B2EB7"/>
    <w:rsid w:val="004B3F23"/>
    <w:rsid w:val="004B3F3C"/>
    <w:rsid w:val="004B6474"/>
    <w:rsid w:val="004B7BD6"/>
    <w:rsid w:val="004C0914"/>
    <w:rsid w:val="004C2B18"/>
    <w:rsid w:val="004C7450"/>
    <w:rsid w:val="004D07AA"/>
    <w:rsid w:val="004D3545"/>
    <w:rsid w:val="004D4A72"/>
    <w:rsid w:val="004D599B"/>
    <w:rsid w:val="004D784F"/>
    <w:rsid w:val="004E1265"/>
    <w:rsid w:val="004E1D5D"/>
    <w:rsid w:val="004E326F"/>
    <w:rsid w:val="004E3BC5"/>
    <w:rsid w:val="004E4330"/>
    <w:rsid w:val="004E50AE"/>
    <w:rsid w:val="004E7831"/>
    <w:rsid w:val="004F342F"/>
    <w:rsid w:val="004F76EF"/>
    <w:rsid w:val="005045ED"/>
    <w:rsid w:val="00514644"/>
    <w:rsid w:val="00514C4E"/>
    <w:rsid w:val="00521FC6"/>
    <w:rsid w:val="00527EFE"/>
    <w:rsid w:val="005316AE"/>
    <w:rsid w:val="00531D60"/>
    <w:rsid w:val="00532291"/>
    <w:rsid w:val="00532701"/>
    <w:rsid w:val="00533447"/>
    <w:rsid w:val="0053443C"/>
    <w:rsid w:val="00534D4A"/>
    <w:rsid w:val="00534EB9"/>
    <w:rsid w:val="00536AC9"/>
    <w:rsid w:val="00537443"/>
    <w:rsid w:val="005421D6"/>
    <w:rsid w:val="005426D2"/>
    <w:rsid w:val="00554E66"/>
    <w:rsid w:val="0056213E"/>
    <w:rsid w:val="005718BD"/>
    <w:rsid w:val="00583118"/>
    <w:rsid w:val="005842AF"/>
    <w:rsid w:val="00591E7D"/>
    <w:rsid w:val="00595329"/>
    <w:rsid w:val="00596394"/>
    <w:rsid w:val="00596A39"/>
    <w:rsid w:val="005A0EA3"/>
    <w:rsid w:val="005A2471"/>
    <w:rsid w:val="005A24F5"/>
    <w:rsid w:val="005A6E11"/>
    <w:rsid w:val="005B0FA2"/>
    <w:rsid w:val="005B2DFA"/>
    <w:rsid w:val="005B5209"/>
    <w:rsid w:val="005B6D57"/>
    <w:rsid w:val="005B76F6"/>
    <w:rsid w:val="005C1DA1"/>
    <w:rsid w:val="005C20E1"/>
    <w:rsid w:val="005C6785"/>
    <w:rsid w:val="005C799E"/>
    <w:rsid w:val="005D422E"/>
    <w:rsid w:val="005D4941"/>
    <w:rsid w:val="005D5B65"/>
    <w:rsid w:val="005D74C0"/>
    <w:rsid w:val="005E730F"/>
    <w:rsid w:val="005F0103"/>
    <w:rsid w:val="005F03BA"/>
    <w:rsid w:val="005F077C"/>
    <w:rsid w:val="005F5707"/>
    <w:rsid w:val="005F7904"/>
    <w:rsid w:val="005F79E2"/>
    <w:rsid w:val="00602A43"/>
    <w:rsid w:val="00605B0E"/>
    <w:rsid w:val="00610CA3"/>
    <w:rsid w:val="00611276"/>
    <w:rsid w:val="00623B26"/>
    <w:rsid w:val="006322B1"/>
    <w:rsid w:val="00633A1D"/>
    <w:rsid w:val="00634E60"/>
    <w:rsid w:val="00635AB4"/>
    <w:rsid w:val="006361B6"/>
    <w:rsid w:val="0064600F"/>
    <w:rsid w:val="00650A32"/>
    <w:rsid w:val="00655ECF"/>
    <w:rsid w:val="00656AD8"/>
    <w:rsid w:val="00657281"/>
    <w:rsid w:val="00657439"/>
    <w:rsid w:val="00661099"/>
    <w:rsid w:val="00663DA0"/>
    <w:rsid w:val="00664F07"/>
    <w:rsid w:val="006674A0"/>
    <w:rsid w:val="0067288C"/>
    <w:rsid w:val="006744D7"/>
    <w:rsid w:val="0067641D"/>
    <w:rsid w:val="00680D44"/>
    <w:rsid w:val="006927B3"/>
    <w:rsid w:val="00697BC8"/>
    <w:rsid w:val="006A050B"/>
    <w:rsid w:val="006A291A"/>
    <w:rsid w:val="006A5B93"/>
    <w:rsid w:val="006A7B51"/>
    <w:rsid w:val="006B11E8"/>
    <w:rsid w:val="006B44F8"/>
    <w:rsid w:val="006B63DB"/>
    <w:rsid w:val="006B785A"/>
    <w:rsid w:val="006C4500"/>
    <w:rsid w:val="006C58B2"/>
    <w:rsid w:val="006C66F4"/>
    <w:rsid w:val="006D7CA6"/>
    <w:rsid w:val="006E0798"/>
    <w:rsid w:val="006E09A0"/>
    <w:rsid w:val="006E3F23"/>
    <w:rsid w:val="006E505E"/>
    <w:rsid w:val="006F77CB"/>
    <w:rsid w:val="00700D36"/>
    <w:rsid w:val="00701308"/>
    <w:rsid w:val="007018BF"/>
    <w:rsid w:val="00703E25"/>
    <w:rsid w:val="007058DC"/>
    <w:rsid w:val="00722944"/>
    <w:rsid w:val="00724413"/>
    <w:rsid w:val="0073172D"/>
    <w:rsid w:val="00735694"/>
    <w:rsid w:val="007444BC"/>
    <w:rsid w:val="00744AE7"/>
    <w:rsid w:val="00750912"/>
    <w:rsid w:val="00750FC1"/>
    <w:rsid w:val="00753FCC"/>
    <w:rsid w:val="007603C9"/>
    <w:rsid w:val="00760F78"/>
    <w:rsid w:val="00772231"/>
    <w:rsid w:val="0077389D"/>
    <w:rsid w:val="007744A0"/>
    <w:rsid w:val="00775670"/>
    <w:rsid w:val="0078352D"/>
    <w:rsid w:val="007845EA"/>
    <w:rsid w:val="00785F66"/>
    <w:rsid w:val="007871C1"/>
    <w:rsid w:val="007872D6"/>
    <w:rsid w:val="00791F4A"/>
    <w:rsid w:val="007930A3"/>
    <w:rsid w:val="00796A26"/>
    <w:rsid w:val="007A03C4"/>
    <w:rsid w:val="007A2251"/>
    <w:rsid w:val="007A32FB"/>
    <w:rsid w:val="007A3697"/>
    <w:rsid w:val="007A7F35"/>
    <w:rsid w:val="007B48BF"/>
    <w:rsid w:val="007B74CA"/>
    <w:rsid w:val="007C0428"/>
    <w:rsid w:val="007C5DCC"/>
    <w:rsid w:val="007D2AF5"/>
    <w:rsid w:val="007D2FAB"/>
    <w:rsid w:val="007D3E29"/>
    <w:rsid w:val="007E604F"/>
    <w:rsid w:val="007E6E01"/>
    <w:rsid w:val="007E7848"/>
    <w:rsid w:val="007F0A87"/>
    <w:rsid w:val="007F0D13"/>
    <w:rsid w:val="007F4D6F"/>
    <w:rsid w:val="00800F7E"/>
    <w:rsid w:val="00802628"/>
    <w:rsid w:val="00802752"/>
    <w:rsid w:val="00805AB6"/>
    <w:rsid w:val="008079ED"/>
    <w:rsid w:val="00811E67"/>
    <w:rsid w:val="00821C14"/>
    <w:rsid w:val="00823D75"/>
    <w:rsid w:val="00830192"/>
    <w:rsid w:val="008351B6"/>
    <w:rsid w:val="00836BFE"/>
    <w:rsid w:val="00841285"/>
    <w:rsid w:val="008443C8"/>
    <w:rsid w:val="008457BB"/>
    <w:rsid w:val="00850EF9"/>
    <w:rsid w:val="00854503"/>
    <w:rsid w:val="00854CDF"/>
    <w:rsid w:val="0087219C"/>
    <w:rsid w:val="0087332E"/>
    <w:rsid w:val="008743D2"/>
    <w:rsid w:val="00880609"/>
    <w:rsid w:val="00882255"/>
    <w:rsid w:val="00886BC2"/>
    <w:rsid w:val="00894AB4"/>
    <w:rsid w:val="00895E85"/>
    <w:rsid w:val="00896EE2"/>
    <w:rsid w:val="008A03A0"/>
    <w:rsid w:val="008A0966"/>
    <w:rsid w:val="008A2F9B"/>
    <w:rsid w:val="008A4E09"/>
    <w:rsid w:val="008A73B6"/>
    <w:rsid w:val="008A7A6A"/>
    <w:rsid w:val="008C2F61"/>
    <w:rsid w:val="008C4184"/>
    <w:rsid w:val="008C580D"/>
    <w:rsid w:val="008C5D97"/>
    <w:rsid w:val="008C744F"/>
    <w:rsid w:val="008D1595"/>
    <w:rsid w:val="008D5ECA"/>
    <w:rsid w:val="008D6A5F"/>
    <w:rsid w:val="008D6E73"/>
    <w:rsid w:val="008D7E1D"/>
    <w:rsid w:val="008F0B3A"/>
    <w:rsid w:val="008F0C2E"/>
    <w:rsid w:val="008F1BBD"/>
    <w:rsid w:val="008F37A7"/>
    <w:rsid w:val="008F54EA"/>
    <w:rsid w:val="00901B83"/>
    <w:rsid w:val="009045EB"/>
    <w:rsid w:val="0090591D"/>
    <w:rsid w:val="00914E8B"/>
    <w:rsid w:val="00917E70"/>
    <w:rsid w:val="00921041"/>
    <w:rsid w:val="00921C04"/>
    <w:rsid w:val="00924C06"/>
    <w:rsid w:val="009252B8"/>
    <w:rsid w:val="00933965"/>
    <w:rsid w:val="009356FC"/>
    <w:rsid w:val="00935759"/>
    <w:rsid w:val="009362B8"/>
    <w:rsid w:val="009426B7"/>
    <w:rsid w:val="0094757E"/>
    <w:rsid w:val="00960A5C"/>
    <w:rsid w:val="00960E29"/>
    <w:rsid w:val="00965642"/>
    <w:rsid w:val="009746C9"/>
    <w:rsid w:val="00977AD1"/>
    <w:rsid w:val="00977B02"/>
    <w:rsid w:val="00982127"/>
    <w:rsid w:val="00982E56"/>
    <w:rsid w:val="0098534B"/>
    <w:rsid w:val="009864E8"/>
    <w:rsid w:val="00986894"/>
    <w:rsid w:val="00993F98"/>
    <w:rsid w:val="009942C6"/>
    <w:rsid w:val="009947C7"/>
    <w:rsid w:val="00995A58"/>
    <w:rsid w:val="00995DA6"/>
    <w:rsid w:val="00997E2A"/>
    <w:rsid w:val="009B159E"/>
    <w:rsid w:val="009B1BCE"/>
    <w:rsid w:val="009B1CE8"/>
    <w:rsid w:val="009B26DA"/>
    <w:rsid w:val="009B420A"/>
    <w:rsid w:val="009B4DD0"/>
    <w:rsid w:val="009B7906"/>
    <w:rsid w:val="009C200C"/>
    <w:rsid w:val="009C4465"/>
    <w:rsid w:val="009C4DF9"/>
    <w:rsid w:val="009C637A"/>
    <w:rsid w:val="009D4DE3"/>
    <w:rsid w:val="009D70B5"/>
    <w:rsid w:val="009E07BE"/>
    <w:rsid w:val="009E52FF"/>
    <w:rsid w:val="009E547C"/>
    <w:rsid w:val="009E6E57"/>
    <w:rsid w:val="009F2F15"/>
    <w:rsid w:val="009F6100"/>
    <w:rsid w:val="00A02408"/>
    <w:rsid w:val="00A05649"/>
    <w:rsid w:val="00A0761A"/>
    <w:rsid w:val="00A11180"/>
    <w:rsid w:val="00A114B7"/>
    <w:rsid w:val="00A136F9"/>
    <w:rsid w:val="00A161A3"/>
    <w:rsid w:val="00A17944"/>
    <w:rsid w:val="00A24D26"/>
    <w:rsid w:val="00A279C6"/>
    <w:rsid w:val="00A30738"/>
    <w:rsid w:val="00A33679"/>
    <w:rsid w:val="00A3773F"/>
    <w:rsid w:val="00A5703A"/>
    <w:rsid w:val="00A675A8"/>
    <w:rsid w:val="00A67666"/>
    <w:rsid w:val="00A67A94"/>
    <w:rsid w:val="00A763F4"/>
    <w:rsid w:val="00A8160F"/>
    <w:rsid w:val="00A82680"/>
    <w:rsid w:val="00A90B0F"/>
    <w:rsid w:val="00A9472F"/>
    <w:rsid w:val="00AA0127"/>
    <w:rsid w:val="00AA27E1"/>
    <w:rsid w:val="00AA387C"/>
    <w:rsid w:val="00AA567F"/>
    <w:rsid w:val="00AA589F"/>
    <w:rsid w:val="00AB5728"/>
    <w:rsid w:val="00AB5C8F"/>
    <w:rsid w:val="00AB5F48"/>
    <w:rsid w:val="00AB6315"/>
    <w:rsid w:val="00AC2A94"/>
    <w:rsid w:val="00AC5CF0"/>
    <w:rsid w:val="00AE18B8"/>
    <w:rsid w:val="00AE1D8A"/>
    <w:rsid w:val="00AE4C84"/>
    <w:rsid w:val="00AE5803"/>
    <w:rsid w:val="00AE768A"/>
    <w:rsid w:val="00AF0D25"/>
    <w:rsid w:val="00AF15A4"/>
    <w:rsid w:val="00AF48AA"/>
    <w:rsid w:val="00AF5DC7"/>
    <w:rsid w:val="00B01388"/>
    <w:rsid w:val="00B06763"/>
    <w:rsid w:val="00B11B1E"/>
    <w:rsid w:val="00B152C9"/>
    <w:rsid w:val="00B15470"/>
    <w:rsid w:val="00B1709E"/>
    <w:rsid w:val="00B174D6"/>
    <w:rsid w:val="00B33FCE"/>
    <w:rsid w:val="00B346EB"/>
    <w:rsid w:val="00B351CD"/>
    <w:rsid w:val="00B3772C"/>
    <w:rsid w:val="00B562D7"/>
    <w:rsid w:val="00B61C92"/>
    <w:rsid w:val="00B634FA"/>
    <w:rsid w:val="00B63BFD"/>
    <w:rsid w:val="00B64F3A"/>
    <w:rsid w:val="00B7177D"/>
    <w:rsid w:val="00B749EA"/>
    <w:rsid w:val="00B85777"/>
    <w:rsid w:val="00B86140"/>
    <w:rsid w:val="00B925D9"/>
    <w:rsid w:val="00B940F3"/>
    <w:rsid w:val="00B96395"/>
    <w:rsid w:val="00B972F0"/>
    <w:rsid w:val="00B97842"/>
    <w:rsid w:val="00BA2B2D"/>
    <w:rsid w:val="00BA59A0"/>
    <w:rsid w:val="00BA71FF"/>
    <w:rsid w:val="00BB05D3"/>
    <w:rsid w:val="00BB13F5"/>
    <w:rsid w:val="00BB5D09"/>
    <w:rsid w:val="00BB702B"/>
    <w:rsid w:val="00BC2BDB"/>
    <w:rsid w:val="00BC4863"/>
    <w:rsid w:val="00BC530D"/>
    <w:rsid w:val="00BD2C8E"/>
    <w:rsid w:val="00BE01C7"/>
    <w:rsid w:val="00BE2DC9"/>
    <w:rsid w:val="00BE3147"/>
    <w:rsid w:val="00BE3DBC"/>
    <w:rsid w:val="00BE6F9B"/>
    <w:rsid w:val="00BE766C"/>
    <w:rsid w:val="00BF4FC0"/>
    <w:rsid w:val="00C066D9"/>
    <w:rsid w:val="00C10BE9"/>
    <w:rsid w:val="00C1287A"/>
    <w:rsid w:val="00C16327"/>
    <w:rsid w:val="00C20E42"/>
    <w:rsid w:val="00C27F95"/>
    <w:rsid w:val="00C33EE8"/>
    <w:rsid w:val="00C364B3"/>
    <w:rsid w:val="00C37CF1"/>
    <w:rsid w:val="00C43CA2"/>
    <w:rsid w:val="00C442CD"/>
    <w:rsid w:val="00C45738"/>
    <w:rsid w:val="00C4641E"/>
    <w:rsid w:val="00C4686C"/>
    <w:rsid w:val="00C50425"/>
    <w:rsid w:val="00C51285"/>
    <w:rsid w:val="00C51532"/>
    <w:rsid w:val="00C53ACA"/>
    <w:rsid w:val="00C54C07"/>
    <w:rsid w:val="00C5552A"/>
    <w:rsid w:val="00C55984"/>
    <w:rsid w:val="00C664BD"/>
    <w:rsid w:val="00C67088"/>
    <w:rsid w:val="00C677B4"/>
    <w:rsid w:val="00C71AFF"/>
    <w:rsid w:val="00C71C5D"/>
    <w:rsid w:val="00C7213F"/>
    <w:rsid w:val="00C72628"/>
    <w:rsid w:val="00C7656E"/>
    <w:rsid w:val="00C76582"/>
    <w:rsid w:val="00C81BB7"/>
    <w:rsid w:val="00C84C08"/>
    <w:rsid w:val="00C91E6B"/>
    <w:rsid w:val="00C9702E"/>
    <w:rsid w:val="00CA152E"/>
    <w:rsid w:val="00CA1F87"/>
    <w:rsid w:val="00CA3EED"/>
    <w:rsid w:val="00CA4EAD"/>
    <w:rsid w:val="00CA6B75"/>
    <w:rsid w:val="00CB3101"/>
    <w:rsid w:val="00CB5444"/>
    <w:rsid w:val="00CC287A"/>
    <w:rsid w:val="00CC2B07"/>
    <w:rsid w:val="00CC3F8A"/>
    <w:rsid w:val="00CD2FD1"/>
    <w:rsid w:val="00CD63C0"/>
    <w:rsid w:val="00CE5E2D"/>
    <w:rsid w:val="00CE74CB"/>
    <w:rsid w:val="00CF33E7"/>
    <w:rsid w:val="00CF74F6"/>
    <w:rsid w:val="00D0143D"/>
    <w:rsid w:val="00D02835"/>
    <w:rsid w:val="00D0358B"/>
    <w:rsid w:val="00D038FF"/>
    <w:rsid w:val="00D04983"/>
    <w:rsid w:val="00D05155"/>
    <w:rsid w:val="00D1055E"/>
    <w:rsid w:val="00D1184D"/>
    <w:rsid w:val="00D13320"/>
    <w:rsid w:val="00D16F94"/>
    <w:rsid w:val="00D204F7"/>
    <w:rsid w:val="00D22EFA"/>
    <w:rsid w:val="00D24CF0"/>
    <w:rsid w:val="00D25AB5"/>
    <w:rsid w:val="00D25CEA"/>
    <w:rsid w:val="00D34F37"/>
    <w:rsid w:val="00D412A7"/>
    <w:rsid w:val="00D45064"/>
    <w:rsid w:val="00D55A9E"/>
    <w:rsid w:val="00D56179"/>
    <w:rsid w:val="00D56244"/>
    <w:rsid w:val="00D570AC"/>
    <w:rsid w:val="00D601D6"/>
    <w:rsid w:val="00D62188"/>
    <w:rsid w:val="00D632DB"/>
    <w:rsid w:val="00D63BBD"/>
    <w:rsid w:val="00D6480E"/>
    <w:rsid w:val="00D67ED2"/>
    <w:rsid w:val="00D70A18"/>
    <w:rsid w:val="00D754A0"/>
    <w:rsid w:val="00D7693D"/>
    <w:rsid w:val="00D7776A"/>
    <w:rsid w:val="00D8336E"/>
    <w:rsid w:val="00D902A8"/>
    <w:rsid w:val="00D94632"/>
    <w:rsid w:val="00D94F8B"/>
    <w:rsid w:val="00D95214"/>
    <w:rsid w:val="00D97D38"/>
    <w:rsid w:val="00DB171E"/>
    <w:rsid w:val="00DB2CE3"/>
    <w:rsid w:val="00DB554C"/>
    <w:rsid w:val="00DB559E"/>
    <w:rsid w:val="00DC3F91"/>
    <w:rsid w:val="00DD0FB5"/>
    <w:rsid w:val="00DD6166"/>
    <w:rsid w:val="00DF1EB1"/>
    <w:rsid w:val="00E02875"/>
    <w:rsid w:val="00E05755"/>
    <w:rsid w:val="00E22E66"/>
    <w:rsid w:val="00E26BFF"/>
    <w:rsid w:val="00E34B5A"/>
    <w:rsid w:val="00E40F57"/>
    <w:rsid w:val="00E417BB"/>
    <w:rsid w:val="00E52BD2"/>
    <w:rsid w:val="00E53BF2"/>
    <w:rsid w:val="00E54FBE"/>
    <w:rsid w:val="00E55C3E"/>
    <w:rsid w:val="00E5604C"/>
    <w:rsid w:val="00E564A3"/>
    <w:rsid w:val="00E6037E"/>
    <w:rsid w:val="00E67183"/>
    <w:rsid w:val="00E80855"/>
    <w:rsid w:val="00E827B4"/>
    <w:rsid w:val="00E8525A"/>
    <w:rsid w:val="00E8543D"/>
    <w:rsid w:val="00E85EF1"/>
    <w:rsid w:val="00E86591"/>
    <w:rsid w:val="00E91E8C"/>
    <w:rsid w:val="00E92A96"/>
    <w:rsid w:val="00E93662"/>
    <w:rsid w:val="00EA0343"/>
    <w:rsid w:val="00EC6515"/>
    <w:rsid w:val="00EC67EE"/>
    <w:rsid w:val="00ED05EA"/>
    <w:rsid w:val="00ED0C01"/>
    <w:rsid w:val="00ED3638"/>
    <w:rsid w:val="00ED47DF"/>
    <w:rsid w:val="00EE219E"/>
    <w:rsid w:val="00EE3109"/>
    <w:rsid w:val="00EE60AF"/>
    <w:rsid w:val="00EF066C"/>
    <w:rsid w:val="00EF1695"/>
    <w:rsid w:val="00EF1743"/>
    <w:rsid w:val="00EF60E1"/>
    <w:rsid w:val="00F00B25"/>
    <w:rsid w:val="00F0138D"/>
    <w:rsid w:val="00F04802"/>
    <w:rsid w:val="00F04BF6"/>
    <w:rsid w:val="00F07C09"/>
    <w:rsid w:val="00F10AE6"/>
    <w:rsid w:val="00F1132A"/>
    <w:rsid w:val="00F12A3F"/>
    <w:rsid w:val="00F13AB2"/>
    <w:rsid w:val="00F21BDB"/>
    <w:rsid w:val="00F26D52"/>
    <w:rsid w:val="00F271AF"/>
    <w:rsid w:val="00F31B6B"/>
    <w:rsid w:val="00F33A74"/>
    <w:rsid w:val="00F35144"/>
    <w:rsid w:val="00F41CF5"/>
    <w:rsid w:val="00F42302"/>
    <w:rsid w:val="00F444AA"/>
    <w:rsid w:val="00F4479B"/>
    <w:rsid w:val="00F45BAB"/>
    <w:rsid w:val="00F47F05"/>
    <w:rsid w:val="00F505F8"/>
    <w:rsid w:val="00F53285"/>
    <w:rsid w:val="00F55C7B"/>
    <w:rsid w:val="00F564FD"/>
    <w:rsid w:val="00F57742"/>
    <w:rsid w:val="00F60698"/>
    <w:rsid w:val="00F614DB"/>
    <w:rsid w:val="00F621FD"/>
    <w:rsid w:val="00F63361"/>
    <w:rsid w:val="00F6463E"/>
    <w:rsid w:val="00F6593C"/>
    <w:rsid w:val="00F66675"/>
    <w:rsid w:val="00F670BE"/>
    <w:rsid w:val="00F71D70"/>
    <w:rsid w:val="00F8051D"/>
    <w:rsid w:val="00F817E6"/>
    <w:rsid w:val="00F936BB"/>
    <w:rsid w:val="00F959D2"/>
    <w:rsid w:val="00F95B39"/>
    <w:rsid w:val="00FA11B0"/>
    <w:rsid w:val="00FA49D8"/>
    <w:rsid w:val="00FA4FC7"/>
    <w:rsid w:val="00FB2825"/>
    <w:rsid w:val="00FB47B2"/>
    <w:rsid w:val="00FC2C00"/>
    <w:rsid w:val="00FC3940"/>
    <w:rsid w:val="00FC50EE"/>
    <w:rsid w:val="00FC63FF"/>
    <w:rsid w:val="00FD1BE6"/>
    <w:rsid w:val="00FD300E"/>
    <w:rsid w:val="00FD3106"/>
    <w:rsid w:val="00FD38E8"/>
    <w:rsid w:val="00FD6E99"/>
    <w:rsid w:val="00FE2F88"/>
    <w:rsid w:val="00FE35F6"/>
    <w:rsid w:val="00FE4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BEDB9"/>
  <w15:docId w15:val="{AD7A234C-19AF-9C47-BC85-60340694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C2BDB"/>
    <w:pPr>
      <w:keepNext/>
      <w:keepLines/>
      <w:spacing w:after="200" w:line="360" w:lineRule="auto"/>
    </w:pPr>
    <w:rPr>
      <w:rFonts w:ascii="Lucida Sans" w:eastAsia="Times New Roman" w:hAnsi="Lucida Sans" w:cs="Times New Roman"/>
      <w:sz w:val="22"/>
    </w:rPr>
  </w:style>
  <w:style w:type="paragraph" w:styleId="Heading1">
    <w:name w:val="heading 1"/>
    <w:next w:val="Normal"/>
    <w:link w:val="Heading1Char"/>
    <w:uiPriority w:val="9"/>
    <w:qFormat/>
    <w:rsid w:val="00BC2BDB"/>
    <w:pPr>
      <w:keepNext/>
      <w:numPr>
        <w:numId w:val="1"/>
      </w:numPr>
      <w:spacing w:after="240" w:line="360" w:lineRule="auto"/>
      <w:outlineLvl w:val="0"/>
    </w:pPr>
    <w:rPr>
      <w:rFonts w:ascii="Lucida Sans" w:eastAsia="Times New Roman" w:hAnsi="Lucida Sans" w:cs="Arial"/>
      <w:b/>
      <w:bCs/>
      <w:kern w:val="32"/>
      <w:sz w:val="36"/>
      <w:szCs w:val="32"/>
    </w:rPr>
  </w:style>
  <w:style w:type="paragraph" w:styleId="Heading2">
    <w:name w:val="heading 2"/>
    <w:basedOn w:val="Heading1"/>
    <w:next w:val="Normal"/>
    <w:link w:val="Heading2Char"/>
    <w:uiPriority w:val="9"/>
    <w:qFormat/>
    <w:rsid w:val="00BC2BDB"/>
    <w:pPr>
      <w:numPr>
        <w:ilvl w:val="1"/>
      </w:numPr>
      <w:spacing w:before="360"/>
      <w:outlineLvl w:val="1"/>
    </w:pPr>
    <w:rPr>
      <w:bCs w:val="0"/>
      <w:sz w:val="28"/>
      <w:szCs w:val="24"/>
      <w:lang w:eastAsia="en-GB"/>
    </w:rPr>
  </w:style>
  <w:style w:type="paragraph" w:styleId="Heading3">
    <w:name w:val="heading 3"/>
    <w:basedOn w:val="Heading1"/>
    <w:next w:val="Normal"/>
    <w:link w:val="Heading3Char"/>
    <w:uiPriority w:val="9"/>
    <w:qFormat/>
    <w:rsid w:val="00BC2BDB"/>
    <w:pPr>
      <w:numPr>
        <w:ilvl w:val="2"/>
      </w:numPr>
      <w:spacing w:before="360"/>
      <w:outlineLvl w:val="2"/>
    </w:pPr>
    <w:rPr>
      <w:bCs w:val="0"/>
      <w:sz w:val="22"/>
      <w:szCs w:val="26"/>
    </w:rPr>
  </w:style>
  <w:style w:type="paragraph" w:styleId="Heading4">
    <w:name w:val="heading 4"/>
    <w:basedOn w:val="Heading1"/>
    <w:next w:val="Normal"/>
    <w:link w:val="Heading4Char"/>
    <w:uiPriority w:val="9"/>
    <w:qFormat/>
    <w:rsid w:val="00BC2BDB"/>
    <w:pPr>
      <w:numPr>
        <w:ilvl w:val="3"/>
      </w:numPr>
      <w:spacing w:before="200"/>
      <w:outlineLvl w:val="3"/>
    </w:pPr>
    <w:rPr>
      <w:rFonts w:eastAsiaTheme="majorEastAsia" w:cstheme="majorBidi"/>
      <w:bCs w:val="0"/>
      <w:iCs/>
      <w:sz w:val="22"/>
      <w:szCs w:val="24"/>
    </w:rPr>
  </w:style>
  <w:style w:type="paragraph" w:styleId="Heading5">
    <w:name w:val="heading 5"/>
    <w:basedOn w:val="Heading1"/>
    <w:next w:val="Normal"/>
    <w:link w:val="Heading5Char"/>
    <w:uiPriority w:val="9"/>
    <w:qFormat/>
    <w:rsid w:val="00BC2BDB"/>
    <w:pPr>
      <w:keepLines/>
      <w:numPr>
        <w:ilvl w:val="4"/>
      </w:numPr>
      <w:spacing w:before="200"/>
      <w:outlineLvl w:val="4"/>
    </w:pPr>
    <w:rPr>
      <w:rFonts w:eastAsiaTheme="majorEastAsia" w:cstheme="majorBidi"/>
      <w:sz w:val="22"/>
      <w:szCs w:val="24"/>
    </w:rPr>
  </w:style>
  <w:style w:type="paragraph" w:styleId="Heading6">
    <w:name w:val="heading 6"/>
    <w:basedOn w:val="Heading1"/>
    <w:next w:val="Normal"/>
    <w:link w:val="Heading6Char"/>
    <w:uiPriority w:val="9"/>
    <w:qFormat/>
    <w:rsid w:val="00BC2BDB"/>
    <w:pPr>
      <w:keepLines/>
      <w:numPr>
        <w:ilvl w:val="5"/>
      </w:numPr>
      <w:spacing w:before="200"/>
      <w:outlineLvl w:val="5"/>
    </w:pPr>
    <w:rPr>
      <w:rFonts w:eastAsiaTheme="majorEastAsia" w:cstheme="majorBidi"/>
      <w:b w:val="0"/>
      <w:iCs/>
      <w:sz w:val="22"/>
      <w:szCs w:val="24"/>
    </w:rPr>
  </w:style>
  <w:style w:type="paragraph" w:styleId="Heading7">
    <w:name w:val="heading 7"/>
    <w:basedOn w:val="Heading1"/>
    <w:next w:val="Normal"/>
    <w:link w:val="Heading7Char"/>
    <w:uiPriority w:val="9"/>
    <w:qFormat/>
    <w:rsid w:val="00BC2BDB"/>
    <w:pPr>
      <w:keepLines/>
      <w:numPr>
        <w:ilvl w:val="6"/>
      </w:numPr>
      <w:spacing w:before="200"/>
      <w:outlineLvl w:val="6"/>
    </w:pPr>
    <w:rPr>
      <w:rFonts w:eastAsiaTheme="majorEastAsia" w:cstheme="majorBidi"/>
      <w:b w:val="0"/>
      <w:iCs/>
      <w:sz w:val="22"/>
      <w:szCs w:val="24"/>
    </w:rPr>
  </w:style>
  <w:style w:type="paragraph" w:styleId="Heading8">
    <w:name w:val="heading 8"/>
    <w:basedOn w:val="Heading1"/>
    <w:next w:val="Normal"/>
    <w:link w:val="Heading8Char"/>
    <w:uiPriority w:val="9"/>
    <w:qFormat/>
    <w:rsid w:val="00BC2BDB"/>
    <w:pPr>
      <w:keepLines/>
      <w:numPr>
        <w:ilvl w:val="7"/>
      </w:numPr>
      <w:spacing w:before="200"/>
      <w:outlineLvl w:val="7"/>
    </w:pPr>
    <w:rPr>
      <w:rFonts w:eastAsiaTheme="majorEastAsia" w:cstheme="majorBidi"/>
      <w:b w:val="0"/>
      <w:sz w:val="22"/>
    </w:rPr>
  </w:style>
  <w:style w:type="paragraph" w:styleId="Heading9">
    <w:name w:val="heading 9"/>
    <w:basedOn w:val="Heading1"/>
    <w:next w:val="Normal"/>
    <w:link w:val="Heading9Char"/>
    <w:uiPriority w:val="9"/>
    <w:qFormat/>
    <w:rsid w:val="00BC2BDB"/>
    <w:pPr>
      <w:keepLines/>
      <w:numPr>
        <w:ilvl w:val="8"/>
      </w:numPr>
      <w:spacing w:before="200"/>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BDB"/>
    <w:rPr>
      <w:rFonts w:ascii="Lucida Sans" w:eastAsia="Times New Roman" w:hAnsi="Lucida Sans" w:cs="Arial"/>
      <w:b/>
      <w:bCs/>
      <w:kern w:val="32"/>
      <w:sz w:val="36"/>
      <w:szCs w:val="32"/>
    </w:rPr>
  </w:style>
  <w:style w:type="character" w:customStyle="1" w:styleId="Heading2Char">
    <w:name w:val="Heading 2 Char"/>
    <w:basedOn w:val="DefaultParagraphFont"/>
    <w:link w:val="Heading2"/>
    <w:uiPriority w:val="9"/>
    <w:rsid w:val="00BC2BDB"/>
    <w:rPr>
      <w:rFonts w:ascii="Lucida Sans" w:eastAsia="Times New Roman" w:hAnsi="Lucida Sans" w:cs="Arial"/>
      <w:b/>
      <w:kern w:val="32"/>
      <w:sz w:val="28"/>
      <w:lang w:eastAsia="en-GB"/>
    </w:rPr>
  </w:style>
  <w:style w:type="character" w:customStyle="1" w:styleId="Heading3Char">
    <w:name w:val="Heading 3 Char"/>
    <w:basedOn w:val="DefaultParagraphFont"/>
    <w:link w:val="Heading3"/>
    <w:uiPriority w:val="9"/>
    <w:rsid w:val="00BC2BDB"/>
    <w:rPr>
      <w:rFonts w:ascii="Lucida Sans" w:eastAsia="Times New Roman" w:hAnsi="Lucida Sans" w:cs="Arial"/>
      <w:b/>
      <w:kern w:val="32"/>
      <w:sz w:val="22"/>
      <w:szCs w:val="26"/>
    </w:rPr>
  </w:style>
  <w:style w:type="character" w:customStyle="1" w:styleId="Heading4Char">
    <w:name w:val="Heading 4 Char"/>
    <w:basedOn w:val="DefaultParagraphFont"/>
    <w:link w:val="Heading4"/>
    <w:uiPriority w:val="9"/>
    <w:rsid w:val="00BC2BDB"/>
    <w:rPr>
      <w:rFonts w:ascii="Lucida Sans" w:eastAsiaTheme="majorEastAsia" w:hAnsi="Lucida Sans" w:cstheme="majorBidi"/>
      <w:b/>
      <w:iCs/>
      <w:kern w:val="32"/>
      <w:sz w:val="22"/>
    </w:rPr>
  </w:style>
  <w:style w:type="character" w:customStyle="1" w:styleId="Heading5Char">
    <w:name w:val="Heading 5 Char"/>
    <w:basedOn w:val="DefaultParagraphFont"/>
    <w:link w:val="Heading5"/>
    <w:uiPriority w:val="9"/>
    <w:rsid w:val="00BC2BDB"/>
    <w:rPr>
      <w:rFonts w:ascii="Lucida Sans" w:eastAsiaTheme="majorEastAsia" w:hAnsi="Lucida Sans" w:cstheme="majorBidi"/>
      <w:b/>
      <w:bCs/>
      <w:kern w:val="32"/>
      <w:sz w:val="22"/>
    </w:rPr>
  </w:style>
  <w:style w:type="character" w:customStyle="1" w:styleId="Heading6Char">
    <w:name w:val="Heading 6 Char"/>
    <w:basedOn w:val="DefaultParagraphFont"/>
    <w:link w:val="Heading6"/>
    <w:uiPriority w:val="9"/>
    <w:rsid w:val="00BC2BDB"/>
    <w:rPr>
      <w:rFonts w:ascii="Lucida Sans" w:eastAsiaTheme="majorEastAsia" w:hAnsi="Lucida Sans" w:cstheme="majorBidi"/>
      <w:bCs/>
      <w:iCs/>
      <w:kern w:val="32"/>
      <w:sz w:val="22"/>
    </w:rPr>
  </w:style>
  <w:style w:type="character" w:customStyle="1" w:styleId="Heading7Char">
    <w:name w:val="Heading 7 Char"/>
    <w:basedOn w:val="DefaultParagraphFont"/>
    <w:link w:val="Heading7"/>
    <w:uiPriority w:val="9"/>
    <w:rsid w:val="00BC2BDB"/>
    <w:rPr>
      <w:rFonts w:ascii="Lucida Sans" w:eastAsiaTheme="majorEastAsia" w:hAnsi="Lucida Sans" w:cstheme="majorBidi"/>
      <w:bCs/>
      <w:iCs/>
      <w:kern w:val="32"/>
      <w:sz w:val="22"/>
    </w:rPr>
  </w:style>
  <w:style w:type="character" w:customStyle="1" w:styleId="Heading8Char">
    <w:name w:val="Heading 8 Char"/>
    <w:basedOn w:val="DefaultParagraphFont"/>
    <w:link w:val="Heading8"/>
    <w:uiPriority w:val="9"/>
    <w:rsid w:val="00BC2BDB"/>
    <w:rPr>
      <w:rFonts w:ascii="Lucida Sans" w:eastAsiaTheme="majorEastAsia" w:hAnsi="Lucida Sans" w:cstheme="majorBidi"/>
      <w:bCs/>
      <w:kern w:val="32"/>
      <w:sz w:val="22"/>
      <w:szCs w:val="32"/>
    </w:rPr>
  </w:style>
  <w:style w:type="character" w:customStyle="1" w:styleId="Heading9Char">
    <w:name w:val="Heading 9 Char"/>
    <w:basedOn w:val="DefaultParagraphFont"/>
    <w:link w:val="Heading9"/>
    <w:uiPriority w:val="9"/>
    <w:rsid w:val="00BC2BDB"/>
    <w:rPr>
      <w:rFonts w:ascii="Lucida Sans" w:eastAsiaTheme="majorEastAsia" w:hAnsi="Lucida Sans" w:cstheme="majorBidi"/>
      <w:bCs/>
      <w:iCs/>
      <w:color w:val="000000" w:themeColor="text1"/>
      <w:kern w:val="32"/>
      <w:sz w:val="22"/>
      <w:szCs w:val="32"/>
    </w:rPr>
  </w:style>
  <w:style w:type="paragraph" w:styleId="Header">
    <w:name w:val="header"/>
    <w:link w:val="HeaderChar"/>
    <w:uiPriority w:val="99"/>
    <w:rsid w:val="00BC2BDB"/>
    <w:pPr>
      <w:tabs>
        <w:tab w:val="center" w:pos="4153"/>
        <w:tab w:val="right" w:pos="8306"/>
      </w:tabs>
      <w:spacing w:after="120"/>
    </w:pPr>
    <w:rPr>
      <w:rFonts w:ascii="Lucida Sans" w:eastAsia="Times New Roman" w:hAnsi="Lucida Sans" w:cs="Times New Roman"/>
      <w:sz w:val="22"/>
    </w:rPr>
  </w:style>
  <w:style w:type="character" w:customStyle="1" w:styleId="HeaderChar">
    <w:name w:val="Header Char"/>
    <w:basedOn w:val="DefaultParagraphFont"/>
    <w:link w:val="Header"/>
    <w:uiPriority w:val="99"/>
    <w:rsid w:val="00BC2BDB"/>
    <w:rPr>
      <w:rFonts w:ascii="Lucida Sans" w:eastAsia="Times New Roman" w:hAnsi="Lucida Sans" w:cs="Times New Roman"/>
      <w:sz w:val="22"/>
    </w:rPr>
  </w:style>
  <w:style w:type="paragraph" w:styleId="Caption">
    <w:name w:val="caption"/>
    <w:next w:val="Normal"/>
    <w:uiPriority w:val="99"/>
    <w:qFormat/>
    <w:rsid w:val="00BC2BDB"/>
    <w:pPr>
      <w:tabs>
        <w:tab w:val="left" w:pos="1418"/>
      </w:tabs>
      <w:adjustRightInd w:val="0"/>
      <w:spacing w:before="120" w:line="360" w:lineRule="auto"/>
      <w:ind w:left="1134" w:hanging="1134"/>
      <w:contextualSpacing/>
    </w:pPr>
    <w:rPr>
      <w:rFonts w:ascii="Lucida Sans" w:eastAsia="Times New Roman" w:hAnsi="Lucida Sans" w:cs="Times New Roman"/>
      <w:b/>
      <w:sz w:val="20"/>
      <w:szCs w:val="26"/>
    </w:rPr>
  </w:style>
  <w:style w:type="character" w:styleId="CommentReference">
    <w:name w:val="annotation reference"/>
    <w:basedOn w:val="DefaultParagraphFont"/>
    <w:uiPriority w:val="99"/>
    <w:semiHidden/>
    <w:unhideWhenUsed/>
    <w:rsid w:val="00BC2BDB"/>
    <w:rPr>
      <w:sz w:val="16"/>
      <w:szCs w:val="16"/>
    </w:rPr>
  </w:style>
  <w:style w:type="paragraph" w:styleId="CommentText">
    <w:name w:val="annotation text"/>
    <w:basedOn w:val="Normal"/>
    <w:link w:val="CommentTextChar"/>
    <w:uiPriority w:val="99"/>
    <w:unhideWhenUsed/>
    <w:rsid w:val="00BC2BDB"/>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C2BDB"/>
    <w:rPr>
      <w:sz w:val="20"/>
      <w:szCs w:val="20"/>
    </w:rPr>
  </w:style>
  <w:style w:type="paragraph" w:customStyle="1" w:styleId="figure">
    <w:name w:val="figure"/>
    <w:basedOn w:val="Normal"/>
    <w:link w:val="figureChar"/>
    <w:uiPriority w:val="99"/>
    <w:qFormat/>
    <w:rsid w:val="00BC2BDB"/>
    <w:pPr>
      <w:adjustRightInd w:val="0"/>
      <w:spacing w:before="40" w:after="0" w:line="240" w:lineRule="auto"/>
      <w:contextualSpacing/>
    </w:pPr>
    <w:rPr>
      <w:sz w:val="20"/>
    </w:rPr>
  </w:style>
  <w:style w:type="character" w:customStyle="1" w:styleId="figureChar">
    <w:name w:val="figure Char"/>
    <w:basedOn w:val="DefaultParagraphFont"/>
    <w:link w:val="figure"/>
    <w:uiPriority w:val="99"/>
    <w:rsid w:val="00BC2BDB"/>
    <w:rPr>
      <w:rFonts w:ascii="Lucida Sans" w:eastAsia="Times New Roman" w:hAnsi="Lucida Sans" w:cs="Times New Roman"/>
      <w:sz w:val="20"/>
    </w:rPr>
  </w:style>
  <w:style w:type="paragraph" w:styleId="ListParagraph">
    <w:name w:val="List Paragraph"/>
    <w:basedOn w:val="ListNumber"/>
    <w:uiPriority w:val="34"/>
    <w:qFormat/>
    <w:rsid w:val="00BC2BDB"/>
    <w:pPr>
      <w:spacing w:after="160"/>
      <w:ind w:left="720"/>
    </w:pPr>
    <w:rPr>
      <w:rFonts w:eastAsia="PMingLiU" w:cstheme="minorBidi"/>
      <w:szCs w:val="22"/>
    </w:rPr>
  </w:style>
  <w:style w:type="paragraph" w:styleId="ListNumber">
    <w:name w:val="List Number"/>
    <w:basedOn w:val="Normal"/>
    <w:rsid w:val="00BC2BDB"/>
    <w:pPr>
      <w:numPr>
        <w:numId w:val="2"/>
      </w:numPr>
      <w:contextualSpacing/>
    </w:pPr>
  </w:style>
  <w:style w:type="table" w:customStyle="1" w:styleId="TableGrid1">
    <w:name w:val="Table Grid1"/>
    <w:basedOn w:val="TableNormal"/>
    <w:next w:val="TableGrid"/>
    <w:uiPriority w:val="39"/>
    <w:rsid w:val="00BC2BDB"/>
    <w:rPr>
      <w:rFonts w:eastAsia="PMingLiU"/>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C2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2BDB"/>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C2BDB"/>
    <w:rPr>
      <w:rFonts w:ascii="Times New Roman" w:eastAsia="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9C4DF9"/>
    <w:pPr>
      <w:spacing w:after="200"/>
    </w:pPr>
    <w:rPr>
      <w:rFonts w:ascii="Lucida Sans" w:eastAsia="Times New Roman" w:hAnsi="Lucida Sans" w:cs="Times New Roman"/>
      <w:b/>
      <w:bCs/>
    </w:rPr>
  </w:style>
  <w:style w:type="character" w:customStyle="1" w:styleId="CommentSubjectChar">
    <w:name w:val="Comment Subject Char"/>
    <w:basedOn w:val="CommentTextChar"/>
    <w:link w:val="CommentSubject"/>
    <w:uiPriority w:val="99"/>
    <w:semiHidden/>
    <w:rsid w:val="009C4DF9"/>
    <w:rPr>
      <w:rFonts w:ascii="Lucida Sans" w:eastAsia="Times New Roman" w:hAnsi="Lucida Sans" w:cs="Times New Roman"/>
      <w:b/>
      <w:bCs/>
      <w:sz w:val="20"/>
      <w:szCs w:val="20"/>
    </w:rPr>
  </w:style>
  <w:style w:type="paragraph" w:styleId="DocumentMap">
    <w:name w:val="Document Map"/>
    <w:basedOn w:val="Normal"/>
    <w:link w:val="DocumentMapChar"/>
    <w:uiPriority w:val="99"/>
    <w:semiHidden/>
    <w:unhideWhenUsed/>
    <w:rsid w:val="003C2E02"/>
    <w:pPr>
      <w:spacing w:after="0" w:line="240" w:lineRule="auto"/>
    </w:pPr>
    <w:rPr>
      <w:rFonts w:ascii="Times New Roman" w:hAnsi="Times New Roman"/>
      <w:sz w:val="24"/>
    </w:rPr>
  </w:style>
  <w:style w:type="character" w:customStyle="1" w:styleId="DocumentMapChar">
    <w:name w:val="Document Map Char"/>
    <w:basedOn w:val="DefaultParagraphFont"/>
    <w:link w:val="DocumentMap"/>
    <w:uiPriority w:val="99"/>
    <w:semiHidden/>
    <w:rsid w:val="003C2E02"/>
    <w:rPr>
      <w:rFonts w:ascii="Times New Roman" w:eastAsia="Times New Roman" w:hAnsi="Times New Roman" w:cs="Times New Roman"/>
    </w:rPr>
  </w:style>
  <w:style w:type="character" w:styleId="Hyperlink">
    <w:name w:val="Hyperlink"/>
    <w:basedOn w:val="DefaultParagraphFont"/>
    <w:uiPriority w:val="99"/>
    <w:unhideWhenUsed/>
    <w:rsid w:val="006322B1"/>
    <w:rPr>
      <w:color w:val="0563C1" w:themeColor="hyperlink"/>
      <w:u w:val="single"/>
    </w:rPr>
  </w:style>
  <w:style w:type="character" w:customStyle="1" w:styleId="UnresolvedMention1">
    <w:name w:val="Unresolved Mention1"/>
    <w:basedOn w:val="DefaultParagraphFont"/>
    <w:uiPriority w:val="99"/>
    <w:rsid w:val="006322B1"/>
    <w:rPr>
      <w:color w:val="808080"/>
      <w:shd w:val="clear" w:color="auto" w:fill="E6E6E6"/>
    </w:rPr>
  </w:style>
  <w:style w:type="character" w:styleId="FollowedHyperlink">
    <w:name w:val="FollowedHyperlink"/>
    <w:basedOn w:val="DefaultParagraphFont"/>
    <w:uiPriority w:val="99"/>
    <w:semiHidden/>
    <w:unhideWhenUsed/>
    <w:rsid w:val="00A82680"/>
    <w:rPr>
      <w:color w:val="954F72" w:themeColor="followedHyperlink"/>
      <w:u w:val="single"/>
    </w:rPr>
  </w:style>
  <w:style w:type="paragraph" w:styleId="Footer">
    <w:name w:val="footer"/>
    <w:basedOn w:val="Normal"/>
    <w:link w:val="FooterChar"/>
    <w:uiPriority w:val="99"/>
    <w:unhideWhenUsed/>
    <w:rsid w:val="001E4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92E"/>
    <w:rPr>
      <w:rFonts w:ascii="Lucida Sans" w:eastAsia="Times New Roman" w:hAnsi="Lucida Sans" w:cs="Times New Roman"/>
      <w:sz w:val="22"/>
    </w:rPr>
  </w:style>
  <w:style w:type="paragraph" w:customStyle="1" w:styleId="TempStyle1">
    <w:name w:val="TempStyle1"/>
    <w:basedOn w:val="Heading2"/>
    <w:qFormat/>
    <w:rsid w:val="00A136F9"/>
    <w:pPr>
      <w:pageBreakBefore/>
      <w:numPr>
        <w:ilvl w:val="0"/>
        <w:numId w:val="0"/>
      </w:numPr>
    </w:pPr>
    <w:rPr>
      <w:rFonts w:asciiTheme="minorHAnsi" w:hAnsiTheme="minorHAnsi" w:cstheme="minorHAnsi"/>
    </w:rPr>
  </w:style>
  <w:style w:type="paragraph" w:styleId="Revision">
    <w:name w:val="Revision"/>
    <w:hidden/>
    <w:uiPriority w:val="99"/>
    <w:semiHidden/>
    <w:rsid w:val="009D4DE3"/>
    <w:rPr>
      <w:rFonts w:ascii="Lucida Sans" w:eastAsia="Times New Roman" w:hAnsi="Lucida Sans" w:cs="Times New Roman"/>
      <w:sz w:val="22"/>
    </w:rPr>
  </w:style>
  <w:style w:type="paragraph" w:customStyle="1" w:styleId="numbered-paragraph">
    <w:name w:val="numbered-paragraph"/>
    <w:basedOn w:val="Normal"/>
    <w:rsid w:val="006A291A"/>
    <w:pPr>
      <w:keepNext w:val="0"/>
      <w:keepLines w:val="0"/>
      <w:spacing w:before="100" w:beforeAutospacing="1" w:after="100" w:afterAutospacing="1" w:line="240" w:lineRule="auto"/>
    </w:pPr>
    <w:rPr>
      <w:rFonts w:ascii="Times New Roman" w:hAnsi="Times New Roman"/>
      <w:sz w:val="24"/>
    </w:rPr>
  </w:style>
  <w:style w:type="paragraph" w:styleId="NormalWeb">
    <w:name w:val="Normal (Web)"/>
    <w:basedOn w:val="Normal"/>
    <w:uiPriority w:val="99"/>
    <w:semiHidden/>
    <w:unhideWhenUsed/>
    <w:rsid w:val="006A291A"/>
    <w:pPr>
      <w:keepNext w:val="0"/>
      <w:keepLines w:val="0"/>
      <w:spacing w:before="100" w:beforeAutospacing="1" w:after="100" w:afterAutospacing="1" w:line="240" w:lineRule="auto"/>
    </w:pPr>
    <w:rPr>
      <w:rFonts w:ascii="Times New Roman" w:hAnsi="Times New Roman"/>
      <w:sz w:val="24"/>
    </w:rPr>
  </w:style>
  <w:style w:type="character" w:styleId="LineNumber">
    <w:name w:val="line number"/>
    <w:basedOn w:val="DefaultParagraphFont"/>
    <w:uiPriority w:val="99"/>
    <w:semiHidden/>
    <w:unhideWhenUsed/>
    <w:rsid w:val="003C6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03232">
      <w:bodyDiv w:val="1"/>
      <w:marLeft w:val="0"/>
      <w:marRight w:val="0"/>
      <w:marTop w:val="0"/>
      <w:marBottom w:val="0"/>
      <w:divBdr>
        <w:top w:val="none" w:sz="0" w:space="0" w:color="auto"/>
        <w:left w:val="none" w:sz="0" w:space="0" w:color="auto"/>
        <w:bottom w:val="none" w:sz="0" w:space="0" w:color="auto"/>
        <w:right w:val="none" w:sz="0" w:space="0" w:color="auto"/>
      </w:divBdr>
    </w:div>
    <w:div w:id="134837942">
      <w:bodyDiv w:val="1"/>
      <w:marLeft w:val="0"/>
      <w:marRight w:val="0"/>
      <w:marTop w:val="0"/>
      <w:marBottom w:val="0"/>
      <w:divBdr>
        <w:top w:val="none" w:sz="0" w:space="0" w:color="auto"/>
        <w:left w:val="none" w:sz="0" w:space="0" w:color="auto"/>
        <w:bottom w:val="none" w:sz="0" w:space="0" w:color="auto"/>
        <w:right w:val="none" w:sz="0" w:space="0" w:color="auto"/>
      </w:divBdr>
    </w:div>
    <w:div w:id="193735950">
      <w:bodyDiv w:val="1"/>
      <w:marLeft w:val="0"/>
      <w:marRight w:val="0"/>
      <w:marTop w:val="0"/>
      <w:marBottom w:val="0"/>
      <w:divBdr>
        <w:top w:val="none" w:sz="0" w:space="0" w:color="auto"/>
        <w:left w:val="none" w:sz="0" w:space="0" w:color="auto"/>
        <w:bottom w:val="none" w:sz="0" w:space="0" w:color="auto"/>
        <w:right w:val="none" w:sz="0" w:space="0" w:color="auto"/>
      </w:divBdr>
    </w:div>
    <w:div w:id="509023330">
      <w:bodyDiv w:val="1"/>
      <w:marLeft w:val="0"/>
      <w:marRight w:val="0"/>
      <w:marTop w:val="0"/>
      <w:marBottom w:val="0"/>
      <w:divBdr>
        <w:top w:val="none" w:sz="0" w:space="0" w:color="auto"/>
        <w:left w:val="none" w:sz="0" w:space="0" w:color="auto"/>
        <w:bottom w:val="none" w:sz="0" w:space="0" w:color="auto"/>
        <w:right w:val="none" w:sz="0" w:space="0" w:color="auto"/>
      </w:divBdr>
      <w:divsChild>
        <w:div w:id="662196043">
          <w:marLeft w:val="960"/>
          <w:marRight w:val="0"/>
          <w:marTop w:val="0"/>
          <w:marBottom w:val="0"/>
          <w:divBdr>
            <w:top w:val="none" w:sz="0" w:space="0" w:color="auto"/>
            <w:left w:val="none" w:sz="0" w:space="0" w:color="auto"/>
            <w:bottom w:val="none" w:sz="0" w:space="0" w:color="auto"/>
            <w:right w:val="none" w:sz="0" w:space="0" w:color="auto"/>
          </w:divBdr>
        </w:div>
      </w:divsChild>
    </w:div>
    <w:div w:id="653609816">
      <w:bodyDiv w:val="1"/>
      <w:marLeft w:val="0"/>
      <w:marRight w:val="0"/>
      <w:marTop w:val="0"/>
      <w:marBottom w:val="0"/>
      <w:divBdr>
        <w:top w:val="none" w:sz="0" w:space="0" w:color="auto"/>
        <w:left w:val="none" w:sz="0" w:space="0" w:color="auto"/>
        <w:bottom w:val="none" w:sz="0" w:space="0" w:color="auto"/>
        <w:right w:val="none" w:sz="0" w:space="0" w:color="auto"/>
      </w:divBdr>
    </w:div>
    <w:div w:id="658119527">
      <w:bodyDiv w:val="1"/>
      <w:marLeft w:val="0"/>
      <w:marRight w:val="0"/>
      <w:marTop w:val="0"/>
      <w:marBottom w:val="0"/>
      <w:divBdr>
        <w:top w:val="none" w:sz="0" w:space="0" w:color="auto"/>
        <w:left w:val="none" w:sz="0" w:space="0" w:color="auto"/>
        <w:bottom w:val="none" w:sz="0" w:space="0" w:color="auto"/>
        <w:right w:val="none" w:sz="0" w:space="0" w:color="auto"/>
      </w:divBdr>
    </w:div>
    <w:div w:id="693728129">
      <w:bodyDiv w:val="1"/>
      <w:marLeft w:val="0"/>
      <w:marRight w:val="0"/>
      <w:marTop w:val="0"/>
      <w:marBottom w:val="0"/>
      <w:divBdr>
        <w:top w:val="none" w:sz="0" w:space="0" w:color="auto"/>
        <w:left w:val="none" w:sz="0" w:space="0" w:color="auto"/>
        <w:bottom w:val="none" w:sz="0" w:space="0" w:color="auto"/>
        <w:right w:val="none" w:sz="0" w:space="0" w:color="auto"/>
      </w:divBdr>
    </w:div>
    <w:div w:id="1012804870">
      <w:bodyDiv w:val="1"/>
      <w:marLeft w:val="0"/>
      <w:marRight w:val="0"/>
      <w:marTop w:val="0"/>
      <w:marBottom w:val="0"/>
      <w:divBdr>
        <w:top w:val="none" w:sz="0" w:space="0" w:color="auto"/>
        <w:left w:val="none" w:sz="0" w:space="0" w:color="auto"/>
        <w:bottom w:val="none" w:sz="0" w:space="0" w:color="auto"/>
        <w:right w:val="none" w:sz="0" w:space="0" w:color="auto"/>
      </w:divBdr>
    </w:div>
    <w:div w:id="1019743910">
      <w:bodyDiv w:val="1"/>
      <w:marLeft w:val="0"/>
      <w:marRight w:val="0"/>
      <w:marTop w:val="0"/>
      <w:marBottom w:val="0"/>
      <w:divBdr>
        <w:top w:val="none" w:sz="0" w:space="0" w:color="auto"/>
        <w:left w:val="none" w:sz="0" w:space="0" w:color="auto"/>
        <w:bottom w:val="none" w:sz="0" w:space="0" w:color="auto"/>
        <w:right w:val="none" w:sz="0" w:space="0" w:color="auto"/>
      </w:divBdr>
    </w:div>
    <w:div w:id="1079136097">
      <w:bodyDiv w:val="1"/>
      <w:marLeft w:val="0"/>
      <w:marRight w:val="0"/>
      <w:marTop w:val="0"/>
      <w:marBottom w:val="0"/>
      <w:divBdr>
        <w:top w:val="none" w:sz="0" w:space="0" w:color="auto"/>
        <w:left w:val="none" w:sz="0" w:space="0" w:color="auto"/>
        <w:bottom w:val="none" w:sz="0" w:space="0" w:color="auto"/>
        <w:right w:val="none" w:sz="0" w:space="0" w:color="auto"/>
      </w:divBdr>
    </w:div>
    <w:div w:id="1378697938">
      <w:bodyDiv w:val="1"/>
      <w:marLeft w:val="0"/>
      <w:marRight w:val="0"/>
      <w:marTop w:val="0"/>
      <w:marBottom w:val="0"/>
      <w:divBdr>
        <w:top w:val="none" w:sz="0" w:space="0" w:color="auto"/>
        <w:left w:val="none" w:sz="0" w:space="0" w:color="auto"/>
        <w:bottom w:val="none" w:sz="0" w:space="0" w:color="auto"/>
        <w:right w:val="none" w:sz="0" w:space="0" w:color="auto"/>
      </w:divBdr>
    </w:div>
    <w:div w:id="1388534752">
      <w:bodyDiv w:val="1"/>
      <w:marLeft w:val="0"/>
      <w:marRight w:val="0"/>
      <w:marTop w:val="0"/>
      <w:marBottom w:val="0"/>
      <w:divBdr>
        <w:top w:val="none" w:sz="0" w:space="0" w:color="auto"/>
        <w:left w:val="none" w:sz="0" w:space="0" w:color="auto"/>
        <w:bottom w:val="none" w:sz="0" w:space="0" w:color="auto"/>
        <w:right w:val="none" w:sz="0" w:space="0" w:color="auto"/>
      </w:divBdr>
    </w:div>
    <w:div w:id="1615667720">
      <w:bodyDiv w:val="1"/>
      <w:marLeft w:val="0"/>
      <w:marRight w:val="0"/>
      <w:marTop w:val="0"/>
      <w:marBottom w:val="0"/>
      <w:divBdr>
        <w:top w:val="none" w:sz="0" w:space="0" w:color="auto"/>
        <w:left w:val="none" w:sz="0" w:space="0" w:color="auto"/>
        <w:bottom w:val="none" w:sz="0" w:space="0" w:color="auto"/>
        <w:right w:val="none" w:sz="0" w:space="0" w:color="auto"/>
      </w:divBdr>
    </w:div>
    <w:div w:id="1773355213">
      <w:bodyDiv w:val="1"/>
      <w:marLeft w:val="0"/>
      <w:marRight w:val="0"/>
      <w:marTop w:val="0"/>
      <w:marBottom w:val="0"/>
      <w:divBdr>
        <w:top w:val="none" w:sz="0" w:space="0" w:color="auto"/>
        <w:left w:val="none" w:sz="0" w:space="0" w:color="auto"/>
        <w:bottom w:val="none" w:sz="0" w:space="0" w:color="auto"/>
        <w:right w:val="none" w:sz="0" w:space="0" w:color="auto"/>
      </w:divBdr>
    </w:div>
    <w:div w:id="1936134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42930E3-0796-41E9-B4F5-31E8091E9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27881</Words>
  <Characters>158923</Characters>
  <Application>Microsoft Office Word</Application>
  <DocSecurity>0</DocSecurity>
  <Lines>1324</Lines>
  <Paragraphs>372</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186432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Prosser A.M.J.</dc:creator>
  <cp:lastModifiedBy>Angus Prosser</cp:lastModifiedBy>
  <cp:revision>7</cp:revision>
  <dcterms:created xsi:type="dcterms:W3CDTF">2020-06-05T13:33:00Z</dcterms:created>
  <dcterms:modified xsi:type="dcterms:W3CDTF">2020-06-25T11:02:00Z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http://csl.mendeley.com/styles/28375861/vancouver-22</vt:lpwstr>
  </property>
  <property fmtid="{D5CDD505-2E9C-101B-9397-08002B2CF9AE}" pid="19" name="Mendeley Recent Style Name 8_1">
    <vt:lpwstr>Vancouver - Angus Prosser</vt:lpwstr>
  </property>
  <property fmtid="{D5CDD505-2E9C-101B-9397-08002B2CF9AE}" pid="20" name="Mendeley Recent Style Id 9_1">
    <vt:lpwstr>http://csl.mendeley.com/styles/28375861/vancouver-2edit</vt:lpwstr>
  </property>
  <property fmtid="{D5CDD505-2E9C-101B-9397-08002B2CF9AE}" pid="21" name="Mendeley Recent Style Name 9_1">
    <vt:lpwstr>Vancouver - Angus Prosser</vt:lpwstr>
  </property>
  <property fmtid="{D5CDD505-2E9C-101B-9397-08002B2CF9AE}" pid="22" name="Mendeley Document_1">
    <vt:lpwstr>True</vt:lpwstr>
  </property>
  <property fmtid="{D5CDD505-2E9C-101B-9397-08002B2CF9AE}" pid="23" name="Mendeley Unique User Id_1">
    <vt:lpwstr>3f61b15c-e425-389d-807f-384c4d62acb2</vt:lpwstr>
  </property>
  <property fmtid="{D5CDD505-2E9C-101B-9397-08002B2CF9AE}" pid="24" name="Mendeley Citation Style_1">
    <vt:lpwstr>http://csl.mendeley.com/styles/28375861/vancouver-2edit</vt:lpwstr>
  </property>
</Properties>
</file>